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5.xml" ContentType="application/vnd.openxmlformats-officedocument.wordprocessingml.foot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FF4" w:rsidRPr="0087176A" w:rsidRDefault="00230B27" w:rsidP="002A32FD">
      <w:pPr>
        <w:pStyle w:val="ContentsHeading"/>
      </w:pPr>
      <w:r w:rsidRPr="0087176A">
        <w:t>Australian Competition and Consumer Commission</w:t>
      </w:r>
    </w:p>
    <w:p w:rsidR="00E11FBD" w:rsidRDefault="00915F49">
      <w:pPr>
        <w:pStyle w:val="TOC1"/>
        <w:rPr>
          <w:rFonts w:asciiTheme="minorHAnsi" w:eastAsiaTheme="minorEastAsia" w:hAnsiTheme="minorHAnsi" w:cstheme="minorBidi"/>
          <w:b w:val="0"/>
          <w:caps w:val="0"/>
          <w:noProof/>
          <w:sz w:val="22"/>
          <w:szCs w:val="22"/>
        </w:rPr>
      </w:pPr>
      <w:r w:rsidRPr="0087176A">
        <w:fldChar w:fldCharType="begin"/>
      </w:r>
      <w:r w:rsidRPr="0087176A">
        <w:instrText xml:space="preserve"> TOC \h \z \t "Heading 2,1,Heading 3,2" </w:instrText>
      </w:r>
      <w:r w:rsidRPr="0087176A">
        <w:fldChar w:fldCharType="separate"/>
      </w:r>
      <w:hyperlink w:anchor="_Toc512866374" w:history="1">
        <w:r w:rsidR="00E11FBD" w:rsidRPr="002E622C">
          <w:rPr>
            <w:rStyle w:val="Hyperlink"/>
            <w:noProof/>
          </w:rPr>
          <w:t>Section 1: Entity overview and resources</w:t>
        </w:r>
        <w:r w:rsidR="00E11FBD">
          <w:rPr>
            <w:noProof/>
            <w:webHidden/>
          </w:rPr>
          <w:tab/>
        </w:r>
        <w:r w:rsidR="00E11FBD">
          <w:rPr>
            <w:noProof/>
            <w:webHidden/>
          </w:rPr>
          <w:fldChar w:fldCharType="begin"/>
        </w:r>
        <w:r w:rsidR="00E11FBD">
          <w:rPr>
            <w:noProof/>
            <w:webHidden/>
          </w:rPr>
          <w:instrText xml:space="preserve"> PAGEREF _Toc512866374 \h </w:instrText>
        </w:r>
        <w:r w:rsidR="00E11FBD">
          <w:rPr>
            <w:noProof/>
            <w:webHidden/>
          </w:rPr>
        </w:r>
        <w:r w:rsidR="00E11FBD">
          <w:rPr>
            <w:noProof/>
            <w:webHidden/>
          </w:rPr>
          <w:fldChar w:fldCharType="separate"/>
        </w:r>
        <w:r w:rsidR="00776BBA">
          <w:rPr>
            <w:noProof/>
            <w:webHidden/>
          </w:rPr>
          <w:t>73</w:t>
        </w:r>
        <w:r w:rsidR="00E11FBD">
          <w:rPr>
            <w:noProof/>
            <w:webHidden/>
          </w:rPr>
          <w:fldChar w:fldCharType="end"/>
        </w:r>
      </w:hyperlink>
    </w:p>
    <w:p w:rsidR="00E11FBD" w:rsidRDefault="00784F2A">
      <w:pPr>
        <w:pStyle w:val="TOC2"/>
        <w:tabs>
          <w:tab w:val="left" w:pos="800"/>
        </w:tabs>
        <w:rPr>
          <w:rFonts w:asciiTheme="minorHAnsi" w:eastAsiaTheme="minorEastAsia" w:hAnsiTheme="minorHAnsi" w:cstheme="minorBidi"/>
          <w:noProof/>
          <w:sz w:val="22"/>
          <w:szCs w:val="22"/>
        </w:rPr>
      </w:pPr>
      <w:hyperlink w:anchor="_Toc512866375" w:history="1">
        <w:r w:rsidR="00E11FBD" w:rsidRPr="002E622C">
          <w:rPr>
            <w:rStyle w:val="Hyperlink"/>
            <w:noProof/>
          </w:rPr>
          <w:t>1.1</w:t>
        </w:r>
        <w:r w:rsidR="00E11FBD">
          <w:rPr>
            <w:rFonts w:asciiTheme="minorHAnsi" w:eastAsiaTheme="minorEastAsia" w:hAnsiTheme="minorHAnsi" w:cstheme="minorBidi"/>
            <w:noProof/>
            <w:sz w:val="22"/>
            <w:szCs w:val="22"/>
          </w:rPr>
          <w:tab/>
        </w:r>
        <w:r w:rsidR="00E11FBD" w:rsidRPr="002E622C">
          <w:rPr>
            <w:rStyle w:val="Hyperlink"/>
            <w:noProof/>
          </w:rPr>
          <w:t>Strategic direction statement</w:t>
        </w:r>
        <w:r w:rsidR="00E11FBD">
          <w:rPr>
            <w:noProof/>
            <w:webHidden/>
          </w:rPr>
          <w:tab/>
        </w:r>
        <w:r w:rsidR="00E11FBD">
          <w:rPr>
            <w:noProof/>
            <w:webHidden/>
          </w:rPr>
          <w:fldChar w:fldCharType="begin"/>
        </w:r>
        <w:r w:rsidR="00E11FBD">
          <w:rPr>
            <w:noProof/>
            <w:webHidden/>
          </w:rPr>
          <w:instrText xml:space="preserve"> PAGEREF _Toc512866375 \h </w:instrText>
        </w:r>
        <w:r w:rsidR="00E11FBD">
          <w:rPr>
            <w:noProof/>
            <w:webHidden/>
          </w:rPr>
        </w:r>
        <w:r w:rsidR="00E11FBD">
          <w:rPr>
            <w:noProof/>
            <w:webHidden/>
          </w:rPr>
          <w:fldChar w:fldCharType="separate"/>
        </w:r>
        <w:r w:rsidR="00776BBA">
          <w:rPr>
            <w:noProof/>
            <w:webHidden/>
          </w:rPr>
          <w:t>73</w:t>
        </w:r>
        <w:r w:rsidR="00E11FBD">
          <w:rPr>
            <w:noProof/>
            <w:webHidden/>
          </w:rPr>
          <w:fldChar w:fldCharType="end"/>
        </w:r>
      </w:hyperlink>
    </w:p>
    <w:p w:rsidR="00E11FBD" w:rsidRDefault="00784F2A">
      <w:pPr>
        <w:pStyle w:val="TOC2"/>
        <w:tabs>
          <w:tab w:val="left" w:pos="800"/>
        </w:tabs>
        <w:rPr>
          <w:rFonts w:asciiTheme="minorHAnsi" w:eastAsiaTheme="minorEastAsia" w:hAnsiTheme="minorHAnsi" w:cstheme="minorBidi"/>
          <w:noProof/>
          <w:sz w:val="22"/>
          <w:szCs w:val="22"/>
        </w:rPr>
      </w:pPr>
      <w:hyperlink w:anchor="_Toc512866376" w:history="1">
        <w:r w:rsidR="00E11FBD" w:rsidRPr="002E622C">
          <w:rPr>
            <w:rStyle w:val="Hyperlink"/>
            <w:noProof/>
          </w:rPr>
          <w:t>1.2</w:t>
        </w:r>
        <w:r w:rsidR="00E11FBD">
          <w:rPr>
            <w:rFonts w:asciiTheme="minorHAnsi" w:eastAsiaTheme="minorEastAsia" w:hAnsiTheme="minorHAnsi" w:cstheme="minorBidi"/>
            <w:noProof/>
            <w:sz w:val="22"/>
            <w:szCs w:val="22"/>
          </w:rPr>
          <w:tab/>
        </w:r>
        <w:r w:rsidR="00E11FBD" w:rsidRPr="002E622C">
          <w:rPr>
            <w:rStyle w:val="Hyperlink"/>
            <w:noProof/>
          </w:rPr>
          <w:t>Entity resource statement</w:t>
        </w:r>
        <w:r w:rsidR="00E11FBD">
          <w:rPr>
            <w:noProof/>
            <w:webHidden/>
          </w:rPr>
          <w:tab/>
        </w:r>
        <w:r w:rsidR="00E11FBD">
          <w:rPr>
            <w:noProof/>
            <w:webHidden/>
          </w:rPr>
          <w:fldChar w:fldCharType="begin"/>
        </w:r>
        <w:r w:rsidR="00E11FBD">
          <w:rPr>
            <w:noProof/>
            <w:webHidden/>
          </w:rPr>
          <w:instrText xml:space="preserve"> PAGEREF _Toc512866376 \h </w:instrText>
        </w:r>
        <w:r w:rsidR="00E11FBD">
          <w:rPr>
            <w:noProof/>
            <w:webHidden/>
          </w:rPr>
        </w:r>
        <w:r w:rsidR="00E11FBD">
          <w:rPr>
            <w:noProof/>
            <w:webHidden/>
          </w:rPr>
          <w:fldChar w:fldCharType="separate"/>
        </w:r>
        <w:r w:rsidR="00776BBA">
          <w:rPr>
            <w:noProof/>
            <w:webHidden/>
          </w:rPr>
          <w:t>79</w:t>
        </w:r>
        <w:r w:rsidR="00E11FBD">
          <w:rPr>
            <w:noProof/>
            <w:webHidden/>
          </w:rPr>
          <w:fldChar w:fldCharType="end"/>
        </w:r>
      </w:hyperlink>
    </w:p>
    <w:p w:rsidR="00E11FBD" w:rsidRDefault="00784F2A">
      <w:pPr>
        <w:pStyle w:val="TOC2"/>
        <w:tabs>
          <w:tab w:val="left" w:pos="800"/>
        </w:tabs>
        <w:rPr>
          <w:rFonts w:asciiTheme="minorHAnsi" w:eastAsiaTheme="minorEastAsia" w:hAnsiTheme="minorHAnsi" w:cstheme="minorBidi"/>
          <w:noProof/>
          <w:sz w:val="22"/>
          <w:szCs w:val="22"/>
        </w:rPr>
      </w:pPr>
      <w:hyperlink w:anchor="_Toc512866377" w:history="1">
        <w:r w:rsidR="00E11FBD" w:rsidRPr="002E622C">
          <w:rPr>
            <w:rStyle w:val="Hyperlink"/>
            <w:noProof/>
          </w:rPr>
          <w:t>1.3</w:t>
        </w:r>
        <w:r w:rsidR="00E11FBD">
          <w:rPr>
            <w:rFonts w:asciiTheme="minorHAnsi" w:eastAsiaTheme="minorEastAsia" w:hAnsiTheme="minorHAnsi" w:cstheme="minorBidi"/>
            <w:noProof/>
            <w:sz w:val="22"/>
            <w:szCs w:val="22"/>
          </w:rPr>
          <w:tab/>
        </w:r>
        <w:r w:rsidR="00E11FBD" w:rsidRPr="002E622C">
          <w:rPr>
            <w:rStyle w:val="Hyperlink"/>
            <w:noProof/>
          </w:rPr>
          <w:t>Budget measures</w:t>
        </w:r>
        <w:r w:rsidR="00E11FBD">
          <w:rPr>
            <w:noProof/>
            <w:webHidden/>
          </w:rPr>
          <w:tab/>
        </w:r>
        <w:r w:rsidR="00E11FBD">
          <w:rPr>
            <w:noProof/>
            <w:webHidden/>
          </w:rPr>
          <w:fldChar w:fldCharType="begin"/>
        </w:r>
        <w:r w:rsidR="00E11FBD">
          <w:rPr>
            <w:noProof/>
            <w:webHidden/>
          </w:rPr>
          <w:instrText xml:space="preserve"> PAGEREF _Toc512866377 \h </w:instrText>
        </w:r>
        <w:r w:rsidR="00E11FBD">
          <w:rPr>
            <w:noProof/>
            <w:webHidden/>
          </w:rPr>
        </w:r>
        <w:r w:rsidR="00E11FBD">
          <w:rPr>
            <w:noProof/>
            <w:webHidden/>
          </w:rPr>
          <w:fldChar w:fldCharType="separate"/>
        </w:r>
        <w:r w:rsidR="00776BBA">
          <w:rPr>
            <w:noProof/>
            <w:webHidden/>
          </w:rPr>
          <w:t>81</w:t>
        </w:r>
        <w:r w:rsidR="00E11FBD">
          <w:rPr>
            <w:noProof/>
            <w:webHidden/>
          </w:rPr>
          <w:fldChar w:fldCharType="end"/>
        </w:r>
      </w:hyperlink>
    </w:p>
    <w:p w:rsidR="00E11FBD" w:rsidRDefault="00784F2A">
      <w:pPr>
        <w:pStyle w:val="TOC1"/>
        <w:rPr>
          <w:rFonts w:asciiTheme="minorHAnsi" w:eastAsiaTheme="minorEastAsia" w:hAnsiTheme="minorHAnsi" w:cstheme="minorBidi"/>
          <w:b w:val="0"/>
          <w:caps w:val="0"/>
          <w:noProof/>
          <w:sz w:val="22"/>
          <w:szCs w:val="22"/>
        </w:rPr>
      </w:pPr>
      <w:hyperlink w:anchor="_Toc512866378" w:history="1">
        <w:r w:rsidR="00E11FBD" w:rsidRPr="002E622C">
          <w:rPr>
            <w:rStyle w:val="Hyperlink"/>
            <w:noProof/>
          </w:rPr>
          <w:t>Section 2: Outcomes and planned performance</w:t>
        </w:r>
        <w:r w:rsidR="00E11FBD">
          <w:rPr>
            <w:noProof/>
            <w:webHidden/>
          </w:rPr>
          <w:tab/>
        </w:r>
        <w:r w:rsidR="00E11FBD">
          <w:rPr>
            <w:noProof/>
            <w:webHidden/>
          </w:rPr>
          <w:fldChar w:fldCharType="begin"/>
        </w:r>
        <w:r w:rsidR="00E11FBD">
          <w:rPr>
            <w:noProof/>
            <w:webHidden/>
          </w:rPr>
          <w:instrText xml:space="preserve"> PAGEREF _Toc512866378 \h </w:instrText>
        </w:r>
        <w:r w:rsidR="00E11FBD">
          <w:rPr>
            <w:noProof/>
            <w:webHidden/>
          </w:rPr>
        </w:r>
        <w:r w:rsidR="00E11FBD">
          <w:rPr>
            <w:noProof/>
            <w:webHidden/>
          </w:rPr>
          <w:fldChar w:fldCharType="separate"/>
        </w:r>
        <w:r w:rsidR="00776BBA">
          <w:rPr>
            <w:noProof/>
            <w:webHidden/>
          </w:rPr>
          <w:t>82</w:t>
        </w:r>
        <w:r w:rsidR="00E11FBD">
          <w:rPr>
            <w:noProof/>
            <w:webHidden/>
          </w:rPr>
          <w:fldChar w:fldCharType="end"/>
        </w:r>
      </w:hyperlink>
    </w:p>
    <w:p w:rsidR="00E11FBD" w:rsidRDefault="00784F2A">
      <w:pPr>
        <w:pStyle w:val="TOC2"/>
        <w:tabs>
          <w:tab w:val="left" w:pos="800"/>
        </w:tabs>
        <w:rPr>
          <w:rFonts w:asciiTheme="minorHAnsi" w:eastAsiaTheme="minorEastAsia" w:hAnsiTheme="minorHAnsi" w:cstheme="minorBidi"/>
          <w:noProof/>
          <w:sz w:val="22"/>
          <w:szCs w:val="22"/>
        </w:rPr>
      </w:pPr>
      <w:hyperlink w:anchor="_Toc512866379" w:history="1">
        <w:r w:rsidR="00E11FBD" w:rsidRPr="002E622C">
          <w:rPr>
            <w:rStyle w:val="Hyperlink"/>
            <w:noProof/>
          </w:rPr>
          <w:t xml:space="preserve">2.1 </w:t>
        </w:r>
        <w:r w:rsidR="00E11FBD">
          <w:rPr>
            <w:rFonts w:asciiTheme="minorHAnsi" w:eastAsiaTheme="minorEastAsia" w:hAnsiTheme="minorHAnsi" w:cstheme="minorBidi"/>
            <w:noProof/>
            <w:sz w:val="22"/>
            <w:szCs w:val="22"/>
          </w:rPr>
          <w:tab/>
        </w:r>
        <w:r w:rsidR="00E11FBD" w:rsidRPr="002E622C">
          <w:rPr>
            <w:rStyle w:val="Hyperlink"/>
            <w:noProof/>
          </w:rPr>
          <w:t>Budgeted expenses and performance for Outcome 1</w:t>
        </w:r>
        <w:r w:rsidR="00E11FBD">
          <w:rPr>
            <w:noProof/>
            <w:webHidden/>
          </w:rPr>
          <w:tab/>
        </w:r>
        <w:r w:rsidR="00E11FBD">
          <w:rPr>
            <w:noProof/>
            <w:webHidden/>
          </w:rPr>
          <w:fldChar w:fldCharType="begin"/>
        </w:r>
        <w:r w:rsidR="00E11FBD">
          <w:rPr>
            <w:noProof/>
            <w:webHidden/>
          </w:rPr>
          <w:instrText xml:space="preserve"> PAGEREF _Toc512866379 \h </w:instrText>
        </w:r>
        <w:r w:rsidR="00E11FBD">
          <w:rPr>
            <w:noProof/>
            <w:webHidden/>
          </w:rPr>
        </w:r>
        <w:r w:rsidR="00E11FBD">
          <w:rPr>
            <w:noProof/>
            <w:webHidden/>
          </w:rPr>
          <w:fldChar w:fldCharType="separate"/>
        </w:r>
        <w:r w:rsidR="00776BBA">
          <w:rPr>
            <w:noProof/>
            <w:webHidden/>
          </w:rPr>
          <w:t>83</w:t>
        </w:r>
        <w:r w:rsidR="00E11FBD">
          <w:rPr>
            <w:noProof/>
            <w:webHidden/>
          </w:rPr>
          <w:fldChar w:fldCharType="end"/>
        </w:r>
      </w:hyperlink>
    </w:p>
    <w:p w:rsidR="00E11FBD" w:rsidRDefault="00784F2A">
      <w:pPr>
        <w:pStyle w:val="TOC1"/>
        <w:rPr>
          <w:rFonts w:asciiTheme="minorHAnsi" w:eastAsiaTheme="minorEastAsia" w:hAnsiTheme="minorHAnsi" w:cstheme="minorBidi"/>
          <w:b w:val="0"/>
          <w:caps w:val="0"/>
          <w:noProof/>
          <w:sz w:val="22"/>
          <w:szCs w:val="22"/>
        </w:rPr>
      </w:pPr>
      <w:hyperlink w:anchor="_Toc512866380" w:history="1">
        <w:r w:rsidR="00E11FBD" w:rsidRPr="002E622C">
          <w:rPr>
            <w:rStyle w:val="Hyperlink"/>
            <w:noProof/>
          </w:rPr>
          <w:t>Section 3: Budgeted financial statements</w:t>
        </w:r>
        <w:r w:rsidR="00E11FBD">
          <w:rPr>
            <w:noProof/>
            <w:webHidden/>
          </w:rPr>
          <w:tab/>
        </w:r>
        <w:r w:rsidR="00E11FBD">
          <w:rPr>
            <w:noProof/>
            <w:webHidden/>
          </w:rPr>
          <w:fldChar w:fldCharType="begin"/>
        </w:r>
        <w:r w:rsidR="00E11FBD">
          <w:rPr>
            <w:noProof/>
            <w:webHidden/>
          </w:rPr>
          <w:instrText xml:space="preserve"> PAGEREF _Toc512866380 \h </w:instrText>
        </w:r>
        <w:r w:rsidR="00E11FBD">
          <w:rPr>
            <w:noProof/>
            <w:webHidden/>
          </w:rPr>
        </w:r>
        <w:r w:rsidR="00E11FBD">
          <w:rPr>
            <w:noProof/>
            <w:webHidden/>
          </w:rPr>
          <w:fldChar w:fldCharType="separate"/>
        </w:r>
        <w:r w:rsidR="00776BBA">
          <w:rPr>
            <w:noProof/>
            <w:webHidden/>
          </w:rPr>
          <w:t>89</w:t>
        </w:r>
        <w:r w:rsidR="00E11FBD">
          <w:rPr>
            <w:noProof/>
            <w:webHidden/>
          </w:rPr>
          <w:fldChar w:fldCharType="end"/>
        </w:r>
      </w:hyperlink>
    </w:p>
    <w:p w:rsidR="00E11FBD" w:rsidRDefault="00784F2A">
      <w:pPr>
        <w:pStyle w:val="TOC2"/>
        <w:tabs>
          <w:tab w:val="left" w:pos="800"/>
        </w:tabs>
        <w:rPr>
          <w:rFonts w:asciiTheme="minorHAnsi" w:eastAsiaTheme="minorEastAsia" w:hAnsiTheme="minorHAnsi" w:cstheme="minorBidi"/>
          <w:noProof/>
          <w:sz w:val="22"/>
          <w:szCs w:val="22"/>
        </w:rPr>
      </w:pPr>
      <w:hyperlink w:anchor="_Toc512866381" w:history="1">
        <w:r w:rsidR="00E11FBD" w:rsidRPr="002E622C">
          <w:rPr>
            <w:rStyle w:val="Hyperlink"/>
            <w:noProof/>
          </w:rPr>
          <w:t>3.1</w:t>
        </w:r>
        <w:r w:rsidR="00E11FBD">
          <w:rPr>
            <w:rFonts w:asciiTheme="minorHAnsi" w:eastAsiaTheme="minorEastAsia" w:hAnsiTheme="minorHAnsi" w:cstheme="minorBidi"/>
            <w:noProof/>
            <w:sz w:val="22"/>
            <w:szCs w:val="22"/>
          </w:rPr>
          <w:tab/>
        </w:r>
        <w:r w:rsidR="00E11FBD" w:rsidRPr="002E622C">
          <w:rPr>
            <w:rStyle w:val="Hyperlink"/>
            <w:noProof/>
          </w:rPr>
          <w:t>Budgeted financial statements</w:t>
        </w:r>
        <w:r w:rsidR="00E11FBD">
          <w:rPr>
            <w:noProof/>
            <w:webHidden/>
          </w:rPr>
          <w:tab/>
        </w:r>
        <w:r w:rsidR="00E11FBD">
          <w:rPr>
            <w:noProof/>
            <w:webHidden/>
          </w:rPr>
          <w:fldChar w:fldCharType="begin"/>
        </w:r>
        <w:r w:rsidR="00E11FBD">
          <w:rPr>
            <w:noProof/>
            <w:webHidden/>
          </w:rPr>
          <w:instrText xml:space="preserve"> PAGEREF _Toc512866381 \h </w:instrText>
        </w:r>
        <w:r w:rsidR="00E11FBD">
          <w:rPr>
            <w:noProof/>
            <w:webHidden/>
          </w:rPr>
        </w:r>
        <w:r w:rsidR="00E11FBD">
          <w:rPr>
            <w:noProof/>
            <w:webHidden/>
          </w:rPr>
          <w:fldChar w:fldCharType="separate"/>
        </w:r>
        <w:r w:rsidR="00776BBA">
          <w:rPr>
            <w:noProof/>
            <w:webHidden/>
          </w:rPr>
          <w:t>89</w:t>
        </w:r>
        <w:r w:rsidR="00E11FBD">
          <w:rPr>
            <w:noProof/>
            <w:webHidden/>
          </w:rPr>
          <w:fldChar w:fldCharType="end"/>
        </w:r>
      </w:hyperlink>
    </w:p>
    <w:p w:rsidR="00E11FBD" w:rsidRDefault="00784F2A">
      <w:pPr>
        <w:pStyle w:val="TOC2"/>
        <w:tabs>
          <w:tab w:val="left" w:pos="800"/>
        </w:tabs>
        <w:rPr>
          <w:rFonts w:asciiTheme="minorHAnsi" w:eastAsiaTheme="minorEastAsia" w:hAnsiTheme="minorHAnsi" w:cstheme="minorBidi"/>
          <w:noProof/>
          <w:sz w:val="22"/>
          <w:szCs w:val="22"/>
        </w:rPr>
      </w:pPr>
      <w:hyperlink w:anchor="_Toc512866382" w:history="1">
        <w:r w:rsidR="00EB5521">
          <w:rPr>
            <w:rStyle w:val="Hyperlink"/>
            <w:noProof/>
          </w:rPr>
          <w:t>3.2</w:t>
        </w:r>
        <w:r w:rsidR="00E11FBD">
          <w:rPr>
            <w:rFonts w:asciiTheme="minorHAnsi" w:eastAsiaTheme="minorEastAsia" w:hAnsiTheme="minorHAnsi" w:cstheme="minorBidi"/>
            <w:noProof/>
            <w:sz w:val="22"/>
            <w:szCs w:val="22"/>
          </w:rPr>
          <w:tab/>
        </w:r>
        <w:r w:rsidR="00E11FBD" w:rsidRPr="002E622C">
          <w:rPr>
            <w:rStyle w:val="Hyperlink"/>
            <w:noProof/>
          </w:rPr>
          <w:t>Budgeted financial statements tables</w:t>
        </w:r>
        <w:r w:rsidR="00E11FBD">
          <w:rPr>
            <w:noProof/>
            <w:webHidden/>
          </w:rPr>
          <w:tab/>
        </w:r>
        <w:r w:rsidR="00E11FBD">
          <w:rPr>
            <w:noProof/>
            <w:webHidden/>
          </w:rPr>
          <w:fldChar w:fldCharType="begin"/>
        </w:r>
        <w:r w:rsidR="00E11FBD">
          <w:rPr>
            <w:noProof/>
            <w:webHidden/>
          </w:rPr>
          <w:instrText xml:space="preserve"> PAGEREF _Toc512866382 \h </w:instrText>
        </w:r>
        <w:r w:rsidR="00E11FBD">
          <w:rPr>
            <w:noProof/>
            <w:webHidden/>
          </w:rPr>
        </w:r>
        <w:r w:rsidR="00E11FBD">
          <w:rPr>
            <w:noProof/>
            <w:webHidden/>
          </w:rPr>
          <w:fldChar w:fldCharType="separate"/>
        </w:r>
        <w:r w:rsidR="00776BBA">
          <w:rPr>
            <w:noProof/>
            <w:webHidden/>
          </w:rPr>
          <w:t>91</w:t>
        </w:r>
        <w:r w:rsidR="00E11FBD">
          <w:rPr>
            <w:noProof/>
            <w:webHidden/>
          </w:rPr>
          <w:fldChar w:fldCharType="end"/>
        </w:r>
      </w:hyperlink>
    </w:p>
    <w:p w:rsidR="008B5AFD" w:rsidRPr="0087176A" w:rsidRDefault="00915F49" w:rsidP="003E2B5E">
      <w:pPr>
        <w:pStyle w:val="TOC1"/>
      </w:pPr>
      <w:r w:rsidRPr="0087176A">
        <w:fldChar w:fldCharType="end"/>
      </w:r>
    </w:p>
    <w:p w:rsidR="003E2B5E" w:rsidRPr="0087176A" w:rsidRDefault="003E2B5E" w:rsidP="008B5AFD"/>
    <w:p w:rsidR="00257FF4" w:rsidRPr="0087176A" w:rsidRDefault="00257FF4" w:rsidP="00257FF4">
      <w:pPr>
        <w:sectPr w:rsidR="00257FF4" w:rsidRPr="0087176A" w:rsidSect="00577F6C">
          <w:headerReference w:type="default" r:id="rId15"/>
          <w:footerReference w:type="even" r:id="rId16"/>
          <w:footerReference w:type="default" r:id="rId17"/>
          <w:footerReference w:type="first" r:id="rId18"/>
          <w:type w:val="oddPage"/>
          <w:pgSz w:w="11906" w:h="16838" w:code="9"/>
          <w:pgMar w:top="2466" w:right="2098" w:bottom="2466" w:left="2098" w:header="1899" w:footer="1899" w:gutter="0"/>
          <w:pgNumType w:start="71"/>
          <w:cols w:space="708"/>
          <w:titlePg/>
          <w:docGrid w:linePitch="360"/>
        </w:sectPr>
      </w:pPr>
    </w:p>
    <w:p w:rsidR="00257FF4" w:rsidRPr="0087176A" w:rsidRDefault="00230B27" w:rsidP="00834F9A">
      <w:pPr>
        <w:pStyle w:val="Heading1"/>
      </w:pPr>
      <w:r w:rsidRPr="0087176A">
        <w:lastRenderedPageBreak/>
        <w:t>Australian Competition and Consumer Commission</w:t>
      </w:r>
    </w:p>
    <w:p w:rsidR="00257FF4" w:rsidRPr="0087176A" w:rsidRDefault="00257FF4" w:rsidP="00257FF4">
      <w:pPr>
        <w:pStyle w:val="Heading2"/>
      </w:pPr>
      <w:bookmarkStart w:id="0" w:name="_Toc190682308"/>
      <w:bookmarkStart w:id="1" w:name="_Toc190682526"/>
      <w:bookmarkStart w:id="2" w:name="_Toc444523508"/>
      <w:bookmarkStart w:id="3" w:name="_Toc512866374"/>
      <w:r w:rsidRPr="0087176A">
        <w:t xml:space="preserve">Section 1: </w:t>
      </w:r>
      <w:r w:rsidR="007E6BBD" w:rsidRPr="0087176A">
        <w:t xml:space="preserve">Entity </w:t>
      </w:r>
      <w:r w:rsidR="00605163" w:rsidRPr="0087176A">
        <w:t>overview and resources</w:t>
      </w:r>
      <w:bookmarkEnd w:id="0"/>
      <w:bookmarkEnd w:id="1"/>
      <w:bookmarkEnd w:id="2"/>
      <w:bookmarkEnd w:id="3"/>
    </w:p>
    <w:p w:rsidR="00257FF4" w:rsidRPr="0087176A" w:rsidRDefault="00257FF4" w:rsidP="00257FF4">
      <w:pPr>
        <w:pStyle w:val="Heading3"/>
      </w:pPr>
      <w:bookmarkStart w:id="4" w:name="_Toc190682309"/>
      <w:bookmarkStart w:id="5" w:name="_Toc190682527"/>
      <w:bookmarkStart w:id="6" w:name="_Toc444523509"/>
      <w:bookmarkStart w:id="7" w:name="_Toc512866375"/>
      <w:r w:rsidRPr="0087176A">
        <w:t>1.1</w:t>
      </w:r>
      <w:r w:rsidRPr="0087176A">
        <w:tab/>
        <w:t xml:space="preserve">Strategic </w:t>
      </w:r>
      <w:r w:rsidR="00D81071" w:rsidRPr="0087176A">
        <w:t>direction</w:t>
      </w:r>
      <w:bookmarkEnd w:id="4"/>
      <w:bookmarkEnd w:id="5"/>
      <w:r w:rsidR="00D81071" w:rsidRPr="0087176A">
        <w:t xml:space="preserve"> </w:t>
      </w:r>
      <w:r w:rsidR="00605163" w:rsidRPr="0087176A">
        <w:t>statement</w:t>
      </w:r>
      <w:bookmarkEnd w:id="6"/>
      <w:bookmarkEnd w:id="7"/>
    </w:p>
    <w:p w:rsidR="00230B27" w:rsidRPr="0087176A" w:rsidRDefault="00230B27" w:rsidP="00230B27">
      <w:bookmarkStart w:id="8" w:name="_Toc190682310"/>
      <w:bookmarkStart w:id="9" w:name="_Toc190682528"/>
      <w:r w:rsidRPr="0087176A">
        <w:t xml:space="preserve">The Australian Competition and Consumer Commission (ACCC) is an independent Commonwealth statutory authority whose role is to enforce the </w:t>
      </w:r>
      <w:r w:rsidRPr="0087176A">
        <w:rPr>
          <w:i/>
        </w:rPr>
        <w:t xml:space="preserve">Competition and Consumer Act 2010 </w:t>
      </w:r>
      <w:r w:rsidRPr="0087176A">
        <w:t>(CCA) and a range of additional legislation, promoting competition, fair trading and regulating national infrastructure for the benefit of all Australians.</w:t>
      </w:r>
    </w:p>
    <w:p w:rsidR="00230B27" w:rsidRPr="0087176A" w:rsidRDefault="00230B27" w:rsidP="00230B27">
      <w:r w:rsidRPr="0087176A">
        <w:t>The Australian Energy Regulator (AER) regulates energy markets and networks under national legislation and rules. The AER has an independent Board.</w:t>
      </w:r>
    </w:p>
    <w:p w:rsidR="00230B27" w:rsidRPr="0087176A" w:rsidRDefault="00230B27" w:rsidP="00230B27">
      <w:r w:rsidRPr="0087176A">
        <w:t>The ACCC and AER share staff, resources and facilities.</w:t>
      </w:r>
    </w:p>
    <w:p w:rsidR="00230B27" w:rsidRPr="0087176A" w:rsidRDefault="00230B27" w:rsidP="00230B27">
      <w:r w:rsidRPr="0087176A">
        <w:t xml:space="preserve">The roles of the ACCC and AER should be seen in the context of the thinking that underpins National Competition Policy — that competition provides the best incentive for businesses to become more efficient, innovative and flexible and to operate in the long term interests of consumers. Together the ACCC and AER champion strong, efficient and effective markets. </w:t>
      </w:r>
    </w:p>
    <w:p w:rsidR="00230B27" w:rsidRPr="0087176A" w:rsidRDefault="00230B27" w:rsidP="00230B27">
      <w:r w:rsidRPr="0087176A">
        <w:t>The ACCC is selective in the matters it investigates and the sectors in which it engages in education and market analysis. The ACCC’s role is to focus on those circumstances that will, or have the potential to harm the competitive process or result in widespread consumer detriment. The ACCC therefore exercises discretion to direct resources to matters that provide the greatest overall benefit for competition and consumers. Each</w:t>
      </w:r>
      <w:r w:rsidR="00E11FBD">
        <w:t> </w:t>
      </w:r>
      <w:r w:rsidRPr="0087176A">
        <w:t xml:space="preserve">year the ACCC reviews its compliance and enforcement priorities. These priorities are set out in the ACCC Compliance and Enforcement Policy. This year’s areas of focus include: </w:t>
      </w:r>
    </w:p>
    <w:p w:rsidR="00230B27" w:rsidRPr="0087176A" w:rsidRDefault="00230B27" w:rsidP="003740F1">
      <w:pPr>
        <w:pStyle w:val="Bullet"/>
      </w:pPr>
      <w:r w:rsidRPr="0087176A">
        <w:t xml:space="preserve">consumer issues in </w:t>
      </w:r>
      <w:r w:rsidRPr="0087176A">
        <w:rPr>
          <w:bCs/>
        </w:rPr>
        <w:t>new car retailing</w:t>
      </w:r>
      <w:r w:rsidRPr="0087176A">
        <w:t>, including responses by retailers and manufacturers to consumer guarantee claims, and other matters identified in the ACCC’s 2017 New Car Retailing Industry Report;</w:t>
      </w:r>
    </w:p>
    <w:p w:rsidR="00230B27" w:rsidRPr="0087176A" w:rsidRDefault="00230B27" w:rsidP="003740F1">
      <w:pPr>
        <w:pStyle w:val="Bullet"/>
      </w:pPr>
      <w:r w:rsidRPr="0087176A">
        <w:t xml:space="preserve">consumer issues in the provision of </w:t>
      </w:r>
      <w:r w:rsidRPr="0087176A">
        <w:rPr>
          <w:bCs/>
        </w:rPr>
        <w:t>broadband services</w:t>
      </w:r>
      <w:r w:rsidRPr="0087176A">
        <w:t>, including addressing misleading speed claims and statements made during the transition to the NBN;</w:t>
      </w:r>
    </w:p>
    <w:p w:rsidR="00230B27" w:rsidRPr="0087176A" w:rsidRDefault="00230B27" w:rsidP="003740F1">
      <w:pPr>
        <w:pStyle w:val="Bullet"/>
      </w:pPr>
      <w:r w:rsidRPr="0087176A">
        <w:t xml:space="preserve">systemic issues involving large or national traders avoiding or misrepresenting </w:t>
      </w:r>
      <w:r w:rsidRPr="0087176A">
        <w:rPr>
          <w:bCs/>
        </w:rPr>
        <w:t>consumer guarantee</w:t>
      </w:r>
      <w:r w:rsidRPr="0087176A">
        <w:t xml:space="preserve"> rights;</w:t>
      </w:r>
    </w:p>
    <w:p w:rsidR="00230B27" w:rsidRPr="0087176A" w:rsidRDefault="00230B27" w:rsidP="003740F1">
      <w:pPr>
        <w:pStyle w:val="Bullet"/>
      </w:pPr>
      <w:r w:rsidRPr="0087176A">
        <w:t>competition issues in the</w:t>
      </w:r>
      <w:r w:rsidRPr="0087176A">
        <w:rPr>
          <w:bCs/>
        </w:rPr>
        <w:t xml:space="preserve"> financial services</w:t>
      </w:r>
      <w:r w:rsidRPr="0087176A">
        <w:t xml:space="preserve"> sector;</w:t>
      </w:r>
    </w:p>
    <w:p w:rsidR="00230B27" w:rsidRPr="0087176A" w:rsidRDefault="00230B27" w:rsidP="003740F1">
      <w:pPr>
        <w:pStyle w:val="Bullet"/>
      </w:pPr>
      <w:r w:rsidRPr="0087176A">
        <w:lastRenderedPageBreak/>
        <w:t xml:space="preserve">competition and consumer issues in the provision of </w:t>
      </w:r>
      <w:r w:rsidRPr="0087176A">
        <w:rPr>
          <w:bCs/>
        </w:rPr>
        <w:t xml:space="preserve">energy </w:t>
      </w:r>
      <w:r w:rsidRPr="0087176A">
        <w:t>as an essential service, including matters identified in the ACCC’s retail electricity pricing inquiry and the ACCC’s wholesale gas inquiry;</w:t>
      </w:r>
    </w:p>
    <w:p w:rsidR="00230B27" w:rsidRPr="0087176A" w:rsidRDefault="00230B27" w:rsidP="003740F1">
      <w:pPr>
        <w:pStyle w:val="Bullet"/>
      </w:pPr>
      <w:r w:rsidRPr="0087176A">
        <w:t xml:space="preserve">competition and consumer issues concerning the use of </w:t>
      </w:r>
      <w:r w:rsidRPr="0087176A">
        <w:rPr>
          <w:bCs/>
        </w:rPr>
        <w:t>digital platforms</w:t>
      </w:r>
      <w:r w:rsidRPr="0087176A">
        <w:t xml:space="preserve">, </w:t>
      </w:r>
      <w:r w:rsidRPr="0087176A">
        <w:rPr>
          <w:bCs/>
        </w:rPr>
        <w:t xml:space="preserve">algorithms </w:t>
      </w:r>
      <w:r w:rsidRPr="0087176A">
        <w:t xml:space="preserve">and </w:t>
      </w:r>
      <w:r w:rsidRPr="0087176A">
        <w:rPr>
          <w:bCs/>
        </w:rPr>
        <w:t>consumer data</w:t>
      </w:r>
      <w:r w:rsidRPr="0087176A">
        <w:t>, with a focus on emerging markets and matters identified by the ACCC’s digital platforms inquiry;</w:t>
      </w:r>
    </w:p>
    <w:p w:rsidR="00230B27" w:rsidRPr="0087176A" w:rsidRDefault="00230B27" w:rsidP="003740F1">
      <w:pPr>
        <w:pStyle w:val="Bullet"/>
      </w:pPr>
      <w:r w:rsidRPr="0087176A">
        <w:t xml:space="preserve">ensuring small business receives the protections of industry codes and the unfair contract terms law, with a focus on Franchising Code of Conduct issues involving </w:t>
      </w:r>
      <w:r w:rsidRPr="0087176A">
        <w:rPr>
          <w:bCs/>
        </w:rPr>
        <w:t>large or national franchisors;</w:t>
      </w:r>
    </w:p>
    <w:p w:rsidR="00230B27" w:rsidRPr="0087176A" w:rsidRDefault="00230B27" w:rsidP="003740F1">
      <w:pPr>
        <w:pStyle w:val="Bullet"/>
      </w:pPr>
      <w:r w:rsidRPr="0087176A">
        <w:t xml:space="preserve">conduct that may contravene the new </w:t>
      </w:r>
      <w:r w:rsidRPr="0087176A">
        <w:rPr>
          <w:bCs/>
        </w:rPr>
        <w:t>misuse of market power</w:t>
      </w:r>
      <w:r w:rsidRPr="0087176A">
        <w:t xml:space="preserve"> provisions and </w:t>
      </w:r>
      <w:r w:rsidRPr="0087176A">
        <w:rPr>
          <w:bCs/>
        </w:rPr>
        <w:t>concerted practice</w:t>
      </w:r>
      <w:r w:rsidRPr="0087176A">
        <w:t xml:space="preserve"> provisions of the CCA;</w:t>
      </w:r>
    </w:p>
    <w:p w:rsidR="00230B27" w:rsidRPr="0087176A" w:rsidRDefault="00230B27" w:rsidP="003740F1">
      <w:pPr>
        <w:pStyle w:val="Bullet"/>
      </w:pPr>
      <w:r w:rsidRPr="0087176A">
        <w:t xml:space="preserve">competition and consumer issues in the </w:t>
      </w:r>
      <w:r w:rsidRPr="0087176A">
        <w:rPr>
          <w:bCs/>
        </w:rPr>
        <w:t xml:space="preserve">agriculture </w:t>
      </w:r>
      <w:r w:rsidRPr="0087176A">
        <w:t>sector, with a focus on the dairy inquiry, Horticultural Code of Conduct enforcement, and analysis of the viticulture industry; and</w:t>
      </w:r>
    </w:p>
    <w:p w:rsidR="00230B27" w:rsidRPr="0087176A" w:rsidRDefault="00230B27" w:rsidP="003740F1">
      <w:pPr>
        <w:pStyle w:val="Bullet"/>
      </w:pPr>
      <w:r w:rsidRPr="0087176A">
        <w:t>competition issues in the commercial construction sector.</w:t>
      </w:r>
    </w:p>
    <w:p w:rsidR="00230B27" w:rsidRPr="0087176A" w:rsidRDefault="00230B27" w:rsidP="00230B27">
      <w:r w:rsidRPr="0087176A">
        <w:t xml:space="preserve">There are some forms of conduct that are so detrimental to consumer welfare and the competitive process that the ACCC will always regard them as a priority. These enduring priorities include: </w:t>
      </w:r>
    </w:p>
    <w:p w:rsidR="00230B27" w:rsidRPr="0087176A" w:rsidRDefault="00230B27" w:rsidP="003740F1">
      <w:pPr>
        <w:pStyle w:val="Bullet"/>
      </w:pPr>
      <w:r w:rsidRPr="0087176A">
        <w:t>cartel conduct causing detriment in Australia;</w:t>
      </w:r>
    </w:p>
    <w:p w:rsidR="00230B27" w:rsidRPr="0087176A" w:rsidRDefault="00230B27" w:rsidP="003740F1">
      <w:pPr>
        <w:pStyle w:val="Bullet"/>
      </w:pPr>
      <w:r w:rsidRPr="0087176A">
        <w:t>anti-competitive agreements and practices, and the misuse of market power;</w:t>
      </w:r>
    </w:p>
    <w:p w:rsidR="00230B27" w:rsidRPr="0087176A" w:rsidRDefault="00230B27" w:rsidP="003740F1">
      <w:pPr>
        <w:pStyle w:val="Bullet"/>
      </w:pPr>
      <w:r w:rsidRPr="0087176A">
        <w:t>product safety issues which have the potential to cause serious harm to consumers;</w:t>
      </w:r>
    </w:p>
    <w:p w:rsidR="00230B27" w:rsidRPr="0087176A" w:rsidRDefault="00230B27" w:rsidP="003740F1">
      <w:pPr>
        <w:pStyle w:val="Bullet"/>
      </w:pPr>
      <w:r w:rsidRPr="0087176A">
        <w:t>conduct impacting Indigenous Australians; and</w:t>
      </w:r>
    </w:p>
    <w:p w:rsidR="00230B27" w:rsidRPr="0087176A" w:rsidRDefault="00230B27" w:rsidP="003740F1">
      <w:pPr>
        <w:pStyle w:val="Bullet"/>
      </w:pPr>
      <w:r w:rsidRPr="0087176A">
        <w:t xml:space="preserve">conduct impacting vulnerable and disadvantaged consumers. </w:t>
      </w:r>
    </w:p>
    <w:p w:rsidR="00230B27" w:rsidRPr="0087176A" w:rsidRDefault="00230B27" w:rsidP="00230B27">
      <w:r w:rsidRPr="0087176A">
        <w:t xml:space="preserve">While the ACCC prioritises matters that fall within the current priority areas, it will always retain capacity to pursue other matters that meet its priority factors. These priority factors are outlined in the ACCC Compliance and Enforcement Policy. The ACCC will also continue important residual work in areas previously identified as priority areas. </w:t>
      </w:r>
    </w:p>
    <w:p w:rsidR="00230B27" w:rsidRPr="0087176A" w:rsidRDefault="00230B27" w:rsidP="003740F1">
      <w:r w:rsidRPr="0087176A">
        <w:t>The ACCC’s product safety priorities for 2018 include:</w:t>
      </w:r>
    </w:p>
    <w:p w:rsidR="00230B27" w:rsidRPr="0087176A" w:rsidRDefault="00230B27" w:rsidP="003740F1">
      <w:pPr>
        <w:pStyle w:val="Bullet"/>
      </w:pPr>
      <w:r w:rsidRPr="0087176A">
        <w:t>the compulsory recall of vehicles with Takata airbags;</w:t>
      </w:r>
    </w:p>
    <w:p w:rsidR="00230B27" w:rsidRPr="0087176A" w:rsidRDefault="00230B27" w:rsidP="003740F1">
      <w:pPr>
        <w:pStyle w:val="Bullet"/>
      </w:pPr>
      <w:r w:rsidRPr="0087176A">
        <w:t>improving the safety of quad bikes;</w:t>
      </w:r>
    </w:p>
    <w:p w:rsidR="00230B27" w:rsidRPr="0087176A" w:rsidRDefault="00230B27" w:rsidP="003740F1">
      <w:pPr>
        <w:pStyle w:val="Bullet"/>
      </w:pPr>
      <w:r w:rsidRPr="0087176A">
        <w:lastRenderedPageBreak/>
        <w:t>the Infinity electrical cables recall;</w:t>
      </w:r>
    </w:p>
    <w:p w:rsidR="00230B27" w:rsidRPr="0087176A" w:rsidRDefault="00230B27" w:rsidP="003740F1">
      <w:pPr>
        <w:pStyle w:val="Bullet"/>
      </w:pPr>
      <w:r w:rsidRPr="0087176A">
        <w:t>reducing the risk for children from button batteries, baby walkers and toppling furniture;</w:t>
      </w:r>
    </w:p>
    <w:p w:rsidR="00230B27" w:rsidRPr="0087176A" w:rsidRDefault="00230B27" w:rsidP="003740F1">
      <w:pPr>
        <w:pStyle w:val="Bullet"/>
      </w:pPr>
      <w:r w:rsidRPr="0087176A">
        <w:t>improving the safety of products supplied over the internet;</w:t>
      </w:r>
    </w:p>
    <w:p w:rsidR="00230B27" w:rsidRPr="0087176A" w:rsidRDefault="00230B27" w:rsidP="003740F1">
      <w:pPr>
        <w:pStyle w:val="Bullet"/>
      </w:pPr>
      <w:r w:rsidRPr="0087176A">
        <w:t>checking whether businesses are complying with compulsory safety standards and bans including for toys, bunk beds, prams and strollers, decorative burners and corded blinds; and</w:t>
      </w:r>
    </w:p>
    <w:p w:rsidR="00230B27" w:rsidRPr="0087176A" w:rsidRDefault="00230B27" w:rsidP="003740F1">
      <w:pPr>
        <w:pStyle w:val="Bullet"/>
      </w:pPr>
      <w:r w:rsidRPr="0087176A">
        <w:t>working towards the introduction of a General Safety Provision in the Australian Consumer Law.</w:t>
      </w:r>
    </w:p>
    <w:p w:rsidR="00230B27" w:rsidRPr="0087176A" w:rsidRDefault="00230B27" w:rsidP="00230B27">
      <w:r w:rsidRPr="0087176A">
        <w:t>The ACCC will continue to assess and review mergers via the informal clearance process to prevent structural changes that substantially lessen competition, with a particular focus on concentrated markets and proposed acquisitions arising through privatisation of public sector assets.</w:t>
      </w:r>
    </w:p>
    <w:p w:rsidR="00230B27" w:rsidRPr="0087176A" w:rsidRDefault="00230B27" w:rsidP="00230B27">
      <w:r w:rsidRPr="0087176A">
        <w:t>The ACCC will continue to assess and make decisions about applications for authorisation and notification of certain anti-competitive conduct. Additionally, the ACCC has resumed the role of first instance decision maker for merger authorisation applications. In doing so the ACCC will evaluate whether the proposed merger, arrangements or conduct may result in a net public benefit or, where relevant, may be unlikely to substantially lessen competition, and therefore warrant exemption from the CCA.</w:t>
      </w:r>
    </w:p>
    <w:p w:rsidR="00230B27" w:rsidRPr="0087176A" w:rsidRDefault="00230B27" w:rsidP="00230B27">
      <w:r w:rsidRPr="0087176A">
        <w:t>The ACCC determines prices and access terms and conditions for some nationally significant monopoly infrastructure services, and monitors and enforces compliance with industry-specific laws for industries including communications, bulk water, postal services and rail (energy sector regulation is undertaken by the AER).</w:t>
      </w:r>
    </w:p>
    <w:p w:rsidR="00230B27" w:rsidRPr="0087176A" w:rsidRDefault="00230B27" w:rsidP="00230B27">
      <w:r w:rsidRPr="0087176A">
        <w:t>The ACCC also monitors other markets (such as major airports, container stevedoring, wheat ports and fuel) where there is limited competition or high consumer concern to provide information about the operation of the relevant market.</w:t>
      </w:r>
    </w:p>
    <w:p w:rsidR="00230B27" w:rsidRPr="0087176A" w:rsidRDefault="00230B27" w:rsidP="00230B27">
      <w:r w:rsidRPr="0087176A">
        <w:t>Fostering efficient infrastructure provision through industry</w:t>
      </w:r>
      <w:r w:rsidRPr="0087176A">
        <w:noBreakHyphen/>
        <w:t>specific regulation and access conditions — under the umbrella of the long term interest of consumers — is the major focus of the economic regulatory role. Access conditions that promote competition in upstream and downstream markets can increase the efficiency and productivity of the overall economy. The ACCC’s economic regulation priorities for 2018-19 include:</w:t>
      </w:r>
    </w:p>
    <w:p w:rsidR="00230B27" w:rsidRPr="0087176A" w:rsidRDefault="00230B27" w:rsidP="003740F1">
      <w:pPr>
        <w:pStyle w:val="Bullet"/>
      </w:pPr>
      <w:r w:rsidRPr="0087176A">
        <w:t>undertaking access, pricing and regulatory coverage assessments across key infrastructure sectors;</w:t>
      </w:r>
      <w:r w:rsidRPr="0087176A" w:rsidDel="000531D3">
        <w:t xml:space="preserve"> </w:t>
      </w:r>
    </w:p>
    <w:p w:rsidR="00230B27" w:rsidRPr="0087176A" w:rsidRDefault="00230B27" w:rsidP="003740F1">
      <w:pPr>
        <w:pStyle w:val="Bullet"/>
      </w:pPr>
      <w:r w:rsidRPr="0087176A">
        <w:lastRenderedPageBreak/>
        <w:t>promoting competition and efficiency in sectors undergoing major reform and/or transitioning to new market structures, including communications and water markets;</w:t>
      </w:r>
    </w:p>
    <w:p w:rsidR="00230B27" w:rsidRPr="0087176A" w:rsidRDefault="00230B27" w:rsidP="003740F1">
      <w:pPr>
        <w:pStyle w:val="Bullet"/>
      </w:pPr>
      <w:r w:rsidRPr="0087176A">
        <w:t>enforcing and promoting compliance with industry-specific compliance regimes in telecommunications and water; and</w:t>
      </w:r>
    </w:p>
    <w:p w:rsidR="00230B27" w:rsidRPr="0087176A" w:rsidRDefault="00230B27" w:rsidP="003740F1">
      <w:pPr>
        <w:pStyle w:val="Bullet"/>
      </w:pPr>
      <w:r w:rsidRPr="0087176A">
        <w:t>advocating for appropriate regulation of monopoly infrastructure, including in areas where there are efficiency concerns independent of competition concerns.</w:t>
      </w:r>
    </w:p>
    <w:p w:rsidR="00230B27" w:rsidRPr="0087176A" w:rsidRDefault="00230B27" w:rsidP="00230B27">
      <w:pPr>
        <w:tabs>
          <w:tab w:val="num" w:pos="720"/>
        </w:tabs>
        <w:spacing w:before="180" w:after="0"/>
        <w:rPr>
          <w:lang w:val="en"/>
        </w:rPr>
      </w:pPr>
      <w:r w:rsidRPr="0087176A">
        <w:rPr>
          <w:lang w:val="en"/>
        </w:rPr>
        <w:t xml:space="preserve">In 2018-19 the ACCC will also continue to focus on markets where additional measures and analysis are required to deliver efficient and competitive outcomes. This includes undertaking a number of prices inquiries, industry analysis and reporting activities covering a broad range of sectors, including digital platforms, gas, financial services, private health insurance, and residential insurance in Northern Australia. </w:t>
      </w:r>
      <w:r w:rsidRPr="0087176A">
        <w:t>The ACCC will also focus on its proposed new role in relation to the new Consumer Data Right, which will allow customers to access and transfer data between service providers, thereby enhancing competition and consumer choice.</w:t>
      </w:r>
      <w:r w:rsidR="006226BF">
        <w:t xml:space="preserve"> </w:t>
      </w:r>
    </w:p>
    <w:p w:rsidR="00230B27" w:rsidRPr="0087176A" w:rsidRDefault="00230B27" w:rsidP="00230B27">
      <w:pPr>
        <w:shd w:val="clear" w:color="auto" w:fill="FFFFFF"/>
        <w:spacing w:before="240"/>
      </w:pPr>
      <w:r w:rsidRPr="0087176A">
        <w:t xml:space="preserve">The AER works to make all Australian energy consumers better off, now and in the future. This purpose drives the agency’s diverse work program, informed by both the technological, behavioural and systemic changes taking place in the energy sector and the requirements of the energy market laws and rules. The energy laws’ objective of promoting efficient investment in, and operation and use of, energy services for the long term interests of energy consumers with respect to price, quality, safety, reliability and security’ guides the AER’s priorities and work program. </w:t>
      </w:r>
    </w:p>
    <w:p w:rsidR="00230B27" w:rsidRPr="0087176A" w:rsidRDefault="00230B27" w:rsidP="003740F1">
      <w:r w:rsidRPr="0087176A">
        <w:t>For 2018</w:t>
      </w:r>
      <w:r w:rsidRPr="0087176A">
        <w:noBreakHyphen/>
        <w:t>19, the AER’s focus will include:</w:t>
      </w:r>
    </w:p>
    <w:p w:rsidR="00230B27" w:rsidRPr="0087176A" w:rsidRDefault="00230B27" w:rsidP="003740F1">
      <w:pPr>
        <w:pStyle w:val="Bullet"/>
      </w:pPr>
      <w:r w:rsidRPr="0087176A">
        <w:t>Contributing our expertise and insight to inform energy policy development processes and working in partnership with the Council of Australian Governments Energy Council, Energy Security Board and other market institutions to advance energy market reforms.</w:t>
      </w:r>
    </w:p>
    <w:p w:rsidR="00230B27" w:rsidRPr="0087176A" w:rsidRDefault="00230B27" w:rsidP="003740F1">
      <w:pPr>
        <w:pStyle w:val="Bullet"/>
      </w:pPr>
      <w:r w:rsidRPr="0087176A">
        <w:t>Delivering network regulation to promote efficient investment in energy network services that customers value, including through:</w:t>
      </w:r>
    </w:p>
    <w:p w:rsidR="00230B27" w:rsidRPr="0087176A" w:rsidRDefault="00230B27" w:rsidP="00230B27">
      <w:pPr>
        <w:pStyle w:val="Bulletpoint2"/>
        <w:rPr>
          <w:rFonts w:ascii="Book Antiqua" w:hAnsi="Book Antiqua"/>
          <w:sz w:val="20"/>
          <w:szCs w:val="20"/>
          <w:lang w:val="en"/>
        </w:rPr>
      </w:pPr>
      <w:r w:rsidRPr="0087176A">
        <w:rPr>
          <w:rFonts w:ascii="Book Antiqua" w:hAnsi="Book Antiqua"/>
          <w:sz w:val="20"/>
          <w:szCs w:val="20"/>
          <w:lang w:val="en"/>
        </w:rPr>
        <w:t>setting the revenues of electricity networks and covered gas pipelines in all jurisdictions except Western Australia</w:t>
      </w:r>
    </w:p>
    <w:p w:rsidR="00230B27" w:rsidRPr="0087176A" w:rsidRDefault="00230B27" w:rsidP="004A2327">
      <w:pPr>
        <w:pStyle w:val="Bulletpoint2"/>
        <w:jc w:val="both"/>
        <w:rPr>
          <w:rFonts w:ascii="Book Antiqua" w:hAnsi="Book Antiqua"/>
          <w:sz w:val="20"/>
          <w:szCs w:val="20"/>
          <w:lang w:val="en"/>
        </w:rPr>
      </w:pPr>
      <w:r w:rsidRPr="0087176A">
        <w:rPr>
          <w:rFonts w:ascii="Book Antiqua" w:hAnsi="Book Antiqua"/>
          <w:sz w:val="20"/>
          <w:szCs w:val="20"/>
          <w:lang w:val="en"/>
        </w:rPr>
        <w:t xml:space="preserve">continuing to develop the regulatory framework so that it is fit for purpose, able to meet future challenges and works in the interests of consumers by: </w:t>
      </w:r>
    </w:p>
    <w:p w:rsidR="00230B27" w:rsidRPr="0087176A" w:rsidRDefault="00230B27" w:rsidP="004A2327">
      <w:pPr>
        <w:pStyle w:val="Bulletpoint2"/>
        <w:numPr>
          <w:ilvl w:val="1"/>
          <w:numId w:val="14"/>
        </w:numPr>
        <w:jc w:val="both"/>
        <w:rPr>
          <w:rFonts w:ascii="Book Antiqua" w:hAnsi="Book Antiqua"/>
          <w:sz w:val="20"/>
          <w:szCs w:val="20"/>
          <w:lang w:val="en"/>
        </w:rPr>
      </w:pPr>
      <w:r w:rsidRPr="0087176A">
        <w:rPr>
          <w:rFonts w:ascii="Book Antiqua" w:hAnsi="Book Antiqua"/>
          <w:sz w:val="20"/>
          <w:szCs w:val="20"/>
          <w:lang w:val="en"/>
        </w:rPr>
        <w:t>working alongside the Australian Energy Markets Commission to review the economic regulatory framework for electricity networks so it is robust, flexible and continues to support the efficient operation of the energy market</w:t>
      </w:r>
    </w:p>
    <w:p w:rsidR="00230B27" w:rsidRPr="0087176A" w:rsidRDefault="00230B27" w:rsidP="004A2327">
      <w:pPr>
        <w:pStyle w:val="Bulletpoint2"/>
        <w:numPr>
          <w:ilvl w:val="1"/>
          <w:numId w:val="14"/>
        </w:numPr>
        <w:jc w:val="both"/>
        <w:rPr>
          <w:rFonts w:ascii="Book Antiqua" w:hAnsi="Book Antiqua"/>
          <w:sz w:val="20"/>
          <w:szCs w:val="20"/>
          <w:lang w:val="en"/>
        </w:rPr>
      </w:pPr>
      <w:r w:rsidRPr="0087176A">
        <w:rPr>
          <w:rFonts w:ascii="Book Antiqua" w:hAnsi="Book Antiqua"/>
          <w:sz w:val="20"/>
          <w:szCs w:val="20"/>
          <w:lang w:val="en"/>
        </w:rPr>
        <w:lastRenderedPageBreak/>
        <w:t>exploring ways to improve engagement, and identify opportunities for regulatory innovation as part of the ‘New Reg’ project: Towards consumer-centric energy network regulation</w:t>
      </w:r>
    </w:p>
    <w:p w:rsidR="00230B27" w:rsidRPr="0087176A" w:rsidRDefault="00230B27" w:rsidP="004A2327">
      <w:pPr>
        <w:pStyle w:val="Bulletpoint2"/>
        <w:numPr>
          <w:ilvl w:val="1"/>
          <w:numId w:val="14"/>
        </w:numPr>
        <w:jc w:val="both"/>
        <w:rPr>
          <w:rFonts w:ascii="Book Antiqua" w:hAnsi="Book Antiqua"/>
          <w:sz w:val="20"/>
          <w:szCs w:val="20"/>
          <w:lang w:val="en"/>
        </w:rPr>
      </w:pPr>
      <w:r w:rsidRPr="0087176A">
        <w:rPr>
          <w:rFonts w:ascii="Book Antiqua" w:hAnsi="Book Antiqua"/>
          <w:sz w:val="20"/>
          <w:szCs w:val="20"/>
          <w:lang w:val="en"/>
        </w:rPr>
        <w:t xml:space="preserve">finalising the Rate of Return guideline under an expanded consultation process to better enable stakeholders to understand issues and contribute views </w:t>
      </w:r>
    </w:p>
    <w:p w:rsidR="00230B27" w:rsidRPr="0087176A" w:rsidRDefault="00230B27" w:rsidP="004A2327">
      <w:pPr>
        <w:pStyle w:val="Bulletpoint2"/>
        <w:numPr>
          <w:ilvl w:val="1"/>
          <w:numId w:val="14"/>
        </w:numPr>
        <w:jc w:val="both"/>
        <w:rPr>
          <w:rFonts w:ascii="Book Antiqua" w:hAnsi="Book Antiqua"/>
          <w:sz w:val="20"/>
          <w:szCs w:val="20"/>
          <w:lang w:val="en"/>
        </w:rPr>
      </w:pPr>
      <w:r w:rsidRPr="0087176A">
        <w:rPr>
          <w:rFonts w:ascii="Book Antiqua" w:hAnsi="Book Antiqua"/>
          <w:sz w:val="20"/>
          <w:szCs w:val="20"/>
          <w:lang w:val="en"/>
        </w:rPr>
        <w:t>undertaking a review of the approach to estimating tax for energy networks to address differences in the tax allowances set by the AER and tax payments made to the ATO by networks</w:t>
      </w:r>
    </w:p>
    <w:p w:rsidR="00230B27" w:rsidRPr="0087176A" w:rsidRDefault="00230B27" w:rsidP="004A2327">
      <w:pPr>
        <w:pStyle w:val="Bulletpoint2"/>
        <w:spacing w:after="60"/>
        <w:ind w:left="998" w:hanging="357"/>
        <w:jc w:val="both"/>
        <w:rPr>
          <w:rFonts w:ascii="Book Antiqua" w:hAnsi="Book Antiqua"/>
          <w:sz w:val="20"/>
          <w:szCs w:val="20"/>
          <w:lang w:val="en"/>
        </w:rPr>
      </w:pPr>
      <w:r w:rsidRPr="0087176A">
        <w:rPr>
          <w:rFonts w:ascii="Book Antiqua" w:hAnsi="Book Antiqua"/>
          <w:sz w:val="20"/>
          <w:szCs w:val="20"/>
          <w:lang w:val="en"/>
        </w:rPr>
        <w:t>continuing to implement reforms in network pricing to improve greater consumer choice and more efficient network investment, and compliance with ring-fencing arrangements that support competition in new energy services</w:t>
      </w:r>
      <w:r w:rsidRPr="0087176A" w:rsidDel="00D75784">
        <w:rPr>
          <w:rFonts w:ascii="Book Antiqua" w:hAnsi="Book Antiqua"/>
          <w:sz w:val="20"/>
          <w:szCs w:val="20"/>
          <w:lang w:val="en"/>
        </w:rPr>
        <w:t xml:space="preserve"> </w:t>
      </w:r>
    </w:p>
    <w:p w:rsidR="00230B27" w:rsidRPr="0087176A" w:rsidRDefault="00230B27" w:rsidP="004A2327">
      <w:pPr>
        <w:pStyle w:val="Bullet"/>
      </w:pPr>
      <w:r w:rsidRPr="0087176A">
        <w:t>Building consumer confidence in retail energy markets by:</w:t>
      </w:r>
    </w:p>
    <w:p w:rsidR="00230B27" w:rsidRPr="0087176A" w:rsidRDefault="00230B27" w:rsidP="004A2327">
      <w:pPr>
        <w:pStyle w:val="Bulletpoint2"/>
        <w:jc w:val="both"/>
        <w:rPr>
          <w:rFonts w:ascii="Book Antiqua" w:hAnsi="Book Antiqua"/>
          <w:sz w:val="20"/>
          <w:szCs w:val="20"/>
          <w:lang w:val="en"/>
        </w:rPr>
      </w:pPr>
      <w:r w:rsidRPr="0087176A">
        <w:rPr>
          <w:rFonts w:ascii="Book Antiqua" w:hAnsi="Book Antiqua"/>
          <w:sz w:val="20"/>
          <w:szCs w:val="20"/>
          <w:lang w:val="en"/>
        </w:rPr>
        <w:t xml:space="preserve">redeveloping our price comparator website, Energy Made Easy, to make it easier for consumers to compare options and make informed choices </w:t>
      </w:r>
    </w:p>
    <w:p w:rsidR="00230B27" w:rsidRPr="0087176A" w:rsidRDefault="00230B27" w:rsidP="004A2327">
      <w:pPr>
        <w:pStyle w:val="Bulletpoint2"/>
        <w:jc w:val="both"/>
        <w:rPr>
          <w:rFonts w:ascii="Book Antiqua" w:hAnsi="Book Antiqua"/>
          <w:sz w:val="20"/>
          <w:szCs w:val="20"/>
          <w:lang w:val="en"/>
        </w:rPr>
      </w:pPr>
      <w:r w:rsidRPr="0087176A">
        <w:rPr>
          <w:rFonts w:ascii="Book Antiqua" w:hAnsi="Book Antiqua"/>
          <w:sz w:val="20"/>
          <w:szCs w:val="20"/>
          <w:lang w:val="en"/>
        </w:rPr>
        <w:t xml:space="preserve">working alongside the ACCC to address issues identified in the retail electricity pricing inquiry report and with retailers to deliver the commitments agreed with the Government to improve how the market works for customers </w:t>
      </w:r>
    </w:p>
    <w:p w:rsidR="00230B27" w:rsidRPr="0087176A" w:rsidRDefault="00230B27" w:rsidP="004A2327">
      <w:pPr>
        <w:pStyle w:val="Bulletpoint2"/>
        <w:jc w:val="both"/>
        <w:rPr>
          <w:rFonts w:ascii="Book Antiqua" w:hAnsi="Book Antiqua"/>
          <w:sz w:val="20"/>
          <w:szCs w:val="20"/>
          <w:lang w:val="en"/>
        </w:rPr>
      </w:pPr>
      <w:r w:rsidRPr="0087176A">
        <w:rPr>
          <w:rFonts w:ascii="Book Antiqua" w:hAnsi="Book Antiqua"/>
          <w:sz w:val="20"/>
          <w:szCs w:val="20"/>
          <w:lang w:val="en"/>
        </w:rPr>
        <w:t>actively promoting industry compliance with regulatory obligations— focusing on retailers’ requirements to provide hardship assistance and</w:t>
      </w:r>
      <w:r w:rsidR="006226BF">
        <w:rPr>
          <w:rFonts w:ascii="Book Antiqua" w:hAnsi="Book Antiqua"/>
          <w:sz w:val="20"/>
          <w:szCs w:val="20"/>
          <w:lang w:val="en"/>
        </w:rPr>
        <w:t xml:space="preserve"> </w:t>
      </w:r>
      <w:r w:rsidRPr="0087176A">
        <w:rPr>
          <w:rFonts w:ascii="Book Antiqua" w:hAnsi="Book Antiqua"/>
          <w:sz w:val="20"/>
          <w:szCs w:val="20"/>
          <w:lang w:val="en"/>
        </w:rPr>
        <w:t>simple, easy-to-understand pricing information—as well as taking appropriate enforcement action</w:t>
      </w:r>
    </w:p>
    <w:p w:rsidR="00230B27" w:rsidRPr="0087176A" w:rsidRDefault="00230B27" w:rsidP="004A2327">
      <w:pPr>
        <w:pStyle w:val="Bulletpoint2"/>
        <w:jc w:val="both"/>
        <w:rPr>
          <w:rFonts w:ascii="Book Antiqua" w:hAnsi="Book Antiqua"/>
          <w:sz w:val="20"/>
          <w:szCs w:val="20"/>
          <w:lang w:val="en"/>
        </w:rPr>
      </w:pPr>
      <w:r w:rsidRPr="0087176A">
        <w:rPr>
          <w:rFonts w:ascii="Book Antiqua" w:hAnsi="Book Antiqua"/>
          <w:sz w:val="20"/>
          <w:szCs w:val="20"/>
          <w:lang w:val="en"/>
        </w:rPr>
        <w:t>continuing to evolve the regulatory regime to accommodate innovative products and services while maintaining appropriate consumer protections</w:t>
      </w:r>
    </w:p>
    <w:p w:rsidR="00230B27" w:rsidRPr="0087176A" w:rsidRDefault="00230B27" w:rsidP="004A2327">
      <w:pPr>
        <w:pStyle w:val="Bulletpoint2"/>
        <w:spacing w:after="60"/>
        <w:ind w:left="998" w:hanging="357"/>
        <w:jc w:val="both"/>
        <w:rPr>
          <w:rFonts w:ascii="Book Antiqua" w:hAnsi="Book Antiqua"/>
          <w:sz w:val="20"/>
          <w:szCs w:val="20"/>
          <w:lang w:val="en"/>
        </w:rPr>
      </w:pPr>
      <w:r w:rsidRPr="0087176A">
        <w:rPr>
          <w:rFonts w:ascii="Book Antiqua" w:hAnsi="Book Antiqua"/>
          <w:sz w:val="20"/>
          <w:szCs w:val="20"/>
          <w:lang w:val="en"/>
        </w:rPr>
        <w:t>providing clear and useful information about energy business performance, customer rights and protections</w:t>
      </w:r>
    </w:p>
    <w:p w:rsidR="00230B27" w:rsidRPr="0087176A" w:rsidRDefault="00230B27" w:rsidP="004A2327">
      <w:pPr>
        <w:pStyle w:val="Bullet"/>
      </w:pPr>
      <w:r w:rsidRPr="0087176A">
        <w:t>Promoting efficient wholesale energy markets by:</w:t>
      </w:r>
    </w:p>
    <w:p w:rsidR="00230B27" w:rsidRPr="0087176A" w:rsidRDefault="00230B27" w:rsidP="004A2327">
      <w:pPr>
        <w:pStyle w:val="Bulletpoint2"/>
        <w:jc w:val="both"/>
        <w:rPr>
          <w:rFonts w:ascii="Book Antiqua" w:hAnsi="Book Antiqua"/>
          <w:sz w:val="20"/>
          <w:szCs w:val="20"/>
          <w:lang w:val="en"/>
        </w:rPr>
      </w:pPr>
      <w:r w:rsidRPr="0087176A">
        <w:rPr>
          <w:rFonts w:ascii="Book Antiqua" w:hAnsi="Book Antiqua"/>
          <w:sz w:val="20"/>
          <w:szCs w:val="20"/>
          <w:lang w:val="en"/>
        </w:rPr>
        <w:t>contributing to the development of the National Energy Guarantee which aims to integrate energy and climate change policy to deliver a lower emissions, reliable power system with enough electricity available when needed, at the lowest possible price</w:t>
      </w:r>
    </w:p>
    <w:p w:rsidR="00230B27" w:rsidRPr="0087176A" w:rsidRDefault="00230B27" w:rsidP="004A2327">
      <w:pPr>
        <w:pStyle w:val="Bulletpoint2"/>
        <w:jc w:val="both"/>
        <w:rPr>
          <w:rFonts w:ascii="Book Antiqua" w:hAnsi="Book Antiqua"/>
          <w:sz w:val="20"/>
          <w:szCs w:val="20"/>
          <w:lang w:val="en"/>
        </w:rPr>
      </w:pPr>
      <w:r w:rsidRPr="0087176A">
        <w:rPr>
          <w:rFonts w:ascii="Book Antiqua" w:hAnsi="Book Antiqua"/>
          <w:sz w:val="20"/>
          <w:szCs w:val="20"/>
          <w:lang w:val="en"/>
        </w:rPr>
        <w:t>publishing our first biennial report on the effectiveness of competition in the National Electricity Market, including reporting on any features that may be detrimental to efficiency or competition, by December 2018</w:t>
      </w:r>
    </w:p>
    <w:p w:rsidR="00230B27" w:rsidRPr="0087176A" w:rsidRDefault="00230B27" w:rsidP="004A2327">
      <w:pPr>
        <w:pStyle w:val="Bulletpoint2"/>
        <w:jc w:val="both"/>
        <w:rPr>
          <w:rFonts w:ascii="Book Antiqua" w:hAnsi="Book Antiqua"/>
          <w:sz w:val="20"/>
          <w:szCs w:val="20"/>
          <w:lang w:val="en"/>
        </w:rPr>
      </w:pPr>
      <w:r w:rsidRPr="0087176A">
        <w:rPr>
          <w:rFonts w:ascii="Book Antiqua" w:hAnsi="Book Antiqua"/>
          <w:sz w:val="20"/>
          <w:szCs w:val="20"/>
          <w:lang w:val="en"/>
        </w:rPr>
        <w:t>contribute to the development of gas market reforms including improvements to information on the Bulletin Board, new capacity trading and day ahead auction arrangements</w:t>
      </w:r>
    </w:p>
    <w:p w:rsidR="00230B27" w:rsidRPr="0087176A" w:rsidRDefault="00230B27" w:rsidP="004A2327">
      <w:pPr>
        <w:pStyle w:val="Bulletpoint2"/>
        <w:jc w:val="both"/>
        <w:rPr>
          <w:rFonts w:ascii="Book Antiqua" w:hAnsi="Book Antiqua"/>
          <w:sz w:val="20"/>
          <w:szCs w:val="20"/>
          <w:lang w:val="en"/>
        </w:rPr>
      </w:pPr>
      <w:r w:rsidRPr="0087176A">
        <w:rPr>
          <w:rFonts w:ascii="Book Antiqua" w:hAnsi="Book Antiqua"/>
          <w:sz w:val="20"/>
          <w:szCs w:val="20"/>
          <w:lang w:val="en"/>
        </w:rPr>
        <w:lastRenderedPageBreak/>
        <w:t>investigating, monitoring and reporting on activity in wholesale gas and electricity markets, including major incidents, high price events</w:t>
      </w:r>
    </w:p>
    <w:p w:rsidR="00230B27" w:rsidRPr="0087176A" w:rsidRDefault="00230B27" w:rsidP="004A2327">
      <w:pPr>
        <w:pStyle w:val="Bulletpoint2"/>
        <w:spacing w:after="240"/>
        <w:ind w:left="998" w:hanging="357"/>
        <w:jc w:val="both"/>
        <w:rPr>
          <w:rFonts w:ascii="Book Antiqua" w:hAnsi="Book Antiqua"/>
          <w:sz w:val="20"/>
          <w:szCs w:val="20"/>
          <w:lang w:val="en"/>
        </w:rPr>
      </w:pPr>
      <w:r w:rsidRPr="0087176A">
        <w:rPr>
          <w:rFonts w:ascii="Book Antiqua" w:hAnsi="Book Antiqua"/>
          <w:sz w:val="20"/>
          <w:szCs w:val="20"/>
          <w:lang w:val="en"/>
        </w:rPr>
        <w:t>promoting compliance with the gas and electricity market rules and taking enforcement action where necessary.</w:t>
      </w:r>
    </w:p>
    <w:p w:rsidR="00230B27" w:rsidRDefault="00230B27" w:rsidP="002406BD">
      <w:r w:rsidRPr="0087176A">
        <w:t>The ACCC and AER work directly and indirectly to achieve a shared outcome, outlined in section 2.1 below. Both will use strategic communication and undertake an active program of managed partnerships with other organisations to deliver outcomes that impact favourably on competition and consumer welfare.</w:t>
      </w:r>
    </w:p>
    <w:p w:rsidR="00F11A7F" w:rsidRDefault="00F11A7F" w:rsidP="002406BD">
      <w:pPr>
        <w:sectPr w:rsidR="00F11A7F" w:rsidSect="00801421">
          <w:headerReference w:type="even" r:id="rId19"/>
          <w:headerReference w:type="default" r:id="rId20"/>
          <w:headerReference w:type="first" r:id="rId21"/>
          <w:footerReference w:type="first" r:id="rId22"/>
          <w:type w:val="oddPage"/>
          <w:pgSz w:w="11906" w:h="16838" w:code="9"/>
          <w:pgMar w:top="2466" w:right="2098" w:bottom="2466" w:left="2098" w:header="1899" w:footer="1899" w:gutter="0"/>
          <w:cols w:space="708"/>
          <w:titlePg/>
          <w:docGrid w:linePitch="360"/>
        </w:sectPr>
      </w:pPr>
    </w:p>
    <w:p w:rsidR="00257FF4" w:rsidRPr="0087176A" w:rsidRDefault="00257FF4" w:rsidP="0079797F">
      <w:pPr>
        <w:pStyle w:val="Heading3"/>
      </w:pPr>
      <w:bookmarkStart w:id="10" w:name="_Toc444523510"/>
      <w:bookmarkStart w:id="11" w:name="_Toc512866376"/>
      <w:r w:rsidRPr="0087176A">
        <w:lastRenderedPageBreak/>
        <w:t>1.2</w:t>
      </w:r>
      <w:r w:rsidRPr="0087176A">
        <w:tab/>
      </w:r>
      <w:r w:rsidR="007E6BBD" w:rsidRPr="0087176A">
        <w:t xml:space="preserve">Entity </w:t>
      </w:r>
      <w:r w:rsidRPr="0087176A">
        <w:t>resource statement</w:t>
      </w:r>
      <w:bookmarkEnd w:id="8"/>
      <w:bookmarkEnd w:id="9"/>
      <w:bookmarkEnd w:id="10"/>
      <w:bookmarkEnd w:id="11"/>
    </w:p>
    <w:p w:rsidR="00E1129E" w:rsidRPr="0087176A" w:rsidRDefault="00257FF4" w:rsidP="004A2327">
      <w:bookmarkStart w:id="12" w:name="OLE_LINK11"/>
      <w:bookmarkStart w:id="13" w:name="OLE_LINK12"/>
      <w:r w:rsidRPr="0087176A">
        <w:t xml:space="preserve">Table 1.1 shows the total </w:t>
      </w:r>
      <w:r w:rsidR="00E1129E" w:rsidRPr="0087176A">
        <w:t xml:space="preserve">funding </w:t>
      </w:r>
      <w:r w:rsidRPr="0087176A">
        <w:t>from all</w:t>
      </w:r>
      <w:r w:rsidR="00BB721D" w:rsidRPr="0087176A">
        <w:t xml:space="preserve"> sources</w:t>
      </w:r>
      <w:r w:rsidR="00331B40" w:rsidRPr="0087176A">
        <w:t xml:space="preserve"> available to the entity for its operations and to deliver </w:t>
      </w:r>
      <w:r w:rsidR="00290933" w:rsidRPr="0087176A">
        <w:t>programs</w:t>
      </w:r>
      <w:r w:rsidR="00331B40" w:rsidRPr="0087176A">
        <w:t xml:space="preserve"> and servic</w:t>
      </w:r>
      <w:r w:rsidR="00705BC0" w:rsidRPr="0087176A">
        <w:t>es on behalf of the G</w:t>
      </w:r>
      <w:r w:rsidR="00331B40" w:rsidRPr="0087176A">
        <w:t>overnment</w:t>
      </w:r>
      <w:r w:rsidR="005A7C0B" w:rsidRPr="0087176A">
        <w:t>.</w:t>
      </w:r>
    </w:p>
    <w:p w:rsidR="00257FF4" w:rsidRPr="0087176A" w:rsidRDefault="00257FF4" w:rsidP="004A2327">
      <w:r w:rsidRPr="0087176A">
        <w:t xml:space="preserve">The table summarises how resources will be applied by outcome </w:t>
      </w:r>
      <w:r w:rsidR="00331B40" w:rsidRPr="0087176A">
        <w:t>(government strategic policy objectives</w:t>
      </w:r>
      <w:r w:rsidR="00E1129E" w:rsidRPr="0087176A">
        <w:t>)</w:t>
      </w:r>
      <w:r w:rsidR="00705BC0" w:rsidRPr="0087176A">
        <w:t xml:space="preserve"> </w:t>
      </w:r>
      <w:r w:rsidRPr="0087176A">
        <w:t xml:space="preserve">and by administered </w:t>
      </w:r>
      <w:r w:rsidR="00705BC0" w:rsidRPr="0087176A">
        <w:t>(on behalf of the G</w:t>
      </w:r>
      <w:r w:rsidR="00331B40" w:rsidRPr="0087176A">
        <w:t xml:space="preserve">overnment or the public) </w:t>
      </w:r>
      <w:r w:rsidRPr="0087176A">
        <w:t xml:space="preserve">and departmental </w:t>
      </w:r>
      <w:r w:rsidR="00331B40" w:rsidRPr="0087176A">
        <w:t xml:space="preserve">(for the entity’s operations) </w:t>
      </w:r>
      <w:r w:rsidRPr="0087176A">
        <w:t>classification.</w:t>
      </w:r>
    </w:p>
    <w:p w:rsidR="009F43CB" w:rsidRPr="0087176A" w:rsidRDefault="00331B40" w:rsidP="004A2327">
      <w:r w:rsidRPr="0087176A">
        <w:t xml:space="preserve">For more detailed information on special accounts and special appropriations, please refer to </w:t>
      </w:r>
      <w:r w:rsidRPr="0087176A">
        <w:rPr>
          <w:i/>
        </w:rPr>
        <w:t>Budget Paper No. 4 – Agency Resourcing</w:t>
      </w:r>
      <w:r w:rsidRPr="0087176A">
        <w:t>.</w:t>
      </w:r>
    </w:p>
    <w:p w:rsidR="00645E69" w:rsidRPr="0087176A" w:rsidRDefault="00645E69" w:rsidP="00257FF4">
      <w:r w:rsidRPr="0087176A">
        <w:t>Information in this table is presented on a resourcing (</w:t>
      </w:r>
      <w:r w:rsidR="005A7C0B" w:rsidRPr="0087176A">
        <w:t>that is,</w:t>
      </w:r>
      <w:r w:rsidRPr="0087176A">
        <w:t xml:space="preserve"> </w:t>
      </w:r>
      <w:r w:rsidR="00061FD8" w:rsidRPr="0087176A">
        <w:t>appropriations/cash</w:t>
      </w:r>
      <w:r w:rsidR="00565C77" w:rsidRPr="0087176A">
        <w:t xml:space="preserve"> available</w:t>
      </w:r>
      <w:r w:rsidRPr="0087176A">
        <w:t xml:space="preserve">) basis, whilst the </w:t>
      </w:r>
      <w:r w:rsidR="00E1129E" w:rsidRPr="0087176A">
        <w:t xml:space="preserve">‘Budgeted expenses by </w:t>
      </w:r>
      <w:r w:rsidR="00E7371B" w:rsidRPr="0087176A">
        <w:t xml:space="preserve">Outcome </w:t>
      </w:r>
      <w:r w:rsidR="002406BD" w:rsidRPr="0087176A">
        <w:t>1</w:t>
      </w:r>
      <w:r w:rsidR="00E7371B" w:rsidRPr="0087176A">
        <w:t xml:space="preserve">’ </w:t>
      </w:r>
      <w:r w:rsidRPr="0087176A">
        <w:t>tables in Section 2 and the financial statements in Section 3 are</w:t>
      </w:r>
      <w:r w:rsidR="00831489" w:rsidRPr="0087176A">
        <w:t xml:space="preserve"> presented on an accrual basis.</w:t>
      </w:r>
    </w:p>
    <w:bookmarkEnd w:id="12"/>
    <w:bookmarkEnd w:id="13"/>
    <w:p w:rsidR="00BB3AB5" w:rsidRPr="0087176A" w:rsidRDefault="00BB3AB5" w:rsidP="003740F1"/>
    <w:p w:rsidR="00F11A7F" w:rsidRDefault="00F11A7F" w:rsidP="009A40DD">
      <w:pPr>
        <w:pStyle w:val="TableHeadingcontinued"/>
        <w:sectPr w:rsidR="00F11A7F" w:rsidSect="00F11A7F">
          <w:headerReference w:type="first" r:id="rId23"/>
          <w:pgSz w:w="11906" w:h="16838" w:code="9"/>
          <w:pgMar w:top="2466" w:right="2098" w:bottom="2466" w:left="2098" w:header="1899" w:footer="1899" w:gutter="0"/>
          <w:cols w:space="708"/>
          <w:titlePg/>
          <w:docGrid w:linePitch="360"/>
        </w:sectPr>
      </w:pPr>
    </w:p>
    <w:p w:rsidR="006A5866" w:rsidRDefault="006A5866" w:rsidP="009A40DD">
      <w:pPr>
        <w:pStyle w:val="TableHeadingcontinued"/>
      </w:pPr>
      <w:r w:rsidRPr="0087176A">
        <w:lastRenderedPageBreak/>
        <w:t xml:space="preserve">Table 1.1: </w:t>
      </w:r>
      <w:r w:rsidR="003A1702" w:rsidRPr="0087176A">
        <w:t>Australian Competition and Consumer Commission</w:t>
      </w:r>
      <w:r w:rsidRPr="0087176A">
        <w:t xml:space="preserve"> </w:t>
      </w:r>
      <w:r w:rsidR="00CB4589" w:rsidRPr="0087176A">
        <w:t xml:space="preserve">resource statement </w:t>
      </w:r>
      <w:r w:rsidR="00C20E76" w:rsidRPr="0087176A">
        <w:t>—</w:t>
      </w:r>
      <w:r w:rsidR="00B10F95" w:rsidRPr="0087176A">
        <w:t xml:space="preserve"> Budget</w:t>
      </w:r>
      <w:r w:rsidR="00CB4589" w:rsidRPr="0087176A">
        <w:t xml:space="preserve"> e</w:t>
      </w:r>
      <w:r w:rsidR="00C11F05" w:rsidRPr="0087176A">
        <w:t xml:space="preserve">stimates for </w:t>
      </w:r>
      <w:r w:rsidR="00694795" w:rsidRPr="0087176A">
        <w:t>2018-19</w:t>
      </w:r>
      <w:r w:rsidRPr="0087176A">
        <w:t xml:space="preserve"> as at Budget May </w:t>
      </w:r>
      <w:r w:rsidR="00694795" w:rsidRPr="0087176A">
        <w:t>2018</w:t>
      </w:r>
      <w:r w:rsidR="00E1129E" w:rsidRPr="0087176A">
        <w:t xml:space="preserve"> </w:t>
      </w:r>
    </w:p>
    <w:p w:rsidR="00E016BB" w:rsidRDefault="00784F2A" w:rsidP="002F699C">
      <w:pPr>
        <w:pStyle w:val="TableGraphic"/>
      </w:pPr>
      <w:r>
        <w:object w:dxaOrig="7739" w:dyaOrig="7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87pt;height:364.5pt" o:ole="">
            <v:imagedata r:id="rId24" o:title=""/>
          </v:shape>
          <o:OLEObject Type="Link" ProgID="Excel.Sheet.12" ShapeID="_x0000_i1040" DrawAspect="Content" r:id="rId25" UpdateMode="Always">
            <o:LinkType>EnhancedMetaFile</o:LinkType>
            <o:LockedField>false</o:LockedField>
          </o:OLEObject>
        </w:object>
      </w:r>
    </w:p>
    <w:p w:rsidR="008D3E19" w:rsidRPr="003740F1" w:rsidRDefault="008D3E19" w:rsidP="003740F1">
      <w:pPr>
        <w:pStyle w:val="TableGraphic"/>
        <w:rPr>
          <w:rStyle w:val="ChartandTableFootnoteChar"/>
        </w:rPr>
      </w:pPr>
      <w:r w:rsidRPr="003740F1">
        <w:rPr>
          <w:rStyle w:val="ChartandTableFootnoteChar"/>
        </w:rPr>
        <w:t>Prepared on a resourcing (</w:t>
      </w:r>
      <w:r w:rsidR="006A4AA7" w:rsidRPr="003740F1">
        <w:rPr>
          <w:rStyle w:val="ChartandTableFootnoteChar"/>
        </w:rPr>
        <w:t>that is,</w:t>
      </w:r>
      <w:r w:rsidR="001666EA" w:rsidRPr="003740F1">
        <w:rPr>
          <w:rStyle w:val="ChartandTableFootnoteChar"/>
        </w:rPr>
        <w:t xml:space="preserve"> appropriations available) basis</w:t>
      </w:r>
      <w:r w:rsidRPr="003740F1">
        <w:rPr>
          <w:rStyle w:val="ChartandTableFootnoteChar"/>
        </w:rPr>
        <w:t>.</w:t>
      </w:r>
    </w:p>
    <w:p w:rsidR="00FD79EA" w:rsidRPr="003C3191" w:rsidRDefault="003740F1" w:rsidP="000C3F58">
      <w:pPr>
        <w:pStyle w:val="ChartandTableFootnote"/>
        <w:rPr>
          <w:rFonts w:cs="Arial"/>
          <w:color w:val="auto"/>
          <w:szCs w:val="16"/>
          <w:lang w:val="en-AU"/>
        </w:rPr>
      </w:pPr>
      <w:r w:rsidRPr="003740F1">
        <w:rPr>
          <w:rFonts w:cs="Arial"/>
          <w:color w:val="auto"/>
          <w:szCs w:val="16"/>
          <w:lang w:val="en-AU"/>
        </w:rPr>
        <w:t>N</w:t>
      </w:r>
      <w:r w:rsidR="008D3E19" w:rsidRPr="003740F1">
        <w:rPr>
          <w:rFonts w:cs="Arial"/>
          <w:color w:val="auto"/>
          <w:szCs w:val="16"/>
        </w:rPr>
        <w:t>ote</w:t>
      </w:r>
      <w:r w:rsidR="008D3E19" w:rsidRPr="003C3191">
        <w:rPr>
          <w:rFonts w:cs="Arial"/>
          <w:color w:val="auto"/>
          <w:szCs w:val="16"/>
        </w:rPr>
        <w:t>: All figures shown above are GST exclusive – these may not match figu</w:t>
      </w:r>
      <w:r w:rsidR="00831489" w:rsidRPr="003C3191">
        <w:rPr>
          <w:rFonts w:cs="Arial"/>
          <w:color w:val="auto"/>
          <w:szCs w:val="16"/>
        </w:rPr>
        <w:t>res in the cash flow statement.</w:t>
      </w:r>
    </w:p>
    <w:p w:rsidR="003C3191" w:rsidRDefault="003C3191" w:rsidP="003740F1">
      <w:pPr>
        <w:pStyle w:val="ChartandTableFootnoteAlpha"/>
      </w:pPr>
      <w:r w:rsidRPr="003C3191">
        <w:t>Appropriation Bill (No. 1) 2018-19.</w:t>
      </w:r>
    </w:p>
    <w:p w:rsidR="00402E5B" w:rsidRDefault="00402E5B" w:rsidP="00402E5B">
      <w:pPr>
        <w:pStyle w:val="ChartandTableFootnoteAlpha"/>
      </w:pPr>
      <w:r>
        <w:t>Excludes departmental capital bud</w:t>
      </w:r>
      <w:r w:rsidRPr="003C3191">
        <w:t>get (DCB).</w:t>
      </w:r>
    </w:p>
    <w:p w:rsidR="00402E5B" w:rsidRDefault="00402E5B" w:rsidP="00402E5B">
      <w:pPr>
        <w:pStyle w:val="ChartandTableFootnoteAlpha"/>
      </w:pPr>
      <w:r w:rsidRPr="003C3191">
        <w:t>Estimated retained revenue receipts under section 74 of the PGPA Act.</w:t>
      </w:r>
    </w:p>
    <w:p w:rsidR="00606926" w:rsidRDefault="00606926" w:rsidP="00606926">
      <w:pPr>
        <w:pStyle w:val="ChartandTableFootnoteAlpha"/>
      </w:pPr>
      <w:r w:rsidRPr="003C3191">
        <w:t>Departmental capital budgets are not separately identified in Appropriation Bill (No.1) and form part of ordinary annual services items. Please refer to Table 3.5 for further details. For accounting purposes, this amount has been designated as a 'contribution by owner'.</w:t>
      </w:r>
    </w:p>
    <w:p w:rsidR="00402E5B" w:rsidRDefault="00402E5B" w:rsidP="00402E5B">
      <w:pPr>
        <w:pStyle w:val="ChartandTableFootnoteAlpha"/>
      </w:pPr>
      <w:r w:rsidRPr="003C3191">
        <w:t>Appropriation Bill (No. 2) 2018-19.</w:t>
      </w:r>
    </w:p>
    <w:p w:rsidR="00402E5B" w:rsidRDefault="00402E5B" w:rsidP="00402E5B">
      <w:pPr>
        <w:pStyle w:val="ChartandTableFootnoteAlpha"/>
      </w:pPr>
      <w:r w:rsidRPr="003C3191">
        <w:t xml:space="preserve">Excludes $11.6m subject to administrative quarantine by Finance or withheld under section 51 of the </w:t>
      </w:r>
      <w:r w:rsidRPr="008453F0">
        <w:rPr>
          <w:i/>
        </w:rPr>
        <w:t>Public Governance, Performance and Accountability Act 2013</w:t>
      </w:r>
      <w:r w:rsidRPr="003C3191">
        <w:t xml:space="preserve"> (PGPA Act).</w:t>
      </w:r>
    </w:p>
    <w:p w:rsidR="003C3191" w:rsidRDefault="003C3191" w:rsidP="003740F1">
      <w:pPr>
        <w:pStyle w:val="ChartandTableFootnoteAlpha"/>
      </w:pPr>
      <w:r w:rsidRPr="003C3191">
        <w:t>Relates to repayments not provided for under other appropriations through section 77 of the PGPA Act.</w:t>
      </w:r>
    </w:p>
    <w:p w:rsidR="00402E5B" w:rsidRPr="00402E5B" w:rsidRDefault="00402E5B" w:rsidP="00402E5B">
      <w:pPr>
        <w:pStyle w:val="ChartandTableFootnoteAlpha"/>
      </w:pPr>
      <w:r w:rsidRPr="00402E5B">
        <w:t>The above Excludes 'Special Public Money' held in accounts like Other Trust Monies accounts (OTM), Services for Other Government and Non-agency Bodies accounts (SOG) or Services for Other Entities a</w:t>
      </w:r>
      <w:r w:rsidR="006111D1">
        <w:t>nd Trust Moneys accounts (SOETM</w:t>
      </w:r>
      <w:r w:rsidRPr="00402E5B">
        <w:t>). For further information on special appropriations and special accounts, plea</w:t>
      </w:r>
      <w:r w:rsidR="008270C1">
        <w:t>se refer to Budget Paper No. 4</w:t>
      </w:r>
      <w:r w:rsidRPr="00402E5B">
        <w:t xml:space="preserve"> Agency Resourcing. Please also see Table 2.1 for further information on outcome and program expenses broken down by various funding sources, for example, annual appropriations, special appropriations and special accounts.</w:t>
      </w:r>
    </w:p>
    <w:p w:rsidR="0008449F" w:rsidRPr="0087176A" w:rsidRDefault="0008449F" w:rsidP="00D55317">
      <w:pPr>
        <w:pStyle w:val="Heading3"/>
      </w:pPr>
      <w:bookmarkStart w:id="14" w:name="_Toc190682311"/>
      <w:bookmarkStart w:id="15" w:name="_Toc190682529"/>
      <w:bookmarkStart w:id="16" w:name="_Toc444523511"/>
      <w:bookmarkStart w:id="17" w:name="_Toc512866377"/>
      <w:r w:rsidRPr="0087176A">
        <w:lastRenderedPageBreak/>
        <w:t>1.3</w:t>
      </w:r>
      <w:r w:rsidRPr="0087176A">
        <w:tab/>
        <w:t>Budget measures</w:t>
      </w:r>
      <w:bookmarkEnd w:id="14"/>
      <w:bookmarkEnd w:id="15"/>
      <w:bookmarkEnd w:id="16"/>
      <w:bookmarkEnd w:id="17"/>
    </w:p>
    <w:p w:rsidR="00F20B6E" w:rsidRPr="0087176A" w:rsidRDefault="00DC32EC" w:rsidP="0008449F">
      <w:r w:rsidRPr="0087176A">
        <w:t xml:space="preserve">Budget measures </w:t>
      </w:r>
      <w:r w:rsidR="005C4BEE" w:rsidRPr="0087176A">
        <w:t xml:space="preserve">in </w:t>
      </w:r>
      <w:r w:rsidR="003532DF">
        <w:t>Table 1.2</w:t>
      </w:r>
      <w:r w:rsidR="005C4BEE" w:rsidRPr="0087176A">
        <w:t xml:space="preserve"> </w:t>
      </w:r>
      <w:r w:rsidRPr="0087176A">
        <w:t>relating to</w:t>
      </w:r>
      <w:r w:rsidR="001B03CC" w:rsidRPr="0087176A">
        <w:t xml:space="preserve"> </w:t>
      </w:r>
      <w:r w:rsidR="00D857FB" w:rsidRPr="0087176A">
        <w:t>the Australian Competition and Consumer Commission</w:t>
      </w:r>
      <w:r w:rsidRPr="0087176A">
        <w:t xml:space="preserve"> a</w:t>
      </w:r>
      <w:r w:rsidR="00CB4589" w:rsidRPr="0087176A">
        <w:t>re detailed in Budget Paper No. </w:t>
      </w:r>
      <w:r w:rsidRPr="0087176A">
        <w:t>2</w:t>
      </w:r>
      <w:r w:rsidR="00C2641F" w:rsidRPr="0087176A">
        <w:t xml:space="preserve"> and are summarised </w:t>
      </w:r>
      <w:r w:rsidR="002C7703" w:rsidRPr="0087176A">
        <w:t>below</w:t>
      </w:r>
      <w:r w:rsidR="003D4188" w:rsidRPr="0087176A">
        <w:t>.</w:t>
      </w:r>
    </w:p>
    <w:p w:rsidR="00DC32EC" w:rsidRPr="0087176A" w:rsidRDefault="00AF3811" w:rsidP="003532DF">
      <w:pPr>
        <w:pStyle w:val="TableHeading"/>
      </w:pPr>
      <w:r w:rsidRPr="0087176A">
        <w:rPr>
          <w:color w:val="auto"/>
        </w:rPr>
        <w:t xml:space="preserve">Table 1.2: </w:t>
      </w:r>
      <w:r w:rsidRPr="0087176A">
        <w:t xml:space="preserve">Measures announced since the </w:t>
      </w:r>
      <w:r w:rsidR="00694795" w:rsidRPr="0087176A">
        <w:t>2017</w:t>
      </w:r>
      <w:r w:rsidR="00CB4589" w:rsidRPr="0087176A">
        <w:noBreakHyphen/>
      </w:r>
      <w:r w:rsidR="00694795" w:rsidRPr="0087176A">
        <w:t>18</w:t>
      </w:r>
      <w:r w:rsidR="00E1129E" w:rsidRPr="0087176A">
        <w:t xml:space="preserve"> </w:t>
      </w:r>
      <w:r w:rsidRPr="0087176A">
        <w:t>M</w:t>
      </w:r>
      <w:r w:rsidR="006727FC" w:rsidRPr="0087176A">
        <w:t>id-Year Economic and Fiscal Outlook (MYEFO)</w:t>
      </w:r>
    </w:p>
    <w:p w:rsidR="00E55832" w:rsidRDefault="00784F2A" w:rsidP="004A2327">
      <w:pPr>
        <w:pStyle w:val="TableGraphic"/>
      </w:pPr>
      <w:r>
        <w:object w:dxaOrig="7722" w:dyaOrig="5247">
          <v:shape id="_x0000_i1042" type="#_x0000_t75" style="width:386.25pt;height:262.5pt" o:ole="">
            <v:imagedata r:id="rId26" o:title=""/>
          </v:shape>
          <o:OLEObject Type="Link" ProgID="Excel.Sheet.12" ShapeID="_x0000_i1042" DrawAspect="Content" r:id="rId27" UpdateMode="Always">
            <o:LinkType>EnhancedMetaFile</o:LinkType>
            <o:LockedField>false</o:LockedField>
          </o:OLEObject>
        </w:object>
      </w:r>
    </w:p>
    <w:p w:rsidR="00185CF0" w:rsidRPr="002245D5" w:rsidRDefault="00337F82" w:rsidP="002245D5">
      <w:pPr>
        <w:pStyle w:val="TableGraphic"/>
        <w:jc w:val="left"/>
        <w:rPr>
          <w:rStyle w:val="ChartandTableFootnoteChar"/>
        </w:rPr>
        <w:sectPr w:rsidR="00185CF0" w:rsidRPr="002245D5" w:rsidSect="00F11A7F">
          <w:headerReference w:type="first" r:id="rId28"/>
          <w:pgSz w:w="11906" w:h="16838" w:code="9"/>
          <w:pgMar w:top="2466" w:right="2098" w:bottom="2466" w:left="2098" w:header="1899" w:footer="1899" w:gutter="0"/>
          <w:cols w:space="708"/>
          <w:titlePg/>
          <w:docGrid w:linePitch="360"/>
        </w:sectPr>
      </w:pPr>
      <w:proofErr w:type="gramStart"/>
      <w:r w:rsidRPr="003740F1">
        <w:rPr>
          <w:rStyle w:val="ChartandTableFootnoteChar"/>
        </w:rPr>
        <w:t>Pr</w:t>
      </w:r>
      <w:r w:rsidR="0031204A" w:rsidRPr="003740F1">
        <w:rPr>
          <w:rStyle w:val="ChartandTableFootnoteChar"/>
        </w:rPr>
        <w:t xml:space="preserve">epared on a Government </w:t>
      </w:r>
      <w:r w:rsidR="008C6C92" w:rsidRPr="003740F1">
        <w:rPr>
          <w:rStyle w:val="ChartandTableFootnoteChar"/>
        </w:rPr>
        <w:t>Finance</w:t>
      </w:r>
      <w:r w:rsidRPr="003740F1">
        <w:rPr>
          <w:rStyle w:val="ChartandTableFootnoteChar"/>
        </w:rPr>
        <w:t xml:space="preserve"> Statistics </w:t>
      </w:r>
      <w:r w:rsidR="00BC2C65" w:rsidRPr="003740F1">
        <w:rPr>
          <w:rStyle w:val="ChartandTableFootnoteChar"/>
        </w:rPr>
        <w:t xml:space="preserve">(fiscal) </w:t>
      </w:r>
      <w:r w:rsidRPr="003740F1">
        <w:rPr>
          <w:rStyle w:val="ChartandTableFootnoteChar"/>
        </w:rPr>
        <w:t>basis.</w:t>
      </w:r>
      <w:proofErr w:type="gramEnd"/>
      <w:r w:rsidR="00DC16AF" w:rsidRPr="003740F1">
        <w:rPr>
          <w:rStyle w:val="ChartandTableFootnoteChar"/>
        </w:rPr>
        <w:t xml:space="preserve"> Figures displaye</w:t>
      </w:r>
      <w:r w:rsidR="002245D5">
        <w:rPr>
          <w:rStyle w:val="ChartandTableFootnoteChar"/>
        </w:rPr>
        <w:t>d as a negative (-) represent a decrease in funds and a positive (+) represent an increase in funds.</w:t>
      </w:r>
    </w:p>
    <w:p w:rsidR="00BE7D58" w:rsidRPr="0087176A" w:rsidRDefault="00BE7D58" w:rsidP="00810C6A">
      <w:pPr>
        <w:pStyle w:val="Heading2"/>
      </w:pPr>
      <w:bookmarkStart w:id="18" w:name="_Toc444523512"/>
      <w:bookmarkStart w:id="19" w:name="_Toc512866378"/>
      <w:bookmarkStart w:id="20" w:name="_Toc190682312"/>
      <w:bookmarkStart w:id="21" w:name="_Toc190682530"/>
      <w:r w:rsidRPr="0087176A">
        <w:lastRenderedPageBreak/>
        <w:t xml:space="preserve">Section 2: Outcomes and </w:t>
      </w:r>
      <w:r w:rsidR="00CD3382" w:rsidRPr="0087176A">
        <w:t>p</w:t>
      </w:r>
      <w:r w:rsidR="0069466B" w:rsidRPr="0087176A">
        <w:t>lanned</w:t>
      </w:r>
      <w:r w:rsidRPr="0087176A">
        <w:t xml:space="preserve"> performance</w:t>
      </w:r>
      <w:bookmarkEnd w:id="18"/>
      <w:bookmarkEnd w:id="19"/>
    </w:p>
    <w:p w:rsidR="00BE7D58" w:rsidRPr="0087176A" w:rsidRDefault="00BE7D58" w:rsidP="00BE7D58">
      <w:r w:rsidRPr="0087176A">
        <w:t xml:space="preserve">Government outcomes are the intended results, impacts or consequences of actions by the Government on the Australian community. </w:t>
      </w:r>
      <w:r w:rsidR="004E62E4" w:rsidRPr="0087176A">
        <w:t xml:space="preserve">Commonwealth </w:t>
      </w:r>
      <w:r w:rsidR="00290933" w:rsidRPr="0087176A">
        <w:t>programs</w:t>
      </w:r>
      <w:r w:rsidR="004E62E4" w:rsidRPr="0087176A">
        <w:t xml:space="preserve"> are </w:t>
      </w:r>
      <w:r w:rsidR="00CC5AB0" w:rsidRPr="0087176A">
        <w:t xml:space="preserve">the primary vehicle </w:t>
      </w:r>
      <w:r w:rsidR="004E62E4" w:rsidRPr="0087176A">
        <w:t xml:space="preserve">by which </w:t>
      </w:r>
      <w:r w:rsidR="00A239CC" w:rsidRPr="0087176A">
        <w:t xml:space="preserve">government </w:t>
      </w:r>
      <w:r w:rsidR="007E6BBD" w:rsidRPr="0087176A">
        <w:t xml:space="preserve">entities </w:t>
      </w:r>
      <w:r w:rsidR="004E62E4" w:rsidRPr="0087176A">
        <w:t xml:space="preserve">achieve the intended results of their outcome statements. </w:t>
      </w:r>
      <w:r w:rsidR="007E6BBD" w:rsidRPr="0087176A">
        <w:t xml:space="preserve">Entities </w:t>
      </w:r>
      <w:r w:rsidRPr="0087176A">
        <w:t xml:space="preserve">are required to identify the </w:t>
      </w:r>
      <w:r w:rsidR="00290933" w:rsidRPr="0087176A">
        <w:t>programs</w:t>
      </w:r>
      <w:r w:rsidRPr="0087176A">
        <w:t xml:space="preserve"> which contribute to </w:t>
      </w:r>
      <w:r w:rsidR="00A239CC" w:rsidRPr="0087176A">
        <w:t xml:space="preserve">government </w:t>
      </w:r>
      <w:r w:rsidRPr="0087176A">
        <w:t>outcomes over the Budget and forward years.</w:t>
      </w:r>
    </w:p>
    <w:p w:rsidR="00A61BD0" w:rsidRPr="0087176A" w:rsidRDefault="00BE7D58" w:rsidP="00BE7D58">
      <w:r w:rsidRPr="0087176A">
        <w:t xml:space="preserve">Each outcome is described below together with its related </w:t>
      </w:r>
      <w:r w:rsidR="00290933" w:rsidRPr="0087176A">
        <w:t>programs</w:t>
      </w:r>
      <w:r w:rsidRPr="0087176A">
        <w:t>.</w:t>
      </w:r>
      <w:r w:rsidR="001D1903" w:rsidRPr="0087176A">
        <w:t xml:space="preserve"> </w:t>
      </w:r>
      <w:r w:rsidR="00A61BD0" w:rsidRPr="0087176A">
        <w:t>The following provides detailed information on expenses for each outcome</w:t>
      </w:r>
      <w:r w:rsidR="001D1903" w:rsidRPr="0087176A">
        <w:t xml:space="preserve"> and </w:t>
      </w:r>
      <w:r w:rsidR="00290933" w:rsidRPr="0087176A">
        <w:t>program,</w:t>
      </w:r>
      <w:r w:rsidR="001D1903" w:rsidRPr="0087176A">
        <w:t xml:space="preserve"> further broken down by funding source</w:t>
      </w:r>
      <w:r w:rsidR="00A61BD0" w:rsidRPr="0087176A">
        <w:t>.</w:t>
      </w:r>
      <w:r w:rsidR="0051207B" w:rsidRPr="0087176A">
        <w:t xml:space="preserve"> </w:t>
      </w:r>
    </w:p>
    <w:p w:rsidR="00810C6A" w:rsidRPr="0087176A" w:rsidRDefault="00810C6A" w:rsidP="00810C6A">
      <w:pPr>
        <w:pBdr>
          <w:top w:val="single" w:sz="2" w:space="6" w:color="auto"/>
          <w:left w:val="single" w:sz="2" w:space="4" w:color="auto"/>
          <w:bottom w:val="single" w:sz="2" w:space="6" w:color="auto"/>
          <w:right w:val="single" w:sz="2" w:space="4" w:color="auto"/>
        </w:pBdr>
        <w:spacing w:after="120" w:line="240" w:lineRule="auto"/>
        <w:rPr>
          <w:b/>
        </w:rPr>
      </w:pPr>
      <w:r w:rsidRPr="0087176A">
        <w:rPr>
          <w:b/>
        </w:rPr>
        <w:t>Note:</w:t>
      </w:r>
    </w:p>
    <w:p w:rsidR="003876AB" w:rsidRPr="0087176A" w:rsidRDefault="00173F5C" w:rsidP="00810C6A">
      <w:pPr>
        <w:pBdr>
          <w:top w:val="single" w:sz="2" w:space="6" w:color="auto"/>
          <w:left w:val="single" w:sz="2" w:space="4" w:color="auto"/>
          <w:bottom w:val="single" w:sz="2" w:space="6" w:color="auto"/>
          <w:right w:val="single" w:sz="2" w:space="4" w:color="auto"/>
        </w:pBdr>
      </w:pPr>
      <w:r w:rsidRPr="0087176A">
        <w:t>P</w:t>
      </w:r>
      <w:r w:rsidR="00810C6A" w:rsidRPr="0087176A">
        <w:t xml:space="preserve">erformance reporting requirements in the Portfolio Budget Statements </w:t>
      </w:r>
      <w:r w:rsidR="00801EF6" w:rsidRPr="0087176A">
        <w:t>are part of the enhanced Commonwealth performance f</w:t>
      </w:r>
      <w:r w:rsidR="00810C6A" w:rsidRPr="0087176A">
        <w:t>ramework</w:t>
      </w:r>
      <w:r w:rsidR="00801EF6" w:rsidRPr="0087176A">
        <w:t xml:space="preserve"> established by the </w:t>
      </w:r>
      <w:r w:rsidR="00801EF6" w:rsidRPr="0087176A">
        <w:rPr>
          <w:i/>
        </w:rPr>
        <w:t>Public Governance, Performance and Accountability Act 2013</w:t>
      </w:r>
      <w:r w:rsidR="00801EF6" w:rsidRPr="0087176A">
        <w:t xml:space="preserve">. It is </w:t>
      </w:r>
      <w:r w:rsidR="00810C6A" w:rsidRPr="0087176A">
        <w:t xml:space="preserve">anticipated that the performance criteria described in Portfolio Budget Statements will be read with broader information provided in an entity’s corporate plans and annual performance statements – included in Annual Reports </w:t>
      </w:r>
      <w:r w:rsidR="00801EF6" w:rsidRPr="0087176A">
        <w:t xml:space="preserve">- </w:t>
      </w:r>
      <w:r w:rsidR="00810C6A" w:rsidRPr="0087176A">
        <w:t>to provide an entity’s complete performance story.</w:t>
      </w:r>
    </w:p>
    <w:p w:rsidR="00173F5C" w:rsidRPr="0087176A" w:rsidRDefault="00173F5C" w:rsidP="00801EF6">
      <w:pPr>
        <w:pBdr>
          <w:top w:val="single" w:sz="2" w:space="6" w:color="auto"/>
          <w:left w:val="single" w:sz="2" w:space="4" w:color="auto"/>
          <w:bottom w:val="single" w:sz="2" w:space="6" w:color="auto"/>
          <w:right w:val="single" w:sz="2" w:space="4" w:color="auto"/>
        </w:pBdr>
      </w:pPr>
      <w:r w:rsidRPr="0087176A">
        <w:t xml:space="preserve">The most recent corporate plan for </w:t>
      </w:r>
      <w:r w:rsidR="00D857FB" w:rsidRPr="0087176A">
        <w:t>the Australian Competition and Consumer Commission</w:t>
      </w:r>
      <w:r w:rsidRPr="0087176A">
        <w:t xml:space="preserve"> can be found at: </w:t>
      </w:r>
      <w:hyperlink r:id="rId29" w:history="1">
        <w:r w:rsidR="00D857FB" w:rsidRPr="006344F5">
          <w:rPr>
            <w:rStyle w:val="Hyperlink"/>
            <w:color w:val="auto"/>
          </w:rPr>
          <w:t>www.accc.gov.au/publications/corporate-plan-priorities</w:t>
        </w:r>
      </w:hyperlink>
      <w:r w:rsidR="006226BF">
        <w:rPr>
          <w:u w:val="single"/>
        </w:rPr>
        <w:t xml:space="preserve"> </w:t>
      </w:r>
    </w:p>
    <w:p w:rsidR="00173F5C" w:rsidRPr="006344F5" w:rsidRDefault="00173F5C" w:rsidP="00810C6A">
      <w:pPr>
        <w:pBdr>
          <w:top w:val="single" w:sz="2" w:space="6" w:color="auto"/>
          <w:left w:val="single" w:sz="2" w:space="4" w:color="auto"/>
          <w:bottom w:val="single" w:sz="2" w:space="6" w:color="auto"/>
          <w:right w:val="single" w:sz="2" w:space="4" w:color="auto"/>
        </w:pBdr>
        <w:rPr>
          <w:highlight w:val="yellow"/>
        </w:rPr>
      </w:pPr>
      <w:r w:rsidRPr="006344F5">
        <w:t xml:space="preserve">The most recent annual performance statement can be found </w:t>
      </w:r>
      <w:r w:rsidR="00D857FB" w:rsidRPr="006344F5">
        <w:t>in the Annual Report at</w:t>
      </w:r>
      <w:r w:rsidRPr="006344F5">
        <w:t xml:space="preserve">: </w:t>
      </w:r>
      <w:hyperlink r:id="rId30" w:history="1">
        <w:r w:rsidR="00D857FB" w:rsidRPr="006344F5">
          <w:rPr>
            <w:rStyle w:val="Hyperlink"/>
            <w:color w:val="auto"/>
          </w:rPr>
          <w:t>www.accc.gov.au/annualreports</w:t>
        </w:r>
      </w:hyperlink>
    </w:p>
    <w:p w:rsidR="00810C6A" w:rsidRPr="0087176A" w:rsidRDefault="00810C6A" w:rsidP="00BE7D58">
      <w:pPr>
        <w:rPr>
          <w:highlight w:val="yellow"/>
        </w:rPr>
      </w:pPr>
    </w:p>
    <w:p w:rsidR="00950281" w:rsidRPr="0087176A" w:rsidRDefault="00950281" w:rsidP="003876AB">
      <w:pPr>
        <w:pStyle w:val="Heading3"/>
        <w:sectPr w:rsidR="00950281" w:rsidRPr="0087176A" w:rsidSect="00F11A7F">
          <w:headerReference w:type="first" r:id="rId31"/>
          <w:pgSz w:w="11906" w:h="16838" w:code="9"/>
          <w:pgMar w:top="2466" w:right="2098" w:bottom="2466" w:left="2098" w:header="1899" w:footer="1899" w:gutter="0"/>
          <w:cols w:space="708"/>
          <w:titlePg/>
          <w:docGrid w:linePitch="360"/>
        </w:sectPr>
      </w:pPr>
    </w:p>
    <w:p w:rsidR="003876AB" w:rsidRPr="0087176A" w:rsidRDefault="008462FB" w:rsidP="003876AB">
      <w:pPr>
        <w:pStyle w:val="Heading3"/>
      </w:pPr>
      <w:bookmarkStart w:id="22" w:name="_Toc444523513"/>
      <w:bookmarkStart w:id="23" w:name="_Toc512866379"/>
      <w:r w:rsidRPr="0087176A">
        <w:lastRenderedPageBreak/>
        <w:t>2.1</w:t>
      </w:r>
      <w:r w:rsidR="003876AB" w:rsidRPr="0087176A">
        <w:t xml:space="preserve"> </w:t>
      </w:r>
      <w:r w:rsidR="003876AB" w:rsidRPr="0087176A">
        <w:tab/>
        <w:t xml:space="preserve">Budgeted expenses and performance for Outcome </w:t>
      </w:r>
      <w:bookmarkEnd w:id="22"/>
      <w:r w:rsidR="00D857FB" w:rsidRPr="0087176A">
        <w:t>1</w:t>
      </w:r>
      <w:bookmarkEnd w:id="23"/>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13"/>
      </w:tblGrid>
      <w:tr w:rsidR="00BE7D58" w:rsidRPr="0087176A">
        <w:tc>
          <w:tcPr>
            <w:tcW w:w="7713" w:type="dxa"/>
            <w:shd w:val="clear" w:color="auto" w:fill="E6E6E6"/>
          </w:tcPr>
          <w:p w:rsidR="007D0769" w:rsidRDefault="00BE7D58" w:rsidP="00E11FBD">
            <w:pPr>
              <w:pStyle w:val="TableColumnHeadingLeft"/>
              <w:spacing w:before="120" w:after="120" w:line="281" w:lineRule="auto"/>
            </w:pPr>
            <w:r w:rsidRPr="0087176A">
              <w:t xml:space="preserve">Outcome </w:t>
            </w:r>
            <w:r w:rsidR="00D857FB" w:rsidRPr="0087176A">
              <w:t>1</w:t>
            </w:r>
            <w:r w:rsidRPr="0087176A">
              <w:t xml:space="preserve">: </w:t>
            </w:r>
          </w:p>
          <w:p w:rsidR="00BE7D58" w:rsidRPr="007D0769" w:rsidRDefault="00D857FB" w:rsidP="00E11FBD">
            <w:pPr>
              <w:pStyle w:val="TableColumnHeadingLeft"/>
              <w:spacing w:before="120" w:after="120" w:line="281" w:lineRule="auto"/>
              <w:rPr>
                <w:b w:val="0"/>
              </w:rPr>
            </w:pPr>
            <w:r w:rsidRPr="007D0769">
              <w:rPr>
                <w:b w:val="0"/>
              </w:rPr>
              <w:t>Lawful competition, consumer protection, and regulated national infrastructure markets and services through regulation, including enforcement, education, price monitoring and determining the terms of access to infrastructure services.</w:t>
            </w:r>
          </w:p>
        </w:tc>
      </w:tr>
    </w:tbl>
    <w:p w:rsidR="00451501" w:rsidRPr="0087176A" w:rsidRDefault="00451501" w:rsidP="00451501">
      <w:pPr>
        <w:pStyle w:val="NoSpacing"/>
      </w:pPr>
    </w:p>
    <w:p w:rsidR="00B86CCD" w:rsidRPr="0087176A" w:rsidRDefault="00B86CCD" w:rsidP="00F00984">
      <w:pPr>
        <w:pStyle w:val="Heading5"/>
      </w:pPr>
      <w:r w:rsidRPr="0087176A">
        <w:t xml:space="preserve">Budgeted expenses for Outcome </w:t>
      </w:r>
      <w:r w:rsidR="00793F2B" w:rsidRPr="0087176A">
        <w:t>1</w:t>
      </w:r>
    </w:p>
    <w:p w:rsidR="0051207B" w:rsidRPr="0087176A" w:rsidRDefault="0051207B" w:rsidP="0051207B">
      <w:r w:rsidRPr="0087176A">
        <w:t xml:space="preserve">This table shows how much the entity intends to spend (on an accrual basis) on achieving the outcome, broken down by </w:t>
      </w:r>
      <w:r w:rsidR="00290933" w:rsidRPr="0087176A">
        <w:t>program,</w:t>
      </w:r>
      <w:r w:rsidRPr="0087176A">
        <w:t xml:space="preserve"> as well as by Administered an</w:t>
      </w:r>
      <w:r w:rsidR="00B166C6" w:rsidRPr="0087176A">
        <w:t>d Departmental funding sources.</w:t>
      </w:r>
    </w:p>
    <w:p w:rsidR="00DF2C5D" w:rsidRDefault="00DF2C5D" w:rsidP="00DF2C5D">
      <w:pPr>
        <w:pStyle w:val="TableHeading"/>
        <w:rPr>
          <w:color w:val="auto"/>
          <w:lang w:val="en-AU"/>
        </w:rPr>
      </w:pPr>
      <w:r w:rsidRPr="0087176A">
        <w:rPr>
          <w:color w:val="auto"/>
        </w:rPr>
        <w:t>Table 2.</w:t>
      </w:r>
      <w:r w:rsidR="00793F2B" w:rsidRPr="0087176A">
        <w:rPr>
          <w:color w:val="auto"/>
          <w:lang w:val="en-AU"/>
        </w:rPr>
        <w:t>1</w:t>
      </w:r>
      <w:r w:rsidRPr="0087176A">
        <w:rPr>
          <w:color w:val="auto"/>
        </w:rPr>
        <w:t xml:space="preserve">: Budgeted expenses for Outcome </w:t>
      </w:r>
      <w:r w:rsidR="00793F2B" w:rsidRPr="0087176A">
        <w:rPr>
          <w:color w:val="auto"/>
          <w:lang w:val="en-AU"/>
        </w:rPr>
        <w:t>1</w:t>
      </w:r>
    </w:p>
    <w:p w:rsidR="00E016BB" w:rsidRDefault="00784F2A" w:rsidP="00FD2130">
      <w:pPr>
        <w:pStyle w:val="TableGraphic"/>
        <w:rPr>
          <w:noProof/>
        </w:rPr>
      </w:pPr>
      <w:r>
        <w:rPr>
          <w:noProof/>
        </w:rPr>
        <w:object w:dxaOrig="7734" w:dyaOrig="4141">
          <v:shape id="_x0000_i1044" type="#_x0000_t75" style="width:387pt;height:207pt" o:ole="">
            <v:imagedata r:id="rId32" o:title=""/>
          </v:shape>
          <o:OLEObject Type="Link" ProgID="Excel.Sheet.12" ShapeID="_x0000_i1044" DrawAspect="Content" r:id="rId33" UpdateMode="Always">
            <o:LinkType>EnhancedMetaFile</o:LinkType>
            <o:LockedField>false</o:LockedField>
          </o:OLEObject>
        </w:object>
      </w:r>
    </w:p>
    <w:p w:rsidR="00E016BB" w:rsidRDefault="00E016BB" w:rsidP="00D55317">
      <w:pPr>
        <w:pStyle w:val="TableGraphic"/>
        <w:rPr>
          <w:noProof/>
        </w:rPr>
      </w:pPr>
    </w:p>
    <w:p w:rsidR="00E016BB" w:rsidRDefault="00E016BB" w:rsidP="00D55317">
      <w:pPr>
        <w:pStyle w:val="TableGraphic"/>
        <w:rPr>
          <w:noProof/>
        </w:rPr>
        <w:sectPr w:rsidR="00E016BB" w:rsidSect="00946319">
          <w:headerReference w:type="even" r:id="rId34"/>
          <w:headerReference w:type="default" r:id="rId35"/>
          <w:headerReference w:type="first" r:id="rId36"/>
          <w:pgSz w:w="11906" w:h="16838" w:code="9"/>
          <w:pgMar w:top="2466" w:right="2098" w:bottom="2466" w:left="2098" w:header="1899" w:footer="1899" w:gutter="0"/>
          <w:cols w:space="708"/>
          <w:titlePg/>
          <w:docGrid w:linePitch="360"/>
        </w:sectPr>
      </w:pPr>
    </w:p>
    <w:p w:rsidR="00AD42E2" w:rsidRPr="0087176A" w:rsidRDefault="000E122C" w:rsidP="00221972">
      <w:pPr>
        <w:pStyle w:val="TableHeadingcontinued"/>
      </w:pPr>
      <w:r w:rsidRPr="0087176A">
        <w:lastRenderedPageBreak/>
        <w:t>Table 2.1</w:t>
      </w:r>
      <w:r w:rsidR="00AD42E2" w:rsidRPr="0087176A">
        <w:t xml:space="preserve">: Budgeted expenses for Outcome </w:t>
      </w:r>
      <w:r w:rsidR="001A6B6B" w:rsidRPr="0087176A">
        <w:t>1</w:t>
      </w:r>
      <w:r w:rsidR="00C91347" w:rsidRPr="0087176A">
        <w:t xml:space="preserve"> (continued)</w:t>
      </w:r>
    </w:p>
    <w:p w:rsidR="00E016BB" w:rsidRDefault="00784F2A" w:rsidP="00E016BB">
      <w:pPr>
        <w:pStyle w:val="TableGraphic"/>
      </w:pPr>
      <w:r>
        <w:object w:dxaOrig="7734" w:dyaOrig="3493">
          <v:shape id="_x0000_i1046" type="#_x0000_t75" style="width:387pt;height:174pt" o:ole="">
            <v:imagedata r:id="rId37" o:title=""/>
          </v:shape>
          <o:OLEObject Type="Link" ProgID="Excel.Sheet.12" ShapeID="_x0000_i1046" DrawAspect="Content" r:id="rId38" UpdateMode="Always">
            <o:LinkType>EnhancedMetaFile</o:LinkType>
            <o:LockedField>false</o:LockedField>
          </o:OLEObject>
        </w:object>
      </w:r>
    </w:p>
    <w:p w:rsidR="000C3F58" w:rsidRPr="000C3F58" w:rsidRDefault="004E0308" w:rsidP="00C84953">
      <w:pPr>
        <w:pStyle w:val="ChartandTableFootnoteAlpha"/>
        <w:numPr>
          <w:ilvl w:val="0"/>
          <w:numId w:val="18"/>
        </w:numPr>
      </w:pPr>
      <w:r w:rsidRPr="0087176A">
        <w:t>E</w:t>
      </w:r>
      <w:r w:rsidR="00A805EB" w:rsidRPr="0087176A">
        <w:t>stimated e</w:t>
      </w:r>
      <w:r w:rsidRPr="0087176A">
        <w:t xml:space="preserve">xpenses </w:t>
      </w:r>
      <w:r w:rsidR="00A805EB" w:rsidRPr="0087176A">
        <w:t xml:space="preserve">incurred in relation to receipts retained under section 74 of the </w:t>
      </w:r>
      <w:r w:rsidR="006922DC" w:rsidRPr="008453F0">
        <w:t>PGPA Act</w:t>
      </w:r>
      <w:r w:rsidR="00B86CCD" w:rsidRPr="0087176A">
        <w:t>.</w:t>
      </w:r>
    </w:p>
    <w:p w:rsidR="000E122C" w:rsidRPr="000C3F58" w:rsidRDefault="000E122C" w:rsidP="00C84953">
      <w:pPr>
        <w:pStyle w:val="ChartandTableFootnoteAlpha"/>
        <w:numPr>
          <w:ilvl w:val="0"/>
          <w:numId w:val="18"/>
        </w:numPr>
      </w:pPr>
      <w:r w:rsidRPr="0087176A">
        <w:t>Expenses not requiring appropriation in the Budget year are made up of depreciation expenses, amortisation expenses, make good expenses and audit fees.</w:t>
      </w:r>
    </w:p>
    <w:p w:rsidR="00B86CCD" w:rsidRPr="0087176A" w:rsidRDefault="00B86CCD" w:rsidP="00B86CCD">
      <w:pPr>
        <w:pStyle w:val="Source"/>
      </w:pPr>
      <w:r w:rsidRPr="0087176A">
        <w:t>Note: Departmental appropriation splits and totals are indicative estimates and may change in the course of the budget year as government priorities change.</w:t>
      </w:r>
    </w:p>
    <w:p w:rsidR="00B86CCD" w:rsidRPr="0087176A" w:rsidRDefault="00B86CCD" w:rsidP="00B86CCD">
      <w:pPr>
        <w:pStyle w:val="NoSpacing"/>
      </w:pPr>
    </w:p>
    <w:p w:rsidR="00185CF0" w:rsidRDefault="00185CF0">
      <w:pPr>
        <w:spacing w:after="0" w:line="240" w:lineRule="auto"/>
        <w:jc w:val="left"/>
        <w:rPr>
          <w:rFonts w:ascii="Arial" w:hAnsi="Arial"/>
          <w:b/>
          <w:lang w:val="x-none" w:eastAsia="x-none"/>
        </w:rPr>
        <w:sectPr w:rsidR="00185CF0" w:rsidSect="00946319">
          <w:headerReference w:type="first" r:id="rId39"/>
          <w:pgSz w:w="11906" w:h="16838" w:code="9"/>
          <w:pgMar w:top="2466" w:right="2098" w:bottom="2466" w:left="2098" w:header="1899" w:footer="1899" w:gutter="0"/>
          <w:cols w:space="708"/>
          <w:titlePg/>
          <w:docGrid w:linePitch="360"/>
        </w:sectPr>
      </w:pPr>
      <w:bookmarkStart w:id="24" w:name="_Toc190682315"/>
      <w:bookmarkStart w:id="25" w:name="_Toc190682532"/>
      <w:bookmarkEnd w:id="20"/>
      <w:bookmarkEnd w:id="21"/>
    </w:p>
    <w:p w:rsidR="00C854F5" w:rsidRPr="0087176A" w:rsidRDefault="008E5BB7" w:rsidP="00E5444F">
      <w:pPr>
        <w:pStyle w:val="TableHeading"/>
        <w:rPr>
          <w:color w:val="auto"/>
          <w:lang w:val="en-AU"/>
        </w:rPr>
      </w:pPr>
      <w:r w:rsidRPr="0087176A">
        <w:rPr>
          <w:color w:val="auto"/>
        </w:rPr>
        <w:lastRenderedPageBreak/>
        <w:t>Table 2.</w:t>
      </w:r>
      <w:r w:rsidR="000E122C" w:rsidRPr="0087176A">
        <w:rPr>
          <w:color w:val="auto"/>
          <w:lang w:val="en-AU"/>
        </w:rPr>
        <w:t>2</w:t>
      </w:r>
      <w:r w:rsidRPr="0087176A">
        <w:rPr>
          <w:color w:val="auto"/>
        </w:rPr>
        <w:t xml:space="preserve">: Performance criteria for Outcome </w:t>
      </w:r>
      <w:r w:rsidR="000E122C" w:rsidRPr="0087176A">
        <w:rPr>
          <w:color w:val="auto"/>
          <w:lang w:val="en-AU"/>
        </w:rPr>
        <w:t>1</w:t>
      </w:r>
    </w:p>
    <w:p w:rsidR="009B011E" w:rsidRPr="0087176A" w:rsidRDefault="00E57CA7" w:rsidP="00B166C6">
      <w:r w:rsidRPr="0087176A">
        <w:t>Table 2.</w:t>
      </w:r>
      <w:r w:rsidR="000E122C" w:rsidRPr="0087176A">
        <w:t>2</w:t>
      </w:r>
      <w:r w:rsidRPr="0087176A">
        <w:t xml:space="preserve"> </w:t>
      </w:r>
      <w:r w:rsidR="006F0E97" w:rsidRPr="0087176A">
        <w:t xml:space="preserve">below </w:t>
      </w:r>
      <w:r w:rsidR="00691E49" w:rsidRPr="0087176A">
        <w:t xml:space="preserve">details the performance criteria for each </w:t>
      </w:r>
      <w:r w:rsidR="008E5BB7" w:rsidRPr="0087176A">
        <w:t xml:space="preserve">program associated with Outcome </w:t>
      </w:r>
      <w:r w:rsidR="000E122C" w:rsidRPr="0087176A">
        <w:t>1</w:t>
      </w:r>
      <w:r w:rsidR="008E5BB7" w:rsidRPr="0087176A">
        <w:t>. It also summarises how each pro</w:t>
      </w:r>
      <w:r w:rsidR="0003503B" w:rsidRPr="0087176A">
        <w:t xml:space="preserve">gram </w:t>
      </w:r>
      <w:r w:rsidR="00694795" w:rsidRPr="0087176A">
        <w:t>is delivered and where 2018-19</w:t>
      </w:r>
      <w:r w:rsidR="008E5BB7" w:rsidRPr="0087176A">
        <w:t xml:space="preserve"> Budget measures have created new programs or materially changed existing 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6534"/>
      </w:tblGrid>
      <w:tr w:rsidR="0087176A" w:rsidRPr="0087176A" w:rsidTr="00E016BB">
        <w:tc>
          <w:tcPr>
            <w:tcW w:w="7655" w:type="dxa"/>
            <w:gridSpan w:val="2"/>
            <w:shd w:val="clear" w:color="auto" w:fill="F2F2F2" w:themeFill="background1" w:themeFillShade="F2"/>
          </w:tcPr>
          <w:p w:rsidR="001A6B6B" w:rsidRPr="0087176A" w:rsidRDefault="008341B9" w:rsidP="008669DC">
            <w:pPr>
              <w:pStyle w:val="Outcome"/>
              <w:spacing w:before="60" w:after="60" w:line="240" w:lineRule="auto"/>
              <w:rPr>
                <w:sz w:val="18"/>
                <w:szCs w:val="18"/>
              </w:rPr>
            </w:pPr>
            <w:r>
              <w:rPr>
                <w:sz w:val="18"/>
                <w:szCs w:val="18"/>
              </w:rPr>
              <w:t xml:space="preserve">Outcome 1 – </w:t>
            </w:r>
            <w:r w:rsidR="001A6B6B" w:rsidRPr="0087176A">
              <w:rPr>
                <w:b w:val="0"/>
                <w:sz w:val="18"/>
                <w:szCs w:val="18"/>
              </w:rPr>
              <w:t>Lawful competition, consumer protection, and regulated national infrastructure markets and services through regulation, including enforcement, education, price monitoring and determining the terms of access to infrastructure services.</w:t>
            </w:r>
          </w:p>
        </w:tc>
      </w:tr>
      <w:tr w:rsidR="0087176A" w:rsidRPr="0087176A" w:rsidTr="00E016BB">
        <w:tc>
          <w:tcPr>
            <w:tcW w:w="7655" w:type="dxa"/>
            <w:gridSpan w:val="2"/>
            <w:tcBorders>
              <w:bottom w:val="single" w:sz="4" w:space="0" w:color="auto"/>
            </w:tcBorders>
            <w:shd w:val="clear" w:color="auto" w:fill="F2F2F2" w:themeFill="background1" w:themeFillShade="F2"/>
          </w:tcPr>
          <w:p w:rsidR="001A6B6B" w:rsidRPr="0087176A" w:rsidRDefault="001A6B6B" w:rsidP="008669DC">
            <w:pPr>
              <w:pStyle w:val="TableColumnHeadingLeft"/>
              <w:rPr>
                <w:rFonts w:cs="Arial"/>
                <w:sz w:val="16"/>
                <w:szCs w:val="16"/>
              </w:rPr>
            </w:pPr>
            <w:r w:rsidRPr="0087176A">
              <w:rPr>
                <w:rFonts w:cs="Arial"/>
                <w:sz w:val="16"/>
                <w:szCs w:val="16"/>
              </w:rPr>
              <w:t>Program 1.1 – Australian Compe</w:t>
            </w:r>
            <w:r w:rsidR="00F27D72">
              <w:rPr>
                <w:rFonts w:cs="Arial"/>
                <w:sz w:val="16"/>
                <w:szCs w:val="16"/>
              </w:rPr>
              <w:t>tition and Consumer Commission</w:t>
            </w:r>
          </w:p>
          <w:p w:rsidR="001A6B6B" w:rsidRPr="0087176A" w:rsidRDefault="001A6B6B" w:rsidP="008669DC">
            <w:pPr>
              <w:pStyle w:val="TableTextLeft"/>
              <w:rPr>
                <w:rFonts w:cs="Arial"/>
                <w:sz w:val="16"/>
                <w:szCs w:val="16"/>
              </w:rPr>
            </w:pPr>
            <w:r w:rsidRPr="0087176A">
              <w:rPr>
                <w:rFonts w:cs="Arial"/>
                <w:sz w:val="16"/>
                <w:szCs w:val="16"/>
              </w:rPr>
              <w:t xml:space="preserve">To achieve compliance with the </w:t>
            </w:r>
            <w:r w:rsidRPr="0087176A">
              <w:rPr>
                <w:rFonts w:cs="Arial"/>
                <w:i/>
                <w:sz w:val="16"/>
                <w:szCs w:val="16"/>
              </w:rPr>
              <w:t>Competition and Consumer Act 2010</w:t>
            </w:r>
            <w:r w:rsidRPr="0087176A">
              <w:rPr>
                <w:rFonts w:cs="Arial"/>
                <w:sz w:val="16"/>
                <w:szCs w:val="16"/>
              </w:rPr>
              <w:t xml:space="preserve"> and other legislation to protect, strengthen and supplement the way competition works in Australian markets and industries to improve the efficiency of the economy and to increase the welfare of Australians.</w:t>
            </w:r>
          </w:p>
        </w:tc>
      </w:tr>
      <w:tr w:rsidR="0087176A" w:rsidRPr="0087176A" w:rsidTr="00E016BB">
        <w:trPr>
          <w:trHeight w:val="841"/>
        </w:trPr>
        <w:tc>
          <w:tcPr>
            <w:tcW w:w="1121" w:type="dxa"/>
            <w:tcBorders>
              <w:bottom w:val="single" w:sz="4" w:space="0" w:color="auto"/>
            </w:tcBorders>
          </w:tcPr>
          <w:p w:rsidR="001A6B6B" w:rsidRPr="0087176A" w:rsidRDefault="001A6B6B" w:rsidP="008669DC">
            <w:pPr>
              <w:pStyle w:val="TableTextLeft"/>
              <w:rPr>
                <w:rFonts w:cs="Arial"/>
                <w:sz w:val="16"/>
                <w:szCs w:val="16"/>
              </w:rPr>
            </w:pPr>
            <w:r w:rsidRPr="0087176A">
              <w:rPr>
                <w:rFonts w:cs="Arial"/>
                <w:b/>
                <w:sz w:val="16"/>
                <w:szCs w:val="16"/>
              </w:rPr>
              <w:t>Delivery</w:t>
            </w:r>
          </w:p>
        </w:tc>
        <w:tc>
          <w:tcPr>
            <w:tcW w:w="6534" w:type="dxa"/>
            <w:tcBorders>
              <w:bottom w:val="single" w:sz="4" w:space="0" w:color="auto"/>
            </w:tcBorders>
          </w:tcPr>
          <w:p w:rsidR="001A6B6B" w:rsidRPr="0087176A" w:rsidRDefault="001A6B6B" w:rsidP="008669DC">
            <w:pPr>
              <w:pStyle w:val="TableTextLeft"/>
              <w:rPr>
                <w:rFonts w:cs="Arial"/>
                <w:sz w:val="16"/>
                <w:szCs w:val="16"/>
              </w:rPr>
            </w:pPr>
            <w:r w:rsidRPr="0087176A">
              <w:rPr>
                <w:rFonts w:cs="Arial"/>
                <w:sz w:val="16"/>
                <w:szCs w:val="16"/>
              </w:rPr>
              <w:t>The ACCC achieves Outcome 1 by:</w:t>
            </w:r>
          </w:p>
          <w:p w:rsidR="001A6B6B" w:rsidRPr="0087176A" w:rsidRDefault="001A6B6B" w:rsidP="008669DC">
            <w:pPr>
              <w:pStyle w:val="TableTextLeft"/>
              <w:numPr>
                <w:ilvl w:val="0"/>
                <w:numId w:val="15"/>
              </w:numPr>
              <w:ind w:left="284" w:hanging="284"/>
              <w:rPr>
                <w:rFonts w:cs="Arial"/>
                <w:sz w:val="16"/>
                <w:szCs w:val="16"/>
              </w:rPr>
            </w:pPr>
            <w:r w:rsidRPr="0087176A">
              <w:rPr>
                <w:rFonts w:cs="Arial"/>
                <w:sz w:val="16"/>
                <w:szCs w:val="16"/>
              </w:rPr>
              <w:t>Maintaining and promoting competition through:</w:t>
            </w:r>
          </w:p>
          <w:p w:rsidR="001A6B6B" w:rsidRPr="0087176A" w:rsidRDefault="001A6B6B" w:rsidP="008669DC">
            <w:pPr>
              <w:pStyle w:val="TableTextBullet"/>
              <w:rPr>
                <w:rFonts w:cs="Arial"/>
                <w:sz w:val="16"/>
                <w:szCs w:val="16"/>
              </w:rPr>
            </w:pPr>
            <w:r w:rsidRPr="0087176A">
              <w:rPr>
                <w:rFonts w:cs="Arial"/>
                <w:sz w:val="16"/>
                <w:szCs w:val="16"/>
              </w:rPr>
              <w:t>delivering outcomes to address harm to consumers and businesses resulting from anti-competitive conduct focusing in particular on the ACCC’s identified priorities;</w:t>
            </w:r>
          </w:p>
          <w:p w:rsidR="001A6B6B" w:rsidRPr="0087176A" w:rsidRDefault="001A6B6B" w:rsidP="008669DC">
            <w:pPr>
              <w:pStyle w:val="TableTextBullet"/>
              <w:rPr>
                <w:rFonts w:cs="Arial"/>
                <w:sz w:val="16"/>
                <w:szCs w:val="16"/>
              </w:rPr>
            </w:pPr>
            <w:r w:rsidRPr="0087176A">
              <w:rPr>
                <w:rFonts w:cs="Arial"/>
                <w:sz w:val="16"/>
                <w:szCs w:val="16"/>
              </w:rPr>
              <w:t>assessing mergers to prevent structural changes that substantially lessen competition; and</w:t>
            </w:r>
          </w:p>
          <w:p w:rsidR="001A6B6B" w:rsidRPr="0087176A" w:rsidRDefault="001A6B6B" w:rsidP="008669DC">
            <w:pPr>
              <w:pStyle w:val="TableTextBullet"/>
              <w:rPr>
                <w:rFonts w:cs="Arial"/>
                <w:sz w:val="16"/>
                <w:szCs w:val="16"/>
              </w:rPr>
            </w:pPr>
            <w:r w:rsidRPr="0087176A">
              <w:rPr>
                <w:rFonts w:cs="Arial"/>
                <w:sz w:val="16"/>
                <w:szCs w:val="16"/>
              </w:rPr>
              <w:t xml:space="preserve">making decisions on authorisation, notification and certification trademark applications in the public interest. </w:t>
            </w:r>
          </w:p>
          <w:p w:rsidR="001A6B6B" w:rsidRPr="0087176A" w:rsidRDefault="001A6B6B" w:rsidP="008669DC">
            <w:pPr>
              <w:pStyle w:val="TableTextLeft"/>
              <w:numPr>
                <w:ilvl w:val="0"/>
                <w:numId w:val="15"/>
              </w:numPr>
              <w:ind w:left="284" w:hanging="284"/>
              <w:rPr>
                <w:rFonts w:cs="Arial"/>
                <w:sz w:val="16"/>
                <w:szCs w:val="16"/>
              </w:rPr>
            </w:pPr>
            <w:r w:rsidRPr="0087176A">
              <w:rPr>
                <w:rFonts w:cs="Arial"/>
                <w:sz w:val="16"/>
                <w:szCs w:val="16"/>
              </w:rPr>
              <w:t>Protecting the interests and safety of consumers, and supporting fair trading in markets affecting consumers and small business through:</w:t>
            </w:r>
          </w:p>
          <w:p w:rsidR="001A6B6B" w:rsidRPr="0087176A" w:rsidRDefault="001A6B6B" w:rsidP="008669DC">
            <w:pPr>
              <w:pStyle w:val="TableTextBullet"/>
              <w:rPr>
                <w:rFonts w:cs="Arial"/>
                <w:sz w:val="16"/>
                <w:szCs w:val="16"/>
              </w:rPr>
            </w:pPr>
            <w:r w:rsidRPr="0087176A">
              <w:rPr>
                <w:rFonts w:cs="Arial"/>
                <w:sz w:val="16"/>
                <w:szCs w:val="16"/>
              </w:rPr>
              <w:t>delivering outcomes to address harm to consumers and small businesses resulting from non-compliance with the Australian Consumer Law focusing in particular on the ACCC’s identified priorities;</w:t>
            </w:r>
          </w:p>
          <w:p w:rsidR="001A6B6B" w:rsidRPr="0087176A" w:rsidRDefault="001A6B6B" w:rsidP="008669DC">
            <w:pPr>
              <w:pStyle w:val="TableTextBullet"/>
              <w:rPr>
                <w:rFonts w:cs="Arial"/>
                <w:sz w:val="16"/>
                <w:szCs w:val="16"/>
              </w:rPr>
            </w:pPr>
            <w:r w:rsidRPr="0087176A">
              <w:rPr>
                <w:rFonts w:cs="Arial"/>
                <w:sz w:val="16"/>
                <w:szCs w:val="16"/>
              </w:rPr>
              <w:t xml:space="preserve">enhancing the effectiveness of the ACCC’s compliance and enforcement initiatives through partnerships; </w:t>
            </w:r>
          </w:p>
          <w:p w:rsidR="001A6B6B" w:rsidRPr="0087176A" w:rsidRDefault="001A6B6B" w:rsidP="008669DC">
            <w:pPr>
              <w:pStyle w:val="TableTextBullet"/>
              <w:rPr>
                <w:rFonts w:cs="Arial"/>
                <w:sz w:val="16"/>
                <w:szCs w:val="16"/>
              </w:rPr>
            </w:pPr>
            <w:r w:rsidRPr="0087176A">
              <w:rPr>
                <w:rFonts w:cs="Arial"/>
                <w:sz w:val="16"/>
                <w:szCs w:val="16"/>
              </w:rPr>
              <w:t>identifying and addressing the risk of serious injury and death from safety hazards in consumer products;</w:t>
            </w:r>
          </w:p>
          <w:p w:rsidR="001A6B6B" w:rsidRPr="0087176A" w:rsidRDefault="001A6B6B" w:rsidP="008669DC">
            <w:pPr>
              <w:pStyle w:val="TableTextBullet"/>
              <w:rPr>
                <w:rFonts w:cs="Arial"/>
                <w:sz w:val="16"/>
                <w:szCs w:val="16"/>
              </w:rPr>
            </w:pPr>
            <w:r w:rsidRPr="0087176A">
              <w:rPr>
                <w:rFonts w:cs="Arial"/>
                <w:sz w:val="16"/>
                <w:szCs w:val="16"/>
              </w:rPr>
              <w:t>supporting a vibrant small business sector; and</w:t>
            </w:r>
          </w:p>
          <w:p w:rsidR="001A6B6B" w:rsidRPr="0087176A" w:rsidRDefault="001A6B6B" w:rsidP="008669DC">
            <w:pPr>
              <w:pStyle w:val="TableTextBullet"/>
              <w:rPr>
                <w:rFonts w:cs="Arial"/>
                <w:sz w:val="16"/>
                <w:szCs w:val="16"/>
              </w:rPr>
            </w:pPr>
            <w:r w:rsidRPr="0087176A">
              <w:rPr>
                <w:rFonts w:cs="Arial"/>
                <w:sz w:val="16"/>
                <w:szCs w:val="16"/>
              </w:rPr>
              <w:t>empowering consumers by increasing their awareness of their rights under the Australian Consumer Law.</w:t>
            </w:r>
          </w:p>
          <w:p w:rsidR="001A6B6B" w:rsidRPr="0087176A" w:rsidRDefault="001A6B6B" w:rsidP="008669DC">
            <w:pPr>
              <w:pStyle w:val="TableTextLeft"/>
              <w:numPr>
                <w:ilvl w:val="0"/>
                <w:numId w:val="15"/>
              </w:numPr>
              <w:ind w:left="284" w:hanging="284"/>
              <w:rPr>
                <w:rFonts w:cs="Arial"/>
                <w:sz w:val="16"/>
                <w:szCs w:val="16"/>
              </w:rPr>
            </w:pPr>
            <w:r w:rsidRPr="0087176A">
              <w:rPr>
                <w:rFonts w:cs="Arial"/>
                <w:sz w:val="16"/>
                <w:szCs w:val="16"/>
              </w:rPr>
              <w:t>Promoting the economically efficient operation of, use of, and investment in infrastructure; and identifying market failure through:</w:t>
            </w:r>
          </w:p>
          <w:p w:rsidR="001A6B6B" w:rsidRPr="0087176A" w:rsidRDefault="001A6B6B" w:rsidP="008669DC">
            <w:pPr>
              <w:pStyle w:val="TableTextBullet"/>
              <w:rPr>
                <w:rFonts w:cs="Arial"/>
                <w:sz w:val="16"/>
                <w:szCs w:val="16"/>
              </w:rPr>
            </w:pPr>
            <w:r w:rsidRPr="0087176A">
              <w:rPr>
                <w:rFonts w:cs="Arial"/>
                <w:sz w:val="16"/>
                <w:szCs w:val="16"/>
              </w:rPr>
              <w:t>delivering network regulation that promotes competition in the long-term interests of end-users;</w:t>
            </w:r>
          </w:p>
          <w:p w:rsidR="001A6B6B" w:rsidRPr="0087176A" w:rsidRDefault="001A6B6B" w:rsidP="008669DC">
            <w:pPr>
              <w:pStyle w:val="TableTextBullet"/>
              <w:rPr>
                <w:rFonts w:cs="Arial"/>
                <w:sz w:val="16"/>
                <w:szCs w:val="16"/>
              </w:rPr>
            </w:pPr>
            <w:r w:rsidRPr="0087176A">
              <w:rPr>
                <w:rFonts w:cs="Arial"/>
                <w:sz w:val="16"/>
                <w:szCs w:val="16"/>
              </w:rPr>
              <w:t>providing industry monitoring reports to Government in relation to highly concentrated, newly deregulated or emerging markets; and</w:t>
            </w:r>
          </w:p>
          <w:p w:rsidR="001A6B6B" w:rsidRPr="0087176A" w:rsidRDefault="001A6B6B" w:rsidP="008669DC">
            <w:pPr>
              <w:pStyle w:val="TableTextBullet"/>
              <w:tabs>
                <w:tab w:val="left" w:pos="321"/>
              </w:tabs>
              <w:rPr>
                <w:rFonts w:cs="Arial"/>
                <w:sz w:val="16"/>
                <w:szCs w:val="16"/>
              </w:rPr>
            </w:pPr>
            <w:r w:rsidRPr="0087176A">
              <w:rPr>
                <w:rFonts w:cs="Arial"/>
                <w:sz w:val="16"/>
                <w:szCs w:val="16"/>
              </w:rPr>
              <w:t>improving the efficient operation of markets by enforcing industry-specific competition and market rules.</w:t>
            </w:r>
          </w:p>
          <w:p w:rsidR="001A6B6B" w:rsidRPr="0087176A" w:rsidRDefault="001A6B6B" w:rsidP="008669DC">
            <w:pPr>
              <w:pStyle w:val="TableTextLeft"/>
              <w:numPr>
                <w:ilvl w:val="0"/>
                <w:numId w:val="15"/>
              </w:numPr>
              <w:ind w:left="284" w:hanging="284"/>
              <w:rPr>
                <w:rFonts w:cs="Arial"/>
                <w:sz w:val="16"/>
                <w:szCs w:val="16"/>
              </w:rPr>
            </w:pPr>
            <w:r w:rsidRPr="0087176A">
              <w:rPr>
                <w:rFonts w:cs="Arial"/>
                <w:sz w:val="16"/>
                <w:szCs w:val="16"/>
              </w:rPr>
              <w:t>Undertaking market studies and inquiries to support competition, consumer and regulatory outcomes</w:t>
            </w:r>
            <w:r w:rsidR="0099032E">
              <w:rPr>
                <w:rFonts w:cs="Arial"/>
                <w:sz w:val="16"/>
                <w:szCs w:val="16"/>
              </w:rPr>
              <w:t>.</w:t>
            </w:r>
          </w:p>
        </w:tc>
      </w:tr>
    </w:tbl>
    <w:p w:rsidR="00185CF0" w:rsidRDefault="00185CF0">
      <w:pPr>
        <w:sectPr w:rsidR="00185CF0" w:rsidSect="00946319">
          <w:headerReference w:type="first" r:id="rId40"/>
          <w:pgSz w:w="11906" w:h="16838" w:code="9"/>
          <w:pgMar w:top="2466" w:right="2098" w:bottom="2466" w:left="2098" w:header="1899" w:footer="1899" w:gutter="0"/>
          <w:cols w:space="708"/>
          <w:titlePg/>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3619"/>
        <w:gridCol w:w="1612"/>
        <w:gridCol w:w="1240"/>
      </w:tblGrid>
      <w:tr w:rsidR="0087176A" w:rsidRPr="0087176A" w:rsidTr="008341B9">
        <w:tc>
          <w:tcPr>
            <w:tcW w:w="7592" w:type="dxa"/>
            <w:gridSpan w:val="4"/>
            <w:tcBorders>
              <w:top w:val="double" w:sz="4" w:space="0" w:color="auto"/>
              <w:bottom w:val="double" w:sz="4" w:space="0" w:color="auto"/>
            </w:tcBorders>
            <w:shd w:val="clear" w:color="auto" w:fill="FFFFFF"/>
          </w:tcPr>
          <w:p w:rsidR="001A6B6B" w:rsidRPr="0087176A" w:rsidRDefault="001A6B6B" w:rsidP="00946319">
            <w:pPr>
              <w:pStyle w:val="TableColumnHeadingLeft"/>
              <w:rPr>
                <w:rFonts w:cs="Arial"/>
                <w:sz w:val="16"/>
                <w:szCs w:val="16"/>
              </w:rPr>
            </w:pPr>
            <w:r w:rsidRPr="0087176A">
              <w:rPr>
                <w:rFonts w:cs="Arial"/>
                <w:sz w:val="16"/>
                <w:szCs w:val="16"/>
              </w:rPr>
              <w:lastRenderedPageBreak/>
              <w:br w:type="page"/>
              <w:t>Performance information</w:t>
            </w:r>
          </w:p>
        </w:tc>
      </w:tr>
      <w:tr w:rsidR="0087176A" w:rsidRPr="0087176A" w:rsidTr="008341B9">
        <w:tc>
          <w:tcPr>
            <w:tcW w:w="4740" w:type="dxa"/>
            <w:gridSpan w:val="2"/>
            <w:tcBorders>
              <w:top w:val="double" w:sz="4" w:space="0" w:color="auto"/>
              <w:bottom w:val="single" w:sz="4" w:space="0" w:color="auto"/>
              <w:right w:val="single" w:sz="4" w:space="0" w:color="auto"/>
            </w:tcBorders>
            <w:shd w:val="clear" w:color="auto" w:fill="FFFFFF"/>
          </w:tcPr>
          <w:p w:rsidR="001A6B6B" w:rsidRPr="0087176A" w:rsidRDefault="001A6B6B" w:rsidP="008669DC">
            <w:pPr>
              <w:pStyle w:val="TableColumnHeadingLeft"/>
              <w:rPr>
                <w:rFonts w:cs="Arial"/>
                <w:sz w:val="16"/>
                <w:szCs w:val="16"/>
              </w:rPr>
            </w:pPr>
            <w:r w:rsidRPr="0087176A">
              <w:rPr>
                <w:rFonts w:cs="Arial"/>
                <w:sz w:val="16"/>
                <w:szCs w:val="16"/>
              </w:rPr>
              <w:t>Performance criteria</w:t>
            </w:r>
          </w:p>
        </w:tc>
        <w:tc>
          <w:tcPr>
            <w:tcW w:w="1612" w:type="dxa"/>
            <w:tcBorders>
              <w:top w:val="double" w:sz="4" w:space="0" w:color="auto"/>
              <w:left w:val="single" w:sz="4" w:space="0" w:color="auto"/>
              <w:bottom w:val="single" w:sz="4" w:space="0" w:color="auto"/>
              <w:right w:val="single" w:sz="4" w:space="0" w:color="auto"/>
            </w:tcBorders>
            <w:shd w:val="clear" w:color="auto" w:fill="FFFFFF"/>
          </w:tcPr>
          <w:p w:rsidR="001A6B6B" w:rsidRPr="0087176A" w:rsidRDefault="001A6B6B" w:rsidP="008669DC">
            <w:pPr>
              <w:pStyle w:val="TableColumnHeadingLeft"/>
              <w:rPr>
                <w:rFonts w:cs="Arial"/>
                <w:sz w:val="16"/>
                <w:szCs w:val="16"/>
              </w:rPr>
            </w:pPr>
            <w:r w:rsidRPr="0087176A">
              <w:rPr>
                <w:rFonts w:cs="Arial"/>
                <w:sz w:val="16"/>
                <w:szCs w:val="16"/>
              </w:rPr>
              <w:t>Forecast result against 2017-18 target</w:t>
            </w:r>
          </w:p>
        </w:tc>
        <w:tc>
          <w:tcPr>
            <w:tcW w:w="1240" w:type="dxa"/>
            <w:tcBorders>
              <w:top w:val="double" w:sz="4" w:space="0" w:color="auto"/>
              <w:left w:val="single" w:sz="4" w:space="0" w:color="auto"/>
              <w:bottom w:val="single" w:sz="4" w:space="0" w:color="auto"/>
            </w:tcBorders>
            <w:shd w:val="clear" w:color="auto" w:fill="FFFFFF"/>
          </w:tcPr>
          <w:p w:rsidR="001A6B6B" w:rsidRPr="0087176A" w:rsidRDefault="001A6B6B" w:rsidP="008669DC">
            <w:pPr>
              <w:pStyle w:val="TableColumnHeadingLeft"/>
              <w:rPr>
                <w:rFonts w:cs="Arial"/>
                <w:sz w:val="16"/>
                <w:szCs w:val="16"/>
              </w:rPr>
            </w:pPr>
            <w:r w:rsidRPr="0087176A">
              <w:rPr>
                <w:rFonts w:cs="Arial"/>
                <w:sz w:val="16"/>
                <w:szCs w:val="16"/>
              </w:rPr>
              <w:t>2018-19 and forward year targets</w:t>
            </w:r>
          </w:p>
        </w:tc>
      </w:tr>
      <w:tr w:rsidR="0087176A" w:rsidRPr="0087176A" w:rsidTr="00085EA3">
        <w:trPr>
          <w:trHeight w:val="434"/>
        </w:trPr>
        <w:tc>
          <w:tcPr>
            <w:tcW w:w="4740" w:type="dxa"/>
            <w:gridSpan w:val="2"/>
            <w:tcBorders>
              <w:top w:val="single" w:sz="4" w:space="0" w:color="auto"/>
              <w:right w:val="single" w:sz="4" w:space="0" w:color="auto"/>
            </w:tcBorders>
          </w:tcPr>
          <w:p w:rsidR="001A6B6B" w:rsidRPr="0087176A" w:rsidRDefault="001A6B6B" w:rsidP="008669DC">
            <w:pPr>
              <w:pStyle w:val="TableTextLeft"/>
              <w:rPr>
                <w:rFonts w:cs="Arial"/>
                <w:sz w:val="16"/>
                <w:szCs w:val="16"/>
              </w:rPr>
            </w:pPr>
            <w:r w:rsidRPr="0087176A">
              <w:rPr>
                <w:rFonts w:cs="Arial"/>
                <w:sz w:val="16"/>
                <w:szCs w:val="16"/>
              </w:rPr>
              <w:t>Number of competition enforcement interventions (court proceeding commenced, section 87B undertakings accepted)</w:t>
            </w:r>
          </w:p>
        </w:tc>
        <w:tc>
          <w:tcPr>
            <w:tcW w:w="1612" w:type="dxa"/>
            <w:tcBorders>
              <w:top w:val="single" w:sz="4" w:space="0" w:color="auto"/>
              <w:left w:val="single" w:sz="4" w:space="0" w:color="auto"/>
              <w:bottom w:val="dotted" w:sz="4" w:space="0" w:color="auto"/>
              <w:right w:val="single" w:sz="4" w:space="0" w:color="auto"/>
            </w:tcBorders>
          </w:tcPr>
          <w:p w:rsidR="001A6B6B" w:rsidRPr="0087176A" w:rsidRDefault="001A6B6B" w:rsidP="008669DC">
            <w:pPr>
              <w:pStyle w:val="TableTextLeft"/>
              <w:rPr>
                <w:rFonts w:cs="Arial"/>
                <w:sz w:val="16"/>
                <w:szCs w:val="16"/>
              </w:rPr>
            </w:pPr>
            <w:r w:rsidRPr="0087176A">
              <w:rPr>
                <w:rFonts w:cs="Arial"/>
                <w:sz w:val="16"/>
                <w:szCs w:val="16"/>
              </w:rPr>
              <w:t>Expect to achieve target of 8</w:t>
            </w:r>
          </w:p>
        </w:tc>
        <w:tc>
          <w:tcPr>
            <w:tcW w:w="1240" w:type="dxa"/>
            <w:tcBorders>
              <w:top w:val="single" w:sz="4" w:space="0" w:color="auto"/>
              <w:left w:val="single" w:sz="4" w:space="0" w:color="auto"/>
            </w:tcBorders>
          </w:tcPr>
          <w:p w:rsidR="001A6B6B" w:rsidRPr="0087176A" w:rsidRDefault="001A6B6B" w:rsidP="008669DC">
            <w:pPr>
              <w:pStyle w:val="TableTextCentred"/>
              <w:rPr>
                <w:rFonts w:cs="Arial"/>
                <w:sz w:val="16"/>
                <w:szCs w:val="16"/>
                <w:highlight w:val="yellow"/>
              </w:rPr>
            </w:pPr>
            <w:r w:rsidRPr="0087176A">
              <w:rPr>
                <w:rFonts w:cs="Arial"/>
                <w:sz w:val="16"/>
                <w:szCs w:val="16"/>
              </w:rPr>
              <w:t>6</w:t>
            </w:r>
          </w:p>
        </w:tc>
      </w:tr>
      <w:tr w:rsidR="0087176A" w:rsidRPr="0087176A" w:rsidTr="00085EA3">
        <w:trPr>
          <w:trHeight w:val="434"/>
        </w:trPr>
        <w:tc>
          <w:tcPr>
            <w:tcW w:w="4740" w:type="dxa"/>
            <w:gridSpan w:val="2"/>
            <w:tcBorders>
              <w:right w:val="single" w:sz="4" w:space="0" w:color="auto"/>
            </w:tcBorders>
          </w:tcPr>
          <w:p w:rsidR="001A6B6B" w:rsidRPr="0087176A" w:rsidRDefault="001A6B6B" w:rsidP="008669DC">
            <w:pPr>
              <w:pStyle w:val="TableTextLeft"/>
              <w:rPr>
                <w:rFonts w:cs="Arial"/>
                <w:sz w:val="16"/>
                <w:szCs w:val="16"/>
              </w:rPr>
            </w:pPr>
            <w:r w:rsidRPr="0087176A">
              <w:rPr>
                <w:rFonts w:cs="Arial"/>
                <w:sz w:val="16"/>
                <w:szCs w:val="16"/>
              </w:rPr>
              <w:t>Percentage of merger matters considered (under the informal merger review process) that were finalised by pre-assessment</w:t>
            </w:r>
          </w:p>
        </w:tc>
        <w:tc>
          <w:tcPr>
            <w:tcW w:w="1612" w:type="dxa"/>
            <w:tcBorders>
              <w:top w:val="single" w:sz="4" w:space="0" w:color="auto"/>
              <w:left w:val="single" w:sz="4" w:space="0" w:color="auto"/>
              <w:bottom w:val="dotted" w:sz="4" w:space="0" w:color="auto"/>
              <w:right w:val="single" w:sz="4" w:space="0" w:color="auto"/>
            </w:tcBorders>
          </w:tcPr>
          <w:p w:rsidR="001A6B6B" w:rsidRPr="0087176A" w:rsidRDefault="001A6B6B" w:rsidP="008669DC">
            <w:pPr>
              <w:pStyle w:val="TableTextLeft"/>
              <w:rPr>
                <w:rFonts w:cs="Arial"/>
                <w:sz w:val="16"/>
                <w:szCs w:val="16"/>
              </w:rPr>
            </w:pPr>
            <w:r w:rsidRPr="0087176A">
              <w:rPr>
                <w:rFonts w:cs="Arial"/>
                <w:sz w:val="16"/>
                <w:szCs w:val="16"/>
              </w:rPr>
              <w:t>Expect to exceed target of 80%</w:t>
            </w:r>
          </w:p>
        </w:tc>
        <w:tc>
          <w:tcPr>
            <w:tcW w:w="1240" w:type="dxa"/>
            <w:tcBorders>
              <w:top w:val="single" w:sz="4" w:space="0" w:color="auto"/>
              <w:left w:val="single" w:sz="4" w:space="0" w:color="auto"/>
            </w:tcBorders>
          </w:tcPr>
          <w:p w:rsidR="001A6B6B" w:rsidRPr="0087176A" w:rsidRDefault="001A6B6B" w:rsidP="008669DC">
            <w:pPr>
              <w:pStyle w:val="TableTextCentred"/>
              <w:rPr>
                <w:rFonts w:cs="Arial"/>
                <w:sz w:val="16"/>
                <w:szCs w:val="16"/>
              </w:rPr>
            </w:pPr>
            <w:r w:rsidRPr="0087176A">
              <w:rPr>
                <w:rFonts w:cs="Arial"/>
                <w:sz w:val="16"/>
                <w:szCs w:val="16"/>
              </w:rPr>
              <w:t>80%</w:t>
            </w:r>
          </w:p>
        </w:tc>
      </w:tr>
      <w:tr w:rsidR="0087176A" w:rsidRPr="0087176A" w:rsidTr="00085EA3">
        <w:trPr>
          <w:trHeight w:val="434"/>
        </w:trPr>
        <w:tc>
          <w:tcPr>
            <w:tcW w:w="4740" w:type="dxa"/>
            <w:gridSpan w:val="2"/>
            <w:tcBorders>
              <w:right w:val="single" w:sz="4" w:space="0" w:color="auto"/>
            </w:tcBorders>
          </w:tcPr>
          <w:p w:rsidR="001A6B6B" w:rsidRPr="0087176A" w:rsidRDefault="001A6B6B" w:rsidP="008669DC">
            <w:pPr>
              <w:pStyle w:val="TableTextLeft"/>
              <w:rPr>
                <w:rFonts w:cs="Arial"/>
                <w:sz w:val="16"/>
                <w:szCs w:val="16"/>
              </w:rPr>
            </w:pPr>
            <w:r w:rsidRPr="0087176A">
              <w:rPr>
                <w:rFonts w:cs="Arial"/>
                <w:sz w:val="16"/>
                <w:szCs w:val="16"/>
              </w:rPr>
              <w:t>Percentage of authorisation applications assessed within statutory timeframes</w:t>
            </w:r>
          </w:p>
        </w:tc>
        <w:tc>
          <w:tcPr>
            <w:tcW w:w="1612" w:type="dxa"/>
            <w:tcBorders>
              <w:top w:val="single" w:sz="4" w:space="0" w:color="auto"/>
              <w:left w:val="single" w:sz="4" w:space="0" w:color="auto"/>
              <w:bottom w:val="dotted" w:sz="4" w:space="0" w:color="auto"/>
              <w:right w:val="single" w:sz="4" w:space="0" w:color="auto"/>
            </w:tcBorders>
          </w:tcPr>
          <w:p w:rsidR="001A6B6B" w:rsidRPr="0087176A" w:rsidRDefault="001A6B6B" w:rsidP="008669DC">
            <w:pPr>
              <w:pStyle w:val="TableTextLeft"/>
              <w:rPr>
                <w:rFonts w:cs="Arial"/>
                <w:sz w:val="16"/>
                <w:szCs w:val="16"/>
              </w:rPr>
            </w:pPr>
            <w:r w:rsidRPr="0087176A">
              <w:rPr>
                <w:rFonts w:cs="Arial"/>
                <w:sz w:val="16"/>
                <w:szCs w:val="16"/>
              </w:rPr>
              <w:t>Expect to meet target of 100%</w:t>
            </w:r>
          </w:p>
        </w:tc>
        <w:tc>
          <w:tcPr>
            <w:tcW w:w="1240" w:type="dxa"/>
            <w:tcBorders>
              <w:top w:val="single" w:sz="4" w:space="0" w:color="auto"/>
              <w:left w:val="single" w:sz="4" w:space="0" w:color="auto"/>
            </w:tcBorders>
          </w:tcPr>
          <w:p w:rsidR="001A6B6B" w:rsidRPr="0087176A" w:rsidRDefault="001A6B6B" w:rsidP="008669DC">
            <w:pPr>
              <w:pStyle w:val="TableTextCentred"/>
              <w:rPr>
                <w:rFonts w:cs="Arial"/>
                <w:sz w:val="16"/>
                <w:szCs w:val="16"/>
              </w:rPr>
            </w:pPr>
            <w:r w:rsidRPr="0087176A">
              <w:rPr>
                <w:rFonts w:cs="Arial"/>
                <w:sz w:val="16"/>
                <w:szCs w:val="16"/>
              </w:rPr>
              <w:t>100%</w:t>
            </w:r>
          </w:p>
        </w:tc>
      </w:tr>
      <w:tr w:rsidR="0087176A" w:rsidRPr="0087176A" w:rsidTr="00085EA3">
        <w:trPr>
          <w:trHeight w:val="434"/>
        </w:trPr>
        <w:tc>
          <w:tcPr>
            <w:tcW w:w="4740" w:type="dxa"/>
            <w:gridSpan w:val="2"/>
            <w:tcBorders>
              <w:right w:val="single" w:sz="4" w:space="0" w:color="auto"/>
            </w:tcBorders>
          </w:tcPr>
          <w:p w:rsidR="001A6B6B" w:rsidRPr="0087176A" w:rsidRDefault="001A6B6B" w:rsidP="008669DC">
            <w:pPr>
              <w:pStyle w:val="TableTextLeft"/>
              <w:rPr>
                <w:rFonts w:cs="Arial"/>
                <w:sz w:val="16"/>
                <w:szCs w:val="16"/>
              </w:rPr>
            </w:pPr>
            <w:r w:rsidRPr="0087176A">
              <w:rPr>
                <w:rFonts w:cs="Arial"/>
                <w:sz w:val="16"/>
                <w:szCs w:val="16"/>
              </w:rPr>
              <w:t>Number of Australian Consumer Law enforcement interventions (court proceeding commenced, section 87B undertakings accepted, infringement notices issued)</w:t>
            </w:r>
          </w:p>
        </w:tc>
        <w:tc>
          <w:tcPr>
            <w:tcW w:w="1612" w:type="dxa"/>
            <w:tcBorders>
              <w:top w:val="single" w:sz="4" w:space="0" w:color="auto"/>
              <w:left w:val="single" w:sz="4" w:space="0" w:color="auto"/>
              <w:bottom w:val="dotted" w:sz="4" w:space="0" w:color="auto"/>
              <w:right w:val="single" w:sz="4" w:space="0" w:color="auto"/>
            </w:tcBorders>
          </w:tcPr>
          <w:p w:rsidR="001A6B6B" w:rsidRPr="0087176A" w:rsidRDefault="001A6B6B" w:rsidP="008669DC">
            <w:pPr>
              <w:pStyle w:val="TableTextLeft"/>
              <w:rPr>
                <w:rFonts w:cs="Arial"/>
                <w:sz w:val="16"/>
                <w:szCs w:val="16"/>
              </w:rPr>
            </w:pPr>
            <w:r w:rsidRPr="0087176A">
              <w:rPr>
                <w:rFonts w:cs="Arial"/>
                <w:sz w:val="16"/>
                <w:szCs w:val="16"/>
              </w:rPr>
              <w:t>Expect to exceed target of 40</w:t>
            </w:r>
          </w:p>
        </w:tc>
        <w:tc>
          <w:tcPr>
            <w:tcW w:w="1240" w:type="dxa"/>
            <w:tcBorders>
              <w:top w:val="single" w:sz="4" w:space="0" w:color="auto"/>
              <w:left w:val="single" w:sz="4" w:space="0" w:color="auto"/>
            </w:tcBorders>
          </w:tcPr>
          <w:p w:rsidR="001A6B6B" w:rsidRPr="0087176A" w:rsidRDefault="001A6B6B" w:rsidP="008669DC">
            <w:pPr>
              <w:pStyle w:val="TableTextCentred"/>
              <w:rPr>
                <w:rFonts w:cs="Arial"/>
                <w:sz w:val="16"/>
                <w:szCs w:val="16"/>
              </w:rPr>
            </w:pPr>
            <w:r w:rsidRPr="0087176A">
              <w:rPr>
                <w:rFonts w:cs="Arial"/>
                <w:sz w:val="16"/>
                <w:szCs w:val="16"/>
              </w:rPr>
              <w:t>40</w:t>
            </w:r>
          </w:p>
        </w:tc>
      </w:tr>
      <w:tr w:rsidR="0087176A" w:rsidRPr="0087176A" w:rsidTr="00085EA3">
        <w:trPr>
          <w:trHeight w:val="585"/>
        </w:trPr>
        <w:tc>
          <w:tcPr>
            <w:tcW w:w="4740" w:type="dxa"/>
            <w:gridSpan w:val="2"/>
            <w:tcBorders>
              <w:top w:val="single" w:sz="4" w:space="0" w:color="auto"/>
              <w:right w:val="single" w:sz="4" w:space="0" w:color="auto"/>
            </w:tcBorders>
          </w:tcPr>
          <w:p w:rsidR="001A6B6B" w:rsidRPr="0087176A" w:rsidRDefault="001A6B6B" w:rsidP="008669DC">
            <w:pPr>
              <w:pStyle w:val="TableTextLeft"/>
              <w:rPr>
                <w:rFonts w:cs="Arial"/>
                <w:sz w:val="16"/>
                <w:szCs w:val="16"/>
              </w:rPr>
            </w:pPr>
            <w:r w:rsidRPr="0087176A">
              <w:rPr>
                <w:rFonts w:cs="Arial"/>
                <w:sz w:val="16"/>
                <w:szCs w:val="16"/>
              </w:rPr>
              <w:t>Number of detailed assessments of emerging product safety hazards</w:t>
            </w:r>
          </w:p>
        </w:tc>
        <w:tc>
          <w:tcPr>
            <w:tcW w:w="1612" w:type="dxa"/>
            <w:tcBorders>
              <w:top w:val="single" w:sz="4" w:space="0" w:color="auto"/>
              <w:left w:val="single" w:sz="4" w:space="0" w:color="auto"/>
              <w:bottom w:val="dotted" w:sz="4" w:space="0" w:color="auto"/>
              <w:right w:val="single" w:sz="4" w:space="0" w:color="auto"/>
            </w:tcBorders>
          </w:tcPr>
          <w:p w:rsidR="001A6B6B" w:rsidRPr="0087176A" w:rsidRDefault="001A6B6B" w:rsidP="008669DC">
            <w:pPr>
              <w:pStyle w:val="TableTextLeft"/>
              <w:rPr>
                <w:rFonts w:cs="Arial"/>
                <w:sz w:val="16"/>
                <w:szCs w:val="16"/>
              </w:rPr>
            </w:pPr>
            <w:r w:rsidRPr="0087176A">
              <w:rPr>
                <w:rFonts w:cs="Arial"/>
                <w:sz w:val="16"/>
                <w:szCs w:val="16"/>
              </w:rPr>
              <w:t>On track to meet target of 20</w:t>
            </w:r>
          </w:p>
        </w:tc>
        <w:tc>
          <w:tcPr>
            <w:tcW w:w="1240" w:type="dxa"/>
            <w:tcBorders>
              <w:top w:val="single" w:sz="4" w:space="0" w:color="auto"/>
              <w:left w:val="single" w:sz="4" w:space="0" w:color="auto"/>
            </w:tcBorders>
          </w:tcPr>
          <w:p w:rsidR="001A6B6B" w:rsidRPr="0087176A" w:rsidRDefault="001A6B6B" w:rsidP="008669DC">
            <w:pPr>
              <w:pStyle w:val="TableTextCentred"/>
              <w:rPr>
                <w:rFonts w:cs="Arial"/>
                <w:sz w:val="16"/>
                <w:szCs w:val="16"/>
              </w:rPr>
            </w:pPr>
            <w:r w:rsidRPr="0087176A">
              <w:rPr>
                <w:rFonts w:cs="Arial"/>
                <w:sz w:val="16"/>
                <w:szCs w:val="16"/>
              </w:rPr>
              <w:t>20</w:t>
            </w:r>
          </w:p>
        </w:tc>
      </w:tr>
      <w:tr w:rsidR="0087176A" w:rsidRPr="0087176A" w:rsidTr="00085EA3">
        <w:trPr>
          <w:trHeight w:val="574"/>
        </w:trPr>
        <w:tc>
          <w:tcPr>
            <w:tcW w:w="4740" w:type="dxa"/>
            <w:gridSpan w:val="2"/>
            <w:tcBorders>
              <w:right w:val="single" w:sz="4" w:space="0" w:color="auto"/>
            </w:tcBorders>
          </w:tcPr>
          <w:p w:rsidR="001A6B6B" w:rsidRPr="0087176A" w:rsidRDefault="001A6B6B" w:rsidP="008669DC">
            <w:pPr>
              <w:pStyle w:val="TableTextLeft"/>
              <w:rPr>
                <w:rFonts w:cs="Arial"/>
                <w:sz w:val="16"/>
                <w:szCs w:val="16"/>
              </w:rPr>
            </w:pPr>
            <w:r w:rsidRPr="0087176A">
              <w:rPr>
                <w:rFonts w:cs="Arial"/>
                <w:sz w:val="16"/>
                <w:szCs w:val="16"/>
              </w:rPr>
              <w:t>Number of small business Infocentre contacts served</w:t>
            </w:r>
          </w:p>
        </w:tc>
        <w:tc>
          <w:tcPr>
            <w:tcW w:w="1612" w:type="dxa"/>
            <w:tcBorders>
              <w:top w:val="single" w:sz="4" w:space="0" w:color="auto"/>
              <w:left w:val="single" w:sz="4" w:space="0" w:color="auto"/>
              <w:bottom w:val="dotted" w:sz="4" w:space="0" w:color="auto"/>
              <w:right w:val="single" w:sz="4" w:space="0" w:color="auto"/>
            </w:tcBorders>
          </w:tcPr>
          <w:p w:rsidR="001A6B6B" w:rsidRPr="0087176A" w:rsidRDefault="001A6B6B" w:rsidP="008669DC">
            <w:pPr>
              <w:pStyle w:val="TableTextLeft"/>
              <w:rPr>
                <w:rFonts w:cs="Arial"/>
                <w:sz w:val="16"/>
                <w:szCs w:val="16"/>
              </w:rPr>
            </w:pPr>
            <w:r w:rsidRPr="0087176A">
              <w:rPr>
                <w:rFonts w:cs="Arial"/>
                <w:sz w:val="16"/>
                <w:szCs w:val="16"/>
              </w:rPr>
              <w:t>Expect to exceed target of 12,000</w:t>
            </w:r>
          </w:p>
        </w:tc>
        <w:tc>
          <w:tcPr>
            <w:tcW w:w="1240" w:type="dxa"/>
            <w:tcBorders>
              <w:top w:val="single" w:sz="4" w:space="0" w:color="auto"/>
              <w:left w:val="single" w:sz="4" w:space="0" w:color="auto"/>
            </w:tcBorders>
          </w:tcPr>
          <w:p w:rsidR="001A6B6B" w:rsidRPr="0087176A" w:rsidRDefault="001A6B6B" w:rsidP="008669DC">
            <w:pPr>
              <w:pStyle w:val="TableTextCentred"/>
              <w:rPr>
                <w:rFonts w:cs="Arial"/>
                <w:sz w:val="16"/>
                <w:szCs w:val="16"/>
              </w:rPr>
            </w:pPr>
            <w:r w:rsidRPr="0087176A">
              <w:rPr>
                <w:rFonts w:cs="Arial"/>
                <w:sz w:val="16"/>
                <w:szCs w:val="16"/>
              </w:rPr>
              <w:t>12,000</w:t>
            </w:r>
          </w:p>
        </w:tc>
      </w:tr>
      <w:tr w:rsidR="0087176A" w:rsidRPr="0087176A" w:rsidTr="00085EA3">
        <w:trPr>
          <w:trHeight w:val="434"/>
        </w:trPr>
        <w:tc>
          <w:tcPr>
            <w:tcW w:w="4740" w:type="dxa"/>
            <w:gridSpan w:val="2"/>
            <w:tcBorders>
              <w:right w:val="single" w:sz="4" w:space="0" w:color="auto"/>
            </w:tcBorders>
          </w:tcPr>
          <w:p w:rsidR="001A6B6B" w:rsidRPr="0087176A" w:rsidRDefault="001A6B6B" w:rsidP="008669DC">
            <w:pPr>
              <w:pStyle w:val="TableTextLeft"/>
              <w:rPr>
                <w:rFonts w:cs="Arial"/>
                <w:sz w:val="16"/>
                <w:szCs w:val="16"/>
              </w:rPr>
            </w:pPr>
            <w:r w:rsidRPr="0087176A">
              <w:rPr>
                <w:rFonts w:cs="Arial"/>
                <w:sz w:val="16"/>
                <w:szCs w:val="16"/>
              </w:rPr>
              <w:t>Number of Infocentre contacts served (includes Infocentre contacts served and webforms received)</w:t>
            </w:r>
          </w:p>
        </w:tc>
        <w:tc>
          <w:tcPr>
            <w:tcW w:w="1612" w:type="dxa"/>
            <w:tcBorders>
              <w:top w:val="single" w:sz="4" w:space="0" w:color="auto"/>
              <w:left w:val="single" w:sz="4" w:space="0" w:color="auto"/>
              <w:bottom w:val="dotted" w:sz="4" w:space="0" w:color="auto"/>
              <w:right w:val="single" w:sz="4" w:space="0" w:color="auto"/>
            </w:tcBorders>
          </w:tcPr>
          <w:p w:rsidR="001A6B6B" w:rsidRPr="0087176A" w:rsidRDefault="001A6B6B" w:rsidP="008669DC">
            <w:pPr>
              <w:pStyle w:val="TableTextLeft"/>
              <w:rPr>
                <w:rFonts w:cs="Arial"/>
                <w:sz w:val="16"/>
                <w:szCs w:val="16"/>
              </w:rPr>
            </w:pPr>
            <w:r w:rsidRPr="0087176A">
              <w:rPr>
                <w:rFonts w:cs="Arial"/>
                <w:sz w:val="16"/>
                <w:szCs w:val="16"/>
              </w:rPr>
              <w:t xml:space="preserve">Expect to meet target of 150,000 </w:t>
            </w:r>
          </w:p>
        </w:tc>
        <w:tc>
          <w:tcPr>
            <w:tcW w:w="1240" w:type="dxa"/>
            <w:tcBorders>
              <w:top w:val="single" w:sz="4" w:space="0" w:color="auto"/>
              <w:left w:val="single" w:sz="4" w:space="0" w:color="auto"/>
            </w:tcBorders>
          </w:tcPr>
          <w:p w:rsidR="001A6B6B" w:rsidRPr="0087176A" w:rsidRDefault="001A6B6B" w:rsidP="008669DC">
            <w:pPr>
              <w:pStyle w:val="TableTextCentred"/>
              <w:rPr>
                <w:rFonts w:cs="Arial"/>
                <w:sz w:val="16"/>
                <w:szCs w:val="16"/>
              </w:rPr>
            </w:pPr>
            <w:r w:rsidRPr="0087176A">
              <w:rPr>
                <w:rFonts w:cs="Arial"/>
                <w:sz w:val="16"/>
                <w:szCs w:val="16"/>
              </w:rPr>
              <w:t>200,000</w:t>
            </w:r>
          </w:p>
        </w:tc>
      </w:tr>
      <w:tr w:rsidR="0087176A" w:rsidRPr="0087176A" w:rsidTr="00085EA3">
        <w:trPr>
          <w:trHeight w:val="434"/>
        </w:trPr>
        <w:tc>
          <w:tcPr>
            <w:tcW w:w="4740" w:type="dxa"/>
            <w:gridSpan w:val="2"/>
            <w:tcBorders>
              <w:top w:val="single" w:sz="4" w:space="0" w:color="auto"/>
              <w:right w:val="single" w:sz="4" w:space="0" w:color="auto"/>
            </w:tcBorders>
          </w:tcPr>
          <w:p w:rsidR="001A6B6B" w:rsidRPr="0087176A" w:rsidRDefault="001A6B6B" w:rsidP="008669DC">
            <w:pPr>
              <w:pStyle w:val="TableTextLeft"/>
              <w:rPr>
                <w:rFonts w:cs="Arial"/>
                <w:sz w:val="16"/>
                <w:szCs w:val="16"/>
              </w:rPr>
            </w:pPr>
            <w:r w:rsidRPr="0087176A">
              <w:rPr>
                <w:rFonts w:cs="Arial"/>
                <w:sz w:val="16"/>
                <w:szCs w:val="16"/>
              </w:rPr>
              <w:t>Number of major regulatory decisions</w:t>
            </w:r>
          </w:p>
        </w:tc>
        <w:tc>
          <w:tcPr>
            <w:tcW w:w="1612" w:type="dxa"/>
            <w:tcBorders>
              <w:top w:val="single" w:sz="4" w:space="0" w:color="auto"/>
              <w:left w:val="single" w:sz="4" w:space="0" w:color="auto"/>
              <w:bottom w:val="dotted" w:sz="4" w:space="0" w:color="auto"/>
              <w:right w:val="single" w:sz="4" w:space="0" w:color="auto"/>
            </w:tcBorders>
          </w:tcPr>
          <w:p w:rsidR="001A6B6B" w:rsidRPr="0087176A" w:rsidRDefault="001A6B6B" w:rsidP="008669DC">
            <w:pPr>
              <w:pStyle w:val="TableTextLeft"/>
              <w:rPr>
                <w:rFonts w:cs="Arial"/>
                <w:sz w:val="16"/>
                <w:szCs w:val="16"/>
              </w:rPr>
            </w:pPr>
            <w:r w:rsidRPr="0087176A">
              <w:rPr>
                <w:rFonts w:cs="Arial"/>
                <w:sz w:val="16"/>
                <w:szCs w:val="16"/>
              </w:rPr>
              <w:t>Will complete only 1 major decision, (target was 2)</w:t>
            </w:r>
          </w:p>
        </w:tc>
        <w:tc>
          <w:tcPr>
            <w:tcW w:w="1240" w:type="dxa"/>
            <w:tcBorders>
              <w:top w:val="single" w:sz="4" w:space="0" w:color="auto"/>
              <w:left w:val="single" w:sz="4" w:space="0" w:color="auto"/>
            </w:tcBorders>
          </w:tcPr>
          <w:p w:rsidR="001A6B6B" w:rsidRPr="0087176A" w:rsidRDefault="001A6B6B" w:rsidP="008669DC">
            <w:pPr>
              <w:pStyle w:val="TableTextCentred"/>
              <w:rPr>
                <w:rFonts w:cs="Arial"/>
                <w:sz w:val="16"/>
                <w:szCs w:val="16"/>
              </w:rPr>
            </w:pPr>
            <w:r w:rsidRPr="0087176A">
              <w:rPr>
                <w:rFonts w:cs="Arial"/>
                <w:sz w:val="16"/>
                <w:szCs w:val="16"/>
              </w:rPr>
              <w:t>4</w:t>
            </w:r>
          </w:p>
        </w:tc>
      </w:tr>
      <w:tr w:rsidR="0087176A" w:rsidRPr="0087176A" w:rsidTr="00085EA3">
        <w:trPr>
          <w:trHeight w:val="434"/>
        </w:trPr>
        <w:tc>
          <w:tcPr>
            <w:tcW w:w="4740" w:type="dxa"/>
            <w:gridSpan w:val="2"/>
            <w:tcBorders>
              <w:right w:val="single" w:sz="4" w:space="0" w:color="auto"/>
            </w:tcBorders>
          </w:tcPr>
          <w:p w:rsidR="001A6B6B" w:rsidRPr="0087176A" w:rsidRDefault="001A6B6B" w:rsidP="008669DC">
            <w:pPr>
              <w:pStyle w:val="TableTextLeft"/>
              <w:rPr>
                <w:rFonts w:cs="Arial"/>
                <w:sz w:val="16"/>
                <w:szCs w:val="16"/>
              </w:rPr>
            </w:pPr>
            <w:r w:rsidRPr="0087176A">
              <w:rPr>
                <w:rFonts w:cs="Arial"/>
                <w:sz w:val="16"/>
                <w:szCs w:val="16"/>
              </w:rPr>
              <w:t>Number of annual monitoring reports</w:t>
            </w:r>
          </w:p>
        </w:tc>
        <w:tc>
          <w:tcPr>
            <w:tcW w:w="1612" w:type="dxa"/>
            <w:tcBorders>
              <w:top w:val="single" w:sz="4" w:space="0" w:color="auto"/>
              <w:left w:val="single" w:sz="4" w:space="0" w:color="auto"/>
              <w:bottom w:val="dotted" w:sz="4" w:space="0" w:color="auto"/>
              <w:right w:val="single" w:sz="4" w:space="0" w:color="auto"/>
            </w:tcBorders>
          </w:tcPr>
          <w:p w:rsidR="001A6B6B" w:rsidRPr="0087176A" w:rsidRDefault="001A6B6B" w:rsidP="008669DC">
            <w:pPr>
              <w:pStyle w:val="TableTextLeft"/>
              <w:rPr>
                <w:rFonts w:cs="Arial"/>
                <w:sz w:val="16"/>
                <w:szCs w:val="16"/>
              </w:rPr>
            </w:pPr>
            <w:r w:rsidRPr="0087176A">
              <w:rPr>
                <w:rFonts w:cs="Arial"/>
                <w:sz w:val="16"/>
                <w:szCs w:val="16"/>
              </w:rPr>
              <w:t>Expect to achieve target of 6</w:t>
            </w:r>
            <w:r w:rsidR="006226BF">
              <w:rPr>
                <w:rFonts w:cs="Arial"/>
                <w:sz w:val="16"/>
                <w:szCs w:val="16"/>
              </w:rPr>
              <w:t xml:space="preserve"> </w:t>
            </w:r>
          </w:p>
        </w:tc>
        <w:tc>
          <w:tcPr>
            <w:tcW w:w="1240" w:type="dxa"/>
            <w:tcBorders>
              <w:top w:val="single" w:sz="4" w:space="0" w:color="auto"/>
              <w:left w:val="single" w:sz="4" w:space="0" w:color="auto"/>
            </w:tcBorders>
          </w:tcPr>
          <w:p w:rsidR="001A6B6B" w:rsidRPr="0087176A" w:rsidRDefault="001A6B6B" w:rsidP="008669DC">
            <w:pPr>
              <w:pStyle w:val="TableTextCentred"/>
              <w:rPr>
                <w:rFonts w:cs="Arial"/>
                <w:sz w:val="16"/>
                <w:szCs w:val="16"/>
              </w:rPr>
            </w:pPr>
            <w:r w:rsidRPr="0087176A">
              <w:rPr>
                <w:rFonts w:cs="Arial"/>
                <w:sz w:val="16"/>
                <w:szCs w:val="16"/>
              </w:rPr>
              <w:t>7</w:t>
            </w:r>
          </w:p>
        </w:tc>
      </w:tr>
      <w:tr w:rsidR="0087176A" w:rsidRPr="0087176A" w:rsidTr="00085EA3">
        <w:trPr>
          <w:trHeight w:val="434"/>
        </w:trPr>
        <w:tc>
          <w:tcPr>
            <w:tcW w:w="4740" w:type="dxa"/>
            <w:gridSpan w:val="2"/>
            <w:tcBorders>
              <w:right w:val="single" w:sz="4" w:space="0" w:color="auto"/>
            </w:tcBorders>
          </w:tcPr>
          <w:p w:rsidR="001A6B6B" w:rsidRPr="0087176A" w:rsidRDefault="001A6B6B" w:rsidP="008669DC">
            <w:pPr>
              <w:pStyle w:val="TableTextLeft"/>
              <w:rPr>
                <w:rFonts w:cs="Arial"/>
                <w:sz w:val="16"/>
                <w:szCs w:val="16"/>
              </w:rPr>
            </w:pPr>
            <w:r w:rsidRPr="0087176A">
              <w:rPr>
                <w:rFonts w:cs="Arial"/>
                <w:sz w:val="16"/>
                <w:szCs w:val="16"/>
              </w:rPr>
              <w:t>Number of reports on monitoring of unleaded petroleum products</w:t>
            </w:r>
          </w:p>
        </w:tc>
        <w:tc>
          <w:tcPr>
            <w:tcW w:w="1612" w:type="dxa"/>
            <w:tcBorders>
              <w:top w:val="single" w:sz="4" w:space="0" w:color="auto"/>
              <w:left w:val="single" w:sz="4" w:space="0" w:color="auto"/>
              <w:bottom w:val="dotted" w:sz="4" w:space="0" w:color="auto"/>
              <w:right w:val="single" w:sz="4" w:space="0" w:color="auto"/>
            </w:tcBorders>
          </w:tcPr>
          <w:p w:rsidR="001A6B6B" w:rsidRPr="0087176A" w:rsidRDefault="001A6B6B" w:rsidP="008669DC">
            <w:pPr>
              <w:pStyle w:val="TableTextLeft"/>
              <w:rPr>
                <w:rFonts w:cs="Arial"/>
                <w:sz w:val="16"/>
                <w:szCs w:val="16"/>
              </w:rPr>
            </w:pPr>
            <w:r w:rsidRPr="0087176A">
              <w:rPr>
                <w:rFonts w:cs="Arial"/>
                <w:sz w:val="16"/>
                <w:szCs w:val="16"/>
              </w:rPr>
              <w:t>Expect to exceed target of 4 with 5 reports</w:t>
            </w:r>
          </w:p>
        </w:tc>
        <w:tc>
          <w:tcPr>
            <w:tcW w:w="1240" w:type="dxa"/>
            <w:tcBorders>
              <w:top w:val="single" w:sz="4" w:space="0" w:color="auto"/>
              <w:left w:val="single" w:sz="4" w:space="0" w:color="auto"/>
            </w:tcBorders>
          </w:tcPr>
          <w:p w:rsidR="001A6B6B" w:rsidRPr="0087176A" w:rsidRDefault="001A6B6B" w:rsidP="008669DC">
            <w:pPr>
              <w:pStyle w:val="TableTextCentred"/>
              <w:rPr>
                <w:rFonts w:cs="Arial"/>
                <w:sz w:val="16"/>
                <w:szCs w:val="16"/>
              </w:rPr>
            </w:pPr>
            <w:r w:rsidRPr="0087176A">
              <w:rPr>
                <w:rFonts w:cs="Arial"/>
                <w:sz w:val="16"/>
                <w:szCs w:val="16"/>
              </w:rPr>
              <w:t>6</w:t>
            </w:r>
          </w:p>
        </w:tc>
      </w:tr>
      <w:tr w:rsidR="0087176A" w:rsidRPr="0087176A" w:rsidTr="00085EA3">
        <w:trPr>
          <w:trHeight w:val="434"/>
        </w:trPr>
        <w:tc>
          <w:tcPr>
            <w:tcW w:w="4740" w:type="dxa"/>
            <w:gridSpan w:val="2"/>
            <w:tcBorders>
              <w:right w:val="single" w:sz="4" w:space="0" w:color="auto"/>
            </w:tcBorders>
          </w:tcPr>
          <w:p w:rsidR="001A6B6B" w:rsidRPr="0087176A" w:rsidRDefault="001A6B6B" w:rsidP="008669DC">
            <w:pPr>
              <w:pStyle w:val="TableTextLeft"/>
              <w:rPr>
                <w:rFonts w:cs="Arial"/>
                <w:sz w:val="16"/>
                <w:szCs w:val="16"/>
              </w:rPr>
            </w:pPr>
            <w:r w:rsidRPr="0087176A">
              <w:rPr>
                <w:rFonts w:cs="Arial"/>
                <w:sz w:val="16"/>
                <w:szCs w:val="16"/>
              </w:rPr>
              <w:t>Number of reports on broadband markets</w:t>
            </w:r>
          </w:p>
        </w:tc>
        <w:tc>
          <w:tcPr>
            <w:tcW w:w="1612" w:type="dxa"/>
            <w:tcBorders>
              <w:top w:val="single" w:sz="4" w:space="0" w:color="auto"/>
              <w:left w:val="single" w:sz="4" w:space="0" w:color="auto"/>
              <w:bottom w:val="dotted" w:sz="4" w:space="0" w:color="auto"/>
              <w:right w:val="single" w:sz="4" w:space="0" w:color="auto"/>
            </w:tcBorders>
          </w:tcPr>
          <w:p w:rsidR="001A6B6B" w:rsidRPr="0087176A" w:rsidRDefault="001A6B6B" w:rsidP="008669DC">
            <w:pPr>
              <w:pStyle w:val="TableTextLeft"/>
              <w:rPr>
                <w:rFonts w:cs="Arial"/>
                <w:sz w:val="16"/>
                <w:szCs w:val="16"/>
              </w:rPr>
            </w:pPr>
            <w:r w:rsidRPr="0087176A">
              <w:rPr>
                <w:rFonts w:cs="Arial"/>
                <w:sz w:val="16"/>
                <w:szCs w:val="16"/>
              </w:rPr>
              <w:t>N/A</w:t>
            </w:r>
          </w:p>
        </w:tc>
        <w:tc>
          <w:tcPr>
            <w:tcW w:w="1240" w:type="dxa"/>
            <w:tcBorders>
              <w:top w:val="single" w:sz="4" w:space="0" w:color="auto"/>
              <w:left w:val="single" w:sz="4" w:space="0" w:color="auto"/>
            </w:tcBorders>
          </w:tcPr>
          <w:p w:rsidR="001A6B6B" w:rsidRPr="0087176A" w:rsidRDefault="001A6B6B" w:rsidP="008669DC">
            <w:pPr>
              <w:pStyle w:val="TableTextCentred"/>
              <w:rPr>
                <w:rFonts w:cs="Arial"/>
                <w:sz w:val="16"/>
                <w:szCs w:val="16"/>
              </w:rPr>
            </w:pPr>
            <w:r w:rsidRPr="0087176A">
              <w:rPr>
                <w:rFonts w:cs="Arial"/>
                <w:sz w:val="16"/>
                <w:szCs w:val="16"/>
              </w:rPr>
              <w:t>8</w:t>
            </w:r>
          </w:p>
        </w:tc>
      </w:tr>
      <w:tr w:rsidR="0087176A" w:rsidRPr="0087176A" w:rsidTr="00085EA3">
        <w:trPr>
          <w:trHeight w:val="434"/>
        </w:trPr>
        <w:tc>
          <w:tcPr>
            <w:tcW w:w="4740" w:type="dxa"/>
            <w:gridSpan w:val="2"/>
            <w:tcBorders>
              <w:right w:val="single" w:sz="4" w:space="0" w:color="auto"/>
            </w:tcBorders>
          </w:tcPr>
          <w:p w:rsidR="001A6B6B" w:rsidRPr="0087176A" w:rsidRDefault="001A6B6B" w:rsidP="008669DC">
            <w:pPr>
              <w:pStyle w:val="TableTextLeft"/>
              <w:rPr>
                <w:rFonts w:cs="Arial"/>
                <w:sz w:val="16"/>
                <w:szCs w:val="16"/>
              </w:rPr>
            </w:pPr>
            <w:r w:rsidRPr="0087176A">
              <w:rPr>
                <w:rFonts w:cs="Arial"/>
                <w:sz w:val="16"/>
                <w:szCs w:val="16"/>
              </w:rPr>
              <w:t>Number of completed markets studies and inquiries</w:t>
            </w:r>
          </w:p>
        </w:tc>
        <w:tc>
          <w:tcPr>
            <w:tcW w:w="1612" w:type="dxa"/>
            <w:tcBorders>
              <w:top w:val="single" w:sz="4" w:space="0" w:color="auto"/>
              <w:left w:val="single" w:sz="4" w:space="0" w:color="auto"/>
              <w:bottom w:val="dotted" w:sz="4" w:space="0" w:color="auto"/>
              <w:right w:val="single" w:sz="4" w:space="0" w:color="auto"/>
            </w:tcBorders>
          </w:tcPr>
          <w:p w:rsidR="001A6B6B" w:rsidRPr="0087176A" w:rsidRDefault="001A6B6B" w:rsidP="008669DC">
            <w:pPr>
              <w:pStyle w:val="TableTextLeft"/>
              <w:rPr>
                <w:rFonts w:cs="Arial"/>
                <w:sz w:val="16"/>
                <w:szCs w:val="16"/>
              </w:rPr>
            </w:pPr>
            <w:r w:rsidRPr="0087176A">
              <w:rPr>
                <w:rFonts w:cs="Arial"/>
                <w:sz w:val="16"/>
                <w:szCs w:val="16"/>
              </w:rPr>
              <w:t>N/A</w:t>
            </w:r>
          </w:p>
        </w:tc>
        <w:tc>
          <w:tcPr>
            <w:tcW w:w="1240" w:type="dxa"/>
            <w:tcBorders>
              <w:top w:val="single" w:sz="4" w:space="0" w:color="auto"/>
              <w:left w:val="single" w:sz="4" w:space="0" w:color="auto"/>
            </w:tcBorders>
          </w:tcPr>
          <w:p w:rsidR="001A6B6B" w:rsidRPr="0087176A" w:rsidRDefault="001A6B6B" w:rsidP="008669DC">
            <w:pPr>
              <w:pStyle w:val="TableTextCentred"/>
              <w:rPr>
                <w:rFonts w:cs="Arial"/>
                <w:sz w:val="16"/>
                <w:szCs w:val="16"/>
              </w:rPr>
            </w:pPr>
            <w:r w:rsidRPr="0087176A">
              <w:rPr>
                <w:rFonts w:cs="Arial"/>
                <w:sz w:val="16"/>
                <w:szCs w:val="16"/>
              </w:rPr>
              <w:t>4</w:t>
            </w:r>
          </w:p>
        </w:tc>
      </w:tr>
      <w:tr w:rsidR="0087176A" w:rsidRPr="0087176A" w:rsidTr="00085EA3">
        <w:tc>
          <w:tcPr>
            <w:tcW w:w="1121" w:type="dxa"/>
          </w:tcPr>
          <w:p w:rsidR="001A6B6B" w:rsidRPr="0087176A" w:rsidRDefault="001A6B6B" w:rsidP="008669DC">
            <w:pPr>
              <w:pStyle w:val="TableTextLeft"/>
              <w:rPr>
                <w:rFonts w:cs="Arial"/>
                <w:b/>
                <w:sz w:val="16"/>
                <w:szCs w:val="16"/>
              </w:rPr>
            </w:pPr>
            <w:r w:rsidRPr="0087176A">
              <w:rPr>
                <w:rFonts w:cs="Arial"/>
                <w:b/>
                <w:sz w:val="16"/>
                <w:szCs w:val="16"/>
              </w:rPr>
              <w:t>Purpose</w:t>
            </w:r>
          </w:p>
        </w:tc>
        <w:tc>
          <w:tcPr>
            <w:tcW w:w="6471" w:type="dxa"/>
            <w:gridSpan w:val="3"/>
          </w:tcPr>
          <w:p w:rsidR="001A6B6B" w:rsidRPr="0087176A" w:rsidRDefault="001A6B6B" w:rsidP="008669DC">
            <w:pPr>
              <w:pStyle w:val="TableTextLeft"/>
              <w:rPr>
                <w:rFonts w:cs="Arial"/>
                <w:sz w:val="16"/>
                <w:szCs w:val="16"/>
              </w:rPr>
            </w:pPr>
            <w:r w:rsidRPr="0087176A">
              <w:rPr>
                <w:rFonts w:cs="Arial"/>
                <w:sz w:val="16"/>
                <w:szCs w:val="16"/>
              </w:rPr>
              <w:t xml:space="preserve">The ACCC and the AER work in close coordination to achieve our common purpose: making markets work for consumers, now and in the future. </w:t>
            </w:r>
          </w:p>
          <w:p w:rsidR="001A6B6B" w:rsidRPr="0087176A" w:rsidRDefault="001A6B6B" w:rsidP="008669DC">
            <w:pPr>
              <w:pStyle w:val="TableTextLeft"/>
              <w:rPr>
                <w:rFonts w:cs="Arial"/>
                <w:sz w:val="16"/>
                <w:szCs w:val="16"/>
              </w:rPr>
            </w:pPr>
            <w:r w:rsidRPr="0087176A">
              <w:rPr>
                <w:rFonts w:cs="Arial"/>
                <w:sz w:val="16"/>
                <w:szCs w:val="16"/>
              </w:rPr>
              <w:t xml:space="preserve">The ACCC enforces the </w:t>
            </w:r>
            <w:r w:rsidRPr="0087176A">
              <w:rPr>
                <w:rFonts w:cs="Arial"/>
                <w:i/>
                <w:sz w:val="16"/>
                <w:szCs w:val="16"/>
              </w:rPr>
              <w:t>Competition and Consumer Act 2010</w:t>
            </w:r>
            <w:r w:rsidRPr="0087176A">
              <w:rPr>
                <w:rFonts w:cs="Arial"/>
                <w:sz w:val="16"/>
                <w:szCs w:val="16"/>
              </w:rPr>
              <w:t xml:space="preserve"> and a range of additional legislation, promoting competition, fair trading and regulating national infrastructure for the benefit of all Australians.</w:t>
            </w:r>
            <w:r w:rsidRPr="0087176A">
              <w:rPr>
                <w:rFonts w:cs="Arial"/>
                <w:i/>
                <w:sz w:val="16"/>
                <w:szCs w:val="16"/>
              </w:rPr>
              <w:t xml:space="preserve"> </w:t>
            </w:r>
          </w:p>
        </w:tc>
      </w:tr>
    </w:tbl>
    <w:p w:rsidR="001A6B6B" w:rsidRPr="0087176A" w:rsidRDefault="001A6B6B" w:rsidP="005B1A76">
      <w:pPr>
        <w:spacing w:after="0"/>
      </w:pPr>
    </w:p>
    <w:p w:rsidR="001A6B6B" w:rsidRPr="0087176A" w:rsidRDefault="001A6B6B" w:rsidP="001A6B6B">
      <w:r w:rsidRPr="0087176A">
        <w:t>The above program is linked to the Department of Health (Program 5.1 – Protect the Health and Safety of the Community through Regulation) and the Department of Industry, Innovation and Science (Program 2 – Growing Business Investment and Improving Business Capability).</w:t>
      </w:r>
    </w:p>
    <w:p w:rsidR="00185CF0" w:rsidRDefault="00185CF0" w:rsidP="001A6B6B">
      <w:pPr>
        <w:sectPr w:rsidR="00185CF0" w:rsidSect="00946319">
          <w:headerReference w:type="first" r:id="rId41"/>
          <w:pgSz w:w="11906" w:h="16838" w:code="9"/>
          <w:pgMar w:top="2466" w:right="2098" w:bottom="2466" w:left="2098" w:header="1899" w:footer="1899" w:gutter="0"/>
          <w:cols w:space="708"/>
          <w:titlePg/>
          <w:docGrid w:linePitch="360"/>
        </w:sectPr>
      </w:pPr>
    </w:p>
    <w:tbl>
      <w:tblPr>
        <w:tblW w:w="7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3742"/>
        <w:gridCol w:w="1687"/>
        <w:gridCol w:w="1266"/>
      </w:tblGrid>
      <w:tr w:rsidR="0087176A" w:rsidRPr="0087176A" w:rsidTr="00946319">
        <w:tc>
          <w:tcPr>
            <w:tcW w:w="7818" w:type="dxa"/>
            <w:gridSpan w:val="4"/>
            <w:shd w:val="clear" w:color="auto" w:fill="F2F2F2"/>
          </w:tcPr>
          <w:p w:rsidR="001A6B6B" w:rsidRPr="0087176A" w:rsidRDefault="001A6B6B" w:rsidP="008669DC">
            <w:pPr>
              <w:tabs>
                <w:tab w:val="left" w:pos="709"/>
              </w:tabs>
              <w:spacing w:before="60" w:after="60" w:line="240" w:lineRule="auto"/>
              <w:jc w:val="left"/>
              <w:rPr>
                <w:sz w:val="18"/>
                <w:szCs w:val="18"/>
              </w:rPr>
            </w:pPr>
            <w:r w:rsidRPr="0087176A">
              <w:rPr>
                <w:rFonts w:ascii="Arial" w:hAnsi="Arial" w:cs="Arial"/>
                <w:b/>
                <w:sz w:val="18"/>
                <w:szCs w:val="18"/>
              </w:rPr>
              <w:lastRenderedPageBreak/>
              <w:t xml:space="preserve">Outcome 1: </w:t>
            </w:r>
            <w:r w:rsidRPr="0087176A">
              <w:rPr>
                <w:rFonts w:ascii="Arial" w:hAnsi="Arial" w:cs="Arial"/>
                <w:sz w:val="18"/>
                <w:szCs w:val="18"/>
              </w:rPr>
              <w:t>Lawful competition, consumer protection, and regulated national infrastructure markets and services through regulation, including enforcement, education, price monitoring and determining the terms of access to infrastructure services</w:t>
            </w:r>
            <w:r w:rsidR="00F90FC5">
              <w:rPr>
                <w:rFonts w:ascii="Arial" w:hAnsi="Arial" w:cs="Arial"/>
                <w:sz w:val="18"/>
                <w:szCs w:val="18"/>
              </w:rPr>
              <w:t>.</w:t>
            </w:r>
          </w:p>
        </w:tc>
      </w:tr>
      <w:tr w:rsidR="0087176A" w:rsidRPr="0087176A" w:rsidTr="00946319">
        <w:tc>
          <w:tcPr>
            <w:tcW w:w="7818" w:type="dxa"/>
            <w:gridSpan w:val="4"/>
            <w:tcBorders>
              <w:bottom w:val="single" w:sz="4" w:space="0" w:color="auto"/>
            </w:tcBorders>
            <w:shd w:val="clear" w:color="auto" w:fill="F2F2F2"/>
          </w:tcPr>
          <w:p w:rsidR="001A6B6B" w:rsidRPr="0087176A" w:rsidRDefault="001A6B6B" w:rsidP="008669DC">
            <w:pPr>
              <w:tabs>
                <w:tab w:val="left" w:pos="709"/>
              </w:tabs>
              <w:spacing w:before="60" w:after="60" w:line="240" w:lineRule="auto"/>
              <w:jc w:val="left"/>
              <w:rPr>
                <w:rFonts w:ascii="Arial" w:hAnsi="Arial" w:cs="Arial"/>
                <w:sz w:val="16"/>
                <w:szCs w:val="16"/>
              </w:rPr>
            </w:pPr>
            <w:r w:rsidRPr="0087176A">
              <w:rPr>
                <w:rFonts w:ascii="Arial" w:hAnsi="Arial" w:cs="Arial"/>
                <w:b/>
                <w:sz w:val="16"/>
                <w:szCs w:val="16"/>
              </w:rPr>
              <w:t>Program 1.2 - Australian Energy Regulator</w:t>
            </w:r>
            <w:r w:rsidRPr="0087176A">
              <w:rPr>
                <w:rFonts w:ascii="Arial" w:hAnsi="Arial" w:cs="Arial"/>
                <w:sz w:val="16"/>
                <w:szCs w:val="16"/>
              </w:rPr>
              <w:t xml:space="preserve"> </w:t>
            </w:r>
          </w:p>
          <w:p w:rsidR="001A6B6B" w:rsidRPr="0087176A" w:rsidRDefault="001A6B6B" w:rsidP="008669DC">
            <w:pPr>
              <w:tabs>
                <w:tab w:val="left" w:pos="709"/>
              </w:tabs>
              <w:spacing w:before="60" w:after="60" w:line="240" w:lineRule="auto"/>
              <w:jc w:val="left"/>
              <w:rPr>
                <w:rFonts w:ascii="Arial" w:hAnsi="Arial" w:cs="Arial"/>
                <w:sz w:val="16"/>
                <w:szCs w:val="16"/>
              </w:rPr>
            </w:pPr>
            <w:r w:rsidRPr="0087176A">
              <w:rPr>
                <w:rFonts w:ascii="Arial" w:hAnsi="Arial" w:cs="Arial"/>
                <w:sz w:val="16"/>
                <w:szCs w:val="16"/>
              </w:rPr>
              <w:t>The AER’s priorities and work program are guided by the objectives of national energy legislation and rules. The common objective through the legislation is to promote efficient investment in, and efficient operation and use of, energy services for the long term interests of end users of energy with respect to price, quality, safety, reliability and security.</w:t>
            </w:r>
          </w:p>
        </w:tc>
      </w:tr>
      <w:tr w:rsidR="0087176A" w:rsidRPr="0087176A" w:rsidTr="00946319">
        <w:tc>
          <w:tcPr>
            <w:tcW w:w="1123" w:type="dxa"/>
            <w:tcBorders>
              <w:bottom w:val="single" w:sz="4" w:space="0" w:color="auto"/>
            </w:tcBorders>
          </w:tcPr>
          <w:p w:rsidR="001A6B6B" w:rsidRPr="0087176A" w:rsidRDefault="001A6B6B" w:rsidP="008669DC">
            <w:pPr>
              <w:tabs>
                <w:tab w:val="left" w:pos="709"/>
              </w:tabs>
              <w:spacing w:before="60" w:after="60" w:line="240" w:lineRule="auto"/>
              <w:jc w:val="left"/>
              <w:rPr>
                <w:rFonts w:ascii="Arial" w:hAnsi="Arial" w:cs="Arial"/>
                <w:b/>
                <w:sz w:val="16"/>
                <w:szCs w:val="16"/>
              </w:rPr>
            </w:pPr>
            <w:r w:rsidRPr="0087176A">
              <w:rPr>
                <w:rFonts w:ascii="Arial" w:hAnsi="Arial" w:cs="Arial"/>
                <w:b/>
                <w:sz w:val="16"/>
                <w:szCs w:val="16"/>
              </w:rPr>
              <w:t>Delivery</w:t>
            </w:r>
          </w:p>
        </w:tc>
        <w:tc>
          <w:tcPr>
            <w:tcW w:w="6695" w:type="dxa"/>
            <w:gridSpan w:val="3"/>
            <w:tcBorders>
              <w:bottom w:val="single" w:sz="4" w:space="0" w:color="auto"/>
            </w:tcBorders>
          </w:tcPr>
          <w:p w:rsidR="001A6B6B" w:rsidRPr="0087176A" w:rsidRDefault="001A6B6B" w:rsidP="008669DC">
            <w:pPr>
              <w:tabs>
                <w:tab w:val="left" w:pos="709"/>
              </w:tabs>
              <w:spacing w:before="60" w:after="60" w:line="240" w:lineRule="auto"/>
              <w:jc w:val="left"/>
              <w:rPr>
                <w:rFonts w:ascii="Arial" w:hAnsi="Arial" w:cs="Arial"/>
                <w:sz w:val="16"/>
                <w:szCs w:val="16"/>
              </w:rPr>
            </w:pPr>
            <w:r w:rsidRPr="0087176A">
              <w:rPr>
                <w:rFonts w:ascii="Arial" w:hAnsi="Arial" w:cs="Arial"/>
                <w:sz w:val="16"/>
                <w:szCs w:val="16"/>
              </w:rPr>
              <w:t>The AER achieves Outcome 1 by:</w:t>
            </w:r>
          </w:p>
          <w:p w:rsidR="001A6B6B" w:rsidRPr="0087176A" w:rsidRDefault="001A6B6B" w:rsidP="008669DC">
            <w:pPr>
              <w:numPr>
                <w:ilvl w:val="0"/>
                <w:numId w:val="16"/>
              </w:numPr>
              <w:tabs>
                <w:tab w:val="left" w:pos="321"/>
              </w:tabs>
              <w:spacing w:before="60" w:after="60" w:line="240" w:lineRule="auto"/>
              <w:ind w:left="321" w:hanging="284"/>
              <w:jc w:val="left"/>
              <w:rPr>
                <w:rFonts w:ascii="Arial" w:hAnsi="Arial" w:cs="Arial"/>
                <w:sz w:val="16"/>
                <w:szCs w:val="16"/>
              </w:rPr>
            </w:pPr>
            <w:r w:rsidRPr="0087176A">
              <w:rPr>
                <w:rFonts w:ascii="Arial" w:hAnsi="Arial" w:cs="Arial"/>
                <w:sz w:val="16"/>
                <w:szCs w:val="16"/>
              </w:rPr>
              <w:t xml:space="preserve">monitoring electricity and gas markets to ensure energy businesses comply with the legislation and rules, and taking enforcement action where necessary </w:t>
            </w:r>
          </w:p>
          <w:p w:rsidR="001A6B6B" w:rsidRPr="0087176A" w:rsidRDefault="001A6B6B" w:rsidP="008669DC">
            <w:pPr>
              <w:numPr>
                <w:ilvl w:val="0"/>
                <w:numId w:val="16"/>
              </w:numPr>
              <w:tabs>
                <w:tab w:val="left" w:pos="321"/>
              </w:tabs>
              <w:spacing w:before="60" w:after="60" w:line="240" w:lineRule="auto"/>
              <w:ind w:left="321" w:hanging="284"/>
              <w:jc w:val="left"/>
              <w:rPr>
                <w:rFonts w:ascii="Arial" w:hAnsi="Arial" w:cs="Arial"/>
                <w:sz w:val="16"/>
                <w:szCs w:val="16"/>
              </w:rPr>
            </w:pPr>
            <w:r w:rsidRPr="0087176A">
              <w:rPr>
                <w:rFonts w:ascii="Arial" w:hAnsi="Arial" w:cs="Arial"/>
                <w:sz w:val="16"/>
                <w:szCs w:val="16"/>
              </w:rPr>
              <w:t>setting the amount of revenue that network businesses can recover from customers for using these networks and promoting efficient pricing structures</w:t>
            </w:r>
          </w:p>
          <w:p w:rsidR="001A6B6B" w:rsidRPr="0087176A" w:rsidRDefault="001A6B6B" w:rsidP="008669DC">
            <w:pPr>
              <w:numPr>
                <w:ilvl w:val="0"/>
                <w:numId w:val="16"/>
              </w:numPr>
              <w:tabs>
                <w:tab w:val="left" w:pos="321"/>
              </w:tabs>
              <w:spacing w:before="60" w:after="60" w:line="240" w:lineRule="auto"/>
              <w:ind w:left="321" w:hanging="284"/>
              <w:jc w:val="left"/>
              <w:rPr>
                <w:rFonts w:ascii="Arial" w:hAnsi="Arial" w:cs="Arial"/>
                <w:sz w:val="16"/>
                <w:szCs w:val="16"/>
              </w:rPr>
            </w:pPr>
            <w:r w:rsidRPr="0087176A">
              <w:rPr>
                <w:rFonts w:ascii="Arial" w:hAnsi="Arial" w:cs="Arial"/>
                <w:sz w:val="16"/>
                <w:szCs w:val="16"/>
              </w:rPr>
              <w:t xml:space="preserve">regulating retail energy markets in Queensland, New South Wales, South Australia, Tasmania (electricity only) and the Australian Capital Territory </w:t>
            </w:r>
          </w:p>
          <w:p w:rsidR="001A6B6B" w:rsidRPr="0087176A" w:rsidRDefault="001A6B6B" w:rsidP="008669DC">
            <w:pPr>
              <w:numPr>
                <w:ilvl w:val="0"/>
                <w:numId w:val="16"/>
              </w:numPr>
              <w:tabs>
                <w:tab w:val="left" w:pos="321"/>
              </w:tabs>
              <w:spacing w:before="60" w:after="60" w:line="240" w:lineRule="auto"/>
              <w:ind w:left="321" w:hanging="284"/>
              <w:jc w:val="left"/>
              <w:rPr>
                <w:rFonts w:ascii="Arial" w:hAnsi="Arial" w:cs="Arial"/>
                <w:sz w:val="16"/>
                <w:szCs w:val="16"/>
              </w:rPr>
            </w:pPr>
            <w:r w:rsidRPr="0087176A">
              <w:rPr>
                <w:rFonts w:ascii="Arial" w:hAnsi="Arial" w:cs="Arial"/>
                <w:sz w:val="16"/>
                <w:szCs w:val="16"/>
              </w:rPr>
              <w:t xml:space="preserve">operating Energy Made Easy, a price comparison website and providing other information for energy consumers, and </w:t>
            </w:r>
          </w:p>
          <w:p w:rsidR="001A6B6B" w:rsidRPr="0087176A" w:rsidRDefault="001A6B6B" w:rsidP="008669DC">
            <w:pPr>
              <w:numPr>
                <w:ilvl w:val="0"/>
                <w:numId w:val="16"/>
              </w:numPr>
              <w:tabs>
                <w:tab w:val="left" w:pos="321"/>
              </w:tabs>
              <w:spacing w:before="60" w:after="60" w:line="240" w:lineRule="auto"/>
              <w:ind w:left="321" w:hanging="284"/>
              <w:jc w:val="left"/>
              <w:rPr>
                <w:rFonts w:ascii="Arial" w:hAnsi="Arial" w:cs="Arial"/>
                <w:sz w:val="16"/>
                <w:szCs w:val="16"/>
              </w:rPr>
            </w:pPr>
            <w:r w:rsidRPr="0087176A">
              <w:rPr>
                <w:rFonts w:ascii="Arial" w:hAnsi="Arial" w:cs="Arial"/>
                <w:sz w:val="16"/>
                <w:szCs w:val="16"/>
              </w:rPr>
              <w:t>publishing information on energy markets, including the annual State of the energy market report, and reports on effective competition to assist stakeholders and the wider community.</w:t>
            </w:r>
          </w:p>
        </w:tc>
      </w:tr>
      <w:tr w:rsidR="0087176A" w:rsidRPr="0087176A" w:rsidTr="008341B9">
        <w:tc>
          <w:tcPr>
            <w:tcW w:w="7818" w:type="dxa"/>
            <w:gridSpan w:val="4"/>
            <w:tcBorders>
              <w:top w:val="double" w:sz="4" w:space="0" w:color="auto"/>
              <w:bottom w:val="double" w:sz="4" w:space="0" w:color="auto"/>
            </w:tcBorders>
            <w:shd w:val="clear" w:color="auto" w:fill="auto"/>
          </w:tcPr>
          <w:p w:rsidR="001A6B6B" w:rsidRPr="0087176A" w:rsidRDefault="001A6B6B" w:rsidP="008669DC">
            <w:pPr>
              <w:tabs>
                <w:tab w:val="left" w:pos="709"/>
              </w:tabs>
              <w:spacing w:before="60" w:after="60" w:line="240" w:lineRule="auto"/>
              <w:jc w:val="left"/>
              <w:rPr>
                <w:rFonts w:ascii="Arial" w:hAnsi="Arial" w:cs="Arial"/>
                <w:b/>
                <w:sz w:val="16"/>
                <w:szCs w:val="16"/>
              </w:rPr>
            </w:pPr>
            <w:r w:rsidRPr="0087176A">
              <w:rPr>
                <w:rFonts w:ascii="Arial" w:hAnsi="Arial" w:cs="Arial"/>
                <w:b/>
                <w:sz w:val="16"/>
                <w:szCs w:val="16"/>
              </w:rPr>
              <w:t>Performance information</w:t>
            </w:r>
          </w:p>
        </w:tc>
      </w:tr>
      <w:tr w:rsidR="0087176A" w:rsidRPr="0087176A" w:rsidTr="008341B9">
        <w:tc>
          <w:tcPr>
            <w:tcW w:w="4865" w:type="dxa"/>
            <w:gridSpan w:val="2"/>
            <w:tcBorders>
              <w:top w:val="double" w:sz="4" w:space="0" w:color="auto"/>
              <w:bottom w:val="single" w:sz="4" w:space="0" w:color="auto"/>
              <w:right w:val="single" w:sz="4" w:space="0" w:color="auto"/>
            </w:tcBorders>
          </w:tcPr>
          <w:p w:rsidR="001A6B6B" w:rsidRPr="0087176A" w:rsidRDefault="001A6B6B" w:rsidP="008669DC">
            <w:pPr>
              <w:tabs>
                <w:tab w:val="left" w:pos="709"/>
              </w:tabs>
              <w:spacing w:before="60" w:after="60" w:line="240" w:lineRule="auto"/>
              <w:jc w:val="left"/>
              <w:rPr>
                <w:rFonts w:ascii="Arial" w:hAnsi="Arial" w:cs="Arial"/>
                <w:b/>
                <w:sz w:val="16"/>
                <w:szCs w:val="16"/>
              </w:rPr>
            </w:pPr>
            <w:r w:rsidRPr="0087176A">
              <w:rPr>
                <w:rFonts w:ascii="Arial" w:hAnsi="Arial" w:cs="Arial"/>
                <w:b/>
                <w:sz w:val="16"/>
                <w:szCs w:val="16"/>
              </w:rPr>
              <w:t>Performance criteria</w:t>
            </w:r>
          </w:p>
        </w:tc>
        <w:tc>
          <w:tcPr>
            <w:tcW w:w="1687" w:type="dxa"/>
            <w:tcBorders>
              <w:top w:val="double" w:sz="4" w:space="0" w:color="auto"/>
              <w:left w:val="single" w:sz="4" w:space="0" w:color="auto"/>
              <w:bottom w:val="single" w:sz="4" w:space="0" w:color="auto"/>
              <w:right w:val="single" w:sz="4" w:space="0" w:color="auto"/>
            </w:tcBorders>
          </w:tcPr>
          <w:p w:rsidR="001A6B6B" w:rsidRPr="0087176A" w:rsidRDefault="001A6B6B" w:rsidP="008669DC">
            <w:pPr>
              <w:tabs>
                <w:tab w:val="left" w:pos="709"/>
              </w:tabs>
              <w:spacing w:before="60" w:after="60" w:line="240" w:lineRule="auto"/>
              <w:jc w:val="left"/>
              <w:rPr>
                <w:rFonts w:ascii="Arial" w:hAnsi="Arial" w:cs="Arial"/>
                <w:b/>
                <w:sz w:val="16"/>
                <w:szCs w:val="16"/>
              </w:rPr>
            </w:pPr>
            <w:r w:rsidRPr="0087176A">
              <w:rPr>
                <w:rFonts w:ascii="Arial" w:hAnsi="Arial" w:cs="Arial"/>
                <w:b/>
                <w:sz w:val="16"/>
                <w:szCs w:val="16"/>
              </w:rPr>
              <w:t>Forecast result against 2017-18 target</w:t>
            </w:r>
          </w:p>
        </w:tc>
        <w:tc>
          <w:tcPr>
            <w:tcW w:w="1266" w:type="dxa"/>
            <w:tcBorders>
              <w:top w:val="double" w:sz="4" w:space="0" w:color="auto"/>
              <w:left w:val="single" w:sz="4" w:space="0" w:color="auto"/>
              <w:bottom w:val="single" w:sz="4" w:space="0" w:color="auto"/>
            </w:tcBorders>
          </w:tcPr>
          <w:p w:rsidR="001A6B6B" w:rsidRPr="0087176A" w:rsidRDefault="001A6B6B" w:rsidP="008669DC">
            <w:pPr>
              <w:tabs>
                <w:tab w:val="left" w:pos="709"/>
              </w:tabs>
              <w:spacing w:before="60" w:after="60" w:line="240" w:lineRule="auto"/>
              <w:jc w:val="left"/>
              <w:rPr>
                <w:rFonts w:ascii="Arial" w:hAnsi="Arial" w:cs="Arial"/>
                <w:b/>
                <w:sz w:val="16"/>
                <w:szCs w:val="16"/>
              </w:rPr>
            </w:pPr>
            <w:r w:rsidRPr="0087176A">
              <w:rPr>
                <w:rFonts w:ascii="Arial" w:hAnsi="Arial" w:cs="Arial"/>
                <w:b/>
                <w:sz w:val="16"/>
                <w:szCs w:val="16"/>
              </w:rPr>
              <w:t>2018-19 and forward year targets</w:t>
            </w:r>
          </w:p>
        </w:tc>
      </w:tr>
      <w:tr w:rsidR="0087176A" w:rsidRPr="0087176A" w:rsidTr="00946319">
        <w:trPr>
          <w:trHeight w:val="434"/>
        </w:trPr>
        <w:tc>
          <w:tcPr>
            <w:tcW w:w="4865" w:type="dxa"/>
            <w:gridSpan w:val="2"/>
            <w:tcBorders>
              <w:top w:val="single" w:sz="4" w:space="0" w:color="auto"/>
              <w:left w:val="single" w:sz="4" w:space="0" w:color="auto"/>
              <w:bottom w:val="single" w:sz="4" w:space="0" w:color="auto"/>
              <w:right w:val="single" w:sz="4" w:space="0" w:color="auto"/>
            </w:tcBorders>
          </w:tcPr>
          <w:p w:rsidR="001A6B6B" w:rsidRPr="0087176A" w:rsidRDefault="001A6B6B" w:rsidP="008669DC">
            <w:pPr>
              <w:tabs>
                <w:tab w:val="left" w:pos="709"/>
              </w:tabs>
              <w:spacing w:before="60" w:after="60" w:line="240" w:lineRule="auto"/>
              <w:jc w:val="left"/>
              <w:rPr>
                <w:rFonts w:ascii="Arial" w:hAnsi="Arial" w:cs="Arial"/>
                <w:sz w:val="16"/>
                <w:szCs w:val="16"/>
              </w:rPr>
            </w:pPr>
            <w:r w:rsidRPr="0087176A">
              <w:rPr>
                <w:rFonts w:ascii="Arial" w:hAnsi="Arial" w:cs="Arial"/>
                <w:sz w:val="16"/>
                <w:szCs w:val="16"/>
              </w:rPr>
              <w:t>Number of completed revenue decisions for electricity networks and gas pipelines</w:t>
            </w:r>
          </w:p>
        </w:tc>
        <w:tc>
          <w:tcPr>
            <w:tcW w:w="1687" w:type="dxa"/>
            <w:tcBorders>
              <w:top w:val="single" w:sz="4" w:space="0" w:color="auto"/>
              <w:left w:val="single" w:sz="4" w:space="0" w:color="auto"/>
              <w:bottom w:val="single" w:sz="4" w:space="0" w:color="auto"/>
              <w:right w:val="single" w:sz="4" w:space="0" w:color="auto"/>
            </w:tcBorders>
          </w:tcPr>
          <w:p w:rsidR="001A6B6B" w:rsidRPr="0087176A" w:rsidRDefault="001A6B6B" w:rsidP="008669DC">
            <w:pPr>
              <w:tabs>
                <w:tab w:val="left" w:pos="709"/>
              </w:tabs>
              <w:spacing w:before="60" w:after="60" w:line="240" w:lineRule="auto"/>
              <w:jc w:val="left"/>
              <w:rPr>
                <w:rFonts w:ascii="Arial" w:hAnsi="Arial" w:cs="Arial"/>
                <w:sz w:val="16"/>
                <w:szCs w:val="16"/>
              </w:rPr>
            </w:pPr>
            <w:r w:rsidRPr="0087176A">
              <w:rPr>
                <w:rFonts w:ascii="Arial" w:hAnsi="Arial" w:cs="Arial"/>
                <w:sz w:val="16"/>
                <w:szCs w:val="16"/>
              </w:rPr>
              <w:t>Will achieve target of 8</w:t>
            </w:r>
          </w:p>
        </w:tc>
        <w:tc>
          <w:tcPr>
            <w:tcW w:w="1266" w:type="dxa"/>
            <w:tcBorders>
              <w:top w:val="single" w:sz="4" w:space="0" w:color="auto"/>
              <w:left w:val="single" w:sz="4" w:space="0" w:color="auto"/>
              <w:bottom w:val="single" w:sz="4" w:space="0" w:color="auto"/>
              <w:right w:val="single" w:sz="4" w:space="0" w:color="auto"/>
            </w:tcBorders>
          </w:tcPr>
          <w:p w:rsidR="001A6B6B" w:rsidRPr="0087176A" w:rsidRDefault="001A6B6B" w:rsidP="008669DC">
            <w:pPr>
              <w:tabs>
                <w:tab w:val="left" w:pos="709"/>
              </w:tabs>
              <w:spacing w:before="60" w:after="60" w:line="240" w:lineRule="auto"/>
              <w:jc w:val="center"/>
              <w:rPr>
                <w:rFonts w:ascii="Arial" w:hAnsi="Arial" w:cs="Arial"/>
                <w:sz w:val="16"/>
                <w:szCs w:val="16"/>
              </w:rPr>
            </w:pPr>
            <w:r w:rsidRPr="0087176A">
              <w:rPr>
                <w:rFonts w:ascii="Arial" w:hAnsi="Arial" w:cs="Arial"/>
                <w:sz w:val="16"/>
                <w:szCs w:val="16"/>
              </w:rPr>
              <w:t>7 in 2018-19</w:t>
            </w:r>
            <w:r w:rsidRPr="0087176A">
              <w:rPr>
                <w:rFonts w:ascii="Arial" w:hAnsi="Arial" w:cs="Arial"/>
                <w:sz w:val="16"/>
                <w:szCs w:val="16"/>
              </w:rPr>
              <w:br/>
              <w:t>5 in 2019-20</w:t>
            </w:r>
            <w:r w:rsidRPr="0087176A">
              <w:rPr>
                <w:rFonts w:ascii="Arial" w:hAnsi="Arial" w:cs="Arial"/>
                <w:sz w:val="16"/>
                <w:szCs w:val="16"/>
              </w:rPr>
              <w:br/>
              <w:t>8 in 2020-21</w:t>
            </w:r>
          </w:p>
        </w:tc>
      </w:tr>
      <w:tr w:rsidR="0087176A" w:rsidRPr="0087176A" w:rsidTr="00946319">
        <w:trPr>
          <w:trHeight w:val="585"/>
        </w:trPr>
        <w:tc>
          <w:tcPr>
            <w:tcW w:w="4865" w:type="dxa"/>
            <w:gridSpan w:val="2"/>
            <w:tcBorders>
              <w:top w:val="single" w:sz="4" w:space="0" w:color="auto"/>
              <w:left w:val="single" w:sz="4" w:space="0" w:color="auto"/>
              <w:bottom w:val="single" w:sz="4" w:space="0" w:color="auto"/>
              <w:right w:val="single" w:sz="4" w:space="0" w:color="auto"/>
            </w:tcBorders>
          </w:tcPr>
          <w:p w:rsidR="001A6B6B" w:rsidRPr="0087176A" w:rsidRDefault="001A6B6B" w:rsidP="008669DC">
            <w:pPr>
              <w:tabs>
                <w:tab w:val="left" w:pos="709"/>
              </w:tabs>
              <w:spacing w:before="60" w:after="60" w:line="240" w:lineRule="auto"/>
              <w:jc w:val="left"/>
              <w:rPr>
                <w:rFonts w:ascii="Arial" w:hAnsi="Arial" w:cs="Arial"/>
                <w:sz w:val="16"/>
                <w:szCs w:val="16"/>
              </w:rPr>
            </w:pPr>
            <w:r w:rsidRPr="0087176A">
              <w:rPr>
                <w:rFonts w:ascii="Arial" w:hAnsi="Arial" w:cs="Arial"/>
                <w:sz w:val="16"/>
                <w:szCs w:val="16"/>
              </w:rPr>
              <w:t>Number of annual benchmarking reports on electricity networks</w:t>
            </w:r>
          </w:p>
        </w:tc>
        <w:tc>
          <w:tcPr>
            <w:tcW w:w="1687" w:type="dxa"/>
            <w:tcBorders>
              <w:top w:val="single" w:sz="4" w:space="0" w:color="auto"/>
              <w:left w:val="single" w:sz="4" w:space="0" w:color="auto"/>
              <w:bottom w:val="single" w:sz="4" w:space="0" w:color="auto"/>
              <w:right w:val="single" w:sz="4" w:space="0" w:color="auto"/>
            </w:tcBorders>
          </w:tcPr>
          <w:p w:rsidR="001A6B6B" w:rsidRPr="0087176A" w:rsidRDefault="001A6B6B" w:rsidP="008669DC">
            <w:pPr>
              <w:tabs>
                <w:tab w:val="left" w:pos="709"/>
              </w:tabs>
              <w:spacing w:before="60" w:after="60" w:line="240" w:lineRule="auto"/>
              <w:jc w:val="left"/>
              <w:rPr>
                <w:rFonts w:ascii="Arial" w:hAnsi="Arial" w:cs="Arial"/>
                <w:sz w:val="16"/>
                <w:szCs w:val="16"/>
              </w:rPr>
            </w:pPr>
            <w:r w:rsidRPr="0087176A">
              <w:rPr>
                <w:rFonts w:ascii="Arial" w:hAnsi="Arial" w:cs="Arial"/>
                <w:sz w:val="16"/>
                <w:szCs w:val="16"/>
              </w:rPr>
              <w:t>Achieved target of 1</w:t>
            </w:r>
          </w:p>
        </w:tc>
        <w:tc>
          <w:tcPr>
            <w:tcW w:w="1266" w:type="dxa"/>
            <w:tcBorders>
              <w:top w:val="single" w:sz="4" w:space="0" w:color="auto"/>
              <w:left w:val="single" w:sz="4" w:space="0" w:color="auto"/>
              <w:bottom w:val="single" w:sz="4" w:space="0" w:color="auto"/>
              <w:right w:val="single" w:sz="4" w:space="0" w:color="auto"/>
            </w:tcBorders>
          </w:tcPr>
          <w:p w:rsidR="001A6B6B" w:rsidRPr="0087176A" w:rsidRDefault="001A6B6B" w:rsidP="008669DC">
            <w:pPr>
              <w:tabs>
                <w:tab w:val="left" w:pos="709"/>
              </w:tabs>
              <w:spacing w:before="60" w:after="60" w:line="240" w:lineRule="auto"/>
              <w:jc w:val="center"/>
              <w:rPr>
                <w:rFonts w:ascii="Arial" w:hAnsi="Arial" w:cs="Arial"/>
                <w:sz w:val="16"/>
                <w:szCs w:val="16"/>
              </w:rPr>
            </w:pPr>
            <w:r w:rsidRPr="0087176A">
              <w:rPr>
                <w:rFonts w:ascii="Arial" w:hAnsi="Arial" w:cs="Arial"/>
                <w:sz w:val="16"/>
                <w:szCs w:val="16"/>
              </w:rPr>
              <w:t>1</w:t>
            </w:r>
          </w:p>
        </w:tc>
      </w:tr>
      <w:tr w:rsidR="0087176A" w:rsidRPr="0087176A" w:rsidTr="00946319">
        <w:trPr>
          <w:trHeight w:val="585"/>
        </w:trPr>
        <w:tc>
          <w:tcPr>
            <w:tcW w:w="4865" w:type="dxa"/>
            <w:gridSpan w:val="2"/>
            <w:tcBorders>
              <w:top w:val="single" w:sz="4" w:space="0" w:color="auto"/>
              <w:left w:val="single" w:sz="4" w:space="0" w:color="auto"/>
              <w:bottom w:val="single" w:sz="4" w:space="0" w:color="auto"/>
              <w:right w:val="single" w:sz="4" w:space="0" w:color="auto"/>
            </w:tcBorders>
          </w:tcPr>
          <w:p w:rsidR="001A6B6B" w:rsidRPr="0087176A" w:rsidRDefault="001A6B6B" w:rsidP="008669DC">
            <w:pPr>
              <w:tabs>
                <w:tab w:val="left" w:pos="709"/>
              </w:tabs>
              <w:spacing w:before="60" w:after="60" w:line="240" w:lineRule="auto"/>
              <w:jc w:val="left"/>
              <w:rPr>
                <w:rFonts w:ascii="Arial" w:hAnsi="Arial" w:cs="Arial"/>
                <w:sz w:val="16"/>
                <w:szCs w:val="16"/>
              </w:rPr>
            </w:pPr>
            <w:r w:rsidRPr="0087176A">
              <w:rPr>
                <w:rFonts w:ascii="Arial" w:hAnsi="Arial" w:cs="Arial"/>
                <w:sz w:val="16"/>
                <w:szCs w:val="16"/>
              </w:rPr>
              <w:t>Percentage of disputes resolved within legislated timeframes, including on network access and connections, and regulatory investment tests</w:t>
            </w:r>
          </w:p>
        </w:tc>
        <w:tc>
          <w:tcPr>
            <w:tcW w:w="1687" w:type="dxa"/>
            <w:tcBorders>
              <w:top w:val="single" w:sz="4" w:space="0" w:color="auto"/>
              <w:left w:val="single" w:sz="4" w:space="0" w:color="auto"/>
              <w:bottom w:val="single" w:sz="4" w:space="0" w:color="auto"/>
              <w:right w:val="single" w:sz="4" w:space="0" w:color="auto"/>
            </w:tcBorders>
          </w:tcPr>
          <w:p w:rsidR="001A6B6B" w:rsidRPr="0087176A" w:rsidRDefault="001A6B6B" w:rsidP="008669DC">
            <w:pPr>
              <w:tabs>
                <w:tab w:val="left" w:pos="709"/>
              </w:tabs>
              <w:spacing w:before="60" w:after="60" w:line="240" w:lineRule="auto"/>
              <w:jc w:val="left"/>
              <w:rPr>
                <w:rFonts w:ascii="Arial" w:hAnsi="Arial" w:cs="Arial"/>
                <w:sz w:val="16"/>
                <w:szCs w:val="16"/>
              </w:rPr>
            </w:pPr>
            <w:r w:rsidRPr="0087176A">
              <w:rPr>
                <w:rFonts w:ascii="Arial" w:hAnsi="Arial" w:cs="Arial"/>
                <w:sz w:val="16"/>
                <w:szCs w:val="16"/>
              </w:rPr>
              <w:t>Expect to achieve target of 100%</w:t>
            </w:r>
          </w:p>
        </w:tc>
        <w:tc>
          <w:tcPr>
            <w:tcW w:w="1266" w:type="dxa"/>
            <w:tcBorders>
              <w:top w:val="single" w:sz="4" w:space="0" w:color="auto"/>
              <w:left w:val="single" w:sz="4" w:space="0" w:color="auto"/>
              <w:bottom w:val="single" w:sz="4" w:space="0" w:color="auto"/>
              <w:right w:val="single" w:sz="4" w:space="0" w:color="auto"/>
            </w:tcBorders>
          </w:tcPr>
          <w:p w:rsidR="001A6B6B" w:rsidRPr="0087176A" w:rsidRDefault="001A6B6B" w:rsidP="008669DC">
            <w:pPr>
              <w:tabs>
                <w:tab w:val="left" w:pos="709"/>
              </w:tabs>
              <w:spacing w:before="60" w:after="60" w:line="240" w:lineRule="auto"/>
              <w:jc w:val="center"/>
              <w:rPr>
                <w:rFonts w:ascii="Arial" w:hAnsi="Arial" w:cs="Arial"/>
                <w:sz w:val="16"/>
                <w:szCs w:val="16"/>
              </w:rPr>
            </w:pPr>
            <w:r w:rsidRPr="0087176A">
              <w:rPr>
                <w:rFonts w:ascii="Arial" w:hAnsi="Arial" w:cs="Arial"/>
                <w:sz w:val="16"/>
                <w:szCs w:val="16"/>
              </w:rPr>
              <w:t>100%</w:t>
            </w:r>
          </w:p>
        </w:tc>
      </w:tr>
      <w:tr w:rsidR="0087176A" w:rsidRPr="0087176A" w:rsidTr="00946319">
        <w:trPr>
          <w:trHeight w:val="585"/>
        </w:trPr>
        <w:tc>
          <w:tcPr>
            <w:tcW w:w="4865" w:type="dxa"/>
            <w:gridSpan w:val="2"/>
            <w:tcBorders>
              <w:top w:val="single" w:sz="4" w:space="0" w:color="auto"/>
              <w:left w:val="single" w:sz="4" w:space="0" w:color="auto"/>
              <w:bottom w:val="single" w:sz="4" w:space="0" w:color="auto"/>
              <w:right w:val="single" w:sz="4" w:space="0" w:color="auto"/>
            </w:tcBorders>
          </w:tcPr>
          <w:p w:rsidR="001A6B6B" w:rsidRPr="0087176A" w:rsidRDefault="001A6B6B" w:rsidP="008669DC">
            <w:pPr>
              <w:tabs>
                <w:tab w:val="left" w:pos="709"/>
              </w:tabs>
              <w:spacing w:before="60" w:after="60" w:line="240" w:lineRule="auto"/>
              <w:jc w:val="left"/>
              <w:rPr>
                <w:rFonts w:ascii="Arial" w:hAnsi="Arial" w:cs="Arial"/>
                <w:sz w:val="16"/>
                <w:szCs w:val="16"/>
              </w:rPr>
            </w:pPr>
            <w:r w:rsidRPr="0087176A">
              <w:rPr>
                <w:rFonts w:ascii="Arial" w:hAnsi="Arial" w:cs="Arial"/>
                <w:sz w:val="16"/>
                <w:szCs w:val="16"/>
              </w:rPr>
              <w:t>Number of electricity distribution annual pricing (tariff) proposals and annual gas tariff variations approved</w:t>
            </w:r>
          </w:p>
        </w:tc>
        <w:tc>
          <w:tcPr>
            <w:tcW w:w="1687" w:type="dxa"/>
            <w:tcBorders>
              <w:top w:val="single" w:sz="4" w:space="0" w:color="auto"/>
              <w:left w:val="single" w:sz="4" w:space="0" w:color="auto"/>
              <w:bottom w:val="single" w:sz="4" w:space="0" w:color="auto"/>
              <w:right w:val="single" w:sz="4" w:space="0" w:color="auto"/>
            </w:tcBorders>
          </w:tcPr>
          <w:p w:rsidR="001A6B6B" w:rsidRPr="0087176A" w:rsidRDefault="001A6B6B" w:rsidP="008669DC">
            <w:pPr>
              <w:tabs>
                <w:tab w:val="left" w:pos="709"/>
              </w:tabs>
              <w:spacing w:before="60" w:after="60" w:line="240" w:lineRule="auto"/>
              <w:jc w:val="left"/>
              <w:rPr>
                <w:rFonts w:ascii="Arial" w:hAnsi="Arial" w:cs="Arial"/>
                <w:sz w:val="16"/>
                <w:szCs w:val="16"/>
              </w:rPr>
            </w:pPr>
            <w:r w:rsidRPr="0087176A">
              <w:rPr>
                <w:rFonts w:ascii="Arial" w:hAnsi="Arial" w:cs="Arial"/>
                <w:sz w:val="16"/>
                <w:szCs w:val="16"/>
              </w:rPr>
              <w:t>Achieved target of 24 (14 for electricity and 10 for gas)</w:t>
            </w:r>
          </w:p>
        </w:tc>
        <w:tc>
          <w:tcPr>
            <w:tcW w:w="1266" w:type="dxa"/>
            <w:tcBorders>
              <w:top w:val="single" w:sz="4" w:space="0" w:color="auto"/>
              <w:left w:val="single" w:sz="4" w:space="0" w:color="auto"/>
              <w:bottom w:val="single" w:sz="4" w:space="0" w:color="auto"/>
              <w:right w:val="single" w:sz="4" w:space="0" w:color="auto"/>
            </w:tcBorders>
          </w:tcPr>
          <w:p w:rsidR="001A6B6B" w:rsidRPr="0087176A" w:rsidRDefault="001A6B6B" w:rsidP="008669DC">
            <w:pPr>
              <w:tabs>
                <w:tab w:val="left" w:pos="709"/>
              </w:tabs>
              <w:spacing w:before="60" w:after="60" w:line="240" w:lineRule="auto"/>
              <w:jc w:val="center"/>
              <w:rPr>
                <w:rFonts w:ascii="Arial" w:hAnsi="Arial" w:cs="Arial"/>
                <w:sz w:val="16"/>
                <w:szCs w:val="16"/>
              </w:rPr>
            </w:pPr>
            <w:r w:rsidRPr="0087176A">
              <w:rPr>
                <w:rFonts w:ascii="Arial" w:hAnsi="Arial" w:cs="Arial"/>
                <w:sz w:val="16"/>
                <w:szCs w:val="16"/>
              </w:rPr>
              <w:t xml:space="preserve">22 </w:t>
            </w:r>
            <w:r w:rsidRPr="0087176A">
              <w:rPr>
                <w:rFonts w:ascii="Arial" w:hAnsi="Arial" w:cs="Arial"/>
                <w:sz w:val="16"/>
                <w:szCs w:val="16"/>
              </w:rPr>
              <w:br/>
              <w:t>(14 electricity and 8 gas)</w:t>
            </w:r>
          </w:p>
        </w:tc>
      </w:tr>
      <w:tr w:rsidR="0087176A" w:rsidRPr="0087176A" w:rsidTr="00946319">
        <w:trPr>
          <w:trHeight w:val="585"/>
        </w:trPr>
        <w:tc>
          <w:tcPr>
            <w:tcW w:w="4865" w:type="dxa"/>
            <w:gridSpan w:val="2"/>
            <w:tcBorders>
              <w:top w:val="single" w:sz="4" w:space="0" w:color="auto"/>
              <w:left w:val="single" w:sz="4" w:space="0" w:color="auto"/>
              <w:bottom w:val="single" w:sz="4" w:space="0" w:color="auto"/>
              <w:right w:val="single" w:sz="4" w:space="0" w:color="auto"/>
            </w:tcBorders>
          </w:tcPr>
          <w:p w:rsidR="001A6B6B" w:rsidRPr="0087176A" w:rsidRDefault="001A6B6B" w:rsidP="008669DC">
            <w:pPr>
              <w:tabs>
                <w:tab w:val="left" w:pos="709"/>
              </w:tabs>
              <w:spacing w:before="60" w:after="60" w:line="240" w:lineRule="auto"/>
              <w:jc w:val="left"/>
              <w:rPr>
                <w:rFonts w:ascii="Arial" w:hAnsi="Arial" w:cs="Arial"/>
                <w:sz w:val="16"/>
                <w:szCs w:val="16"/>
              </w:rPr>
            </w:pPr>
            <w:r w:rsidRPr="0087176A">
              <w:rPr>
                <w:rFonts w:ascii="Arial" w:hAnsi="Arial" w:cs="Arial"/>
                <w:sz w:val="16"/>
                <w:szCs w:val="16"/>
              </w:rPr>
              <w:t>Number of annual reports on compliance in, and performance of, retail energy markets</w:t>
            </w:r>
            <w:r w:rsidR="006226BF">
              <w:rPr>
                <w:rFonts w:ascii="Arial" w:hAnsi="Arial" w:cs="Arial"/>
                <w:sz w:val="16"/>
                <w:szCs w:val="16"/>
              </w:rPr>
              <w:t xml:space="preserve"> </w:t>
            </w:r>
          </w:p>
        </w:tc>
        <w:tc>
          <w:tcPr>
            <w:tcW w:w="1687" w:type="dxa"/>
            <w:tcBorders>
              <w:top w:val="single" w:sz="4" w:space="0" w:color="auto"/>
              <w:left w:val="single" w:sz="4" w:space="0" w:color="auto"/>
              <w:bottom w:val="single" w:sz="4" w:space="0" w:color="auto"/>
              <w:right w:val="single" w:sz="4" w:space="0" w:color="auto"/>
            </w:tcBorders>
          </w:tcPr>
          <w:p w:rsidR="001A6B6B" w:rsidRPr="0087176A" w:rsidRDefault="001A6B6B" w:rsidP="008669DC">
            <w:pPr>
              <w:tabs>
                <w:tab w:val="left" w:pos="709"/>
              </w:tabs>
              <w:spacing w:before="60" w:after="60" w:line="240" w:lineRule="auto"/>
              <w:jc w:val="left"/>
              <w:rPr>
                <w:rFonts w:ascii="Arial" w:hAnsi="Arial" w:cs="Arial"/>
                <w:sz w:val="16"/>
                <w:szCs w:val="16"/>
              </w:rPr>
            </w:pPr>
            <w:r w:rsidRPr="0087176A">
              <w:rPr>
                <w:rFonts w:ascii="Arial" w:hAnsi="Arial" w:cs="Arial"/>
                <w:sz w:val="16"/>
                <w:szCs w:val="16"/>
              </w:rPr>
              <w:t>Achieved target of 2</w:t>
            </w:r>
          </w:p>
        </w:tc>
        <w:tc>
          <w:tcPr>
            <w:tcW w:w="1266" w:type="dxa"/>
            <w:tcBorders>
              <w:top w:val="single" w:sz="4" w:space="0" w:color="auto"/>
              <w:left w:val="single" w:sz="4" w:space="0" w:color="auto"/>
              <w:bottom w:val="single" w:sz="4" w:space="0" w:color="auto"/>
              <w:right w:val="single" w:sz="4" w:space="0" w:color="auto"/>
            </w:tcBorders>
          </w:tcPr>
          <w:p w:rsidR="001A6B6B" w:rsidRPr="0087176A" w:rsidRDefault="001A6B6B" w:rsidP="008669DC">
            <w:pPr>
              <w:tabs>
                <w:tab w:val="left" w:pos="709"/>
              </w:tabs>
              <w:spacing w:before="60" w:after="60" w:line="240" w:lineRule="auto"/>
              <w:jc w:val="center"/>
              <w:rPr>
                <w:rFonts w:ascii="Arial" w:hAnsi="Arial" w:cs="Arial"/>
                <w:sz w:val="16"/>
                <w:szCs w:val="16"/>
              </w:rPr>
            </w:pPr>
            <w:r w:rsidRPr="0087176A">
              <w:rPr>
                <w:rFonts w:ascii="Arial" w:hAnsi="Arial" w:cs="Arial"/>
                <w:sz w:val="16"/>
                <w:szCs w:val="16"/>
              </w:rPr>
              <w:t>2</w:t>
            </w:r>
          </w:p>
        </w:tc>
      </w:tr>
      <w:tr w:rsidR="0087176A" w:rsidRPr="0087176A" w:rsidTr="00946319">
        <w:trPr>
          <w:trHeight w:val="434"/>
        </w:trPr>
        <w:tc>
          <w:tcPr>
            <w:tcW w:w="4865" w:type="dxa"/>
            <w:gridSpan w:val="2"/>
            <w:tcBorders>
              <w:top w:val="single" w:sz="4" w:space="0" w:color="auto"/>
              <w:right w:val="single" w:sz="4" w:space="0" w:color="auto"/>
            </w:tcBorders>
          </w:tcPr>
          <w:p w:rsidR="001A6B6B" w:rsidRPr="0087176A" w:rsidRDefault="001A6B6B" w:rsidP="008669DC">
            <w:pPr>
              <w:tabs>
                <w:tab w:val="left" w:pos="709"/>
              </w:tabs>
              <w:spacing w:before="60" w:after="60" w:line="240" w:lineRule="auto"/>
              <w:jc w:val="left"/>
              <w:rPr>
                <w:rFonts w:ascii="Arial" w:hAnsi="Arial" w:cs="Arial"/>
                <w:sz w:val="16"/>
                <w:szCs w:val="16"/>
              </w:rPr>
            </w:pPr>
            <w:r w:rsidRPr="0087176A">
              <w:rPr>
                <w:rFonts w:ascii="Arial" w:hAnsi="Arial" w:cs="Arial"/>
                <w:sz w:val="16"/>
                <w:szCs w:val="16"/>
              </w:rPr>
              <w:t>Percentage of authorisation and exemption applications to sell energy assessed within 12 weeks of receiving required information</w:t>
            </w:r>
          </w:p>
        </w:tc>
        <w:tc>
          <w:tcPr>
            <w:tcW w:w="1687" w:type="dxa"/>
            <w:tcBorders>
              <w:top w:val="single" w:sz="4" w:space="0" w:color="auto"/>
              <w:left w:val="single" w:sz="4" w:space="0" w:color="auto"/>
              <w:bottom w:val="dotted" w:sz="4" w:space="0" w:color="auto"/>
              <w:right w:val="single" w:sz="4" w:space="0" w:color="auto"/>
            </w:tcBorders>
          </w:tcPr>
          <w:p w:rsidR="001A6B6B" w:rsidRPr="0087176A" w:rsidRDefault="001A6B6B" w:rsidP="008669DC">
            <w:pPr>
              <w:tabs>
                <w:tab w:val="left" w:pos="709"/>
              </w:tabs>
              <w:spacing w:before="60" w:after="60" w:line="240" w:lineRule="auto"/>
              <w:jc w:val="left"/>
              <w:rPr>
                <w:rFonts w:ascii="Arial" w:hAnsi="Arial" w:cs="Arial"/>
                <w:sz w:val="16"/>
                <w:szCs w:val="16"/>
              </w:rPr>
            </w:pPr>
            <w:r w:rsidRPr="0087176A">
              <w:rPr>
                <w:rFonts w:ascii="Arial" w:hAnsi="Arial" w:cs="Arial"/>
                <w:sz w:val="16"/>
                <w:szCs w:val="16"/>
              </w:rPr>
              <w:t>Unlikely to achieve target of 100%</w:t>
            </w:r>
          </w:p>
        </w:tc>
        <w:tc>
          <w:tcPr>
            <w:tcW w:w="1266" w:type="dxa"/>
            <w:tcBorders>
              <w:top w:val="single" w:sz="4" w:space="0" w:color="auto"/>
              <w:left w:val="single" w:sz="4" w:space="0" w:color="auto"/>
            </w:tcBorders>
          </w:tcPr>
          <w:p w:rsidR="001A6B6B" w:rsidRPr="0087176A" w:rsidRDefault="001A6B6B" w:rsidP="008669DC">
            <w:pPr>
              <w:tabs>
                <w:tab w:val="left" w:pos="709"/>
              </w:tabs>
              <w:spacing w:before="60" w:after="60" w:line="240" w:lineRule="auto"/>
              <w:jc w:val="center"/>
              <w:rPr>
                <w:rFonts w:ascii="Arial" w:hAnsi="Arial" w:cs="Arial"/>
                <w:sz w:val="16"/>
                <w:szCs w:val="16"/>
              </w:rPr>
            </w:pPr>
            <w:r w:rsidRPr="0087176A">
              <w:rPr>
                <w:rFonts w:ascii="Arial" w:hAnsi="Arial" w:cs="Arial"/>
                <w:sz w:val="16"/>
                <w:szCs w:val="16"/>
              </w:rPr>
              <w:t>100%</w:t>
            </w:r>
          </w:p>
        </w:tc>
      </w:tr>
      <w:tr w:rsidR="0087176A" w:rsidRPr="0087176A" w:rsidTr="00744078">
        <w:trPr>
          <w:trHeight w:val="434"/>
        </w:trPr>
        <w:tc>
          <w:tcPr>
            <w:tcW w:w="4865" w:type="dxa"/>
            <w:gridSpan w:val="2"/>
            <w:tcBorders>
              <w:top w:val="single" w:sz="4" w:space="0" w:color="auto"/>
              <w:right w:val="single" w:sz="4" w:space="0" w:color="auto"/>
            </w:tcBorders>
          </w:tcPr>
          <w:p w:rsidR="001A6B6B" w:rsidRPr="0087176A" w:rsidRDefault="001A6B6B" w:rsidP="008669DC">
            <w:pPr>
              <w:tabs>
                <w:tab w:val="left" w:pos="709"/>
              </w:tabs>
              <w:spacing w:before="60" w:after="60" w:line="240" w:lineRule="auto"/>
              <w:jc w:val="left"/>
              <w:rPr>
                <w:rFonts w:ascii="Arial" w:hAnsi="Arial" w:cs="Arial"/>
                <w:sz w:val="16"/>
                <w:szCs w:val="16"/>
              </w:rPr>
            </w:pPr>
            <w:r w:rsidRPr="0087176A">
              <w:rPr>
                <w:rFonts w:ascii="Arial" w:hAnsi="Arial" w:cs="Arial"/>
                <w:sz w:val="16"/>
                <w:szCs w:val="16"/>
              </w:rPr>
              <w:t>Percentage of new and amended retailer hardship policies assessed within 12 weeks of receiving required information</w:t>
            </w:r>
          </w:p>
        </w:tc>
        <w:tc>
          <w:tcPr>
            <w:tcW w:w="1687" w:type="dxa"/>
            <w:tcBorders>
              <w:top w:val="single" w:sz="4" w:space="0" w:color="auto"/>
              <w:left w:val="single" w:sz="4" w:space="0" w:color="auto"/>
              <w:bottom w:val="single" w:sz="4" w:space="0" w:color="auto"/>
              <w:right w:val="single" w:sz="4" w:space="0" w:color="auto"/>
            </w:tcBorders>
          </w:tcPr>
          <w:p w:rsidR="001A6B6B" w:rsidRPr="0087176A" w:rsidRDefault="001A6B6B" w:rsidP="008669DC">
            <w:pPr>
              <w:tabs>
                <w:tab w:val="left" w:pos="709"/>
              </w:tabs>
              <w:spacing w:before="60" w:after="60" w:line="240" w:lineRule="auto"/>
              <w:jc w:val="left"/>
              <w:rPr>
                <w:rFonts w:ascii="Arial" w:hAnsi="Arial" w:cs="Arial"/>
                <w:sz w:val="16"/>
                <w:szCs w:val="16"/>
              </w:rPr>
            </w:pPr>
            <w:r w:rsidRPr="0087176A">
              <w:rPr>
                <w:rFonts w:ascii="Arial" w:hAnsi="Arial" w:cs="Arial"/>
                <w:sz w:val="16"/>
                <w:szCs w:val="16"/>
              </w:rPr>
              <w:t>Expect to achieve target of 100%</w:t>
            </w:r>
          </w:p>
        </w:tc>
        <w:tc>
          <w:tcPr>
            <w:tcW w:w="1266" w:type="dxa"/>
            <w:tcBorders>
              <w:top w:val="single" w:sz="4" w:space="0" w:color="auto"/>
              <w:left w:val="single" w:sz="4" w:space="0" w:color="auto"/>
            </w:tcBorders>
          </w:tcPr>
          <w:p w:rsidR="001A6B6B" w:rsidRPr="0087176A" w:rsidRDefault="001A6B6B" w:rsidP="008669DC">
            <w:pPr>
              <w:tabs>
                <w:tab w:val="left" w:pos="709"/>
              </w:tabs>
              <w:spacing w:before="60" w:after="60" w:line="240" w:lineRule="auto"/>
              <w:jc w:val="center"/>
              <w:rPr>
                <w:rFonts w:ascii="Arial" w:hAnsi="Arial" w:cs="Arial"/>
                <w:sz w:val="16"/>
                <w:szCs w:val="16"/>
              </w:rPr>
            </w:pPr>
            <w:r w:rsidRPr="0087176A">
              <w:rPr>
                <w:rFonts w:ascii="Arial" w:hAnsi="Arial" w:cs="Arial"/>
                <w:sz w:val="16"/>
                <w:szCs w:val="16"/>
              </w:rPr>
              <w:t>100%</w:t>
            </w:r>
          </w:p>
        </w:tc>
      </w:tr>
      <w:tr w:rsidR="0087176A" w:rsidRPr="0087176A" w:rsidTr="00744078">
        <w:trPr>
          <w:trHeight w:val="434"/>
        </w:trPr>
        <w:tc>
          <w:tcPr>
            <w:tcW w:w="4865" w:type="dxa"/>
            <w:gridSpan w:val="2"/>
            <w:tcBorders>
              <w:top w:val="single" w:sz="4" w:space="0" w:color="auto"/>
              <w:right w:val="single" w:sz="4" w:space="0" w:color="auto"/>
            </w:tcBorders>
          </w:tcPr>
          <w:p w:rsidR="001A6B6B" w:rsidRPr="0087176A" w:rsidRDefault="001A6B6B" w:rsidP="008669DC">
            <w:pPr>
              <w:tabs>
                <w:tab w:val="left" w:pos="709"/>
              </w:tabs>
              <w:spacing w:before="60" w:after="60" w:line="240" w:lineRule="auto"/>
              <w:jc w:val="left"/>
              <w:rPr>
                <w:rFonts w:ascii="Arial" w:hAnsi="Arial" w:cs="Arial"/>
                <w:sz w:val="16"/>
                <w:szCs w:val="16"/>
              </w:rPr>
            </w:pPr>
            <w:r w:rsidRPr="0087176A">
              <w:rPr>
                <w:rFonts w:ascii="Arial" w:hAnsi="Arial" w:cs="Arial"/>
                <w:sz w:val="16"/>
                <w:szCs w:val="16"/>
              </w:rPr>
              <w:t>Percentage of offers published on the AER’s Energy Made Easy price comparator website within two business days of receipt from retailers</w:t>
            </w:r>
          </w:p>
        </w:tc>
        <w:tc>
          <w:tcPr>
            <w:tcW w:w="1687" w:type="dxa"/>
            <w:tcBorders>
              <w:top w:val="single" w:sz="4" w:space="0" w:color="auto"/>
              <w:left w:val="single" w:sz="4" w:space="0" w:color="auto"/>
              <w:bottom w:val="single" w:sz="4" w:space="0" w:color="auto"/>
              <w:right w:val="single" w:sz="4" w:space="0" w:color="auto"/>
            </w:tcBorders>
          </w:tcPr>
          <w:p w:rsidR="001A6B6B" w:rsidRPr="0087176A" w:rsidRDefault="001A6B6B" w:rsidP="008669DC">
            <w:pPr>
              <w:tabs>
                <w:tab w:val="left" w:pos="709"/>
              </w:tabs>
              <w:spacing w:before="60" w:after="60" w:line="240" w:lineRule="auto"/>
              <w:jc w:val="left"/>
              <w:rPr>
                <w:rFonts w:ascii="Arial" w:hAnsi="Arial" w:cs="Arial"/>
                <w:sz w:val="16"/>
                <w:szCs w:val="16"/>
              </w:rPr>
            </w:pPr>
            <w:r w:rsidRPr="0087176A">
              <w:rPr>
                <w:rFonts w:ascii="Arial" w:hAnsi="Arial" w:cs="Arial"/>
                <w:sz w:val="16"/>
                <w:szCs w:val="16"/>
              </w:rPr>
              <w:t>Will achieve target of 100%</w:t>
            </w:r>
          </w:p>
        </w:tc>
        <w:tc>
          <w:tcPr>
            <w:tcW w:w="1266" w:type="dxa"/>
            <w:tcBorders>
              <w:top w:val="single" w:sz="4" w:space="0" w:color="auto"/>
              <w:left w:val="single" w:sz="4" w:space="0" w:color="auto"/>
            </w:tcBorders>
          </w:tcPr>
          <w:p w:rsidR="001A6B6B" w:rsidRPr="0087176A" w:rsidRDefault="001A6B6B" w:rsidP="008669DC">
            <w:pPr>
              <w:tabs>
                <w:tab w:val="left" w:pos="709"/>
              </w:tabs>
              <w:spacing w:before="60" w:after="60" w:line="240" w:lineRule="auto"/>
              <w:jc w:val="center"/>
              <w:rPr>
                <w:rFonts w:ascii="Arial" w:hAnsi="Arial" w:cs="Arial"/>
                <w:sz w:val="16"/>
                <w:szCs w:val="16"/>
              </w:rPr>
            </w:pPr>
            <w:r w:rsidRPr="0087176A">
              <w:rPr>
                <w:rFonts w:ascii="Arial" w:hAnsi="Arial" w:cs="Arial"/>
                <w:sz w:val="16"/>
                <w:szCs w:val="16"/>
              </w:rPr>
              <w:t>100%</w:t>
            </w:r>
          </w:p>
        </w:tc>
      </w:tr>
      <w:tr w:rsidR="0087176A" w:rsidRPr="0087176A" w:rsidTr="002F699C">
        <w:trPr>
          <w:trHeight w:val="434"/>
        </w:trPr>
        <w:tc>
          <w:tcPr>
            <w:tcW w:w="4865" w:type="dxa"/>
            <w:gridSpan w:val="2"/>
            <w:tcBorders>
              <w:top w:val="single" w:sz="4" w:space="0" w:color="auto"/>
              <w:bottom w:val="single" w:sz="4" w:space="0" w:color="auto"/>
              <w:right w:val="single" w:sz="4" w:space="0" w:color="auto"/>
            </w:tcBorders>
          </w:tcPr>
          <w:p w:rsidR="001A6B6B" w:rsidRPr="0087176A" w:rsidRDefault="001A6B6B" w:rsidP="008669DC">
            <w:pPr>
              <w:tabs>
                <w:tab w:val="left" w:pos="709"/>
              </w:tabs>
              <w:spacing w:before="60" w:after="60" w:line="240" w:lineRule="auto"/>
              <w:jc w:val="left"/>
              <w:rPr>
                <w:rFonts w:ascii="Arial" w:hAnsi="Arial" w:cs="Arial"/>
                <w:sz w:val="16"/>
                <w:szCs w:val="16"/>
              </w:rPr>
            </w:pPr>
            <w:r w:rsidRPr="0087176A">
              <w:rPr>
                <w:rFonts w:ascii="Arial" w:hAnsi="Arial" w:cs="Arial"/>
                <w:sz w:val="16"/>
                <w:szCs w:val="16"/>
              </w:rPr>
              <w:t>Number of targeted reviews of compliance with the national energy rules</w:t>
            </w:r>
          </w:p>
        </w:tc>
        <w:tc>
          <w:tcPr>
            <w:tcW w:w="1687" w:type="dxa"/>
            <w:tcBorders>
              <w:top w:val="single" w:sz="4" w:space="0" w:color="auto"/>
              <w:left w:val="single" w:sz="4" w:space="0" w:color="auto"/>
              <w:bottom w:val="single" w:sz="4" w:space="0" w:color="auto"/>
              <w:right w:val="single" w:sz="4" w:space="0" w:color="auto"/>
            </w:tcBorders>
          </w:tcPr>
          <w:p w:rsidR="001A6B6B" w:rsidRPr="0087176A" w:rsidRDefault="001A6B6B" w:rsidP="008669DC">
            <w:pPr>
              <w:tabs>
                <w:tab w:val="left" w:pos="709"/>
              </w:tabs>
              <w:spacing w:before="60" w:after="60" w:line="240" w:lineRule="auto"/>
              <w:jc w:val="left"/>
              <w:rPr>
                <w:rFonts w:ascii="Arial" w:hAnsi="Arial" w:cs="Arial"/>
                <w:sz w:val="16"/>
                <w:szCs w:val="16"/>
              </w:rPr>
            </w:pPr>
            <w:r w:rsidRPr="0087176A">
              <w:rPr>
                <w:rFonts w:ascii="Arial" w:hAnsi="Arial" w:cs="Arial"/>
                <w:sz w:val="16"/>
                <w:szCs w:val="16"/>
              </w:rPr>
              <w:t>Expect to achieve target of 4</w:t>
            </w:r>
          </w:p>
        </w:tc>
        <w:tc>
          <w:tcPr>
            <w:tcW w:w="1266" w:type="dxa"/>
            <w:tcBorders>
              <w:top w:val="single" w:sz="4" w:space="0" w:color="auto"/>
              <w:left w:val="single" w:sz="4" w:space="0" w:color="auto"/>
              <w:bottom w:val="single" w:sz="4" w:space="0" w:color="auto"/>
            </w:tcBorders>
          </w:tcPr>
          <w:p w:rsidR="001A6B6B" w:rsidRPr="0087176A" w:rsidRDefault="001A6B6B" w:rsidP="008669DC">
            <w:pPr>
              <w:tabs>
                <w:tab w:val="left" w:pos="709"/>
              </w:tabs>
              <w:spacing w:before="60" w:after="60" w:line="240" w:lineRule="auto"/>
              <w:jc w:val="center"/>
              <w:rPr>
                <w:rFonts w:ascii="Arial" w:hAnsi="Arial" w:cs="Arial"/>
                <w:sz w:val="16"/>
                <w:szCs w:val="16"/>
              </w:rPr>
            </w:pPr>
            <w:r w:rsidRPr="0087176A">
              <w:rPr>
                <w:rFonts w:ascii="Arial" w:hAnsi="Arial" w:cs="Arial"/>
                <w:sz w:val="16"/>
                <w:szCs w:val="16"/>
              </w:rPr>
              <w:t>4</w:t>
            </w:r>
          </w:p>
        </w:tc>
      </w:tr>
      <w:tr w:rsidR="0087176A" w:rsidRPr="0087176A" w:rsidTr="002F699C">
        <w:trPr>
          <w:trHeight w:val="434"/>
        </w:trPr>
        <w:tc>
          <w:tcPr>
            <w:tcW w:w="4865" w:type="dxa"/>
            <w:gridSpan w:val="2"/>
            <w:tcBorders>
              <w:top w:val="single" w:sz="4" w:space="0" w:color="auto"/>
              <w:bottom w:val="single" w:sz="4" w:space="0" w:color="auto"/>
              <w:right w:val="single" w:sz="4" w:space="0" w:color="auto"/>
            </w:tcBorders>
          </w:tcPr>
          <w:p w:rsidR="001A6B6B" w:rsidRPr="0087176A" w:rsidRDefault="001A6B6B" w:rsidP="008669DC">
            <w:pPr>
              <w:tabs>
                <w:tab w:val="left" w:pos="709"/>
              </w:tabs>
              <w:spacing w:before="60" w:after="60" w:line="240" w:lineRule="auto"/>
              <w:jc w:val="left"/>
              <w:rPr>
                <w:sz w:val="16"/>
                <w:szCs w:val="16"/>
              </w:rPr>
            </w:pPr>
            <w:r w:rsidRPr="0087176A">
              <w:rPr>
                <w:rFonts w:ascii="Arial" w:hAnsi="Arial" w:cs="Arial"/>
                <w:sz w:val="16"/>
                <w:szCs w:val="16"/>
              </w:rPr>
              <w:t>Number of quarterly reports on compliance in wholesale electricity and gas markets</w:t>
            </w:r>
            <w:r w:rsidRPr="0087176A">
              <w:rPr>
                <w:sz w:val="16"/>
                <w:szCs w:val="16"/>
              </w:rPr>
              <w:t xml:space="preserve"> </w:t>
            </w:r>
          </w:p>
        </w:tc>
        <w:tc>
          <w:tcPr>
            <w:tcW w:w="1687" w:type="dxa"/>
            <w:tcBorders>
              <w:top w:val="single" w:sz="4" w:space="0" w:color="auto"/>
              <w:left w:val="single" w:sz="4" w:space="0" w:color="auto"/>
              <w:bottom w:val="single" w:sz="4" w:space="0" w:color="auto"/>
              <w:right w:val="single" w:sz="4" w:space="0" w:color="auto"/>
            </w:tcBorders>
          </w:tcPr>
          <w:p w:rsidR="001A6B6B" w:rsidRPr="0087176A" w:rsidRDefault="001A6B6B" w:rsidP="008669DC">
            <w:pPr>
              <w:tabs>
                <w:tab w:val="left" w:pos="709"/>
              </w:tabs>
              <w:spacing w:before="60" w:after="60" w:line="240" w:lineRule="auto"/>
              <w:jc w:val="left"/>
              <w:rPr>
                <w:rFonts w:ascii="Arial" w:hAnsi="Arial" w:cs="Arial"/>
                <w:sz w:val="16"/>
                <w:szCs w:val="16"/>
              </w:rPr>
            </w:pPr>
            <w:r w:rsidRPr="0087176A">
              <w:rPr>
                <w:rFonts w:ascii="Arial" w:hAnsi="Arial" w:cs="Arial"/>
                <w:sz w:val="16"/>
                <w:szCs w:val="16"/>
              </w:rPr>
              <w:t>Expect to achieve target of 4</w:t>
            </w:r>
          </w:p>
        </w:tc>
        <w:tc>
          <w:tcPr>
            <w:tcW w:w="1266" w:type="dxa"/>
            <w:tcBorders>
              <w:top w:val="single" w:sz="4" w:space="0" w:color="auto"/>
              <w:left w:val="single" w:sz="4" w:space="0" w:color="auto"/>
              <w:bottom w:val="single" w:sz="4" w:space="0" w:color="auto"/>
            </w:tcBorders>
          </w:tcPr>
          <w:p w:rsidR="001A6B6B" w:rsidRPr="0087176A" w:rsidRDefault="001A6B6B" w:rsidP="008669DC">
            <w:pPr>
              <w:tabs>
                <w:tab w:val="left" w:pos="709"/>
              </w:tabs>
              <w:spacing w:before="60" w:after="60" w:line="240" w:lineRule="auto"/>
              <w:jc w:val="center"/>
              <w:rPr>
                <w:rFonts w:ascii="Arial" w:hAnsi="Arial" w:cs="Arial"/>
                <w:sz w:val="16"/>
                <w:szCs w:val="16"/>
              </w:rPr>
            </w:pPr>
            <w:r w:rsidRPr="0087176A">
              <w:rPr>
                <w:rFonts w:ascii="Arial" w:hAnsi="Arial" w:cs="Arial"/>
                <w:sz w:val="16"/>
                <w:szCs w:val="16"/>
              </w:rPr>
              <w:t>4</w:t>
            </w:r>
          </w:p>
        </w:tc>
      </w:tr>
      <w:tr w:rsidR="008669DC" w:rsidRPr="0087176A" w:rsidTr="002F699C">
        <w:tc>
          <w:tcPr>
            <w:tcW w:w="7818" w:type="dxa"/>
            <w:gridSpan w:val="4"/>
            <w:tcBorders>
              <w:top w:val="single" w:sz="4" w:space="0" w:color="auto"/>
              <w:bottom w:val="double" w:sz="4" w:space="0" w:color="auto"/>
            </w:tcBorders>
            <w:shd w:val="clear" w:color="auto" w:fill="auto"/>
          </w:tcPr>
          <w:p w:rsidR="008669DC" w:rsidRPr="0087176A" w:rsidRDefault="008669DC" w:rsidP="00942D55">
            <w:pPr>
              <w:tabs>
                <w:tab w:val="left" w:pos="709"/>
              </w:tabs>
              <w:spacing w:before="60" w:after="60" w:line="240" w:lineRule="auto"/>
              <w:jc w:val="left"/>
              <w:rPr>
                <w:rFonts w:ascii="Arial" w:hAnsi="Arial" w:cs="Arial"/>
                <w:b/>
                <w:sz w:val="16"/>
                <w:szCs w:val="16"/>
              </w:rPr>
            </w:pPr>
            <w:r w:rsidRPr="0087176A">
              <w:rPr>
                <w:rFonts w:ascii="Arial" w:hAnsi="Arial" w:cs="Arial"/>
                <w:b/>
                <w:sz w:val="16"/>
                <w:szCs w:val="16"/>
              </w:rPr>
              <w:lastRenderedPageBreak/>
              <w:t>Performance information</w:t>
            </w:r>
          </w:p>
        </w:tc>
      </w:tr>
      <w:tr w:rsidR="008669DC" w:rsidRPr="0087176A" w:rsidTr="00942D55">
        <w:tc>
          <w:tcPr>
            <w:tcW w:w="4865" w:type="dxa"/>
            <w:gridSpan w:val="2"/>
            <w:tcBorders>
              <w:top w:val="double" w:sz="4" w:space="0" w:color="auto"/>
              <w:bottom w:val="single" w:sz="4" w:space="0" w:color="auto"/>
              <w:right w:val="single" w:sz="4" w:space="0" w:color="auto"/>
            </w:tcBorders>
          </w:tcPr>
          <w:p w:rsidR="008669DC" w:rsidRPr="0087176A" w:rsidRDefault="008669DC" w:rsidP="00942D55">
            <w:pPr>
              <w:tabs>
                <w:tab w:val="left" w:pos="709"/>
              </w:tabs>
              <w:spacing w:before="60" w:after="60" w:line="240" w:lineRule="auto"/>
              <w:jc w:val="left"/>
              <w:rPr>
                <w:rFonts w:ascii="Arial" w:hAnsi="Arial" w:cs="Arial"/>
                <w:b/>
                <w:sz w:val="16"/>
                <w:szCs w:val="16"/>
              </w:rPr>
            </w:pPr>
            <w:r w:rsidRPr="0087176A">
              <w:rPr>
                <w:rFonts w:ascii="Arial" w:hAnsi="Arial" w:cs="Arial"/>
                <w:b/>
                <w:sz w:val="16"/>
                <w:szCs w:val="16"/>
              </w:rPr>
              <w:t>Performance criteria</w:t>
            </w:r>
          </w:p>
        </w:tc>
        <w:tc>
          <w:tcPr>
            <w:tcW w:w="1687" w:type="dxa"/>
            <w:tcBorders>
              <w:top w:val="double" w:sz="4" w:space="0" w:color="auto"/>
              <w:left w:val="single" w:sz="4" w:space="0" w:color="auto"/>
              <w:bottom w:val="single" w:sz="4" w:space="0" w:color="auto"/>
              <w:right w:val="single" w:sz="4" w:space="0" w:color="auto"/>
            </w:tcBorders>
          </w:tcPr>
          <w:p w:rsidR="008669DC" w:rsidRPr="0087176A" w:rsidRDefault="008669DC" w:rsidP="00942D55">
            <w:pPr>
              <w:tabs>
                <w:tab w:val="left" w:pos="709"/>
              </w:tabs>
              <w:spacing w:before="60" w:after="60" w:line="240" w:lineRule="auto"/>
              <w:jc w:val="left"/>
              <w:rPr>
                <w:rFonts w:ascii="Arial" w:hAnsi="Arial" w:cs="Arial"/>
                <w:b/>
                <w:sz w:val="16"/>
                <w:szCs w:val="16"/>
              </w:rPr>
            </w:pPr>
            <w:r w:rsidRPr="0087176A">
              <w:rPr>
                <w:rFonts w:ascii="Arial" w:hAnsi="Arial" w:cs="Arial"/>
                <w:b/>
                <w:sz w:val="16"/>
                <w:szCs w:val="16"/>
              </w:rPr>
              <w:t>Forecast result against 2017-18 target</w:t>
            </w:r>
          </w:p>
        </w:tc>
        <w:tc>
          <w:tcPr>
            <w:tcW w:w="1266" w:type="dxa"/>
            <w:tcBorders>
              <w:top w:val="double" w:sz="4" w:space="0" w:color="auto"/>
              <w:left w:val="single" w:sz="4" w:space="0" w:color="auto"/>
              <w:bottom w:val="single" w:sz="4" w:space="0" w:color="auto"/>
            </w:tcBorders>
          </w:tcPr>
          <w:p w:rsidR="008669DC" w:rsidRPr="0087176A" w:rsidRDefault="008669DC" w:rsidP="00942D55">
            <w:pPr>
              <w:tabs>
                <w:tab w:val="left" w:pos="709"/>
              </w:tabs>
              <w:spacing w:before="60" w:after="60" w:line="240" w:lineRule="auto"/>
              <w:jc w:val="left"/>
              <w:rPr>
                <w:rFonts w:ascii="Arial" w:hAnsi="Arial" w:cs="Arial"/>
                <w:b/>
                <w:sz w:val="16"/>
                <w:szCs w:val="16"/>
              </w:rPr>
            </w:pPr>
            <w:r w:rsidRPr="0087176A">
              <w:rPr>
                <w:rFonts w:ascii="Arial" w:hAnsi="Arial" w:cs="Arial"/>
                <w:b/>
                <w:sz w:val="16"/>
                <w:szCs w:val="16"/>
              </w:rPr>
              <w:t>2018-19 and forward year targets</w:t>
            </w:r>
          </w:p>
        </w:tc>
      </w:tr>
      <w:tr w:rsidR="0087176A" w:rsidRPr="0087176A" w:rsidTr="00946319">
        <w:trPr>
          <w:trHeight w:val="434"/>
        </w:trPr>
        <w:tc>
          <w:tcPr>
            <w:tcW w:w="4865" w:type="dxa"/>
            <w:gridSpan w:val="2"/>
            <w:tcBorders>
              <w:top w:val="single" w:sz="4" w:space="0" w:color="auto"/>
              <w:right w:val="single" w:sz="4" w:space="0" w:color="auto"/>
            </w:tcBorders>
          </w:tcPr>
          <w:p w:rsidR="001A6B6B" w:rsidRPr="0087176A" w:rsidRDefault="001A6B6B" w:rsidP="008669DC">
            <w:pPr>
              <w:tabs>
                <w:tab w:val="left" w:pos="709"/>
              </w:tabs>
              <w:spacing w:before="60" w:after="60" w:line="240" w:lineRule="auto"/>
              <w:jc w:val="left"/>
              <w:rPr>
                <w:rFonts w:ascii="Arial" w:hAnsi="Arial" w:cs="Arial"/>
                <w:sz w:val="16"/>
                <w:szCs w:val="16"/>
              </w:rPr>
            </w:pPr>
            <w:r w:rsidRPr="0087176A">
              <w:rPr>
                <w:rFonts w:ascii="Arial" w:hAnsi="Arial" w:cs="Arial"/>
                <w:sz w:val="16"/>
                <w:szCs w:val="16"/>
              </w:rPr>
              <w:t>Number of audits completed of systems for energy businesses that are critical to market efficiency and energy security</w:t>
            </w:r>
          </w:p>
        </w:tc>
        <w:tc>
          <w:tcPr>
            <w:tcW w:w="1687" w:type="dxa"/>
            <w:tcBorders>
              <w:top w:val="single" w:sz="4" w:space="0" w:color="auto"/>
              <w:left w:val="single" w:sz="4" w:space="0" w:color="auto"/>
              <w:bottom w:val="dotted" w:sz="4" w:space="0" w:color="auto"/>
              <w:right w:val="single" w:sz="4" w:space="0" w:color="auto"/>
            </w:tcBorders>
          </w:tcPr>
          <w:p w:rsidR="001A6B6B" w:rsidRPr="0087176A" w:rsidRDefault="001A6B6B" w:rsidP="008669DC">
            <w:pPr>
              <w:tabs>
                <w:tab w:val="left" w:pos="709"/>
              </w:tabs>
              <w:spacing w:before="60" w:after="60" w:line="240" w:lineRule="auto"/>
              <w:jc w:val="left"/>
              <w:rPr>
                <w:rFonts w:ascii="Arial" w:hAnsi="Arial" w:cs="Arial"/>
                <w:sz w:val="16"/>
                <w:szCs w:val="16"/>
              </w:rPr>
            </w:pPr>
            <w:r w:rsidRPr="0087176A">
              <w:rPr>
                <w:rFonts w:ascii="Arial" w:hAnsi="Arial" w:cs="Arial"/>
                <w:sz w:val="16"/>
                <w:szCs w:val="16"/>
              </w:rPr>
              <w:t>Expect to achieve target of 2</w:t>
            </w:r>
          </w:p>
        </w:tc>
        <w:tc>
          <w:tcPr>
            <w:tcW w:w="1266" w:type="dxa"/>
            <w:tcBorders>
              <w:top w:val="single" w:sz="4" w:space="0" w:color="auto"/>
              <w:left w:val="single" w:sz="4" w:space="0" w:color="auto"/>
            </w:tcBorders>
          </w:tcPr>
          <w:p w:rsidR="001A6B6B" w:rsidRPr="0087176A" w:rsidRDefault="001A6B6B" w:rsidP="008669DC">
            <w:pPr>
              <w:tabs>
                <w:tab w:val="left" w:pos="709"/>
              </w:tabs>
              <w:spacing w:before="60" w:after="60" w:line="240" w:lineRule="auto"/>
              <w:jc w:val="center"/>
              <w:rPr>
                <w:rFonts w:ascii="Arial" w:hAnsi="Arial" w:cs="Arial"/>
                <w:sz w:val="16"/>
                <w:szCs w:val="16"/>
              </w:rPr>
            </w:pPr>
            <w:r w:rsidRPr="0087176A">
              <w:rPr>
                <w:rFonts w:ascii="Arial" w:hAnsi="Arial" w:cs="Arial"/>
                <w:sz w:val="16"/>
                <w:szCs w:val="16"/>
              </w:rPr>
              <w:t>1</w:t>
            </w:r>
          </w:p>
        </w:tc>
      </w:tr>
      <w:tr w:rsidR="0087176A" w:rsidRPr="0087176A" w:rsidTr="00946319">
        <w:trPr>
          <w:trHeight w:val="434"/>
        </w:trPr>
        <w:tc>
          <w:tcPr>
            <w:tcW w:w="4865" w:type="dxa"/>
            <w:gridSpan w:val="2"/>
            <w:tcBorders>
              <w:top w:val="single" w:sz="4" w:space="0" w:color="auto"/>
              <w:right w:val="single" w:sz="4" w:space="0" w:color="auto"/>
            </w:tcBorders>
          </w:tcPr>
          <w:p w:rsidR="001A6B6B" w:rsidRPr="0087176A" w:rsidRDefault="001A6B6B" w:rsidP="008669DC">
            <w:pPr>
              <w:tabs>
                <w:tab w:val="left" w:pos="709"/>
              </w:tabs>
              <w:spacing w:before="60" w:after="60" w:line="240" w:lineRule="auto"/>
              <w:jc w:val="left"/>
              <w:rPr>
                <w:rFonts w:ascii="Arial" w:hAnsi="Arial" w:cs="Arial"/>
                <w:sz w:val="16"/>
                <w:szCs w:val="16"/>
              </w:rPr>
            </w:pPr>
            <w:r w:rsidRPr="0087176A">
              <w:rPr>
                <w:rFonts w:ascii="Arial" w:hAnsi="Arial" w:cs="Arial"/>
                <w:sz w:val="16"/>
                <w:szCs w:val="16"/>
              </w:rPr>
              <w:t>Percentage of reports on wholesale electricity market high price events and significant price variations in spot gas markets activity published within statutory timeframes</w:t>
            </w:r>
          </w:p>
        </w:tc>
        <w:tc>
          <w:tcPr>
            <w:tcW w:w="1687" w:type="dxa"/>
            <w:tcBorders>
              <w:top w:val="single" w:sz="4" w:space="0" w:color="auto"/>
              <w:left w:val="single" w:sz="4" w:space="0" w:color="auto"/>
              <w:bottom w:val="dotted" w:sz="4" w:space="0" w:color="auto"/>
              <w:right w:val="single" w:sz="4" w:space="0" w:color="auto"/>
            </w:tcBorders>
          </w:tcPr>
          <w:p w:rsidR="001A6B6B" w:rsidRPr="0087176A" w:rsidRDefault="001A6B6B" w:rsidP="008669DC">
            <w:pPr>
              <w:tabs>
                <w:tab w:val="left" w:pos="709"/>
              </w:tabs>
              <w:spacing w:before="60" w:after="60" w:line="240" w:lineRule="auto"/>
              <w:jc w:val="left"/>
              <w:rPr>
                <w:rFonts w:ascii="Arial" w:hAnsi="Arial" w:cs="Arial"/>
                <w:sz w:val="16"/>
                <w:szCs w:val="16"/>
              </w:rPr>
            </w:pPr>
            <w:r w:rsidRPr="0087176A">
              <w:rPr>
                <w:rFonts w:ascii="Arial" w:hAnsi="Arial" w:cs="Arial"/>
                <w:sz w:val="16"/>
                <w:szCs w:val="16"/>
              </w:rPr>
              <w:t>Expect to achieve target of 100%</w:t>
            </w:r>
          </w:p>
        </w:tc>
        <w:tc>
          <w:tcPr>
            <w:tcW w:w="1266" w:type="dxa"/>
            <w:tcBorders>
              <w:top w:val="single" w:sz="4" w:space="0" w:color="auto"/>
              <w:left w:val="single" w:sz="4" w:space="0" w:color="auto"/>
            </w:tcBorders>
          </w:tcPr>
          <w:p w:rsidR="001A6B6B" w:rsidRPr="0087176A" w:rsidRDefault="001A6B6B" w:rsidP="008669DC">
            <w:pPr>
              <w:tabs>
                <w:tab w:val="left" w:pos="709"/>
              </w:tabs>
              <w:spacing w:before="60" w:after="60" w:line="240" w:lineRule="auto"/>
              <w:jc w:val="center"/>
              <w:rPr>
                <w:rFonts w:ascii="Arial" w:hAnsi="Arial" w:cs="Arial"/>
                <w:sz w:val="16"/>
                <w:szCs w:val="16"/>
              </w:rPr>
            </w:pPr>
            <w:r w:rsidRPr="0087176A">
              <w:rPr>
                <w:rFonts w:ascii="Arial" w:hAnsi="Arial" w:cs="Arial"/>
                <w:sz w:val="16"/>
                <w:szCs w:val="16"/>
              </w:rPr>
              <w:t>100%</w:t>
            </w:r>
          </w:p>
        </w:tc>
      </w:tr>
      <w:tr w:rsidR="0087176A" w:rsidRPr="0087176A" w:rsidTr="00946319">
        <w:trPr>
          <w:trHeight w:val="434"/>
        </w:trPr>
        <w:tc>
          <w:tcPr>
            <w:tcW w:w="4865" w:type="dxa"/>
            <w:gridSpan w:val="2"/>
            <w:tcBorders>
              <w:top w:val="single" w:sz="4" w:space="0" w:color="auto"/>
              <w:right w:val="single" w:sz="4" w:space="0" w:color="auto"/>
            </w:tcBorders>
          </w:tcPr>
          <w:p w:rsidR="001A6B6B" w:rsidRPr="0087176A" w:rsidRDefault="001A6B6B" w:rsidP="008669DC">
            <w:pPr>
              <w:tabs>
                <w:tab w:val="left" w:pos="709"/>
              </w:tabs>
              <w:spacing w:before="60" w:after="60" w:line="240" w:lineRule="auto"/>
              <w:jc w:val="left"/>
              <w:rPr>
                <w:rFonts w:ascii="Arial" w:hAnsi="Arial" w:cs="Arial"/>
                <w:sz w:val="16"/>
                <w:szCs w:val="16"/>
              </w:rPr>
            </w:pPr>
            <w:r w:rsidRPr="0087176A">
              <w:rPr>
                <w:rFonts w:ascii="Arial" w:hAnsi="Arial" w:cs="Arial"/>
                <w:sz w:val="16"/>
                <w:szCs w:val="16"/>
              </w:rPr>
              <w:t>Number of reports on effective competition in the wholesale electricity market</w:t>
            </w:r>
          </w:p>
        </w:tc>
        <w:tc>
          <w:tcPr>
            <w:tcW w:w="1687" w:type="dxa"/>
            <w:tcBorders>
              <w:top w:val="single" w:sz="4" w:space="0" w:color="auto"/>
              <w:left w:val="single" w:sz="4" w:space="0" w:color="auto"/>
              <w:bottom w:val="dotted" w:sz="4" w:space="0" w:color="auto"/>
              <w:right w:val="single" w:sz="4" w:space="0" w:color="auto"/>
            </w:tcBorders>
          </w:tcPr>
          <w:p w:rsidR="001A6B6B" w:rsidRPr="0087176A" w:rsidRDefault="001A6B6B" w:rsidP="008669DC">
            <w:pPr>
              <w:tabs>
                <w:tab w:val="left" w:pos="709"/>
              </w:tabs>
              <w:spacing w:before="60" w:after="60" w:line="240" w:lineRule="auto"/>
              <w:jc w:val="left"/>
              <w:rPr>
                <w:rFonts w:ascii="Arial" w:hAnsi="Arial" w:cs="Arial"/>
                <w:sz w:val="16"/>
                <w:szCs w:val="16"/>
              </w:rPr>
            </w:pPr>
            <w:r w:rsidRPr="0087176A">
              <w:rPr>
                <w:rFonts w:ascii="Arial" w:hAnsi="Arial" w:cs="Arial"/>
                <w:sz w:val="16"/>
                <w:szCs w:val="16"/>
              </w:rPr>
              <w:t>Will achieve target of 1</w:t>
            </w:r>
          </w:p>
        </w:tc>
        <w:tc>
          <w:tcPr>
            <w:tcW w:w="1266" w:type="dxa"/>
            <w:tcBorders>
              <w:top w:val="single" w:sz="4" w:space="0" w:color="auto"/>
              <w:left w:val="single" w:sz="4" w:space="0" w:color="auto"/>
            </w:tcBorders>
          </w:tcPr>
          <w:p w:rsidR="001A6B6B" w:rsidRPr="0087176A" w:rsidRDefault="001A6B6B" w:rsidP="008669DC">
            <w:pPr>
              <w:tabs>
                <w:tab w:val="left" w:pos="709"/>
              </w:tabs>
              <w:spacing w:before="60" w:after="60" w:line="240" w:lineRule="auto"/>
              <w:jc w:val="center"/>
              <w:rPr>
                <w:rFonts w:ascii="Arial" w:hAnsi="Arial" w:cs="Arial"/>
                <w:sz w:val="16"/>
                <w:szCs w:val="16"/>
              </w:rPr>
            </w:pPr>
            <w:r w:rsidRPr="0087176A">
              <w:rPr>
                <w:rFonts w:ascii="Arial" w:hAnsi="Arial" w:cs="Arial"/>
                <w:sz w:val="16"/>
                <w:szCs w:val="16"/>
              </w:rPr>
              <w:t>1</w:t>
            </w:r>
          </w:p>
        </w:tc>
      </w:tr>
      <w:tr w:rsidR="0087176A" w:rsidRPr="0087176A" w:rsidTr="00946319">
        <w:tc>
          <w:tcPr>
            <w:tcW w:w="1123" w:type="dxa"/>
          </w:tcPr>
          <w:p w:rsidR="001A6B6B" w:rsidRPr="0087176A" w:rsidRDefault="001A6B6B" w:rsidP="008669DC">
            <w:pPr>
              <w:tabs>
                <w:tab w:val="left" w:pos="709"/>
              </w:tabs>
              <w:spacing w:before="60" w:after="60" w:line="240" w:lineRule="auto"/>
              <w:jc w:val="left"/>
              <w:rPr>
                <w:rFonts w:ascii="Arial" w:hAnsi="Arial" w:cs="Arial"/>
                <w:b/>
                <w:sz w:val="16"/>
                <w:szCs w:val="16"/>
              </w:rPr>
            </w:pPr>
            <w:r w:rsidRPr="0087176A">
              <w:rPr>
                <w:rFonts w:ascii="Arial" w:hAnsi="Arial" w:cs="Arial"/>
                <w:b/>
                <w:sz w:val="16"/>
                <w:szCs w:val="16"/>
              </w:rPr>
              <w:t>Purpose</w:t>
            </w:r>
          </w:p>
        </w:tc>
        <w:tc>
          <w:tcPr>
            <w:tcW w:w="6695" w:type="dxa"/>
            <w:gridSpan w:val="3"/>
          </w:tcPr>
          <w:p w:rsidR="001A6B6B" w:rsidRPr="0087176A" w:rsidRDefault="001A6B6B" w:rsidP="008669DC">
            <w:pPr>
              <w:tabs>
                <w:tab w:val="left" w:pos="709"/>
              </w:tabs>
              <w:spacing w:before="60" w:after="60" w:line="240" w:lineRule="auto"/>
              <w:jc w:val="left"/>
              <w:rPr>
                <w:rFonts w:ascii="Arial" w:hAnsi="Arial" w:cs="Arial"/>
                <w:sz w:val="16"/>
                <w:szCs w:val="16"/>
              </w:rPr>
            </w:pPr>
            <w:r w:rsidRPr="0087176A">
              <w:rPr>
                <w:rFonts w:ascii="Arial" w:hAnsi="Arial" w:cs="Arial"/>
                <w:sz w:val="16"/>
                <w:szCs w:val="16"/>
              </w:rPr>
              <w:t>The AER regulates energy markets and networks under national legislation and rules, which aim to promote efficient investment in, and operation and use of, energy services for the long term interests of energy consumers with respect to price, quality, safety, reliability and security.</w:t>
            </w:r>
          </w:p>
        </w:tc>
      </w:tr>
    </w:tbl>
    <w:p w:rsidR="00185CF0" w:rsidRDefault="00185CF0" w:rsidP="005B1A76">
      <w:pPr>
        <w:spacing w:after="0"/>
      </w:pPr>
    </w:p>
    <w:p w:rsidR="001A6B6B" w:rsidRPr="0087176A" w:rsidRDefault="001A6B6B" w:rsidP="005B1A76">
      <w:pPr>
        <w:spacing w:after="0"/>
      </w:pPr>
      <w:r w:rsidRPr="0087176A">
        <w:t xml:space="preserve">The above program is linked to the Department of the Environment and Energy (Program </w:t>
      </w:r>
      <w:r w:rsidR="00C0119C">
        <w:t>4</w:t>
      </w:r>
      <w:r w:rsidRPr="0087176A">
        <w:t>.</w:t>
      </w:r>
      <w:r w:rsidR="00C0119C">
        <w:t>1</w:t>
      </w:r>
      <w:r w:rsidRPr="0087176A">
        <w:t xml:space="preserve"> – Energy).</w:t>
      </w:r>
    </w:p>
    <w:p w:rsidR="00185CF0" w:rsidRDefault="00185CF0" w:rsidP="00AD42E2">
      <w:pPr>
        <w:pStyle w:val="Heading2"/>
        <w:sectPr w:rsidR="00185CF0" w:rsidSect="00946319">
          <w:headerReference w:type="first" r:id="rId42"/>
          <w:pgSz w:w="11906" w:h="16838" w:code="9"/>
          <w:pgMar w:top="2466" w:right="2098" w:bottom="2466" w:left="2098" w:header="1899" w:footer="1899" w:gutter="0"/>
          <w:cols w:space="708"/>
          <w:titlePg/>
          <w:docGrid w:linePitch="360"/>
        </w:sectPr>
      </w:pPr>
      <w:bookmarkStart w:id="26" w:name="_Toc444523516"/>
      <w:bookmarkEnd w:id="24"/>
      <w:bookmarkEnd w:id="25"/>
    </w:p>
    <w:p w:rsidR="002F530C" w:rsidRPr="0087176A" w:rsidRDefault="002F530C" w:rsidP="00AD42E2">
      <w:pPr>
        <w:pStyle w:val="Heading2"/>
      </w:pPr>
      <w:bookmarkStart w:id="27" w:name="_Toc512866380"/>
      <w:r w:rsidRPr="0087176A">
        <w:lastRenderedPageBreak/>
        <w:t>Section 3: Budgeted financial statements</w:t>
      </w:r>
      <w:bookmarkEnd w:id="26"/>
      <w:bookmarkEnd w:id="27"/>
    </w:p>
    <w:p w:rsidR="00A6388E" w:rsidRPr="0087176A" w:rsidRDefault="00CF5085" w:rsidP="007118AC">
      <w:r w:rsidRPr="0087176A">
        <w:t>Section 3</w:t>
      </w:r>
      <w:r w:rsidR="0027614D" w:rsidRPr="0087176A">
        <w:t xml:space="preserve"> presents budgeted financial statements which provide a comprehensive snapshot of</w:t>
      </w:r>
      <w:r w:rsidR="001B03CC" w:rsidRPr="0087176A">
        <w:t xml:space="preserve"> entity </w:t>
      </w:r>
      <w:r w:rsidR="0027614D" w:rsidRPr="0087176A">
        <w:t xml:space="preserve">finances for the </w:t>
      </w:r>
      <w:r w:rsidR="00A20A6B" w:rsidRPr="0087176A">
        <w:t>2018</w:t>
      </w:r>
      <w:r w:rsidR="00475EAF" w:rsidRPr="0087176A">
        <w:t>-1</w:t>
      </w:r>
      <w:r w:rsidR="00A20A6B" w:rsidRPr="0087176A">
        <w:t>9</w:t>
      </w:r>
      <w:r w:rsidR="00F3510E" w:rsidRPr="0087176A">
        <w:t xml:space="preserve"> </w:t>
      </w:r>
      <w:r w:rsidR="0027614D" w:rsidRPr="0087176A">
        <w:t>budget year</w:t>
      </w:r>
      <w:r w:rsidR="007118AC" w:rsidRPr="0087176A">
        <w:t>, including the impact of budget measures and resourcing on financial statements</w:t>
      </w:r>
      <w:r w:rsidR="00B04964" w:rsidRPr="0087176A">
        <w:t>.</w:t>
      </w:r>
    </w:p>
    <w:p w:rsidR="00E4582E" w:rsidRPr="0087176A" w:rsidRDefault="007118AC" w:rsidP="00EA5A9E">
      <w:pPr>
        <w:pStyle w:val="Heading3"/>
      </w:pPr>
      <w:bookmarkStart w:id="28" w:name="_Toc190682317"/>
      <w:bookmarkStart w:id="29" w:name="_Toc444523517"/>
      <w:bookmarkStart w:id="30" w:name="_Toc512866381"/>
      <w:r w:rsidRPr="0087176A">
        <w:t>3.1</w:t>
      </w:r>
      <w:r w:rsidR="00E4582E" w:rsidRPr="0087176A">
        <w:tab/>
        <w:t>Budgeted financial statements</w:t>
      </w:r>
      <w:bookmarkEnd w:id="28"/>
      <w:bookmarkEnd w:id="29"/>
      <w:bookmarkEnd w:id="30"/>
    </w:p>
    <w:p w:rsidR="00E4582E" w:rsidRPr="0087176A" w:rsidRDefault="00A23BC2" w:rsidP="00E4582E">
      <w:pPr>
        <w:pStyle w:val="Heading4"/>
      </w:pPr>
      <w:r w:rsidRPr="0087176A">
        <w:t>3.</w:t>
      </w:r>
      <w:r w:rsidR="007118AC" w:rsidRPr="0087176A">
        <w:t>1</w:t>
      </w:r>
      <w:r w:rsidRPr="0087176A">
        <w:t>.1</w:t>
      </w:r>
      <w:r w:rsidR="005F29CD" w:rsidRPr="0087176A">
        <w:tab/>
      </w:r>
      <w:r w:rsidR="00E4582E" w:rsidRPr="0087176A">
        <w:t xml:space="preserve">Differences </w:t>
      </w:r>
      <w:r w:rsidR="007118AC" w:rsidRPr="0087176A">
        <w:t>between</w:t>
      </w:r>
      <w:r w:rsidR="00E4582E" w:rsidRPr="0087176A">
        <w:t xml:space="preserve"> </w:t>
      </w:r>
      <w:r w:rsidR="000216BF" w:rsidRPr="0087176A">
        <w:t>entity resourcing and financial statements</w:t>
      </w:r>
    </w:p>
    <w:p w:rsidR="001A6B6B" w:rsidRPr="0087176A" w:rsidRDefault="001A6B6B" w:rsidP="001A6B6B">
      <w:r w:rsidRPr="0087176A">
        <w:t>There are no material differences between agency resourcing and financial statements.</w:t>
      </w:r>
    </w:p>
    <w:p w:rsidR="00E4582E" w:rsidRPr="0087176A" w:rsidRDefault="00A23BC2" w:rsidP="00E4582E">
      <w:pPr>
        <w:pStyle w:val="Heading4"/>
      </w:pPr>
      <w:r w:rsidRPr="0087176A">
        <w:t>3.</w:t>
      </w:r>
      <w:r w:rsidR="007118AC" w:rsidRPr="0087176A">
        <w:t>1</w:t>
      </w:r>
      <w:r w:rsidRPr="0087176A">
        <w:t>.2</w:t>
      </w:r>
      <w:r w:rsidR="005F29CD" w:rsidRPr="0087176A">
        <w:tab/>
      </w:r>
      <w:r w:rsidR="003B7C64" w:rsidRPr="0087176A">
        <w:t xml:space="preserve">Explanatory notes and analysis </w:t>
      </w:r>
      <w:r w:rsidR="00E4582E" w:rsidRPr="0087176A">
        <w:t xml:space="preserve">of </w:t>
      </w:r>
      <w:r w:rsidR="000216BF" w:rsidRPr="0087176A">
        <w:t>budgeted financial statements</w:t>
      </w:r>
    </w:p>
    <w:p w:rsidR="001A6B6B" w:rsidRPr="0087176A" w:rsidRDefault="001A6B6B" w:rsidP="00D27324">
      <w:pPr>
        <w:pStyle w:val="Heading5"/>
      </w:pPr>
      <w:r w:rsidRPr="0087176A">
        <w:t>Operating revenues</w:t>
      </w:r>
    </w:p>
    <w:p w:rsidR="001A6B6B" w:rsidRPr="0087176A" w:rsidRDefault="001A6B6B" w:rsidP="001A6B6B">
      <w:r w:rsidRPr="00AC6E92">
        <w:t xml:space="preserve">Total appropriation revenue for </w:t>
      </w:r>
      <w:r w:rsidR="000745C0" w:rsidRPr="00AC6E92">
        <w:t>2018-19</w:t>
      </w:r>
      <w:r w:rsidRPr="00AC6E92">
        <w:t xml:space="preserve"> is estimated to be $</w:t>
      </w:r>
      <w:r w:rsidR="000745C0" w:rsidRPr="00AC6E92">
        <w:t>210.0</w:t>
      </w:r>
      <w:r w:rsidRPr="00AC6E92">
        <w:t xml:space="preserve"> million.</w:t>
      </w:r>
      <w:r w:rsidR="006226BF">
        <w:t xml:space="preserve"> </w:t>
      </w:r>
      <w:r w:rsidRPr="00AC6E92">
        <w:t>This has increased from $</w:t>
      </w:r>
      <w:r w:rsidR="000745C0" w:rsidRPr="00AC6E92">
        <w:t>200.8</w:t>
      </w:r>
      <w:r w:rsidRPr="00AC6E92">
        <w:t xml:space="preserve"> million as reported in the </w:t>
      </w:r>
      <w:r w:rsidRPr="00AC6E92">
        <w:rPr>
          <w:i/>
        </w:rPr>
        <w:t>201</w:t>
      </w:r>
      <w:r w:rsidR="000745C0" w:rsidRPr="00AC6E92">
        <w:rPr>
          <w:i/>
        </w:rPr>
        <w:t>7</w:t>
      </w:r>
      <w:r w:rsidRPr="00AC6E92">
        <w:rPr>
          <w:i/>
        </w:rPr>
        <w:t>-1</w:t>
      </w:r>
      <w:r w:rsidR="000745C0" w:rsidRPr="00AC6E92">
        <w:rPr>
          <w:i/>
        </w:rPr>
        <w:t>8</w:t>
      </w:r>
      <w:r w:rsidRPr="00AC6E92">
        <w:rPr>
          <w:i/>
        </w:rPr>
        <w:t xml:space="preserve"> Portfolio Additional Estimates</w:t>
      </w:r>
      <w:r w:rsidRPr="00AC6E92">
        <w:t xml:space="preserve"> </w:t>
      </w:r>
      <w:r w:rsidRPr="00AC6E92">
        <w:rPr>
          <w:i/>
        </w:rPr>
        <w:t>Statements</w:t>
      </w:r>
      <w:r w:rsidRPr="00AC6E92">
        <w:t>. The increase is due to additional funding received for several new policy proposals</w:t>
      </w:r>
      <w:r w:rsidR="00AC6E92" w:rsidRPr="00AC6E92">
        <w:t>, including Compulsory Recall of Vehicles with Takata Airbags, Commercial Construction Unit – Extension and Nati</w:t>
      </w:r>
      <w:r w:rsidR="006609D8">
        <w:t>onal Consumer Data Right</w:t>
      </w:r>
      <w:r w:rsidRPr="00AC6E92">
        <w:t>. Refer to Table 1.2 for funding details.</w:t>
      </w:r>
    </w:p>
    <w:p w:rsidR="001A6B6B" w:rsidRPr="0087176A" w:rsidRDefault="001A6B6B" w:rsidP="00D27324">
      <w:pPr>
        <w:pStyle w:val="Heading5"/>
      </w:pPr>
      <w:r w:rsidRPr="0087176A">
        <w:t>Operating expenses</w:t>
      </w:r>
    </w:p>
    <w:p w:rsidR="001A6B6B" w:rsidRPr="0087176A" w:rsidRDefault="001A6B6B" w:rsidP="001A6B6B">
      <w:r w:rsidRPr="00AC6E92">
        <w:t xml:space="preserve">Total expenses in </w:t>
      </w:r>
      <w:r w:rsidR="00AC6E92" w:rsidRPr="00AC6E92">
        <w:t>2018-19</w:t>
      </w:r>
      <w:r w:rsidRPr="00AC6E92">
        <w:t xml:space="preserve"> are estimated to be $</w:t>
      </w:r>
      <w:r w:rsidR="00AC6E92" w:rsidRPr="00AC6E92">
        <w:t>218.7</w:t>
      </w:r>
      <w:r w:rsidRPr="00AC6E92">
        <w:t xml:space="preserve"> million. This has increased from $</w:t>
      </w:r>
      <w:r w:rsidR="00AC6E92" w:rsidRPr="00AC6E92">
        <w:t xml:space="preserve">208.4 </w:t>
      </w:r>
      <w:r w:rsidRPr="00AC6E92">
        <w:t xml:space="preserve">million as reported in the </w:t>
      </w:r>
      <w:r w:rsidR="00AC6E92" w:rsidRPr="00AC6E92">
        <w:t>2017-18</w:t>
      </w:r>
      <w:r w:rsidRPr="00AC6E92">
        <w:t xml:space="preserve"> </w:t>
      </w:r>
      <w:r w:rsidRPr="00AC6E92">
        <w:rPr>
          <w:i/>
        </w:rPr>
        <w:t>Portfolio Additional Estimates Statements</w:t>
      </w:r>
      <w:r w:rsidRPr="00AC6E92">
        <w:t>. The increase is largely due to expenditure from new policy proposals as summarised in Table 1.2.</w:t>
      </w:r>
      <w:r w:rsidRPr="0087176A">
        <w:t xml:space="preserve"> </w:t>
      </w:r>
    </w:p>
    <w:p w:rsidR="001A6B6B" w:rsidRPr="0087176A" w:rsidRDefault="001A6B6B" w:rsidP="00D27324">
      <w:pPr>
        <w:pStyle w:val="Heading5"/>
      </w:pPr>
      <w:r w:rsidRPr="0087176A">
        <w:t>Operating capital</w:t>
      </w:r>
    </w:p>
    <w:p w:rsidR="00A520DA" w:rsidRPr="0087176A" w:rsidRDefault="00A520DA" w:rsidP="00A520DA">
      <w:r>
        <w:t xml:space="preserve">Total capital budget in 2018-19 is estimated to be $2.5 million. This has increased from $2.0 million as reported in the </w:t>
      </w:r>
      <w:r w:rsidRPr="00AC6E92">
        <w:t xml:space="preserve">2017-18 </w:t>
      </w:r>
      <w:r w:rsidRPr="00AC6E92">
        <w:rPr>
          <w:i/>
        </w:rPr>
        <w:t>Portfolio Additional Estimates Statements</w:t>
      </w:r>
      <w:r w:rsidRPr="00AC6E92">
        <w:t>.</w:t>
      </w:r>
      <w:r>
        <w:t xml:space="preserve"> The increase is due to additional capital budget approved for the new policy proposal for National Consumer Data Right</w:t>
      </w:r>
      <w:r w:rsidRPr="00AC6E92">
        <w:t>. Refer to Table 1.2 for funding details.</w:t>
      </w:r>
    </w:p>
    <w:p w:rsidR="001A6B6B" w:rsidRPr="0087176A" w:rsidRDefault="001A6B6B" w:rsidP="001A6B6B">
      <w:pPr>
        <w:pStyle w:val="Heading5"/>
      </w:pPr>
      <w:r w:rsidRPr="0087176A">
        <w:t>Departmental Balance Sheet</w:t>
      </w:r>
    </w:p>
    <w:p w:rsidR="001A6B6B" w:rsidRPr="0087176A" w:rsidRDefault="001A6B6B" w:rsidP="001A6B6B">
      <w:pPr>
        <w:pStyle w:val="Heading6"/>
      </w:pPr>
      <w:r w:rsidRPr="0087176A">
        <w:t>Financial assets</w:t>
      </w:r>
    </w:p>
    <w:p w:rsidR="001A6B6B" w:rsidRPr="0087176A" w:rsidRDefault="001A6B6B" w:rsidP="001A6B6B">
      <w:r w:rsidRPr="0087176A">
        <w:t>The primary financial asset relates to receivables. Financial assets are used to fund the ACCC’s capital program, employee entitlements, creditors and to provide working capital.</w:t>
      </w:r>
    </w:p>
    <w:p w:rsidR="001A6B6B" w:rsidRPr="0087176A" w:rsidRDefault="001A6B6B" w:rsidP="001A6B6B">
      <w:pPr>
        <w:pStyle w:val="Heading6"/>
      </w:pPr>
      <w:r w:rsidRPr="0087176A">
        <w:t>Non</w:t>
      </w:r>
      <w:r w:rsidRPr="0087176A">
        <w:noBreakHyphen/>
        <w:t>financial assets</w:t>
      </w:r>
    </w:p>
    <w:p w:rsidR="001A6B6B" w:rsidRPr="0087176A" w:rsidRDefault="001A6B6B" w:rsidP="001A6B6B">
      <w:r w:rsidRPr="0087176A">
        <w:t>These items represent future benefits that the ACCC will consume in producing outputs. The reported value represents the purchase price paid less depreciation incurred to date in using the asset.</w:t>
      </w:r>
    </w:p>
    <w:p w:rsidR="001A6B6B" w:rsidRPr="0087176A" w:rsidRDefault="001A6B6B" w:rsidP="001A6B6B">
      <w:pPr>
        <w:pStyle w:val="Heading6"/>
      </w:pPr>
      <w:r w:rsidRPr="0087176A">
        <w:lastRenderedPageBreak/>
        <w:t>Departmental liabilities — provisions and payables</w:t>
      </w:r>
    </w:p>
    <w:p w:rsidR="001A6B6B" w:rsidRPr="0087176A" w:rsidRDefault="001A6B6B" w:rsidP="001A6B6B">
      <w:r w:rsidRPr="0087176A">
        <w:t>Provisions and payables include:</w:t>
      </w:r>
    </w:p>
    <w:p w:rsidR="001A6B6B" w:rsidRPr="00F70C57" w:rsidRDefault="001A6B6B" w:rsidP="00F70C57">
      <w:pPr>
        <w:pStyle w:val="Bullet"/>
      </w:pPr>
      <w:r w:rsidRPr="00F70C57">
        <w:t xml:space="preserve">employee entitlements arising from services rendered by employees. The liability includes unpaid annual leave and long service leave; </w:t>
      </w:r>
    </w:p>
    <w:p w:rsidR="001A6B6B" w:rsidRPr="00F70C57" w:rsidRDefault="001A6B6B" w:rsidP="00F70C57">
      <w:pPr>
        <w:pStyle w:val="Bullet"/>
      </w:pPr>
      <w:r w:rsidRPr="00F70C57">
        <w:t>rent straight-line adjustments and lease incentives;</w:t>
      </w:r>
    </w:p>
    <w:p w:rsidR="001A6B6B" w:rsidRPr="00F70C57" w:rsidRDefault="001A6B6B" w:rsidP="00F70C57">
      <w:pPr>
        <w:pStyle w:val="Bullet"/>
      </w:pPr>
      <w:r w:rsidRPr="00F70C57">
        <w:t>make good liability</w:t>
      </w:r>
      <w:r w:rsidR="00D57285" w:rsidRPr="00F70C57">
        <w:t xml:space="preserve"> and onerous lease provisions</w:t>
      </w:r>
      <w:r w:rsidRPr="00F70C57">
        <w:t xml:space="preserve"> for </w:t>
      </w:r>
      <w:r w:rsidR="00D57285" w:rsidRPr="00F70C57">
        <w:t>office</w:t>
      </w:r>
      <w:r w:rsidRPr="00F70C57">
        <w:t xml:space="preserve"> accommodation; and</w:t>
      </w:r>
    </w:p>
    <w:p w:rsidR="001A6B6B" w:rsidRPr="00F70C57" w:rsidRDefault="001A6B6B" w:rsidP="00F70C57">
      <w:pPr>
        <w:pStyle w:val="Bullet"/>
      </w:pPr>
      <w:r w:rsidRPr="00F70C57">
        <w:t>unpaid expenses as at balance date.</w:t>
      </w:r>
    </w:p>
    <w:p w:rsidR="00185CF0" w:rsidRDefault="00185CF0" w:rsidP="001A6B6B">
      <w:pPr>
        <w:pStyle w:val="Heading3"/>
        <w:sectPr w:rsidR="00185CF0" w:rsidSect="00946319">
          <w:pgSz w:w="11906" w:h="16838" w:code="9"/>
          <w:pgMar w:top="2466" w:right="2098" w:bottom="2466" w:left="2098" w:header="1899" w:footer="1899" w:gutter="0"/>
          <w:cols w:space="708"/>
          <w:titlePg/>
          <w:docGrid w:linePitch="360"/>
        </w:sectPr>
      </w:pPr>
      <w:bookmarkStart w:id="31" w:name="_Toc444523518"/>
    </w:p>
    <w:p w:rsidR="00E4582E" w:rsidRPr="0087176A" w:rsidRDefault="00E4582E" w:rsidP="001A6B6B">
      <w:pPr>
        <w:pStyle w:val="Heading3"/>
      </w:pPr>
      <w:bookmarkStart w:id="32" w:name="_Toc512866382"/>
      <w:r w:rsidRPr="0087176A">
        <w:lastRenderedPageBreak/>
        <w:t>3.2.</w:t>
      </w:r>
      <w:r w:rsidR="005F29CD" w:rsidRPr="0087176A">
        <w:tab/>
      </w:r>
      <w:r w:rsidRPr="0087176A">
        <w:t xml:space="preserve">Budgeted </w:t>
      </w:r>
      <w:r w:rsidR="00F626C2" w:rsidRPr="0087176A">
        <w:t>financial statements tables</w:t>
      </w:r>
      <w:bookmarkEnd w:id="31"/>
      <w:bookmarkEnd w:id="32"/>
    </w:p>
    <w:p w:rsidR="00E4582E" w:rsidRPr="0087176A" w:rsidRDefault="00E855E0" w:rsidP="00146B5E">
      <w:pPr>
        <w:pStyle w:val="TableHeading"/>
        <w:rPr>
          <w:snapToGrid w:val="0"/>
          <w:color w:val="auto"/>
        </w:rPr>
      </w:pPr>
      <w:r w:rsidRPr="0087176A">
        <w:rPr>
          <w:color w:val="auto"/>
        </w:rPr>
        <w:t>Table</w:t>
      </w:r>
      <w:r w:rsidR="00971CBF" w:rsidRPr="0087176A">
        <w:rPr>
          <w:color w:val="auto"/>
        </w:rPr>
        <w:t xml:space="preserve"> 3.</w:t>
      </w:r>
      <w:r w:rsidRPr="0087176A">
        <w:rPr>
          <w:color w:val="auto"/>
        </w:rPr>
        <w:t>1</w:t>
      </w:r>
      <w:r w:rsidR="001352EE" w:rsidRPr="0087176A">
        <w:rPr>
          <w:color w:val="auto"/>
        </w:rPr>
        <w:t>:</w:t>
      </w:r>
      <w:r w:rsidRPr="0087176A">
        <w:rPr>
          <w:color w:val="auto"/>
        </w:rPr>
        <w:t xml:space="preserve"> Comprehensive </w:t>
      </w:r>
      <w:r w:rsidR="00F626C2" w:rsidRPr="0087176A">
        <w:rPr>
          <w:color w:val="auto"/>
        </w:rPr>
        <w:t>income statement (showing net cost of services</w:t>
      </w:r>
      <w:r w:rsidRPr="0087176A">
        <w:rPr>
          <w:color w:val="auto"/>
        </w:rPr>
        <w:t>)</w:t>
      </w:r>
      <w:r w:rsidR="004A1224" w:rsidRPr="0087176A">
        <w:rPr>
          <w:color w:val="auto"/>
        </w:rPr>
        <w:t xml:space="preserve"> </w:t>
      </w:r>
      <w:r w:rsidR="00E4582E" w:rsidRPr="0087176A">
        <w:rPr>
          <w:snapToGrid w:val="0"/>
          <w:color w:val="auto"/>
        </w:rPr>
        <w:t>for the period ended 30 June</w:t>
      </w:r>
    </w:p>
    <w:p w:rsidR="00FA681F" w:rsidRDefault="00784F2A" w:rsidP="00FA681F">
      <w:pPr>
        <w:pStyle w:val="TableGraphic"/>
      </w:pPr>
      <w:r>
        <w:object w:dxaOrig="7734" w:dyaOrig="5252">
          <v:shape id="_x0000_i1048" type="#_x0000_t75" style="width:387pt;height:262.5pt" o:ole="">
            <v:imagedata r:id="rId43" o:title=""/>
          </v:shape>
          <o:OLEObject Type="Link" ProgID="Excel.Sheet.12" ShapeID="_x0000_i1048" DrawAspect="Content" r:id="rId44" UpdateMode="Always">
            <o:LinkType>EnhancedMetaFile</o:LinkType>
            <o:LockedField>false</o:LockedField>
          </o:OLEObject>
        </w:object>
      </w:r>
    </w:p>
    <w:p w:rsidR="00FA681F" w:rsidRDefault="00FA681F" w:rsidP="00FA681F"/>
    <w:p w:rsidR="00FA681F" w:rsidRPr="00FA681F" w:rsidRDefault="00FA681F" w:rsidP="00FA681F">
      <w:pPr>
        <w:pStyle w:val="TableHeading"/>
      </w:pPr>
      <w:r>
        <w:t>Note: Impact of net cash appropriation arrangements</w:t>
      </w:r>
    </w:p>
    <w:p w:rsidR="00E016BB" w:rsidRDefault="00784F2A" w:rsidP="00491D6A">
      <w:pPr>
        <w:pStyle w:val="TableGraphic"/>
      </w:pPr>
      <w:r>
        <w:object w:dxaOrig="7734" w:dyaOrig="2894">
          <v:shape id="_x0000_i1050" type="#_x0000_t75" style="width:387pt;height:144.75pt" o:ole="">
            <v:imagedata r:id="rId45" o:title=""/>
          </v:shape>
          <o:OLEObject Type="Link" ProgID="Excel.Sheet.12" ShapeID="_x0000_i1050" DrawAspect="Content" r:id="rId46" UpdateMode="Always">
            <o:LinkType>EnhancedMetaFile</o:LinkType>
            <o:LockedField>false</o:LockedField>
          </o:OLEObject>
        </w:object>
      </w:r>
    </w:p>
    <w:p w:rsidR="00096568" w:rsidRPr="00BF1022" w:rsidRDefault="003A3E7B" w:rsidP="00C84953">
      <w:pPr>
        <w:pStyle w:val="ChartandTableFootnoteAlpha"/>
        <w:numPr>
          <w:ilvl w:val="0"/>
          <w:numId w:val="10"/>
        </w:numPr>
        <w:rPr>
          <w:rFonts w:cs="Arial"/>
        </w:rPr>
      </w:pPr>
      <w:r w:rsidRPr="00BF1022">
        <w:rPr>
          <w:rFonts w:cs="Arial"/>
        </w:rPr>
        <w:t>From 2010-11, the Government introduced net cash appropriation arrangements</w:t>
      </w:r>
      <w:r w:rsidR="00BF1022" w:rsidRPr="00BF1022">
        <w:rPr>
          <w:rFonts w:cs="Arial"/>
        </w:rPr>
        <w:t>. This involved Bill 1 revenue appropriations for the depreciation/amortisation expenses of non-corporate Commonwealth entities (and select corporate Commonwealth entities) being replaced with a separate capital budget (the Departmental Capital Budget, or DCB) provided through Bill 1 equity appropriations. For information regarding DCBs, please refer to Table 3.5 Departmental Capital Budget Statement.</w:t>
      </w:r>
    </w:p>
    <w:p w:rsidR="00E4582E" w:rsidRDefault="00E4582E" w:rsidP="00096568">
      <w:pPr>
        <w:pStyle w:val="Source"/>
        <w:rPr>
          <w:rFonts w:cs="Arial"/>
        </w:rPr>
      </w:pPr>
      <w:r w:rsidRPr="0087176A">
        <w:rPr>
          <w:rFonts w:cs="Arial"/>
        </w:rPr>
        <w:t>Prepared on Australian Accounting Standards basis.</w:t>
      </w:r>
    </w:p>
    <w:p w:rsidR="006C5F38" w:rsidRDefault="006C5F38" w:rsidP="00096568">
      <w:pPr>
        <w:pStyle w:val="Source"/>
        <w:rPr>
          <w:rFonts w:cs="Arial"/>
        </w:rPr>
        <w:sectPr w:rsidR="006C5F38" w:rsidSect="00946319">
          <w:pgSz w:w="11906" w:h="16838" w:code="9"/>
          <w:pgMar w:top="2466" w:right="2098" w:bottom="2466" w:left="2098" w:header="1899" w:footer="1899" w:gutter="0"/>
          <w:cols w:space="708"/>
          <w:titlePg/>
          <w:docGrid w:linePitch="360"/>
        </w:sectPr>
      </w:pPr>
    </w:p>
    <w:p w:rsidR="006C5F38" w:rsidRPr="0087176A" w:rsidRDefault="006C5F38" w:rsidP="006C5F38">
      <w:pPr>
        <w:pStyle w:val="TableHeading"/>
        <w:rPr>
          <w:color w:val="auto"/>
        </w:rPr>
      </w:pPr>
      <w:r w:rsidRPr="0087176A">
        <w:rPr>
          <w:color w:val="auto"/>
        </w:rPr>
        <w:lastRenderedPageBreak/>
        <w:t>Table 3.2: Budgeted departmental balance sheet (as at 30 June)</w:t>
      </w:r>
    </w:p>
    <w:p w:rsidR="006C5F38" w:rsidRDefault="00784F2A" w:rsidP="006C5F38">
      <w:pPr>
        <w:pStyle w:val="TableGraphic"/>
        <w:rPr>
          <w:noProof/>
        </w:rPr>
      </w:pPr>
      <w:r>
        <w:rPr>
          <w:noProof/>
        </w:rPr>
        <w:object w:dxaOrig="7676" w:dyaOrig="7338">
          <v:shape id="_x0000_i1052" type="#_x0000_t75" style="width:384pt;height:367.5pt" o:ole="">
            <v:imagedata r:id="rId47" o:title=""/>
          </v:shape>
          <o:OLEObject Type="Link" ProgID="Excel.Sheet.12" ShapeID="_x0000_i1052" DrawAspect="Content" r:id="rId48" UpdateMode="Always">
            <o:LinkType>EnhancedMetaFile</o:LinkType>
            <o:LockedField>false</o:LockedField>
          </o:OLEObject>
        </w:object>
      </w:r>
    </w:p>
    <w:p w:rsidR="006C5F38" w:rsidRPr="0087176A" w:rsidRDefault="006C5F38" w:rsidP="006C5F38">
      <w:pPr>
        <w:pStyle w:val="ChartandTableFootnote"/>
        <w:rPr>
          <w:rFonts w:cs="Arial"/>
          <w:color w:val="auto"/>
        </w:rPr>
      </w:pPr>
      <w:r w:rsidRPr="0087176A">
        <w:rPr>
          <w:rFonts w:cs="Arial"/>
          <w:color w:val="auto"/>
        </w:rPr>
        <w:t>*</w:t>
      </w:r>
      <w:r w:rsidRPr="0087176A">
        <w:rPr>
          <w:rFonts w:cs="Arial"/>
          <w:color w:val="auto"/>
          <w:lang w:val="en-AU"/>
        </w:rPr>
        <w:t>‘</w:t>
      </w:r>
      <w:r w:rsidRPr="0087176A">
        <w:rPr>
          <w:rFonts w:cs="Arial"/>
          <w:color w:val="auto"/>
        </w:rPr>
        <w:t>Equity’ is the residual interest in assets after deduction of liabilities.</w:t>
      </w:r>
    </w:p>
    <w:p w:rsidR="006C5F38" w:rsidRPr="0087176A" w:rsidRDefault="006C5F38" w:rsidP="006C5F38">
      <w:pPr>
        <w:pStyle w:val="Source"/>
        <w:rPr>
          <w:rFonts w:cs="Arial"/>
        </w:rPr>
      </w:pPr>
      <w:r w:rsidRPr="0087176A">
        <w:rPr>
          <w:rFonts w:cs="Arial"/>
        </w:rPr>
        <w:t>Prepared on Australian Accounting Standards basis.</w:t>
      </w:r>
    </w:p>
    <w:p w:rsidR="006C5F38" w:rsidRDefault="006C5F38" w:rsidP="00096568">
      <w:pPr>
        <w:pStyle w:val="Source"/>
        <w:rPr>
          <w:rFonts w:cs="Arial"/>
        </w:rPr>
        <w:sectPr w:rsidR="006C5F38" w:rsidSect="00946319">
          <w:headerReference w:type="first" r:id="rId49"/>
          <w:pgSz w:w="11906" w:h="16838" w:code="9"/>
          <w:pgMar w:top="2466" w:right="2098" w:bottom="2466" w:left="2098" w:header="1899" w:footer="1899" w:gutter="0"/>
          <w:cols w:space="708"/>
          <w:titlePg/>
          <w:docGrid w:linePitch="360"/>
        </w:sectPr>
      </w:pPr>
    </w:p>
    <w:p w:rsidR="006C5F38" w:rsidRPr="0087176A" w:rsidRDefault="006C5F38" w:rsidP="006C5F38">
      <w:pPr>
        <w:pStyle w:val="TableHeading"/>
        <w:rPr>
          <w:color w:val="auto"/>
        </w:rPr>
      </w:pPr>
      <w:r w:rsidRPr="0087176A">
        <w:rPr>
          <w:color w:val="auto"/>
        </w:rPr>
        <w:lastRenderedPageBreak/>
        <w:t>Table 3.3: Departmental statement of changes in equity — summary of movement (Budget year 2018-19)</w:t>
      </w:r>
    </w:p>
    <w:p w:rsidR="006C5F38" w:rsidRDefault="00784F2A" w:rsidP="006C5F38">
      <w:pPr>
        <w:pStyle w:val="TableGraphic"/>
      </w:pPr>
      <w:r>
        <w:object w:dxaOrig="7693" w:dyaOrig="4329">
          <v:shape id="_x0000_i1054" type="#_x0000_t75" style="width:384.75pt;height:216.75pt" o:ole="">
            <v:imagedata r:id="rId50" o:title=""/>
          </v:shape>
          <o:OLEObject Type="Link" ProgID="Excel.Sheet.12" ShapeID="_x0000_i1054" DrawAspect="Content" r:id="rId51" UpdateMode="Always">
            <o:LinkType>EnhancedMetaFile</o:LinkType>
            <o:LockedField>false</o:LockedField>
          </o:OLEObject>
        </w:object>
      </w:r>
    </w:p>
    <w:p w:rsidR="006C5F38" w:rsidRDefault="006C5F38" w:rsidP="006C5F38">
      <w:pPr>
        <w:pStyle w:val="Source"/>
      </w:pPr>
      <w:r w:rsidRPr="0087176A">
        <w:t>Prepared on Australian Accounting Standards basis.</w:t>
      </w:r>
    </w:p>
    <w:p w:rsidR="006C5F38" w:rsidRDefault="006C5F38" w:rsidP="00096568">
      <w:pPr>
        <w:pStyle w:val="Source"/>
        <w:rPr>
          <w:rFonts w:cs="Arial"/>
        </w:rPr>
        <w:sectPr w:rsidR="006C5F38" w:rsidSect="00946319">
          <w:headerReference w:type="first" r:id="rId52"/>
          <w:pgSz w:w="11906" w:h="16838" w:code="9"/>
          <w:pgMar w:top="2466" w:right="2098" w:bottom="2466" w:left="2098" w:header="1899" w:footer="1899" w:gutter="0"/>
          <w:cols w:space="708"/>
          <w:titlePg/>
          <w:docGrid w:linePitch="360"/>
        </w:sectPr>
      </w:pPr>
    </w:p>
    <w:p w:rsidR="006C5F38" w:rsidRPr="0087176A" w:rsidRDefault="006C5F38" w:rsidP="006C5F38">
      <w:pPr>
        <w:pStyle w:val="TableHeading"/>
        <w:rPr>
          <w:color w:val="auto"/>
        </w:rPr>
      </w:pPr>
      <w:r w:rsidRPr="0087176A">
        <w:rPr>
          <w:color w:val="auto"/>
        </w:rPr>
        <w:lastRenderedPageBreak/>
        <w:t>Table 3.4: Budgeted departmental statement of cash flows (for the period ended 30 June)</w:t>
      </w:r>
    </w:p>
    <w:p w:rsidR="006C5F38" w:rsidRDefault="00784F2A" w:rsidP="006C5F38">
      <w:pPr>
        <w:pStyle w:val="TableGraphic"/>
      </w:pPr>
      <w:r>
        <w:object w:dxaOrig="7717" w:dyaOrig="8456">
          <v:shape id="_x0000_i1056" type="#_x0000_t75" style="width:384.75pt;height:423pt" o:ole="">
            <v:imagedata r:id="rId53" o:title=""/>
          </v:shape>
          <o:OLEObject Type="Link" ProgID="Excel.Sheet.12" ShapeID="_x0000_i1056" DrawAspect="Content" r:id="rId54" UpdateMode="Always">
            <o:LinkType>EnhancedMetaFile</o:LinkType>
            <o:LockedField>false</o:LockedField>
          </o:OLEObject>
        </w:object>
      </w:r>
    </w:p>
    <w:p w:rsidR="006C5F38" w:rsidRPr="0087176A" w:rsidRDefault="006C5F38" w:rsidP="006C5F38">
      <w:pPr>
        <w:pStyle w:val="TableGraphic"/>
        <w:rPr>
          <w:rFonts w:ascii="Arial" w:hAnsi="Arial" w:cs="Arial"/>
          <w:sz w:val="16"/>
          <w:szCs w:val="16"/>
        </w:rPr>
      </w:pPr>
      <w:r w:rsidRPr="0087176A">
        <w:rPr>
          <w:rFonts w:ascii="Arial" w:hAnsi="Arial" w:cs="Arial"/>
          <w:sz w:val="16"/>
          <w:szCs w:val="16"/>
        </w:rPr>
        <w:t>Prepared on Australian Accounting Standards basis.</w:t>
      </w:r>
    </w:p>
    <w:p w:rsidR="006C5F38" w:rsidRDefault="006C5F38" w:rsidP="00096568">
      <w:pPr>
        <w:pStyle w:val="Source"/>
        <w:rPr>
          <w:rFonts w:cs="Arial"/>
        </w:rPr>
        <w:sectPr w:rsidR="006C5F38" w:rsidSect="00946319">
          <w:headerReference w:type="first" r:id="rId55"/>
          <w:pgSz w:w="11906" w:h="16838" w:code="9"/>
          <w:pgMar w:top="2466" w:right="2098" w:bottom="2466" w:left="2098" w:header="1899" w:footer="1899" w:gutter="0"/>
          <w:cols w:space="708"/>
          <w:titlePg/>
          <w:docGrid w:linePitch="360"/>
        </w:sectPr>
      </w:pPr>
    </w:p>
    <w:p w:rsidR="006C5F38" w:rsidRPr="0087176A" w:rsidRDefault="006C5F38" w:rsidP="006C5F38">
      <w:pPr>
        <w:pStyle w:val="TableHeading"/>
        <w:rPr>
          <w:color w:val="auto"/>
        </w:rPr>
      </w:pPr>
      <w:r w:rsidRPr="0087176A">
        <w:rPr>
          <w:color w:val="auto"/>
        </w:rPr>
        <w:lastRenderedPageBreak/>
        <w:t>Table 3.5: Departmental capital budget statement (for the period ended 30 June)</w:t>
      </w:r>
    </w:p>
    <w:p w:rsidR="006C5F38" w:rsidRDefault="00784F2A" w:rsidP="006C5F38">
      <w:pPr>
        <w:pStyle w:val="TableGraphic"/>
      </w:pPr>
      <w:r>
        <w:object w:dxaOrig="7722" w:dyaOrig="5418">
          <v:shape id="_x0000_i1058" type="#_x0000_t75" style="width:386.25pt;height:270pt" o:ole="">
            <v:imagedata r:id="rId56" o:title=""/>
          </v:shape>
          <o:OLEObject Type="Link" ProgID="Excel.Sheet.12" ShapeID="_x0000_i1058" DrawAspect="Content" r:id="rId57" UpdateMode="Always">
            <o:LinkType>EnhancedMetaFile</o:LinkType>
            <o:LockedField>false</o:LockedField>
          </o:OLEObject>
        </w:object>
      </w:r>
    </w:p>
    <w:p w:rsidR="006C5F38" w:rsidRPr="00F32080" w:rsidRDefault="006C5F38" w:rsidP="00C84953">
      <w:pPr>
        <w:pStyle w:val="ChartandTableFootnoteAlpha"/>
        <w:numPr>
          <w:ilvl w:val="0"/>
          <w:numId w:val="8"/>
        </w:numPr>
        <w:rPr>
          <w:rFonts w:cs="Arial"/>
          <w:szCs w:val="16"/>
        </w:rPr>
      </w:pPr>
      <w:r w:rsidRPr="00F32080">
        <w:rPr>
          <w:rFonts w:cs="Arial"/>
          <w:szCs w:val="16"/>
        </w:rPr>
        <w:t>Includes both current Bill 2 and p</w:t>
      </w:r>
      <w:r w:rsidR="00C84953">
        <w:rPr>
          <w:rFonts w:cs="Arial"/>
          <w:szCs w:val="16"/>
        </w:rPr>
        <w:t>rior Act 2/4/6 appropriations</w:t>
      </w:r>
      <w:r w:rsidRPr="00F32080">
        <w:rPr>
          <w:rFonts w:cs="Arial"/>
          <w:szCs w:val="16"/>
        </w:rPr>
        <w:t>.</w:t>
      </w:r>
    </w:p>
    <w:p w:rsidR="006C5F38" w:rsidRPr="0087176A" w:rsidRDefault="006C5F38" w:rsidP="00C84953">
      <w:pPr>
        <w:pStyle w:val="ChartandTableFootnoteAlpha"/>
        <w:numPr>
          <w:ilvl w:val="0"/>
          <w:numId w:val="8"/>
        </w:numPr>
        <w:rPr>
          <w:rFonts w:cs="Arial"/>
          <w:szCs w:val="16"/>
        </w:rPr>
      </w:pPr>
      <w:r w:rsidRPr="0087176A">
        <w:rPr>
          <w:rFonts w:cs="Arial"/>
          <w:szCs w:val="16"/>
        </w:rPr>
        <w:t>Does not include annual finance lease costs. Includes purchases from current and previous years’ Departmental capital budgets (DCBs).</w:t>
      </w:r>
    </w:p>
    <w:p w:rsidR="006C5F38" w:rsidRPr="00FB1224" w:rsidRDefault="006C5F38" w:rsidP="00C84953">
      <w:pPr>
        <w:pStyle w:val="ChartandTableFootnoteAlpha"/>
        <w:numPr>
          <w:ilvl w:val="0"/>
          <w:numId w:val="8"/>
        </w:numPr>
        <w:rPr>
          <w:rFonts w:cs="Arial"/>
          <w:szCs w:val="16"/>
        </w:rPr>
      </w:pPr>
      <w:r w:rsidRPr="00FB1224">
        <w:rPr>
          <w:rFonts w:cs="Arial"/>
          <w:szCs w:val="16"/>
        </w:rPr>
        <w:t>Includes assets funded by a lease incentive from a new accommodation lease.</w:t>
      </w:r>
    </w:p>
    <w:p w:rsidR="006C5F38" w:rsidRPr="0087176A" w:rsidRDefault="006C5F38" w:rsidP="006C5F38">
      <w:pPr>
        <w:pStyle w:val="Source"/>
      </w:pPr>
      <w:r w:rsidRPr="0087176A">
        <w:t>Prepared on Australian Accounting Standards basis.</w:t>
      </w:r>
    </w:p>
    <w:p w:rsidR="006C5F38" w:rsidRDefault="006C5F38" w:rsidP="006C5F38">
      <w:pPr>
        <w:pStyle w:val="NoSpacing"/>
        <w:sectPr w:rsidR="006C5F38" w:rsidSect="006C5F38">
          <w:headerReference w:type="even" r:id="rId58"/>
          <w:headerReference w:type="default" r:id="rId59"/>
          <w:headerReference w:type="first" r:id="rId60"/>
          <w:pgSz w:w="11906" w:h="16838" w:code="9"/>
          <w:pgMar w:top="2466" w:right="2098" w:bottom="2466" w:left="2098" w:header="1899" w:footer="1899" w:gutter="0"/>
          <w:cols w:space="708"/>
          <w:titlePg/>
          <w:docGrid w:linePitch="360"/>
        </w:sectPr>
      </w:pPr>
    </w:p>
    <w:p w:rsidR="0041404E" w:rsidRPr="0087176A" w:rsidRDefault="00CC4867" w:rsidP="00146B5E">
      <w:pPr>
        <w:pStyle w:val="TableHeading"/>
        <w:rPr>
          <w:color w:val="auto"/>
        </w:rPr>
      </w:pPr>
      <w:r w:rsidRPr="0087176A">
        <w:rPr>
          <w:color w:val="auto"/>
        </w:rPr>
        <w:lastRenderedPageBreak/>
        <w:t>Table</w:t>
      </w:r>
      <w:r w:rsidR="00971CBF" w:rsidRPr="0087176A">
        <w:rPr>
          <w:color w:val="auto"/>
        </w:rPr>
        <w:t xml:space="preserve"> 3.</w:t>
      </w:r>
      <w:r w:rsidRPr="0087176A">
        <w:rPr>
          <w:color w:val="auto"/>
        </w:rPr>
        <w:t xml:space="preserve">6: Statement of </w:t>
      </w:r>
      <w:r w:rsidR="00F10305" w:rsidRPr="0087176A">
        <w:rPr>
          <w:color w:val="auto"/>
        </w:rPr>
        <w:t xml:space="preserve">asset movements </w:t>
      </w:r>
      <w:r w:rsidR="008A1DDE" w:rsidRPr="0087176A">
        <w:rPr>
          <w:color w:val="auto"/>
        </w:rPr>
        <w:t>(</w:t>
      </w:r>
      <w:r w:rsidR="00B70C9E" w:rsidRPr="0087176A">
        <w:rPr>
          <w:color w:val="auto"/>
        </w:rPr>
        <w:t xml:space="preserve">Budget year </w:t>
      </w:r>
      <w:r w:rsidR="00A20A6B" w:rsidRPr="0087176A">
        <w:rPr>
          <w:color w:val="auto"/>
        </w:rPr>
        <w:t>2018</w:t>
      </w:r>
      <w:r w:rsidR="00F10305" w:rsidRPr="0087176A">
        <w:rPr>
          <w:color w:val="auto"/>
        </w:rPr>
        <w:noBreakHyphen/>
      </w:r>
      <w:r w:rsidR="00A20A6B" w:rsidRPr="0087176A">
        <w:rPr>
          <w:color w:val="auto"/>
        </w:rPr>
        <w:t>19</w:t>
      </w:r>
      <w:r w:rsidR="00E855E0" w:rsidRPr="0087176A">
        <w:rPr>
          <w:color w:val="auto"/>
        </w:rPr>
        <w:t>)</w:t>
      </w:r>
    </w:p>
    <w:p w:rsidR="000A5186" w:rsidRDefault="00784F2A" w:rsidP="000A5186">
      <w:pPr>
        <w:pStyle w:val="TableGraphic"/>
        <w:rPr>
          <w:noProof/>
        </w:rPr>
      </w:pPr>
      <w:r>
        <w:rPr>
          <w:noProof/>
        </w:rPr>
        <w:object w:dxaOrig="7739" w:dyaOrig="4995">
          <v:shape id="_x0000_i1060" type="#_x0000_t75" style="width:387pt;height:249.75pt" o:ole="">
            <v:imagedata r:id="rId61" o:title=""/>
          </v:shape>
          <o:OLEObject Type="Link" ProgID="Excel.Sheet.12" ShapeID="_x0000_i1060" DrawAspect="Content" r:id="rId62" UpdateMode="Always">
            <o:LinkType>EnhancedMetaFile</o:LinkType>
            <o:LockedField>false</o:LockedField>
          </o:OLEObject>
        </w:object>
      </w:r>
    </w:p>
    <w:p w:rsidR="00F20FF5" w:rsidRPr="0087176A" w:rsidRDefault="00F10305" w:rsidP="00C84953">
      <w:pPr>
        <w:pStyle w:val="ChartandTableFootnoteAlpha"/>
        <w:numPr>
          <w:ilvl w:val="0"/>
          <w:numId w:val="9"/>
        </w:numPr>
        <w:rPr>
          <w:rFonts w:cs="Arial"/>
          <w:szCs w:val="16"/>
        </w:rPr>
      </w:pPr>
      <w:r w:rsidRPr="0087176A">
        <w:rPr>
          <w:rFonts w:cs="Arial"/>
          <w:szCs w:val="16"/>
        </w:rPr>
        <w:t>‘Appropriation equity’</w:t>
      </w:r>
      <w:r w:rsidR="00F20FF5" w:rsidRPr="0087176A">
        <w:rPr>
          <w:rFonts w:cs="Arial"/>
          <w:szCs w:val="16"/>
        </w:rPr>
        <w:t xml:space="preserve"> refers to equity injections appropriations provided through Appropriation Bill (No. 2) 201</w:t>
      </w:r>
      <w:r w:rsidR="00A20A6B" w:rsidRPr="0087176A">
        <w:rPr>
          <w:rFonts w:cs="Arial"/>
          <w:szCs w:val="16"/>
        </w:rPr>
        <w:t>8</w:t>
      </w:r>
      <w:r w:rsidR="0041581E" w:rsidRPr="0087176A">
        <w:rPr>
          <w:rFonts w:cs="Arial"/>
          <w:szCs w:val="16"/>
        </w:rPr>
        <w:t>-1</w:t>
      </w:r>
      <w:r w:rsidR="00A20A6B" w:rsidRPr="0087176A">
        <w:rPr>
          <w:rFonts w:cs="Arial"/>
          <w:szCs w:val="16"/>
        </w:rPr>
        <w:t>9</w:t>
      </w:r>
      <w:r w:rsidR="00F20FF5" w:rsidRPr="0087176A">
        <w:rPr>
          <w:rFonts w:cs="Arial"/>
          <w:szCs w:val="16"/>
        </w:rPr>
        <w:t>, including CDABs.</w:t>
      </w:r>
    </w:p>
    <w:p w:rsidR="0061675B" w:rsidRPr="0087176A" w:rsidRDefault="00CC4867" w:rsidP="00F51346">
      <w:pPr>
        <w:pStyle w:val="Source"/>
        <w:rPr>
          <w:rFonts w:cs="Arial"/>
          <w:szCs w:val="16"/>
        </w:rPr>
      </w:pPr>
      <w:r w:rsidRPr="0087176A">
        <w:rPr>
          <w:rFonts w:cs="Arial"/>
          <w:szCs w:val="16"/>
        </w:rPr>
        <w:t>Prepared on Australian Accounting Standards basis.</w:t>
      </w:r>
    </w:p>
    <w:p w:rsidR="00273D98" w:rsidRPr="0087176A" w:rsidRDefault="00273D98" w:rsidP="00273D98"/>
    <w:p w:rsidR="004F5573" w:rsidRPr="0087176A" w:rsidRDefault="00D30CBA" w:rsidP="00146B5E">
      <w:pPr>
        <w:pStyle w:val="TableHeading"/>
        <w:rPr>
          <w:color w:val="auto"/>
        </w:rPr>
      </w:pPr>
      <w:r w:rsidRPr="0087176A">
        <w:rPr>
          <w:color w:val="auto"/>
        </w:rPr>
        <w:t>Table</w:t>
      </w:r>
      <w:r w:rsidR="00971CBF" w:rsidRPr="0087176A">
        <w:rPr>
          <w:color w:val="auto"/>
        </w:rPr>
        <w:t xml:space="preserve"> 3.</w:t>
      </w:r>
      <w:r w:rsidR="00B93884" w:rsidRPr="0087176A">
        <w:rPr>
          <w:color w:val="auto"/>
        </w:rPr>
        <w:t>7</w:t>
      </w:r>
      <w:r w:rsidRPr="0087176A">
        <w:rPr>
          <w:color w:val="auto"/>
        </w:rPr>
        <w:t xml:space="preserve">: Schedule of </w:t>
      </w:r>
      <w:r w:rsidR="00F10305" w:rsidRPr="0087176A">
        <w:rPr>
          <w:color w:val="auto"/>
        </w:rPr>
        <w:t>budgeted income and expenses administered on behalf of</w:t>
      </w:r>
      <w:r w:rsidR="002C7A63" w:rsidRPr="0087176A">
        <w:rPr>
          <w:color w:val="auto"/>
        </w:rPr>
        <w:t xml:space="preserve"> G</w:t>
      </w:r>
      <w:r w:rsidRPr="0087176A">
        <w:rPr>
          <w:color w:val="auto"/>
        </w:rPr>
        <w:t>ove</w:t>
      </w:r>
      <w:r w:rsidR="004F5573" w:rsidRPr="0087176A">
        <w:rPr>
          <w:color w:val="auto"/>
        </w:rPr>
        <w:t>rnment (for the period ended 30 </w:t>
      </w:r>
      <w:r w:rsidRPr="0087176A">
        <w:rPr>
          <w:color w:val="auto"/>
        </w:rPr>
        <w:t>June)</w:t>
      </w:r>
    </w:p>
    <w:p w:rsidR="000A5186" w:rsidRDefault="00784F2A" w:rsidP="00FD2130">
      <w:pPr>
        <w:pStyle w:val="TableGraphic"/>
        <w:rPr>
          <w:noProof/>
        </w:rPr>
      </w:pPr>
      <w:r>
        <w:rPr>
          <w:noProof/>
        </w:rPr>
        <w:object w:dxaOrig="7741" w:dyaOrig="3933">
          <v:shape id="_x0000_i1062" type="#_x0000_t75" style="width:387pt;height:195.75pt" o:ole="">
            <v:imagedata r:id="rId63" o:title=""/>
          </v:shape>
          <o:OLEObject Type="Link" ProgID="Excel.Sheet.12" ShapeID="_x0000_i1062" DrawAspect="Content" r:id="rId64" UpdateMode="Always">
            <o:LinkType>EnhancedMetaFile</o:LinkType>
            <o:LockedField>false</o:LockedField>
          </o:OLEObject>
        </w:object>
      </w:r>
    </w:p>
    <w:p w:rsidR="007A0BB9" w:rsidRPr="00F70C57" w:rsidRDefault="007A0BB9" w:rsidP="00F70C57">
      <w:pPr>
        <w:pStyle w:val="Source"/>
      </w:pPr>
      <w:proofErr w:type="gramStart"/>
      <w:r w:rsidRPr="00F70C57">
        <w:t>Prepared on Australian Accounting Standards basis.</w:t>
      </w:r>
      <w:proofErr w:type="gramEnd"/>
    </w:p>
    <w:p w:rsidR="00185CF0" w:rsidRDefault="00185CF0" w:rsidP="0061675B">
      <w:pPr>
        <w:pStyle w:val="NoSpacing"/>
        <w:rPr>
          <w:rFonts w:ascii="Arial" w:hAnsi="Arial" w:cs="Arial"/>
          <w:sz w:val="16"/>
          <w:szCs w:val="16"/>
        </w:rPr>
        <w:sectPr w:rsidR="00185CF0" w:rsidSect="006C5F38">
          <w:headerReference w:type="even" r:id="rId65"/>
          <w:headerReference w:type="default" r:id="rId66"/>
          <w:headerReference w:type="first" r:id="rId67"/>
          <w:pgSz w:w="11906" w:h="16838" w:code="9"/>
          <w:pgMar w:top="2466" w:right="2098" w:bottom="2466" w:left="2098" w:header="1899" w:footer="1899" w:gutter="0"/>
          <w:cols w:space="708"/>
          <w:titlePg/>
          <w:docGrid w:linePitch="360"/>
        </w:sectPr>
      </w:pPr>
    </w:p>
    <w:p w:rsidR="00D30CBA" w:rsidRPr="0087176A" w:rsidRDefault="00D30CBA" w:rsidP="00146B5E">
      <w:pPr>
        <w:pStyle w:val="TableHeading"/>
        <w:rPr>
          <w:color w:val="auto"/>
        </w:rPr>
      </w:pPr>
      <w:r w:rsidRPr="0087176A">
        <w:rPr>
          <w:color w:val="auto"/>
        </w:rPr>
        <w:lastRenderedPageBreak/>
        <w:t>Table</w:t>
      </w:r>
      <w:r w:rsidR="00971CBF" w:rsidRPr="0087176A">
        <w:rPr>
          <w:color w:val="auto"/>
        </w:rPr>
        <w:t xml:space="preserve"> 3.</w:t>
      </w:r>
      <w:r w:rsidR="00B93884" w:rsidRPr="0087176A">
        <w:rPr>
          <w:color w:val="auto"/>
        </w:rPr>
        <w:t>8</w:t>
      </w:r>
      <w:r w:rsidRPr="0087176A">
        <w:rPr>
          <w:color w:val="auto"/>
        </w:rPr>
        <w:t xml:space="preserve">: Schedule of </w:t>
      </w:r>
      <w:r w:rsidR="0044552A" w:rsidRPr="0087176A">
        <w:rPr>
          <w:color w:val="auto"/>
        </w:rPr>
        <w:t xml:space="preserve">budgeted assets and liabilities administered on behalf </w:t>
      </w:r>
      <w:r w:rsidR="002C7A63" w:rsidRPr="0087176A">
        <w:rPr>
          <w:color w:val="auto"/>
        </w:rPr>
        <w:t>of G</w:t>
      </w:r>
      <w:r w:rsidRPr="0087176A">
        <w:rPr>
          <w:color w:val="auto"/>
        </w:rPr>
        <w:t>overnment (as at 30 June)</w:t>
      </w:r>
    </w:p>
    <w:p w:rsidR="001D7AAD" w:rsidRDefault="00784F2A" w:rsidP="00C84953">
      <w:pPr>
        <w:pStyle w:val="TableGraphic"/>
        <w:rPr>
          <w:noProof/>
        </w:rPr>
      </w:pPr>
      <w:r>
        <w:rPr>
          <w:noProof/>
        </w:rPr>
        <w:object w:dxaOrig="7691" w:dyaOrig="2548">
          <v:shape id="_x0000_i1064" type="#_x0000_t75" style="width:384.75pt;height:127.5pt" o:ole="">
            <v:imagedata r:id="rId68" o:title=""/>
          </v:shape>
          <o:OLEObject Type="Link" ProgID="Excel.Sheet.12" ShapeID="_x0000_i1064" DrawAspect="Content" r:id="rId69" UpdateMode="Always">
            <o:LinkType>EnhancedMetaFile</o:LinkType>
            <o:LockedField>false</o:LockedField>
          </o:OLEObject>
        </w:object>
      </w:r>
    </w:p>
    <w:p w:rsidR="00BF1022" w:rsidRPr="0087176A" w:rsidRDefault="00BF1022" w:rsidP="00F70C57">
      <w:pPr>
        <w:pStyle w:val="Source"/>
      </w:pPr>
      <w:r w:rsidRPr="0087176A">
        <w:t>Prepared on Australian Accounting Standards basis.</w:t>
      </w:r>
    </w:p>
    <w:p w:rsidR="00BF1022" w:rsidRDefault="00BF1022" w:rsidP="00185CF0"/>
    <w:p w:rsidR="00C41D55" w:rsidRPr="0087176A" w:rsidRDefault="00C41D55" w:rsidP="00D121A1">
      <w:pPr>
        <w:pStyle w:val="TableHeadingcontinued"/>
      </w:pPr>
      <w:bookmarkStart w:id="33" w:name="OLE_LINK1"/>
      <w:r w:rsidRPr="0087176A">
        <w:t>Table</w:t>
      </w:r>
      <w:r w:rsidR="00971CBF" w:rsidRPr="0087176A">
        <w:t xml:space="preserve"> 3.</w:t>
      </w:r>
      <w:r w:rsidR="00F81CE4" w:rsidRPr="0087176A">
        <w:t>9</w:t>
      </w:r>
      <w:r w:rsidRPr="0087176A">
        <w:t xml:space="preserve">: Schedule of </w:t>
      </w:r>
      <w:r w:rsidR="0044552A" w:rsidRPr="0087176A">
        <w:t xml:space="preserve">budgeted administered cash flows </w:t>
      </w:r>
      <w:r w:rsidRPr="0087176A">
        <w:t>(for</w:t>
      </w:r>
      <w:r w:rsidR="0044552A" w:rsidRPr="0087176A">
        <w:t> the </w:t>
      </w:r>
      <w:r w:rsidRPr="0087176A">
        <w:t>period ended 30 June)</w:t>
      </w:r>
    </w:p>
    <w:bookmarkStart w:id="34" w:name="_GoBack"/>
    <w:p w:rsidR="001D7AAD" w:rsidRDefault="00784F2A" w:rsidP="006F5D45">
      <w:pPr>
        <w:pStyle w:val="TableGraphic"/>
      </w:pPr>
      <w:r>
        <w:object w:dxaOrig="7691" w:dyaOrig="4653">
          <v:shape id="_x0000_i1066" type="#_x0000_t75" style="width:384.75pt;height:232.5pt" o:ole="">
            <v:imagedata r:id="rId70" o:title=""/>
          </v:shape>
          <o:OLEObject Type="Link" ProgID="Excel.Sheet.12" ShapeID="_x0000_i1066" DrawAspect="Content" r:id="rId71" UpdateMode="Always">
            <o:LinkType>EnhancedMetaFile</o:LinkType>
            <o:LockedField>false</o:LockedField>
          </o:OLEObject>
        </w:object>
      </w:r>
      <w:bookmarkEnd w:id="34"/>
    </w:p>
    <w:bookmarkEnd w:id="33"/>
    <w:p w:rsidR="00180359" w:rsidRDefault="00B94ADF" w:rsidP="00D121A1">
      <w:pPr>
        <w:pStyle w:val="Source"/>
      </w:pPr>
      <w:proofErr w:type="gramStart"/>
      <w:r w:rsidRPr="0087176A">
        <w:t>Prepared on Australian Accounting Standards basis.</w:t>
      </w:r>
      <w:proofErr w:type="gramEnd"/>
    </w:p>
    <w:p w:rsidR="00180359" w:rsidRDefault="00180359" w:rsidP="00180359">
      <w:pPr>
        <w:rPr>
          <w:rFonts w:ascii="Arial" w:hAnsi="Arial"/>
          <w:sz w:val="16"/>
        </w:rPr>
      </w:pPr>
      <w:r>
        <w:br w:type="page"/>
      </w:r>
    </w:p>
    <w:p w:rsidR="000C3B86" w:rsidRPr="0087176A" w:rsidRDefault="000C3B86" w:rsidP="00D121A1">
      <w:pPr>
        <w:pStyle w:val="Source"/>
      </w:pPr>
    </w:p>
    <w:sectPr w:rsidR="000C3B86" w:rsidRPr="0087176A" w:rsidSect="00185CF0">
      <w:headerReference w:type="even" r:id="rId72"/>
      <w:footerReference w:type="even" r:id="rId73"/>
      <w:headerReference w:type="first" r:id="rId74"/>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2DF" w:rsidRDefault="003532DF" w:rsidP="00C07DEC">
      <w:r>
        <w:separator/>
      </w:r>
    </w:p>
  </w:endnote>
  <w:endnote w:type="continuationSeparator" w:id="0">
    <w:p w:rsidR="003532DF" w:rsidRDefault="003532DF"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0000000000000000000"/>
    <w:charset w:val="80"/>
    <w:family w:val="roman"/>
    <w:notTrueType/>
    <w:pitch w:val="default"/>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881645"/>
      <w:docPartObj>
        <w:docPartGallery w:val="Page Numbers (Bottom of Page)"/>
        <w:docPartUnique/>
      </w:docPartObj>
    </w:sdtPr>
    <w:sdtEndPr>
      <w:rPr>
        <w:noProof/>
      </w:rPr>
    </w:sdtEndPr>
    <w:sdtContent>
      <w:p w:rsidR="00C75645" w:rsidRDefault="00C75645">
        <w:pPr>
          <w:pStyle w:val="Footer"/>
        </w:pPr>
        <w:r>
          <w:fldChar w:fldCharType="begin"/>
        </w:r>
        <w:r>
          <w:instrText xml:space="preserve"> PAGE   \* MERGEFORMAT </w:instrText>
        </w:r>
        <w:r>
          <w:fldChar w:fldCharType="separate"/>
        </w:r>
        <w:r w:rsidR="00784F2A">
          <w:rPr>
            <w:noProof/>
          </w:rPr>
          <w:t>90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2DF" w:rsidRPr="002C11E6" w:rsidRDefault="003532DF" w:rsidP="002C11E6">
    <w:pPr>
      <w:pStyle w:val="Footer"/>
      <w:rPr>
        <w:lang w:val="en-AU"/>
      </w:rPr>
    </w:pPr>
    <w:r>
      <w:rPr>
        <w:rStyle w:val="PageNumber"/>
      </w:rPr>
      <w:fldChar w:fldCharType="begin"/>
    </w:r>
    <w:r>
      <w:rPr>
        <w:rStyle w:val="PageNumber"/>
      </w:rPr>
      <w:instrText xml:space="preserve"> PAGE  \* Arabic </w:instrText>
    </w:r>
    <w:r>
      <w:rPr>
        <w:rStyle w:val="PageNumber"/>
      </w:rPr>
      <w:fldChar w:fldCharType="separate"/>
    </w:r>
    <w:r w:rsidR="00784F2A">
      <w:rPr>
        <w:rStyle w:val="PageNumber"/>
        <w:noProof/>
      </w:rPr>
      <w:t>81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68028"/>
      <w:docPartObj>
        <w:docPartGallery w:val="Page Numbers (Bottom of Page)"/>
        <w:docPartUnique/>
      </w:docPartObj>
    </w:sdtPr>
    <w:sdtEndPr>
      <w:rPr>
        <w:noProof/>
      </w:rPr>
    </w:sdtEndPr>
    <w:sdtContent>
      <w:p w:rsidR="003532DF" w:rsidRDefault="003532DF">
        <w:pPr>
          <w:pStyle w:val="Footer"/>
        </w:pPr>
        <w:r>
          <w:fldChar w:fldCharType="begin"/>
        </w:r>
        <w:r>
          <w:instrText xml:space="preserve"> PAGE   \* MERGEFORMAT </w:instrText>
        </w:r>
        <w:r>
          <w:fldChar w:fldCharType="separate"/>
        </w:r>
        <w:r w:rsidR="00784F2A">
          <w:rPr>
            <w:noProof/>
          </w:rPr>
          <w:t>71</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58010"/>
      <w:docPartObj>
        <w:docPartGallery w:val="Page Numbers (Bottom of Page)"/>
        <w:docPartUnique/>
      </w:docPartObj>
    </w:sdtPr>
    <w:sdtEndPr>
      <w:rPr>
        <w:noProof/>
      </w:rPr>
    </w:sdtEndPr>
    <w:sdtContent>
      <w:p w:rsidR="003532DF" w:rsidRDefault="003532DF">
        <w:pPr>
          <w:pStyle w:val="Footer"/>
        </w:pPr>
        <w:r>
          <w:fldChar w:fldCharType="begin"/>
        </w:r>
        <w:r>
          <w:instrText xml:space="preserve"> PAGE   \* MERGEFORMAT </w:instrText>
        </w:r>
        <w:r>
          <w:fldChar w:fldCharType="separate"/>
        </w:r>
        <w:r w:rsidR="00784F2A">
          <w:rPr>
            <w:noProof/>
          </w:rPr>
          <w:t>97</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F6C" w:rsidRDefault="00577F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2DF" w:rsidRDefault="003532DF" w:rsidP="00C07DEC">
      <w:r>
        <w:separator/>
      </w:r>
    </w:p>
  </w:footnote>
  <w:footnote w:type="continuationSeparator" w:id="0">
    <w:p w:rsidR="003532DF" w:rsidRDefault="003532DF" w:rsidP="00C07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2DF" w:rsidRDefault="003532DF">
    <w:pPr>
      <w:pStyle w:val="Header"/>
    </w:pPr>
    <w:r w:rsidRPr="002C11E6">
      <w:rPr>
        <w:noProof/>
      </w:rPr>
      <w:t>Australian Competition and Consumer Commission</w:t>
    </w:r>
    <w:r>
      <w:t xml:space="preserve"> Budget Statements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2DF" w:rsidRPr="00F00984" w:rsidRDefault="003532DF" w:rsidP="00185CF0">
    <w:pPr>
      <w:pStyle w:val="HeaderEven"/>
      <w:jc w:val="right"/>
    </w:pPr>
    <w:r>
      <w:rPr>
        <w:noProof/>
      </w:rPr>
      <mc:AlternateContent>
        <mc:Choice Requires="wps">
          <w:drawing>
            <wp:anchor distT="0" distB="0" distL="0" distR="0" simplePos="0" relativeHeight="251648000" behindDoc="0" locked="1" layoutInCell="0" allowOverlap="1" wp14:anchorId="2DC1E278" wp14:editId="0219E5B2">
              <wp:simplePos x="0" y="0"/>
              <wp:positionH relativeFrom="margin">
                <wp:align>center</wp:align>
              </wp:positionH>
              <wp:positionV relativeFrom="page">
                <wp:posOffset>512445</wp:posOffset>
              </wp:positionV>
              <wp:extent cx="4910455" cy="615315"/>
              <wp:effectExtent l="0" t="0" r="0" b="0"/>
              <wp:wrapSquare wrapText="bothSides"/>
              <wp:docPr id="20"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2DF" w:rsidRDefault="003532DF" w:rsidP="007C1DB0">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alt="Portrait Classification Header" style="position:absolute;left:0;text-align:left;margin-left:0;margin-top:40.35pt;width:386.65pt;height:48.45pt;z-index:25164800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" o:allowincell="f" filled="f" stroked="f">
              <v:textbox inset="0,0,0,0">
                <w:txbxContent>
                  <w:p w:rsidR="003532DF" w:rsidRDefault="003532DF" w:rsidP="007C1DB0">
                    <w:pPr>
                      <w:pStyle w:val="Classification"/>
                    </w:pPr>
                  </w:p>
                </w:txbxContent>
              </v:textbox>
              <w10:wrap type="square" anchorx="margin" anchory="page"/>
              <w10:anchorlock/>
            </v:shape>
          </w:pict>
        </mc:Fallback>
      </mc:AlternateContent>
    </w:r>
    <w:r w:rsidRPr="00801421">
      <w:rPr>
        <w:noProof/>
      </w:rPr>
      <w:t xml:space="preserve"> </w:t>
    </w:r>
    <w:r w:rsidRPr="002C11E6">
      <w:rPr>
        <w:noProof/>
      </w:rPr>
      <w:t>Australian Competition and Consumer Commission</w:t>
    </w:r>
    <w:r>
      <w:t xml:space="preserve"> Budget Statements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2DF" w:rsidRPr="00F00984" w:rsidRDefault="003532DF" w:rsidP="00E016BB">
    <w:pPr>
      <w:pStyle w:val="HeaderEven"/>
    </w:pPr>
    <w:r>
      <w:rPr>
        <w:noProof/>
      </w:rPr>
      <mc:AlternateContent>
        <mc:Choice Requires="wps">
          <w:drawing>
            <wp:anchor distT="0" distB="0" distL="0" distR="0" simplePos="0" relativeHeight="251681792" behindDoc="0" locked="1" layoutInCell="0" allowOverlap="1" wp14:anchorId="368D97CF" wp14:editId="7105B83D">
              <wp:simplePos x="0" y="0"/>
              <wp:positionH relativeFrom="margin">
                <wp:align>center</wp:align>
              </wp:positionH>
              <wp:positionV relativeFrom="page">
                <wp:posOffset>512445</wp:posOffset>
              </wp:positionV>
              <wp:extent cx="4910455" cy="615315"/>
              <wp:effectExtent l="0" t="0" r="0" b="0"/>
              <wp:wrapSquare wrapText="bothSides"/>
              <wp:docPr id="13"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2DF" w:rsidRDefault="003532DF" w:rsidP="007C1DB0">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alt="Portrait Classification Header" style="position:absolute;margin-left:0;margin-top:40.35pt;width:386.65pt;height:48.45pt;z-index:251681792;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PLfyVnKAgAA2QUAAA4AAAAAAAAAAAAAAAAALgIAAGRycy9lMm9Eb2MueG1sUEsB&#10;Ai0AFAAGAAgAAAAhAI9b/FvdAAAABwEAAA8AAAAAAAAAAAAAAAAAJAUAAGRycy9kb3ducmV2Lnht&#10;bFBLBQYAAAAABAAEAPMAAAAuBgAAAAA=&#10;" o:allowincell="f" filled="f" stroked="f">
              <v:textbox inset="0,0,0,0">
                <w:txbxContent>
                  <w:p w:rsidR="003532DF" w:rsidRDefault="003532DF" w:rsidP="007C1DB0">
                    <w:pPr>
                      <w:pStyle w:val="Classification"/>
                    </w:pPr>
                  </w:p>
                </w:txbxContent>
              </v:textbox>
              <w10:wrap type="square" anchorx="margin" anchory="page"/>
              <w10:anchorlock/>
            </v:shape>
          </w:pict>
        </mc:Fallback>
      </mc:AlternateContent>
    </w:r>
    <w:r w:rsidRPr="00801421">
      <w:rPr>
        <w:noProof/>
      </w:rPr>
      <w:t xml:space="preserve"> </w:t>
    </w:r>
    <w:r w:rsidRPr="002C11E6">
      <w:rPr>
        <w:noProof/>
      </w:rPr>
      <w:t>Australian Competition and Consumer Commission</w:t>
    </w:r>
    <w:r>
      <w:t xml:space="preserve"> Budget Statements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2DF" w:rsidRPr="00F00984" w:rsidRDefault="003532DF" w:rsidP="00E016BB">
    <w:pPr>
      <w:pStyle w:val="HeaderEven"/>
      <w:jc w:val="right"/>
    </w:pPr>
    <w:r>
      <w:rPr>
        <w:noProof/>
      </w:rPr>
      <mc:AlternateContent>
        <mc:Choice Requires="wps">
          <w:drawing>
            <wp:anchor distT="0" distB="0" distL="0" distR="0" simplePos="0" relativeHeight="251683840" behindDoc="0" locked="1" layoutInCell="0" allowOverlap="1" wp14:anchorId="0379FD6A" wp14:editId="79FB8BB8">
              <wp:simplePos x="0" y="0"/>
              <wp:positionH relativeFrom="margin">
                <wp:align>center</wp:align>
              </wp:positionH>
              <wp:positionV relativeFrom="page">
                <wp:posOffset>512445</wp:posOffset>
              </wp:positionV>
              <wp:extent cx="4910455" cy="615315"/>
              <wp:effectExtent l="0" t="0" r="0" b="0"/>
              <wp:wrapSquare wrapText="bothSides"/>
              <wp:docPr id="14"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2DF" w:rsidRDefault="003532DF" w:rsidP="007C1DB0">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alt="Portrait Classification Header" style="position:absolute;left:0;text-align:left;margin-left:0;margin-top:40.35pt;width:386.65pt;height:48.45pt;z-index:25168384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B3IruHKAgAA2QUAAA4AAAAAAAAAAAAAAAAALgIAAGRycy9lMm9Eb2MueG1sUEsB&#10;Ai0AFAAGAAgAAAAhAI9b/FvdAAAABwEAAA8AAAAAAAAAAAAAAAAAJAUAAGRycy9kb3ducmV2Lnht&#10;bFBLBQYAAAAABAAEAPMAAAAuBgAAAAA=&#10;" o:allowincell="f" filled="f" stroked="f">
              <v:textbox inset="0,0,0,0">
                <w:txbxContent>
                  <w:p w:rsidR="003532DF" w:rsidRDefault="003532DF" w:rsidP="007C1DB0">
                    <w:pPr>
                      <w:pStyle w:val="Classification"/>
                    </w:pPr>
                  </w:p>
                </w:txbxContent>
              </v:textbox>
              <w10:wrap type="square" anchorx="margin" anchory="page"/>
              <w10:anchorlock/>
            </v:shape>
          </w:pict>
        </mc:Fallback>
      </mc:AlternateContent>
    </w:r>
    <w:r w:rsidRPr="00801421">
      <w:rPr>
        <w:noProof/>
      </w:rPr>
      <w:t xml:space="preserve"> </w:t>
    </w:r>
    <w:r w:rsidRPr="002C11E6">
      <w:rPr>
        <w:noProof/>
      </w:rPr>
      <w:t>Australian Competition and Consumer Commission</w:t>
    </w:r>
    <w:r>
      <w:t xml:space="preserve"> Budget Statements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2DF" w:rsidRPr="00F00984" w:rsidRDefault="003532DF" w:rsidP="00155DA4">
    <w:pPr>
      <w:pStyle w:val="HeaderEven"/>
    </w:pPr>
    <w:r>
      <w:rPr>
        <w:noProof/>
      </w:rPr>
      <mc:AlternateContent>
        <mc:Choice Requires="wps">
          <w:drawing>
            <wp:anchor distT="0" distB="0" distL="0" distR="0" simplePos="0" relativeHeight="251667456" behindDoc="0" locked="1" layoutInCell="0" allowOverlap="1" wp14:anchorId="422C053C" wp14:editId="2DD19E26">
              <wp:simplePos x="0" y="0"/>
              <wp:positionH relativeFrom="margin">
                <wp:align>center</wp:align>
              </wp:positionH>
              <wp:positionV relativeFrom="page">
                <wp:posOffset>512445</wp:posOffset>
              </wp:positionV>
              <wp:extent cx="4910455" cy="615315"/>
              <wp:effectExtent l="0" t="0" r="0" b="0"/>
              <wp:wrapSquare wrapText="bothSides"/>
              <wp:docPr id="6"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2DF" w:rsidRDefault="003532DF" w:rsidP="007C1DB0">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alt="Portrait Classification Header" style="position:absolute;margin-left:0;margin-top:40.35pt;width:386.65pt;height:48.45pt;z-index:251667456;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GkT6fnKAgAA2QUAAA4AAAAAAAAAAAAAAAAALgIAAGRycy9lMm9Eb2MueG1sUEsB&#10;Ai0AFAAGAAgAAAAhAI9b/FvdAAAABwEAAA8AAAAAAAAAAAAAAAAAJAUAAGRycy9kb3ducmV2Lnht&#10;bFBLBQYAAAAABAAEAPMAAAAuBgAAAAA=&#10;" o:allowincell="f" filled="f" stroked="f">
              <v:textbox inset="0,0,0,0">
                <w:txbxContent>
                  <w:p w:rsidR="003532DF" w:rsidRDefault="003532DF" w:rsidP="007C1DB0">
                    <w:pPr>
                      <w:pStyle w:val="Classification"/>
                    </w:pPr>
                  </w:p>
                </w:txbxContent>
              </v:textbox>
              <w10:wrap type="square" anchorx="margin" anchory="page"/>
              <w10:anchorlock/>
            </v:shape>
          </w:pict>
        </mc:Fallback>
      </mc:AlternateContent>
    </w:r>
    <w:r w:rsidRPr="00801421">
      <w:rPr>
        <w:noProof/>
      </w:rPr>
      <w:t xml:space="preserve"> </w:t>
    </w:r>
    <w:r w:rsidRPr="002C11E6">
      <w:rPr>
        <w:noProof/>
      </w:rPr>
      <w:t>Australian Competition and Consumer Commission</w:t>
    </w:r>
    <w:r>
      <w:t xml:space="preserve"> Budget Statements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2DF" w:rsidRPr="00F00984" w:rsidRDefault="003532DF" w:rsidP="00F90FC5">
    <w:pPr>
      <w:pStyle w:val="HeaderEven"/>
      <w:jc w:val="right"/>
    </w:pPr>
    <w:r>
      <w:rPr>
        <w:noProof/>
      </w:rPr>
      <mc:AlternateContent>
        <mc:Choice Requires="wps">
          <w:drawing>
            <wp:anchor distT="0" distB="0" distL="0" distR="0" simplePos="0" relativeHeight="251669504" behindDoc="0" locked="1" layoutInCell="0" allowOverlap="1" wp14:anchorId="5DACD8FE" wp14:editId="4B0D6329">
              <wp:simplePos x="0" y="0"/>
              <wp:positionH relativeFrom="margin">
                <wp:align>center</wp:align>
              </wp:positionH>
              <wp:positionV relativeFrom="page">
                <wp:posOffset>512445</wp:posOffset>
              </wp:positionV>
              <wp:extent cx="4910455" cy="615315"/>
              <wp:effectExtent l="0" t="0" r="0" b="0"/>
              <wp:wrapSquare wrapText="bothSides"/>
              <wp:docPr id="7"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2DF" w:rsidRDefault="003532DF" w:rsidP="007C1DB0">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alt="Portrait Classification Header" style="position:absolute;left:0;text-align:left;margin-left:0;margin-top:40.35pt;width:386.65pt;height:48.45pt;z-index:251669504;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EkSeHXKAgAA2QUAAA4AAAAAAAAAAAAAAAAALgIAAGRycy9lMm9Eb2MueG1sUEsB&#10;Ai0AFAAGAAgAAAAhAI9b/FvdAAAABwEAAA8AAAAAAAAAAAAAAAAAJAUAAGRycy9kb3ducmV2Lnht&#10;bFBLBQYAAAAABAAEAPMAAAAuBgAAAAA=&#10;" o:allowincell="f" filled="f" stroked="f">
              <v:textbox inset="0,0,0,0">
                <w:txbxContent>
                  <w:p w:rsidR="003532DF" w:rsidRDefault="003532DF" w:rsidP="007C1DB0">
                    <w:pPr>
                      <w:pStyle w:val="Classification"/>
                    </w:pPr>
                  </w:p>
                </w:txbxContent>
              </v:textbox>
              <w10:wrap type="square" anchorx="margin" anchory="page"/>
              <w10:anchorlock/>
            </v:shape>
          </w:pict>
        </mc:Fallback>
      </mc:AlternateContent>
    </w:r>
    <w:r w:rsidRPr="00801421">
      <w:rPr>
        <w:noProof/>
      </w:rPr>
      <w:t xml:space="preserve"> </w:t>
    </w:r>
    <w:r w:rsidRPr="002C11E6">
      <w:rPr>
        <w:noProof/>
      </w:rPr>
      <w:t>Australian Competition and Consumer Commission</w:t>
    </w:r>
    <w:r>
      <w:t xml:space="preserve"> Budget Statements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C5B" w:rsidRPr="00F00984" w:rsidRDefault="00F71C5B" w:rsidP="00F71C5B">
    <w:pPr>
      <w:pStyle w:val="HeaderEven"/>
    </w:pPr>
    <w:r>
      <w:rPr>
        <w:noProof/>
      </w:rPr>
      <mc:AlternateContent>
        <mc:Choice Requires="wps">
          <w:drawing>
            <wp:anchor distT="0" distB="0" distL="0" distR="0" simplePos="0" relativeHeight="251689984" behindDoc="0" locked="1" layoutInCell="0" allowOverlap="1" wp14:anchorId="5BA20265" wp14:editId="7142C91C">
              <wp:simplePos x="0" y="0"/>
              <wp:positionH relativeFrom="margin">
                <wp:align>center</wp:align>
              </wp:positionH>
              <wp:positionV relativeFrom="page">
                <wp:posOffset>512445</wp:posOffset>
              </wp:positionV>
              <wp:extent cx="4910455" cy="615315"/>
              <wp:effectExtent l="0" t="0" r="0" b="0"/>
              <wp:wrapSquare wrapText="bothSides"/>
              <wp:docPr id="3"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1C5B" w:rsidRDefault="00F71C5B" w:rsidP="007C1DB0">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alt="Portrait Classification Header" style="position:absolute;margin-left:0;margin-top:40.35pt;width:386.65pt;height:48.45pt;z-index:251689984;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" o:allowincell="f" filled="f" stroked="f">
              <v:textbox inset="0,0,0,0">
                <w:txbxContent>
                  <w:p w:rsidR="00F71C5B" w:rsidRDefault="00F71C5B" w:rsidP="007C1DB0">
                    <w:pPr>
                      <w:pStyle w:val="Classification"/>
                    </w:pPr>
                  </w:p>
                </w:txbxContent>
              </v:textbox>
              <w10:wrap type="square" anchorx="margin" anchory="page"/>
              <w10:anchorlock/>
            </v:shape>
          </w:pict>
        </mc:Fallback>
      </mc:AlternateContent>
    </w:r>
    <w:r w:rsidRPr="00801421">
      <w:rPr>
        <w:noProof/>
      </w:rPr>
      <w:t xml:space="preserve"> </w:t>
    </w:r>
    <w:r w:rsidRPr="002C11E6">
      <w:rPr>
        <w:noProof/>
      </w:rPr>
      <w:t>Australian Competition and Consumer Commission</w:t>
    </w:r>
    <w:r>
      <w:t xml:space="preserve"> Budget Statements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C5B" w:rsidRPr="00F00984" w:rsidRDefault="00F71C5B" w:rsidP="00F71C5B">
    <w:pPr>
      <w:pStyle w:val="HeaderEven"/>
      <w:jc w:val="right"/>
    </w:pPr>
    <w:r>
      <w:rPr>
        <w:noProof/>
      </w:rPr>
      <mc:AlternateContent>
        <mc:Choice Requires="wps">
          <w:drawing>
            <wp:anchor distT="0" distB="0" distL="0" distR="0" simplePos="0" relativeHeight="251692032" behindDoc="0" locked="1" layoutInCell="0" allowOverlap="1" wp14:anchorId="2A2A3102" wp14:editId="2FA6DA8A">
              <wp:simplePos x="0" y="0"/>
              <wp:positionH relativeFrom="margin">
                <wp:align>center</wp:align>
              </wp:positionH>
              <wp:positionV relativeFrom="page">
                <wp:posOffset>512445</wp:posOffset>
              </wp:positionV>
              <wp:extent cx="4910455" cy="615315"/>
              <wp:effectExtent l="0" t="0" r="0" b="0"/>
              <wp:wrapSquare wrapText="bothSides"/>
              <wp:docPr id="8"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1C5B" w:rsidRDefault="00F71C5B" w:rsidP="007C1DB0">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9" type="#_x0000_t202" alt="Portrait Classification Header" style="position:absolute;left:0;text-align:left;margin-left:0;margin-top:40.35pt;width:386.65pt;height:48.45pt;z-index:251692032;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" o:allowincell="f" filled="f" stroked="f">
              <v:textbox inset="0,0,0,0">
                <w:txbxContent>
                  <w:p w:rsidR="00F71C5B" w:rsidRDefault="00F71C5B" w:rsidP="007C1DB0">
                    <w:pPr>
                      <w:pStyle w:val="Classification"/>
                    </w:pPr>
                  </w:p>
                </w:txbxContent>
              </v:textbox>
              <w10:wrap type="square" anchorx="margin" anchory="page"/>
              <w10:anchorlock/>
            </v:shape>
          </w:pict>
        </mc:Fallback>
      </mc:AlternateContent>
    </w:r>
    <w:r w:rsidRPr="00801421">
      <w:rPr>
        <w:noProof/>
      </w:rPr>
      <w:t xml:space="preserve"> </w:t>
    </w:r>
    <w:r w:rsidRPr="002C11E6">
      <w:rPr>
        <w:noProof/>
      </w:rPr>
      <w:t>Australian Competition and Consumer Commission</w:t>
    </w:r>
    <w:r>
      <w:t xml:space="preserve"> Budget Statements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2DF" w:rsidRPr="00F00984" w:rsidRDefault="003532DF" w:rsidP="007D0769">
    <w:pPr>
      <w:pStyle w:val="HeaderEven"/>
    </w:pPr>
    <w:r>
      <w:rPr>
        <w:noProof/>
      </w:rPr>
      <mc:AlternateContent>
        <mc:Choice Requires="wps">
          <w:drawing>
            <wp:anchor distT="0" distB="0" distL="0" distR="0" simplePos="0" relativeHeight="251687936" behindDoc="0" locked="1" layoutInCell="0" allowOverlap="1" wp14:anchorId="2F1ABE8B" wp14:editId="300CAF3E">
              <wp:simplePos x="0" y="0"/>
              <wp:positionH relativeFrom="margin">
                <wp:align>center</wp:align>
              </wp:positionH>
              <wp:positionV relativeFrom="page">
                <wp:posOffset>512445</wp:posOffset>
              </wp:positionV>
              <wp:extent cx="4910455" cy="615315"/>
              <wp:effectExtent l="0" t="0" r="0" b="0"/>
              <wp:wrapSquare wrapText="bothSides"/>
              <wp:docPr id="17"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2DF" w:rsidRDefault="003532DF" w:rsidP="007C1DB0">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0" type="#_x0000_t202" alt="Portrait Classification Header" style="position:absolute;margin-left:0;margin-top:40.35pt;width:386.65pt;height:48.45pt;z-index:251687936;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" o:allowincell="f" filled="f" stroked="f">
              <v:textbox inset="0,0,0,0">
                <w:txbxContent>
                  <w:p w:rsidR="003532DF" w:rsidRDefault="003532DF" w:rsidP="007C1DB0">
                    <w:pPr>
                      <w:pStyle w:val="Classification"/>
                    </w:pPr>
                  </w:p>
                </w:txbxContent>
              </v:textbox>
              <w10:wrap type="square" anchorx="margin" anchory="page"/>
              <w10:anchorlock/>
            </v:shape>
          </w:pict>
        </mc:Fallback>
      </mc:AlternateContent>
    </w:r>
    <w:r w:rsidRPr="00801421">
      <w:rPr>
        <w:noProof/>
      </w:rPr>
      <w:t xml:space="preserve"> </w:t>
    </w:r>
    <w:r w:rsidRPr="002C11E6">
      <w:rPr>
        <w:noProof/>
      </w:rPr>
      <w:t>Australian Competition and Consumer Commission</w:t>
    </w:r>
    <w:r>
      <w:t xml:space="preserve"> Budget Statements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2DF" w:rsidRDefault="003532DF" w:rsidP="00801421">
    <w:pPr>
      <w:pStyle w:val="HeaderEven"/>
      <w:jc w:val="right"/>
    </w:pPr>
    <w:r w:rsidRPr="002C11E6">
      <w:rPr>
        <w:noProof/>
      </w:rPr>
      <w:t>Australian Competition and Consumer Commission</w:t>
    </w:r>
    <w:r w:rsidRPr="00F00984">
      <w:t xml:space="preserve"> Budget Statements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2DF" w:rsidRPr="00D121A1" w:rsidRDefault="003532DF" w:rsidP="00D121A1">
    <w:pPr>
      <w:pStyle w:val="Header"/>
    </w:pPr>
    <w:r w:rsidRPr="002C11E6">
      <w:rPr>
        <w:noProof/>
      </w:rPr>
      <w:t>Australian Competition and Consumer Commission</w:t>
    </w:r>
    <w:r w:rsidRPr="00F00984">
      <w:t xml:space="preserve"> Budget Statements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2DF" w:rsidRPr="00F00984" w:rsidRDefault="003532DF" w:rsidP="00F00984">
    <w:pPr>
      <w:pStyle w:val="HeaderEven"/>
    </w:pPr>
    <w:r>
      <w:rPr>
        <w:noProof/>
      </w:rPr>
      <mc:AlternateContent>
        <mc:Choice Requires="wps">
          <w:drawing>
            <wp:anchor distT="0" distB="0" distL="0" distR="0" simplePos="0" relativeHeight="251645952" behindDoc="0" locked="1" layoutInCell="0" allowOverlap="1" wp14:anchorId="2AE60D7C" wp14:editId="56A01201">
              <wp:simplePos x="0" y="0"/>
              <wp:positionH relativeFrom="margin">
                <wp:align>center</wp:align>
              </wp:positionH>
              <wp:positionV relativeFrom="page">
                <wp:posOffset>512445</wp:posOffset>
              </wp:positionV>
              <wp:extent cx="4910455" cy="615315"/>
              <wp:effectExtent l="0" t="0" r="0" b="0"/>
              <wp:wrapSquare wrapText="bothSides"/>
              <wp:docPr id="26"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2DF" w:rsidRDefault="003532DF" w:rsidP="007C1DB0">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alt="Portrait Classification Header" style="position:absolute;margin-left:0;margin-top:40.35pt;width:386.65pt;height:48.45pt;z-index:251645952;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" o:allowincell="f" filled="f" stroked="f">
              <v:textbox inset="0,0,0,0">
                <w:txbxContent>
                  <w:p w:rsidR="003532DF" w:rsidRDefault="003532DF" w:rsidP="007C1DB0">
                    <w:pPr>
                      <w:pStyle w:val="Classification"/>
                    </w:pPr>
                  </w:p>
                </w:txbxContent>
              </v:textbox>
              <w10:wrap type="square" anchorx="margin" anchory="page"/>
              <w10:anchorlock/>
            </v:shape>
          </w:pict>
        </mc:Fallback>
      </mc:AlternateContent>
    </w:r>
    <w:r w:rsidRPr="00801421">
      <w:rPr>
        <w:noProof/>
      </w:rPr>
      <w:t xml:space="preserve"> </w:t>
    </w:r>
    <w:r w:rsidRPr="002C11E6">
      <w:rPr>
        <w:noProof/>
      </w:rPr>
      <w:t>Australian Competition and Consumer Commission</w:t>
    </w:r>
    <w:r w:rsidRPr="00F00984">
      <w:t xml:space="preserve"> Budget Statements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2DF" w:rsidRPr="00970E65" w:rsidRDefault="003532DF" w:rsidP="00F90FC5">
    <w:pPr>
      <w:pStyle w:val="Header"/>
      <w:jc w:val="right"/>
    </w:pPr>
    <w:r w:rsidRPr="002C11E6">
      <w:rPr>
        <w:noProof/>
      </w:rPr>
      <w:t>Australian Competition and Consumer Commission</w:t>
    </w:r>
    <w:r w:rsidRPr="00F00984">
      <w:t xml:space="preserve"> Budget Statements</w:t>
    </w:r>
    <w:r>
      <w:rPr>
        <w:noProof/>
        <w:lang w:val="en-AU" w:eastAsia="en-AU"/>
      </w:rPr>
      <w:t xml:space="preserve"> </w:t>
    </w:r>
    <w:r>
      <w:rPr>
        <w:noProof/>
        <w:lang w:val="en-AU" w:eastAsia="en-AU"/>
      </w:rPr>
      <mc:AlternateContent>
        <mc:Choice Requires="wps">
          <w:drawing>
            <wp:anchor distT="0" distB="0" distL="0" distR="0" simplePos="0" relativeHeight="251685888" behindDoc="0" locked="1" layoutInCell="0" allowOverlap="1" wp14:anchorId="71ABA1B5" wp14:editId="606781D5">
              <wp:simplePos x="0" y="0"/>
              <wp:positionH relativeFrom="margin">
                <wp:align>center</wp:align>
              </wp:positionH>
              <wp:positionV relativeFrom="page">
                <wp:posOffset>512445</wp:posOffset>
              </wp:positionV>
              <wp:extent cx="4910455" cy="615315"/>
              <wp:effectExtent l="0" t="0" r="0" b="0"/>
              <wp:wrapSquare wrapText="bothSides"/>
              <wp:docPr id="16"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2DF" w:rsidRDefault="003532DF" w:rsidP="007C1DB0">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alt="Portrait Classification Header" style="position:absolute;left:0;text-align:left;margin-left:0;margin-top:40.35pt;width:386.65pt;height:48.45pt;z-index:25168588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HUxVjHKAgAA2gUAAA4AAAAAAAAAAAAAAAAALgIAAGRycy9lMm9Eb2MueG1sUEsB&#10;Ai0AFAAGAAgAAAAhAI9b/FvdAAAABwEAAA8AAAAAAAAAAAAAAAAAJAUAAGRycy9kb3ducmV2Lnht&#10;bFBLBQYAAAAABAAEAPMAAAAuBgAAAAA=&#10;" o:allowincell="f" filled="f" stroked="f">
              <v:textbox inset="0,0,0,0">
                <w:txbxContent>
                  <w:p w:rsidR="003532DF" w:rsidRDefault="003532DF" w:rsidP="007C1DB0">
                    <w:pPr>
                      <w:pStyle w:val="Classification"/>
                    </w:pPr>
                  </w:p>
                </w:txbxContent>
              </v:textbox>
              <w10:wrap type="square" anchorx="margin" anchory="page"/>
              <w10:anchorlock/>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2DF" w:rsidRDefault="003532DF" w:rsidP="00801421">
    <w:pPr>
      <w:pStyle w:val="HeaderEven"/>
      <w:jc w:val="right"/>
    </w:pPr>
    <w:r w:rsidRPr="002C11E6">
      <w:rPr>
        <w:noProof/>
      </w:rPr>
      <w:t>Australian Competition and Consumer Commission</w:t>
    </w:r>
    <w:r w:rsidRPr="00F00984">
      <w:t xml:space="preserve"> Budget Statements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2DF" w:rsidRPr="00D121A1" w:rsidRDefault="003532DF" w:rsidP="00D121A1">
    <w:pPr>
      <w:pStyle w:val="Header"/>
    </w:pPr>
    <w:r w:rsidRPr="002C11E6">
      <w:rPr>
        <w:noProof/>
      </w:rPr>
      <w:t>Australian Competition and Consumer Commission</w:t>
    </w:r>
    <w:r w:rsidRPr="00F00984">
      <w:t xml:space="preserve"> Budget Statements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2DF" w:rsidRPr="00970E65" w:rsidRDefault="003532DF" w:rsidP="00155DA4">
    <w:pPr>
      <w:pStyle w:val="Header"/>
    </w:pPr>
    <w:r w:rsidRPr="002C11E6">
      <w:rPr>
        <w:noProof/>
      </w:rPr>
      <w:t>Australian Competition and Consumer Commission</w:t>
    </w:r>
    <w:r w:rsidRPr="00F00984">
      <w:t xml:space="preserve"> Budget Statements</w:t>
    </w:r>
    <w:r>
      <w:rPr>
        <w:noProof/>
        <w:lang w:val="en-AU" w:eastAsia="en-AU"/>
      </w:rPr>
      <w:t xml:space="preserve"> </w:t>
    </w:r>
    <w:r>
      <w:rPr>
        <w:noProof/>
        <w:lang w:val="en-AU" w:eastAsia="en-AU"/>
      </w:rPr>
      <mc:AlternateContent>
        <mc:Choice Requires="wps">
          <w:drawing>
            <wp:anchor distT="0" distB="0" distL="0" distR="0" simplePos="0" relativeHeight="251655168" behindDoc="0" locked="1" layoutInCell="0" allowOverlap="1" wp14:anchorId="7DECA390" wp14:editId="7A4BCDAF">
              <wp:simplePos x="0" y="0"/>
              <wp:positionH relativeFrom="margin">
                <wp:align>center</wp:align>
              </wp:positionH>
              <wp:positionV relativeFrom="page">
                <wp:posOffset>512445</wp:posOffset>
              </wp:positionV>
              <wp:extent cx="4910455" cy="615315"/>
              <wp:effectExtent l="0" t="0" r="0" b="0"/>
              <wp:wrapSquare wrapText="bothSides"/>
              <wp:docPr id="1"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2DF" w:rsidRDefault="003532DF" w:rsidP="007C1DB0">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2" type="#_x0000_t202" alt="Portrait Classification Header" style="position:absolute;margin-left:0;margin-top:40.35pt;width:386.65pt;height:48.45pt;z-index:25165516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" o:allowincell="f" filled="f" stroked="f">
              <v:textbox inset="0,0,0,0">
                <w:txbxContent>
                  <w:p w:rsidR="003532DF" w:rsidRDefault="003532DF" w:rsidP="007C1DB0">
                    <w:pPr>
                      <w:pStyle w:val="Classification"/>
                    </w:pPr>
                  </w:p>
                </w:txbxContent>
              </v:textbox>
              <w10:wrap type="square" anchorx="margin" anchory="page"/>
              <w10:anchorlock/>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359" w:rsidRPr="00180359" w:rsidRDefault="00180359" w:rsidP="00180359">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2DF" w:rsidRPr="00970E65" w:rsidRDefault="003532DF" w:rsidP="00155DA4">
    <w:pPr>
      <w:pStyle w:val="Header"/>
      <w:jc w:val="right"/>
    </w:pPr>
    <w:r w:rsidRPr="002C11E6">
      <w:rPr>
        <w:noProof/>
      </w:rPr>
      <w:t>Australian Competition and Consumer Commission</w:t>
    </w:r>
    <w:r w:rsidRPr="00F00984">
      <w:t xml:space="preserve"> Budget Statements</w:t>
    </w:r>
    <w:r>
      <w:rPr>
        <w:noProof/>
        <w:lang w:val="en-AU" w:eastAsia="en-AU"/>
      </w:rPr>
      <w:t xml:space="preserve"> </w:t>
    </w:r>
    <w:r>
      <w:rPr>
        <w:noProof/>
        <w:lang w:val="en-AU" w:eastAsia="en-AU"/>
      </w:rPr>
      <mc:AlternateContent>
        <mc:Choice Requires="wps">
          <w:drawing>
            <wp:anchor distT="0" distB="0" distL="0" distR="0" simplePos="0" relativeHeight="251679744" behindDoc="0" locked="1" layoutInCell="0" allowOverlap="1" wp14:anchorId="0489F74B" wp14:editId="3BE0BAC8">
              <wp:simplePos x="0" y="0"/>
              <wp:positionH relativeFrom="margin">
                <wp:align>center</wp:align>
              </wp:positionH>
              <wp:positionV relativeFrom="page">
                <wp:posOffset>512445</wp:posOffset>
              </wp:positionV>
              <wp:extent cx="4910455" cy="615315"/>
              <wp:effectExtent l="0" t="0" r="0" b="0"/>
              <wp:wrapSquare wrapText="bothSides"/>
              <wp:docPr id="12"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2DF" w:rsidRDefault="003532DF" w:rsidP="007C1DB0">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3" type="#_x0000_t202" alt="Portrait Classification Header" style="position:absolute;left:0;text-align:left;margin-left:0;margin-top:40.35pt;width:386.65pt;height:48.45pt;z-index:251679744;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" o:allowincell="f" filled="f" stroked="f">
              <v:textbox inset="0,0,0,0">
                <w:txbxContent>
                  <w:p w:rsidR="003532DF" w:rsidRDefault="003532DF" w:rsidP="007C1DB0">
                    <w:pPr>
                      <w:pStyle w:val="Classification"/>
                    </w:pPr>
                  </w:p>
                </w:txbxContent>
              </v:textbox>
              <w10:wrap type="square" anchorx="margin"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2DF" w:rsidRDefault="003532DF" w:rsidP="00801421">
    <w:pPr>
      <w:pStyle w:val="Header"/>
      <w:jc w:val="right"/>
    </w:pPr>
    <w:r w:rsidRPr="002C11E6">
      <w:rPr>
        <w:noProof/>
      </w:rPr>
      <w:t>Australian Competition and Consumer Commission</w:t>
    </w:r>
    <w:r>
      <w:t xml:space="preserve"> Budget Statements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2DF" w:rsidRPr="00B4084B" w:rsidRDefault="003532DF" w:rsidP="00155DA4">
    <w:pPr>
      <w:pStyle w:val="Header"/>
    </w:pPr>
    <w:r>
      <w:rPr>
        <w:noProof/>
        <w:lang w:val="en-AU" w:eastAsia="en-AU"/>
      </w:rPr>
      <mc:AlternateContent>
        <mc:Choice Requires="wps">
          <w:drawing>
            <wp:anchor distT="0" distB="0" distL="0" distR="0" simplePos="0" relativeHeight="251644928" behindDoc="0" locked="1" layoutInCell="0" allowOverlap="1" wp14:anchorId="55DFA6E6" wp14:editId="0012AD09">
              <wp:simplePos x="0" y="0"/>
              <wp:positionH relativeFrom="margin">
                <wp:align>center</wp:align>
              </wp:positionH>
              <wp:positionV relativeFrom="page">
                <wp:posOffset>512445</wp:posOffset>
              </wp:positionV>
              <wp:extent cx="4910455" cy="615315"/>
              <wp:effectExtent l="0" t="0" r="0" b="0"/>
              <wp:wrapSquare wrapText="bothSides"/>
              <wp:docPr id="24"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2DF" w:rsidRDefault="003532DF" w:rsidP="007C1DB0">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alt="Portrait Classification Header" style="position:absolute;margin-left:0;margin-top:40.35pt;width:386.65pt;height:48.45pt;z-index:25164492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LJFV5HKAgAA2QUAAA4AAAAAAAAAAAAAAAAALgIAAGRycy9lMm9Eb2MueG1sUEsB&#10;Ai0AFAAGAAgAAAAhAI9b/FvdAAAABwEAAA8AAAAAAAAAAAAAAAAAJAUAAGRycy9kb3ducmV2Lnht&#10;bFBLBQYAAAAABAAEAPMAAAAuBgAAAAA=&#10;" o:allowincell="f" filled="f" stroked="f">
              <v:textbox inset="0,0,0,0">
                <w:txbxContent>
                  <w:p w:rsidR="003532DF" w:rsidRDefault="003532DF" w:rsidP="007C1DB0">
                    <w:pPr>
                      <w:pStyle w:val="Classification"/>
                    </w:pPr>
                  </w:p>
                </w:txbxContent>
              </v:textbox>
              <w10:wrap type="square" anchorx="margin" anchory="page"/>
              <w10:anchorlock/>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2DF" w:rsidRPr="00B4084B" w:rsidRDefault="003532DF" w:rsidP="00155DA4">
    <w:pPr>
      <w:pStyle w:val="Header"/>
      <w:jc w:val="right"/>
    </w:pPr>
    <w:r w:rsidRPr="002C11E6">
      <w:rPr>
        <w:noProof/>
      </w:rPr>
      <w:t>Australian Competition and Consumer Commission</w:t>
    </w:r>
    <w:r>
      <w:t xml:space="preserve"> Budget Statements</w:t>
    </w:r>
    <w:r>
      <w:rPr>
        <w:noProof/>
        <w:lang w:val="en-AU" w:eastAsia="en-AU"/>
      </w:rPr>
      <w:t xml:space="preserve"> </w:t>
    </w:r>
    <w:r>
      <w:rPr>
        <w:noProof/>
        <w:lang w:val="en-AU" w:eastAsia="en-AU"/>
      </w:rPr>
      <mc:AlternateContent>
        <mc:Choice Requires="wps">
          <w:drawing>
            <wp:anchor distT="0" distB="0" distL="0" distR="0" simplePos="0" relativeHeight="251659264" behindDoc="0" locked="1" layoutInCell="0" allowOverlap="1" wp14:anchorId="6784DFD3" wp14:editId="6F8B8C46">
              <wp:simplePos x="0" y="0"/>
              <wp:positionH relativeFrom="margin">
                <wp:align>center</wp:align>
              </wp:positionH>
              <wp:positionV relativeFrom="page">
                <wp:posOffset>512445</wp:posOffset>
              </wp:positionV>
              <wp:extent cx="4910455" cy="615315"/>
              <wp:effectExtent l="0" t="0" r="0" b="0"/>
              <wp:wrapSquare wrapText="bothSides"/>
              <wp:docPr id="2"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2DF" w:rsidRDefault="003532DF" w:rsidP="007C1DB0">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alt="Portrait Classification Header" style="position:absolute;left:0;text-align:left;margin-left:0;margin-top:40.35pt;width:386.65pt;height:48.4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LySl8rKAgAA2AUAAA4AAAAAAAAAAAAAAAAALgIAAGRycy9lMm9Eb2MueG1sUEsB&#10;Ai0AFAAGAAgAAAAhAI9b/FvdAAAABwEAAA8AAAAAAAAAAAAAAAAAJAUAAGRycy9kb3ducmV2Lnht&#10;bFBLBQYAAAAABAAEAPMAAAAuBgAAAAA=&#10;" o:allowincell="f" filled="f" stroked="f">
              <v:textbox inset="0,0,0,0">
                <w:txbxContent>
                  <w:p w:rsidR="003532DF" w:rsidRDefault="003532DF" w:rsidP="007C1DB0">
                    <w:pPr>
                      <w:pStyle w:val="Classification"/>
                    </w:pPr>
                  </w:p>
                </w:txbxContent>
              </v:textbox>
              <w10:wrap type="square" anchorx="margin" anchory="page"/>
              <w10:anchorlock/>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2DF" w:rsidRPr="00B4084B" w:rsidRDefault="003532DF" w:rsidP="00606926">
    <w:pPr>
      <w:pStyle w:val="Header"/>
    </w:pPr>
    <w:r w:rsidRPr="002C11E6">
      <w:rPr>
        <w:noProof/>
      </w:rPr>
      <w:t>Australian Competition and Consumer Commission</w:t>
    </w:r>
    <w:r>
      <w:t xml:space="preserve"> Budget Statements</w:t>
    </w:r>
    <w:r>
      <w:rPr>
        <w:noProof/>
        <w:lang w:val="en-AU" w:eastAsia="en-AU"/>
      </w:rPr>
      <w:t xml:space="preserve"> </w:t>
    </w:r>
    <w:r>
      <w:rPr>
        <w:noProof/>
        <w:lang w:val="en-AU" w:eastAsia="en-AU"/>
      </w:rPr>
      <mc:AlternateContent>
        <mc:Choice Requires="wps">
          <w:drawing>
            <wp:anchor distT="0" distB="0" distL="0" distR="0" simplePos="0" relativeHeight="251663360" behindDoc="0" locked="1" layoutInCell="0" allowOverlap="1" wp14:anchorId="5791531D" wp14:editId="7D2E58C5">
              <wp:simplePos x="0" y="0"/>
              <wp:positionH relativeFrom="margin">
                <wp:align>center</wp:align>
              </wp:positionH>
              <wp:positionV relativeFrom="page">
                <wp:posOffset>512445</wp:posOffset>
              </wp:positionV>
              <wp:extent cx="4910455" cy="615315"/>
              <wp:effectExtent l="0" t="0" r="0" b="0"/>
              <wp:wrapSquare wrapText="bothSides"/>
              <wp:docPr id="4"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2DF" w:rsidRDefault="003532DF" w:rsidP="007C1DB0">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alt="Portrait Classification Header" style="position:absolute;margin-left:0;margin-top:40.35pt;width:386.65pt;height:48.45pt;z-index:25166336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LrKWZ/KAgAA2AUAAA4AAAAAAAAAAAAAAAAALgIAAGRycy9lMm9Eb2MueG1sUEsB&#10;Ai0AFAAGAAgAAAAhAI9b/FvdAAAABwEAAA8AAAAAAAAAAAAAAAAAJAUAAGRycy9kb3ducmV2Lnht&#10;bFBLBQYAAAAABAAEAPMAAAAuBgAAAAA=&#10;" o:allowincell="f" filled="f" stroked="f">
              <v:textbox inset="0,0,0,0">
                <w:txbxContent>
                  <w:p w:rsidR="003532DF" w:rsidRDefault="003532DF" w:rsidP="007C1DB0">
                    <w:pPr>
                      <w:pStyle w:val="Classification"/>
                    </w:pPr>
                  </w:p>
                </w:txbxContent>
              </v:textbox>
              <w10:wrap type="square" anchorx="margin" anchory="page"/>
              <w10:anchorlock/>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2DF" w:rsidRPr="00B4084B" w:rsidRDefault="003532DF" w:rsidP="00155DA4">
    <w:pPr>
      <w:pStyle w:val="Header"/>
    </w:pPr>
    <w:r w:rsidRPr="002C11E6">
      <w:rPr>
        <w:noProof/>
      </w:rPr>
      <w:t>Australian Competition and Consumer Commission</w:t>
    </w:r>
    <w:r>
      <w:t xml:space="preserve"> Budget Statements</w:t>
    </w:r>
    <w:r>
      <w:rPr>
        <w:noProof/>
        <w:lang w:val="en-AU" w:eastAsia="en-AU"/>
      </w:rPr>
      <w:t xml:space="preserve"> </w:t>
    </w:r>
    <w:r>
      <w:rPr>
        <w:noProof/>
        <w:lang w:val="en-AU" w:eastAsia="en-AU"/>
      </w:rPr>
      <mc:AlternateContent>
        <mc:Choice Requires="wps">
          <w:drawing>
            <wp:anchor distT="0" distB="0" distL="0" distR="0" simplePos="0" relativeHeight="251665408" behindDoc="0" locked="1" layoutInCell="0" allowOverlap="1" wp14:anchorId="76108A94" wp14:editId="73A14A1F">
              <wp:simplePos x="0" y="0"/>
              <wp:positionH relativeFrom="margin">
                <wp:align>center</wp:align>
              </wp:positionH>
              <wp:positionV relativeFrom="page">
                <wp:posOffset>512445</wp:posOffset>
              </wp:positionV>
              <wp:extent cx="4910455" cy="615315"/>
              <wp:effectExtent l="0" t="0" r="0" b="0"/>
              <wp:wrapSquare wrapText="bothSides"/>
              <wp:docPr id="5"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2DF" w:rsidRDefault="003532DF" w:rsidP="007C1DB0">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alt="Portrait Classification Header" style="position:absolute;margin-left:0;margin-top:40.35pt;width:386.65pt;height:48.45pt;z-index:25166540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Ate1QHKAgAA2AUAAA4AAAAAAAAAAAAAAAAALgIAAGRycy9lMm9Eb2MueG1sUEsB&#10;Ai0AFAAGAAgAAAAhAI9b/FvdAAAABwEAAA8AAAAAAAAAAAAAAAAAJAUAAGRycy9kb3ducmV2Lnht&#10;bFBLBQYAAAAABAAEAPMAAAAuBgAAAAA=&#10;" o:allowincell="f" filled="f" stroked="f">
              <v:textbox inset="0,0,0,0">
                <w:txbxContent>
                  <w:p w:rsidR="003532DF" w:rsidRDefault="003532DF" w:rsidP="007C1DB0">
                    <w:pPr>
                      <w:pStyle w:val="Classification"/>
                    </w:pPr>
                  </w:p>
                </w:txbxContent>
              </v:textbox>
              <w10:wrap type="square" anchorx="margin" anchory="page"/>
              <w10:anchorlock/>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2DF" w:rsidRPr="00F00984" w:rsidRDefault="003532DF" w:rsidP="00F00984">
    <w:pPr>
      <w:pStyle w:val="HeaderEven"/>
    </w:pPr>
    <w:r>
      <w:rPr>
        <w:noProof/>
      </w:rPr>
      <mc:AlternateContent>
        <mc:Choice Requires="wps">
          <w:drawing>
            <wp:anchor distT="0" distB="0" distL="0" distR="0" simplePos="0" relativeHeight="251649024" behindDoc="0" locked="1" layoutInCell="0" allowOverlap="1" wp14:anchorId="0DA578EE" wp14:editId="201D0B12">
              <wp:simplePos x="0" y="0"/>
              <wp:positionH relativeFrom="margin">
                <wp:align>center</wp:align>
              </wp:positionH>
              <wp:positionV relativeFrom="page">
                <wp:posOffset>512445</wp:posOffset>
              </wp:positionV>
              <wp:extent cx="4910455" cy="615315"/>
              <wp:effectExtent l="0" t="0" r="0" b="0"/>
              <wp:wrapSquare wrapText="bothSides"/>
              <wp:docPr id="22"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2DF" w:rsidRDefault="003532DF" w:rsidP="007C1DB0">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Portrait Classification Header" style="position:absolute;margin-left:0;margin-top:40.35pt;width:386.65pt;height:48.45pt;z-index:251649024;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" o:allowincell="f" filled="f" stroked="f">
              <v:textbox inset="0,0,0,0">
                <w:txbxContent>
                  <w:p w:rsidR="003532DF" w:rsidRDefault="003532DF" w:rsidP="007C1DB0">
                    <w:pPr>
                      <w:pStyle w:val="Classification"/>
                    </w:pPr>
                  </w:p>
                </w:txbxContent>
              </v:textbox>
              <w10:wrap type="square" anchorx="margin" anchory="page"/>
              <w10:anchorlock/>
            </v:shape>
          </w:pict>
        </mc:Fallback>
      </mc:AlternateContent>
    </w:r>
    <w:r w:rsidRPr="00801421">
      <w:rPr>
        <w:noProof/>
      </w:rPr>
      <w:t xml:space="preserve"> </w:t>
    </w:r>
    <w:r w:rsidRPr="002C11E6">
      <w:rPr>
        <w:noProof/>
      </w:rPr>
      <w:t>Australian Competition and Consumer Commission</w:t>
    </w:r>
    <w:r w:rsidRPr="00F00984">
      <w:t xml:space="preserve"> Budget Statements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2DF" w:rsidRDefault="003532DF" w:rsidP="00F00984">
    <w:pPr>
      <w:pStyle w:val="HeaderOdd"/>
    </w:pPr>
    <w:r>
      <w:rPr>
        <w:noProof/>
      </w:rPr>
      <mc:AlternateContent>
        <mc:Choice Requires="wps">
          <w:drawing>
            <wp:anchor distT="0" distB="0" distL="0" distR="0" simplePos="0" relativeHeight="251650048" behindDoc="0" locked="1" layoutInCell="0" allowOverlap="1" wp14:anchorId="153E6564" wp14:editId="15C47B7B">
              <wp:simplePos x="0" y="0"/>
              <wp:positionH relativeFrom="margin">
                <wp:align>center</wp:align>
              </wp:positionH>
              <wp:positionV relativeFrom="page">
                <wp:posOffset>512445</wp:posOffset>
              </wp:positionV>
              <wp:extent cx="4910455" cy="615315"/>
              <wp:effectExtent l="0" t="0" r="0" b="0"/>
              <wp:wrapSquare wrapText="bothSides"/>
              <wp:docPr id="21"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2DF" w:rsidRDefault="003532DF" w:rsidP="007C1DB0">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alt="Portrait Classification Header" style="position:absolute;left:0;text-align:left;margin-left:0;margin-top:40.35pt;width:386.65pt;height:48.45pt;z-index:25165004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" o:allowincell="f" filled="f" stroked="f">
              <v:textbox inset="0,0,0,0">
                <w:txbxContent>
                  <w:p w:rsidR="003532DF" w:rsidRDefault="003532DF" w:rsidP="007C1DB0">
                    <w:pPr>
                      <w:pStyle w:val="Classification"/>
                    </w:pPr>
                  </w:p>
                </w:txbxContent>
              </v:textbox>
              <w10:wrap type="square" anchorx="margin" anchory="page"/>
              <w10:anchorlock/>
            </v:shape>
          </w:pict>
        </mc:Fallback>
      </mc:AlternateContent>
    </w:r>
    <w:r w:rsidRPr="00801421">
      <w:rPr>
        <w:noProof/>
      </w:rPr>
      <w:t xml:space="preserve"> </w:t>
    </w:r>
    <w:r w:rsidRPr="002C11E6">
      <w:rPr>
        <w:noProof/>
      </w:rPr>
      <w:t>Australian Competition and Consumer Commission</w:t>
    </w:r>
    <w:r w:rsidRPr="00F00984">
      <w:t xml:space="preserve"> Budget Statements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83ECDC0"/>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DB865B7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4">
    <w:nsid w:val="2CB37CBA"/>
    <w:multiLevelType w:val="hybridMultilevel"/>
    <w:tmpl w:val="94DEA310"/>
    <w:lvl w:ilvl="0" w:tplc="0C090001">
      <w:start w:val="1"/>
      <w:numFmt w:val="bullet"/>
      <w:lvlText w:val=""/>
      <w:lvlJc w:val="left"/>
      <w:pPr>
        <w:ind w:left="1212" w:hanging="360"/>
      </w:pPr>
      <w:rPr>
        <w:rFonts w:ascii="Symbol" w:hAnsi="Symbol" w:hint="default"/>
      </w:rPr>
    </w:lvl>
    <w:lvl w:ilvl="1" w:tplc="0C090003" w:tentative="1">
      <w:start w:val="1"/>
      <w:numFmt w:val="bullet"/>
      <w:lvlText w:val="o"/>
      <w:lvlJc w:val="left"/>
      <w:pPr>
        <w:ind w:left="1932" w:hanging="360"/>
      </w:pPr>
      <w:rPr>
        <w:rFonts w:ascii="Courier New" w:hAnsi="Courier New" w:cs="Courier New" w:hint="default"/>
      </w:rPr>
    </w:lvl>
    <w:lvl w:ilvl="2" w:tplc="0C090005" w:tentative="1">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cs="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cs="Courier New" w:hint="default"/>
      </w:rPr>
    </w:lvl>
    <w:lvl w:ilvl="8" w:tplc="0C090005" w:tentative="1">
      <w:start w:val="1"/>
      <w:numFmt w:val="bullet"/>
      <w:lvlText w:val=""/>
      <w:lvlJc w:val="left"/>
      <w:pPr>
        <w:ind w:left="6972" w:hanging="360"/>
      </w:pPr>
      <w:rPr>
        <w:rFonts w:ascii="Wingdings" w:hAnsi="Wingdings" w:hint="default"/>
      </w:rPr>
    </w:lvl>
  </w:abstractNum>
  <w:abstractNum w:abstractNumId="5">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2E19AC"/>
    <w:multiLevelType w:val="singleLevel"/>
    <w:tmpl w:val="99D622DC"/>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8">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9">
    <w:nsid w:val="4A4F03A8"/>
    <w:multiLevelType w:val="hybridMultilevel"/>
    <w:tmpl w:val="25F0DA20"/>
    <w:lvl w:ilvl="0" w:tplc="DB3C3A26">
      <w:start w:val="1"/>
      <w:numFmt w:val="decimal"/>
      <w:lvlText w:val="%1."/>
      <w:lvlJc w:val="left"/>
      <w:pPr>
        <w:ind w:left="567" w:hanging="283"/>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nsid w:val="65CF0022"/>
    <w:multiLevelType w:val="multilevel"/>
    <w:tmpl w:val="972AC7E2"/>
    <w:name w:val="StandardNumberedList"/>
    <w:lvl w:ilvl="0">
      <w:start w:val="1"/>
      <w:numFmt w:val="decimal"/>
      <w:pStyle w:val="OutlineNumbered1"/>
      <w:lvlText w:val="%1."/>
      <w:lvlJc w:val="left"/>
      <w:pPr>
        <w:tabs>
          <w:tab w:val="num" w:pos="378"/>
        </w:tabs>
        <w:ind w:left="378" w:hanging="378"/>
      </w:pPr>
    </w:lvl>
    <w:lvl w:ilvl="1">
      <w:start w:val="1"/>
      <w:numFmt w:val="decimal"/>
      <w:pStyle w:val="OutlineNumbered2"/>
      <w:lvlText w:val="%1.%2."/>
      <w:lvlJc w:val="left"/>
      <w:pPr>
        <w:tabs>
          <w:tab w:val="num" w:pos="756"/>
        </w:tabs>
        <w:ind w:left="756" w:hanging="378"/>
      </w:pPr>
    </w:lvl>
    <w:lvl w:ilvl="2">
      <w:start w:val="1"/>
      <w:numFmt w:val="decimal"/>
      <w:pStyle w:val="OutlineNumbered3"/>
      <w:lvlText w:val="%1.%2.%3."/>
      <w:lvlJc w:val="left"/>
      <w:pPr>
        <w:tabs>
          <w:tab w:val="num" w:pos="1134"/>
        </w:tabs>
        <w:ind w:left="1134" w:hanging="378"/>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726588A"/>
    <w:multiLevelType w:val="hybridMultilevel"/>
    <w:tmpl w:val="616A9492"/>
    <w:lvl w:ilvl="0" w:tplc="60D8CA4A">
      <w:start w:val="1"/>
      <w:numFmt w:val="bullet"/>
      <w:pStyle w:val="Bulletpoint2"/>
      <w:lvlText w:val="-"/>
      <w:lvlJc w:val="left"/>
      <w:pPr>
        <w:ind w:left="1003" w:hanging="360"/>
      </w:pPr>
      <w:rPr>
        <w:rFonts w:ascii="Courier New" w:hAnsi="Courier New" w:hint="default"/>
      </w:rPr>
    </w:lvl>
    <w:lvl w:ilvl="1" w:tplc="0C090019">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13">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nsid w:val="74CD2EB1"/>
    <w:multiLevelType w:val="multilevel"/>
    <w:tmpl w:val="81B8F35A"/>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auto"/>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2"/>
  </w:num>
  <w:num w:numId="3">
    <w:abstractNumId w:val="13"/>
  </w:num>
  <w:num w:numId="4">
    <w:abstractNumId w:val="7"/>
  </w:num>
  <w:num w:numId="5">
    <w:abstractNumId w:val="14"/>
  </w:num>
  <w:num w:numId="6">
    <w:abstractNumId w:val="5"/>
  </w:num>
  <w:num w:numId="7">
    <w:abstractNumId w:val="10"/>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1"/>
  </w:num>
  <w:num w:numId="12">
    <w:abstractNumId w:val="0"/>
  </w:num>
  <w:num w:numId="13">
    <w:abstractNumId w:val="15"/>
  </w:num>
  <w:num w:numId="14">
    <w:abstractNumId w:val="12"/>
  </w:num>
  <w:num w:numId="15">
    <w:abstractNumId w:val="9"/>
  </w:num>
  <w:num w:numId="16">
    <w:abstractNumId w:val="4"/>
  </w:num>
  <w:num w:numId="17">
    <w:abstractNumId w:val="11"/>
  </w:num>
  <w:num w:numId="18">
    <w:abstractNumId w:val="7"/>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57F"/>
    <w:rsid w:val="000000C3"/>
    <w:rsid w:val="0000358C"/>
    <w:rsid w:val="00003AC4"/>
    <w:rsid w:val="00006AE4"/>
    <w:rsid w:val="0000711B"/>
    <w:rsid w:val="0001294C"/>
    <w:rsid w:val="00012BB0"/>
    <w:rsid w:val="00013D25"/>
    <w:rsid w:val="0001438C"/>
    <w:rsid w:val="00016D95"/>
    <w:rsid w:val="00017619"/>
    <w:rsid w:val="00020573"/>
    <w:rsid w:val="000216BF"/>
    <w:rsid w:val="00021DA6"/>
    <w:rsid w:val="000220B0"/>
    <w:rsid w:val="000300D7"/>
    <w:rsid w:val="000304FC"/>
    <w:rsid w:val="00030FDA"/>
    <w:rsid w:val="0003384E"/>
    <w:rsid w:val="0003503B"/>
    <w:rsid w:val="00036095"/>
    <w:rsid w:val="000364F3"/>
    <w:rsid w:val="000366AE"/>
    <w:rsid w:val="000369AC"/>
    <w:rsid w:val="0003724F"/>
    <w:rsid w:val="00037BA1"/>
    <w:rsid w:val="000413D4"/>
    <w:rsid w:val="00042FDD"/>
    <w:rsid w:val="00044CF1"/>
    <w:rsid w:val="0004509D"/>
    <w:rsid w:val="00045667"/>
    <w:rsid w:val="00054793"/>
    <w:rsid w:val="00054A04"/>
    <w:rsid w:val="00054CC3"/>
    <w:rsid w:val="0005600E"/>
    <w:rsid w:val="00056260"/>
    <w:rsid w:val="0005722F"/>
    <w:rsid w:val="000606CB"/>
    <w:rsid w:val="00060890"/>
    <w:rsid w:val="00061FD8"/>
    <w:rsid w:val="00063C44"/>
    <w:rsid w:val="00063CE1"/>
    <w:rsid w:val="000641DA"/>
    <w:rsid w:val="00065053"/>
    <w:rsid w:val="000655E4"/>
    <w:rsid w:val="000656AD"/>
    <w:rsid w:val="00065C71"/>
    <w:rsid w:val="00066BBA"/>
    <w:rsid w:val="000671B7"/>
    <w:rsid w:val="00067B6F"/>
    <w:rsid w:val="00067E1D"/>
    <w:rsid w:val="0007064C"/>
    <w:rsid w:val="000712EE"/>
    <w:rsid w:val="000725C0"/>
    <w:rsid w:val="000745C0"/>
    <w:rsid w:val="00074CE6"/>
    <w:rsid w:val="000768A5"/>
    <w:rsid w:val="00077277"/>
    <w:rsid w:val="0007743A"/>
    <w:rsid w:val="00080069"/>
    <w:rsid w:val="00080F4F"/>
    <w:rsid w:val="00082159"/>
    <w:rsid w:val="0008449F"/>
    <w:rsid w:val="00085EA3"/>
    <w:rsid w:val="000924A7"/>
    <w:rsid w:val="00094B28"/>
    <w:rsid w:val="00094B9A"/>
    <w:rsid w:val="00096568"/>
    <w:rsid w:val="00096DEE"/>
    <w:rsid w:val="00097063"/>
    <w:rsid w:val="00097336"/>
    <w:rsid w:val="000975DA"/>
    <w:rsid w:val="000A1920"/>
    <w:rsid w:val="000A1A89"/>
    <w:rsid w:val="000A1C91"/>
    <w:rsid w:val="000A24C4"/>
    <w:rsid w:val="000A345B"/>
    <w:rsid w:val="000A372A"/>
    <w:rsid w:val="000A395D"/>
    <w:rsid w:val="000A5186"/>
    <w:rsid w:val="000A532C"/>
    <w:rsid w:val="000A56A5"/>
    <w:rsid w:val="000A5C86"/>
    <w:rsid w:val="000A6897"/>
    <w:rsid w:val="000A6DBE"/>
    <w:rsid w:val="000A7E1F"/>
    <w:rsid w:val="000B1FC4"/>
    <w:rsid w:val="000B21D6"/>
    <w:rsid w:val="000B2404"/>
    <w:rsid w:val="000B36D8"/>
    <w:rsid w:val="000B3B7D"/>
    <w:rsid w:val="000B6E38"/>
    <w:rsid w:val="000C056F"/>
    <w:rsid w:val="000C1442"/>
    <w:rsid w:val="000C1928"/>
    <w:rsid w:val="000C19B3"/>
    <w:rsid w:val="000C19EF"/>
    <w:rsid w:val="000C2D7D"/>
    <w:rsid w:val="000C3B86"/>
    <w:rsid w:val="000C3F58"/>
    <w:rsid w:val="000C4A46"/>
    <w:rsid w:val="000C55A6"/>
    <w:rsid w:val="000C6A39"/>
    <w:rsid w:val="000C6FB8"/>
    <w:rsid w:val="000D13E5"/>
    <w:rsid w:val="000D4262"/>
    <w:rsid w:val="000D43DE"/>
    <w:rsid w:val="000D58A1"/>
    <w:rsid w:val="000D7E54"/>
    <w:rsid w:val="000E04C6"/>
    <w:rsid w:val="000E0A85"/>
    <w:rsid w:val="000E122C"/>
    <w:rsid w:val="000E2F5F"/>
    <w:rsid w:val="000E68E3"/>
    <w:rsid w:val="000E6DDB"/>
    <w:rsid w:val="000E74A6"/>
    <w:rsid w:val="000F03B1"/>
    <w:rsid w:val="000F08AE"/>
    <w:rsid w:val="000F2D33"/>
    <w:rsid w:val="000F43F4"/>
    <w:rsid w:val="000F440E"/>
    <w:rsid w:val="000F6647"/>
    <w:rsid w:val="000F73B7"/>
    <w:rsid w:val="000F794F"/>
    <w:rsid w:val="000F7E7B"/>
    <w:rsid w:val="001002F8"/>
    <w:rsid w:val="00102654"/>
    <w:rsid w:val="001028CC"/>
    <w:rsid w:val="001045F9"/>
    <w:rsid w:val="0010472B"/>
    <w:rsid w:val="0010657F"/>
    <w:rsid w:val="00111159"/>
    <w:rsid w:val="00112D0F"/>
    <w:rsid w:val="001133E0"/>
    <w:rsid w:val="00115DE5"/>
    <w:rsid w:val="001163D6"/>
    <w:rsid w:val="0011726A"/>
    <w:rsid w:val="0012022D"/>
    <w:rsid w:val="00120B5E"/>
    <w:rsid w:val="0012108F"/>
    <w:rsid w:val="00121EB0"/>
    <w:rsid w:val="0012228D"/>
    <w:rsid w:val="00123218"/>
    <w:rsid w:val="001237BA"/>
    <w:rsid w:val="00123925"/>
    <w:rsid w:val="00124A3F"/>
    <w:rsid w:val="00126641"/>
    <w:rsid w:val="00132F9E"/>
    <w:rsid w:val="00133D3A"/>
    <w:rsid w:val="001352EE"/>
    <w:rsid w:val="00135505"/>
    <w:rsid w:val="001364A7"/>
    <w:rsid w:val="00136827"/>
    <w:rsid w:val="001375D4"/>
    <w:rsid w:val="00143E88"/>
    <w:rsid w:val="001455D8"/>
    <w:rsid w:val="00146B5E"/>
    <w:rsid w:val="0014790A"/>
    <w:rsid w:val="00151ABB"/>
    <w:rsid w:val="00154447"/>
    <w:rsid w:val="001549BE"/>
    <w:rsid w:val="00154CDE"/>
    <w:rsid w:val="00154F5B"/>
    <w:rsid w:val="00155DA4"/>
    <w:rsid w:val="00161DAC"/>
    <w:rsid w:val="00162B55"/>
    <w:rsid w:val="00162D8B"/>
    <w:rsid w:val="00163101"/>
    <w:rsid w:val="001638E9"/>
    <w:rsid w:val="00165824"/>
    <w:rsid w:val="001666EA"/>
    <w:rsid w:val="0017111A"/>
    <w:rsid w:val="00171A85"/>
    <w:rsid w:val="00173F5C"/>
    <w:rsid w:val="00174186"/>
    <w:rsid w:val="00174565"/>
    <w:rsid w:val="00175BB3"/>
    <w:rsid w:val="00177A9A"/>
    <w:rsid w:val="00180359"/>
    <w:rsid w:val="001808A4"/>
    <w:rsid w:val="00180FF3"/>
    <w:rsid w:val="001815A5"/>
    <w:rsid w:val="00181F30"/>
    <w:rsid w:val="00182740"/>
    <w:rsid w:val="001831FC"/>
    <w:rsid w:val="00184071"/>
    <w:rsid w:val="00185A3B"/>
    <w:rsid w:val="00185CF0"/>
    <w:rsid w:val="00186850"/>
    <w:rsid w:val="001904A5"/>
    <w:rsid w:val="001923C8"/>
    <w:rsid w:val="001939FF"/>
    <w:rsid w:val="00194DE8"/>
    <w:rsid w:val="00197990"/>
    <w:rsid w:val="001A0106"/>
    <w:rsid w:val="001A02CB"/>
    <w:rsid w:val="001A11DB"/>
    <w:rsid w:val="001A33F4"/>
    <w:rsid w:val="001A6256"/>
    <w:rsid w:val="001A6B6B"/>
    <w:rsid w:val="001A6F29"/>
    <w:rsid w:val="001A789B"/>
    <w:rsid w:val="001B03CC"/>
    <w:rsid w:val="001B0C75"/>
    <w:rsid w:val="001B1E55"/>
    <w:rsid w:val="001B2A29"/>
    <w:rsid w:val="001B368E"/>
    <w:rsid w:val="001B44C2"/>
    <w:rsid w:val="001B4EC1"/>
    <w:rsid w:val="001B659F"/>
    <w:rsid w:val="001B7399"/>
    <w:rsid w:val="001B7655"/>
    <w:rsid w:val="001B7BAD"/>
    <w:rsid w:val="001B7F09"/>
    <w:rsid w:val="001C1166"/>
    <w:rsid w:val="001C261E"/>
    <w:rsid w:val="001C3AC7"/>
    <w:rsid w:val="001C7B78"/>
    <w:rsid w:val="001C7FB4"/>
    <w:rsid w:val="001D0BA6"/>
    <w:rsid w:val="001D1903"/>
    <w:rsid w:val="001D1942"/>
    <w:rsid w:val="001D1DDB"/>
    <w:rsid w:val="001D53EA"/>
    <w:rsid w:val="001D6F7C"/>
    <w:rsid w:val="001D7AAD"/>
    <w:rsid w:val="001E0156"/>
    <w:rsid w:val="001E12A5"/>
    <w:rsid w:val="001E1BF9"/>
    <w:rsid w:val="001E1EDB"/>
    <w:rsid w:val="001E3A18"/>
    <w:rsid w:val="001E7093"/>
    <w:rsid w:val="001E717D"/>
    <w:rsid w:val="001E71F5"/>
    <w:rsid w:val="001E7D86"/>
    <w:rsid w:val="001F377B"/>
    <w:rsid w:val="001F3CF9"/>
    <w:rsid w:val="001F4914"/>
    <w:rsid w:val="001F55E5"/>
    <w:rsid w:val="001F5CB9"/>
    <w:rsid w:val="00200DC3"/>
    <w:rsid w:val="002011E2"/>
    <w:rsid w:val="00201BB9"/>
    <w:rsid w:val="00202925"/>
    <w:rsid w:val="00202C70"/>
    <w:rsid w:val="002050B0"/>
    <w:rsid w:val="00205D80"/>
    <w:rsid w:val="00210874"/>
    <w:rsid w:val="0021093F"/>
    <w:rsid w:val="002133CA"/>
    <w:rsid w:val="002146B5"/>
    <w:rsid w:val="00215783"/>
    <w:rsid w:val="0021644B"/>
    <w:rsid w:val="00216DC9"/>
    <w:rsid w:val="00217CA0"/>
    <w:rsid w:val="002202EB"/>
    <w:rsid w:val="00220FCF"/>
    <w:rsid w:val="00221705"/>
    <w:rsid w:val="00221972"/>
    <w:rsid w:val="002231C8"/>
    <w:rsid w:val="00224154"/>
    <w:rsid w:val="002245D5"/>
    <w:rsid w:val="00230194"/>
    <w:rsid w:val="00230B27"/>
    <w:rsid w:val="00231923"/>
    <w:rsid w:val="002329C3"/>
    <w:rsid w:val="002332AE"/>
    <w:rsid w:val="002333C2"/>
    <w:rsid w:val="00234040"/>
    <w:rsid w:val="00235D67"/>
    <w:rsid w:val="0023626B"/>
    <w:rsid w:val="002406BD"/>
    <w:rsid w:val="00242F07"/>
    <w:rsid w:val="00243020"/>
    <w:rsid w:val="00244122"/>
    <w:rsid w:val="00244D22"/>
    <w:rsid w:val="00246C09"/>
    <w:rsid w:val="002470E4"/>
    <w:rsid w:val="00247262"/>
    <w:rsid w:val="0025616B"/>
    <w:rsid w:val="00257285"/>
    <w:rsid w:val="00257FF4"/>
    <w:rsid w:val="002608CE"/>
    <w:rsid w:val="00261660"/>
    <w:rsid w:val="0026279C"/>
    <w:rsid w:val="00262CD3"/>
    <w:rsid w:val="00265289"/>
    <w:rsid w:val="00266613"/>
    <w:rsid w:val="00266FE9"/>
    <w:rsid w:val="00272396"/>
    <w:rsid w:val="00273D98"/>
    <w:rsid w:val="0027614D"/>
    <w:rsid w:val="0027651A"/>
    <w:rsid w:val="0028001E"/>
    <w:rsid w:val="00281CF6"/>
    <w:rsid w:val="0028359B"/>
    <w:rsid w:val="00284441"/>
    <w:rsid w:val="002857FE"/>
    <w:rsid w:val="00290933"/>
    <w:rsid w:val="00291E57"/>
    <w:rsid w:val="00292D6A"/>
    <w:rsid w:val="0029312A"/>
    <w:rsid w:val="0029325C"/>
    <w:rsid w:val="00293B2D"/>
    <w:rsid w:val="00293B46"/>
    <w:rsid w:val="002960B7"/>
    <w:rsid w:val="00297643"/>
    <w:rsid w:val="00297824"/>
    <w:rsid w:val="002A153F"/>
    <w:rsid w:val="002A32FD"/>
    <w:rsid w:val="002A40DC"/>
    <w:rsid w:val="002A5329"/>
    <w:rsid w:val="002A5C2D"/>
    <w:rsid w:val="002A61E5"/>
    <w:rsid w:val="002A74DD"/>
    <w:rsid w:val="002A7FC8"/>
    <w:rsid w:val="002B0A81"/>
    <w:rsid w:val="002B1CE7"/>
    <w:rsid w:val="002B2F0F"/>
    <w:rsid w:val="002B595D"/>
    <w:rsid w:val="002B5F6A"/>
    <w:rsid w:val="002B779E"/>
    <w:rsid w:val="002B7D6F"/>
    <w:rsid w:val="002B7D78"/>
    <w:rsid w:val="002C0552"/>
    <w:rsid w:val="002C0961"/>
    <w:rsid w:val="002C11E6"/>
    <w:rsid w:val="002C1CF7"/>
    <w:rsid w:val="002C1D11"/>
    <w:rsid w:val="002C25D0"/>
    <w:rsid w:val="002C280B"/>
    <w:rsid w:val="002C2DB0"/>
    <w:rsid w:val="002C4D41"/>
    <w:rsid w:val="002C75B0"/>
    <w:rsid w:val="002C7703"/>
    <w:rsid w:val="002C7A63"/>
    <w:rsid w:val="002D0153"/>
    <w:rsid w:val="002D403A"/>
    <w:rsid w:val="002D4262"/>
    <w:rsid w:val="002D46B7"/>
    <w:rsid w:val="002E1064"/>
    <w:rsid w:val="002E2551"/>
    <w:rsid w:val="002E323F"/>
    <w:rsid w:val="002E5554"/>
    <w:rsid w:val="002F1B12"/>
    <w:rsid w:val="002F530C"/>
    <w:rsid w:val="002F591B"/>
    <w:rsid w:val="002F699C"/>
    <w:rsid w:val="002F7B47"/>
    <w:rsid w:val="00300013"/>
    <w:rsid w:val="0030032D"/>
    <w:rsid w:val="003006F8"/>
    <w:rsid w:val="00300BF2"/>
    <w:rsid w:val="003027C1"/>
    <w:rsid w:val="00302A25"/>
    <w:rsid w:val="00304C13"/>
    <w:rsid w:val="00305718"/>
    <w:rsid w:val="00305EC5"/>
    <w:rsid w:val="00306107"/>
    <w:rsid w:val="003077B8"/>
    <w:rsid w:val="003111F8"/>
    <w:rsid w:val="0031204A"/>
    <w:rsid w:val="0031272B"/>
    <w:rsid w:val="00315435"/>
    <w:rsid w:val="0032038C"/>
    <w:rsid w:val="00321889"/>
    <w:rsid w:val="00325C5E"/>
    <w:rsid w:val="0032738E"/>
    <w:rsid w:val="00327800"/>
    <w:rsid w:val="00331B40"/>
    <w:rsid w:val="00331C5F"/>
    <w:rsid w:val="00333074"/>
    <w:rsid w:val="00333223"/>
    <w:rsid w:val="00333A43"/>
    <w:rsid w:val="00334F7E"/>
    <w:rsid w:val="003364C1"/>
    <w:rsid w:val="00337F82"/>
    <w:rsid w:val="00340640"/>
    <w:rsid w:val="003435D6"/>
    <w:rsid w:val="003458E0"/>
    <w:rsid w:val="00345CCD"/>
    <w:rsid w:val="003511CE"/>
    <w:rsid w:val="00351909"/>
    <w:rsid w:val="00352BE0"/>
    <w:rsid w:val="003532DF"/>
    <w:rsid w:val="0035333E"/>
    <w:rsid w:val="003538F0"/>
    <w:rsid w:val="00357DAE"/>
    <w:rsid w:val="003602A5"/>
    <w:rsid w:val="00361259"/>
    <w:rsid w:val="00361429"/>
    <w:rsid w:val="00362AA7"/>
    <w:rsid w:val="00363B11"/>
    <w:rsid w:val="003672D6"/>
    <w:rsid w:val="003705BF"/>
    <w:rsid w:val="00370935"/>
    <w:rsid w:val="00371C1A"/>
    <w:rsid w:val="003740F1"/>
    <w:rsid w:val="00375E52"/>
    <w:rsid w:val="00380888"/>
    <w:rsid w:val="00380D9F"/>
    <w:rsid w:val="003819E1"/>
    <w:rsid w:val="00382234"/>
    <w:rsid w:val="0038672F"/>
    <w:rsid w:val="00386BC9"/>
    <w:rsid w:val="00386F24"/>
    <w:rsid w:val="003876AB"/>
    <w:rsid w:val="00387957"/>
    <w:rsid w:val="0039053D"/>
    <w:rsid w:val="0039449C"/>
    <w:rsid w:val="0039684C"/>
    <w:rsid w:val="003A0290"/>
    <w:rsid w:val="003A1702"/>
    <w:rsid w:val="003A25BB"/>
    <w:rsid w:val="003A300D"/>
    <w:rsid w:val="003A3E7B"/>
    <w:rsid w:val="003A7067"/>
    <w:rsid w:val="003B09F6"/>
    <w:rsid w:val="003B0D03"/>
    <w:rsid w:val="003B1F0A"/>
    <w:rsid w:val="003B2C1F"/>
    <w:rsid w:val="003B329D"/>
    <w:rsid w:val="003B5533"/>
    <w:rsid w:val="003B5A85"/>
    <w:rsid w:val="003B71EE"/>
    <w:rsid w:val="003B7621"/>
    <w:rsid w:val="003B7C64"/>
    <w:rsid w:val="003C0593"/>
    <w:rsid w:val="003C13A6"/>
    <w:rsid w:val="003C1EB4"/>
    <w:rsid w:val="003C3191"/>
    <w:rsid w:val="003C4E3A"/>
    <w:rsid w:val="003D0E1C"/>
    <w:rsid w:val="003D1E47"/>
    <w:rsid w:val="003D3662"/>
    <w:rsid w:val="003D3C14"/>
    <w:rsid w:val="003D4188"/>
    <w:rsid w:val="003D4557"/>
    <w:rsid w:val="003D543D"/>
    <w:rsid w:val="003D59FD"/>
    <w:rsid w:val="003E10B8"/>
    <w:rsid w:val="003E122D"/>
    <w:rsid w:val="003E13F5"/>
    <w:rsid w:val="003E1978"/>
    <w:rsid w:val="003E2B5E"/>
    <w:rsid w:val="003E3FF4"/>
    <w:rsid w:val="003E4E15"/>
    <w:rsid w:val="003E5AE8"/>
    <w:rsid w:val="003F07EE"/>
    <w:rsid w:val="003F29F2"/>
    <w:rsid w:val="003F3C77"/>
    <w:rsid w:val="003F47DF"/>
    <w:rsid w:val="003F6209"/>
    <w:rsid w:val="00402E5B"/>
    <w:rsid w:val="0040314A"/>
    <w:rsid w:val="00405DAB"/>
    <w:rsid w:val="00405E90"/>
    <w:rsid w:val="004065CE"/>
    <w:rsid w:val="00406802"/>
    <w:rsid w:val="004105DD"/>
    <w:rsid w:val="00410DCE"/>
    <w:rsid w:val="00412C0B"/>
    <w:rsid w:val="0041404E"/>
    <w:rsid w:val="0041429D"/>
    <w:rsid w:val="004147D0"/>
    <w:rsid w:val="00414E1F"/>
    <w:rsid w:val="0041581E"/>
    <w:rsid w:val="0041765C"/>
    <w:rsid w:val="00420837"/>
    <w:rsid w:val="00421EEC"/>
    <w:rsid w:val="00422933"/>
    <w:rsid w:val="00422F4B"/>
    <w:rsid w:val="00423003"/>
    <w:rsid w:val="004248B4"/>
    <w:rsid w:val="00424C66"/>
    <w:rsid w:val="0042526D"/>
    <w:rsid w:val="004254A2"/>
    <w:rsid w:val="00426D71"/>
    <w:rsid w:val="00430256"/>
    <w:rsid w:val="00430E3D"/>
    <w:rsid w:val="0043194D"/>
    <w:rsid w:val="00431BF1"/>
    <w:rsid w:val="00433D22"/>
    <w:rsid w:val="004342F8"/>
    <w:rsid w:val="00434A2F"/>
    <w:rsid w:val="0043685D"/>
    <w:rsid w:val="0044083A"/>
    <w:rsid w:val="004408FA"/>
    <w:rsid w:val="0044552A"/>
    <w:rsid w:val="00445663"/>
    <w:rsid w:val="00446612"/>
    <w:rsid w:val="00450E44"/>
    <w:rsid w:val="00451501"/>
    <w:rsid w:val="004528D0"/>
    <w:rsid w:val="00453C86"/>
    <w:rsid w:val="00454564"/>
    <w:rsid w:val="004562E5"/>
    <w:rsid w:val="00457BC3"/>
    <w:rsid w:val="0046034D"/>
    <w:rsid w:val="00461801"/>
    <w:rsid w:val="00462272"/>
    <w:rsid w:val="0046390C"/>
    <w:rsid w:val="00464569"/>
    <w:rsid w:val="00465D4E"/>
    <w:rsid w:val="00466381"/>
    <w:rsid w:val="00467393"/>
    <w:rsid w:val="00467BDD"/>
    <w:rsid w:val="004717F6"/>
    <w:rsid w:val="0047364D"/>
    <w:rsid w:val="0047481E"/>
    <w:rsid w:val="00474918"/>
    <w:rsid w:val="00475EAF"/>
    <w:rsid w:val="0047681C"/>
    <w:rsid w:val="004815F8"/>
    <w:rsid w:val="00481E32"/>
    <w:rsid w:val="004831ED"/>
    <w:rsid w:val="004831FC"/>
    <w:rsid w:val="004836A7"/>
    <w:rsid w:val="004847B4"/>
    <w:rsid w:val="00484921"/>
    <w:rsid w:val="00486614"/>
    <w:rsid w:val="00487E11"/>
    <w:rsid w:val="00487FB8"/>
    <w:rsid w:val="004900FE"/>
    <w:rsid w:val="004919D4"/>
    <w:rsid w:val="00491D6A"/>
    <w:rsid w:val="00491FB2"/>
    <w:rsid w:val="0049212C"/>
    <w:rsid w:val="00495C39"/>
    <w:rsid w:val="004A1224"/>
    <w:rsid w:val="004A2327"/>
    <w:rsid w:val="004A247B"/>
    <w:rsid w:val="004A28C5"/>
    <w:rsid w:val="004A2F59"/>
    <w:rsid w:val="004A64B4"/>
    <w:rsid w:val="004A660C"/>
    <w:rsid w:val="004A6B44"/>
    <w:rsid w:val="004A6E0E"/>
    <w:rsid w:val="004B0B19"/>
    <w:rsid w:val="004B1E81"/>
    <w:rsid w:val="004B35F0"/>
    <w:rsid w:val="004B37A7"/>
    <w:rsid w:val="004B4426"/>
    <w:rsid w:val="004B44E1"/>
    <w:rsid w:val="004B5F2A"/>
    <w:rsid w:val="004B74B2"/>
    <w:rsid w:val="004C103D"/>
    <w:rsid w:val="004C1303"/>
    <w:rsid w:val="004C1399"/>
    <w:rsid w:val="004C1C09"/>
    <w:rsid w:val="004C2A17"/>
    <w:rsid w:val="004C2B0E"/>
    <w:rsid w:val="004C5507"/>
    <w:rsid w:val="004D1E1A"/>
    <w:rsid w:val="004D1EFF"/>
    <w:rsid w:val="004D23A9"/>
    <w:rsid w:val="004D2683"/>
    <w:rsid w:val="004D29F5"/>
    <w:rsid w:val="004D2F90"/>
    <w:rsid w:val="004D7804"/>
    <w:rsid w:val="004E0308"/>
    <w:rsid w:val="004E2825"/>
    <w:rsid w:val="004E3079"/>
    <w:rsid w:val="004E3276"/>
    <w:rsid w:val="004E3836"/>
    <w:rsid w:val="004E62E4"/>
    <w:rsid w:val="004E7C41"/>
    <w:rsid w:val="004F0E90"/>
    <w:rsid w:val="004F0F5B"/>
    <w:rsid w:val="004F22B8"/>
    <w:rsid w:val="004F2437"/>
    <w:rsid w:val="004F4624"/>
    <w:rsid w:val="004F5573"/>
    <w:rsid w:val="004F5D8B"/>
    <w:rsid w:val="004F634F"/>
    <w:rsid w:val="004F7182"/>
    <w:rsid w:val="004F7556"/>
    <w:rsid w:val="00500700"/>
    <w:rsid w:val="0050141B"/>
    <w:rsid w:val="00502638"/>
    <w:rsid w:val="005029BC"/>
    <w:rsid w:val="00502B87"/>
    <w:rsid w:val="0050346A"/>
    <w:rsid w:val="00504472"/>
    <w:rsid w:val="005048E3"/>
    <w:rsid w:val="00505A77"/>
    <w:rsid w:val="00505CB3"/>
    <w:rsid w:val="005067C7"/>
    <w:rsid w:val="00506EB0"/>
    <w:rsid w:val="0050798C"/>
    <w:rsid w:val="0051207B"/>
    <w:rsid w:val="005136CD"/>
    <w:rsid w:val="00514B1A"/>
    <w:rsid w:val="005150C5"/>
    <w:rsid w:val="00517351"/>
    <w:rsid w:val="00521860"/>
    <w:rsid w:val="00521D74"/>
    <w:rsid w:val="005222CC"/>
    <w:rsid w:val="00522622"/>
    <w:rsid w:val="00523B5E"/>
    <w:rsid w:val="005250EE"/>
    <w:rsid w:val="00525AB1"/>
    <w:rsid w:val="00526B01"/>
    <w:rsid w:val="00526C61"/>
    <w:rsid w:val="00527492"/>
    <w:rsid w:val="005277F5"/>
    <w:rsid w:val="005310C1"/>
    <w:rsid w:val="00531934"/>
    <w:rsid w:val="00532994"/>
    <w:rsid w:val="005329BE"/>
    <w:rsid w:val="00533515"/>
    <w:rsid w:val="005342DE"/>
    <w:rsid w:val="00534AC0"/>
    <w:rsid w:val="00535557"/>
    <w:rsid w:val="0053606A"/>
    <w:rsid w:val="005369C0"/>
    <w:rsid w:val="00536B92"/>
    <w:rsid w:val="00540B25"/>
    <w:rsid w:val="00540D82"/>
    <w:rsid w:val="00541254"/>
    <w:rsid w:val="005421CC"/>
    <w:rsid w:val="00542BA5"/>
    <w:rsid w:val="00544841"/>
    <w:rsid w:val="00547CD4"/>
    <w:rsid w:val="00547EB8"/>
    <w:rsid w:val="00552FC2"/>
    <w:rsid w:val="00553DA2"/>
    <w:rsid w:val="005543FB"/>
    <w:rsid w:val="00555623"/>
    <w:rsid w:val="005562DC"/>
    <w:rsid w:val="00556725"/>
    <w:rsid w:val="00557A85"/>
    <w:rsid w:val="005606B5"/>
    <w:rsid w:val="00560E2D"/>
    <w:rsid w:val="00562BAD"/>
    <w:rsid w:val="0056365E"/>
    <w:rsid w:val="00565C77"/>
    <w:rsid w:val="00566181"/>
    <w:rsid w:val="005708BD"/>
    <w:rsid w:val="0057317E"/>
    <w:rsid w:val="005731D3"/>
    <w:rsid w:val="00573C7D"/>
    <w:rsid w:val="00574906"/>
    <w:rsid w:val="00574E9E"/>
    <w:rsid w:val="005752BC"/>
    <w:rsid w:val="0057622F"/>
    <w:rsid w:val="00577977"/>
    <w:rsid w:val="00577F6C"/>
    <w:rsid w:val="00581719"/>
    <w:rsid w:val="00581D30"/>
    <w:rsid w:val="00583362"/>
    <w:rsid w:val="00584245"/>
    <w:rsid w:val="00584C2D"/>
    <w:rsid w:val="00584D80"/>
    <w:rsid w:val="00586535"/>
    <w:rsid w:val="00586BB5"/>
    <w:rsid w:val="00586DFB"/>
    <w:rsid w:val="00587C83"/>
    <w:rsid w:val="005905BC"/>
    <w:rsid w:val="00590B75"/>
    <w:rsid w:val="00590DAA"/>
    <w:rsid w:val="0059205C"/>
    <w:rsid w:val="00592349"/>
    <w:rsid w:val="00596F3F"/>
    <w:rsid w:val="00597EEF"/>
    <w:rsid w:val="005A1C4E"/>
    <w:rsid w:val="005A3678"/>
    <w:rsid w:val="005A4A1A"/>
    <w:rsid w:val="005A61D3"/>
    <w:rsid w:val="005A7C0B"/>
    <w:rsid w:val="005A7E70"/>
    <w:rsid w:val="005B1A53"/>
    <w:rsid w:val="005B1A76"/>
    <w:rsid w:val="005B2AF7"/>
    <w:rsid w:val="005B40E8"/>
    <w:rsid w:val="005B6DAA"/>
    <w:rsid w:val="005B7314"/>
    <w:rsid w:val="005B7C27"/>
    <w:rsid w:val="005B7D8B"/>
    <w:rsid w:val="005C03F6"/>
    <w:rsid w:val="005C0475"/>
    <w:rsid w:val="005C1569"/>
    <w:rsid w:val="005C3C1A"/>
    <w:rsid w:val="005C4604"/>
    <w:rsid w:val="005C46D8"/>
    <w:rsid w:val="005C4BEE"/>
    <w:rsid w:val="005C6E74"/>
    <w:rsid w:val="005C732E"/>
    <w:rsid w:val="005C781C"/>
    <w:rsid w:val="005D09F4"/>
    <w:rsid w:val="005D13ED"/>
    <w:rsid w:val="005D181E"/>
    <w:rsid w:val="005D330E"/>
    <w:rsid w:val="005D7A35"/>
    <w:rsid w:val="005E034F"/>
    <w:rsid w:val="005E09A7"/>
    <w:rsid w:val="005E198B"/>
    <w:rsid w:val="005E19D9"/>
    <w:rsid w:val="005E1D35"/>
    <w:rsid w:val="005E2A31"/>
    <w:rsid w:val="005E3D2F"/>
    <w:rsid w:val="005E442F"/>
    <w:rsid w:val="005E54A3"/>
    <w:rsid w:val="005E5625"/>
    <w:rsid w:val="005E571D"/>
    <w:rsid w:val="005E61D8"/>
    <w:rsid w:val="005E6F2B"/>
    <w:rsid w:val="005E7E2C"/>
    <w:rsid w:val="005F1ADE"/>
    <w:rsid w:val="005F29CD"/>
    <w:rsid w:val="005F2C78"/>
    <w:rsid w:val="005F3175"/>
    <w:rsid w:val="005F3436"/>
    <w:rsid w:val="005F3506"/>
    <w:rsid w:val="005F41D8"/>
    <w:rsid w:val="005F4739"/>
    <w:rsid w:val="005F6228"/>
    <w:rsid w:val="005F642B"/>
    <w:rsid w:val="005F67FC"/>
    <w:rsid w:val="00601630"/>
    <w:rsid w:val="006026E1"/>
    <w:rsid w:val="00603A90"/>
    <w:rsid w:val="00605163"/>
    <w:rsid w:val="006065BF"/>
    <w:rsid w:val="00606926"/>
    <w:rsid w:val="006070EA"/>
    <w:rsid w:val="0060778D"/>
    <w:rsid w:val="00607ABE"/>
    <w:rsid w:val="00607F53"/>
    <w:rsid w:val="006103D0"/>
    <w:rsid w:val="0061103A"/>
    <w:rsid w:val="006111D1"/>
    <w:rsid w:val="00611EAE"/>
    <w:rsid w:val="0061364A"/>
    <w:rsid w:val="00613BEA"/>
    <w:rsid w:val="0061402C"/>
    <w:rsid w:val="0061595F"/>
    <w:rsid w:val="00615A79"/>
    <w:rsid w:val="00616179"/>
    <w:rsid w:val="0061675B"/>
    <w:rsid w:val="006201F3"/>
    <w:rsid w:val="0062052B"/>
    <w:rsid w:val="00621A86"/>
    <w:rsid w:val="006226BF"/>
    <w:rsid w:val="00623401"/>
    <w:rsid w:val="00625C40"/>
    <w:rsid w:val="00627E7C"/>
    <w:rsid w:val="00630CFF"/>
    <w:rsid w:val="00631369"/>
    <w:rsid w:val="00632481"/>
    <w:rsid w:val="0063262D"/>
    <w:rsid w:val="0063268B"/>
    <w:rsid w:val="006344F5"/>
    <w:rsid w:val="00634673"/>
    <w:rsid w:val="00637BBD"/>
    <w:rsid w:val="00637F79"/>
    <w:rsid w:val="00640D17"/>
    <w:rsid w:val="00641A99"/>
    <w:rsid w:val="00642768"/>
    <w:rsid w:val="00642A84"/>
    <w:rsid w:val="00645E69"/>
    <w:rsid w:val="00646130"/>
    <w:rsid w:val="00646ACE"/>
    <w:rsid w:val="006474C0"/>
    <w:rsid w:val="00647927"/>
    <w:rsid w:val="00652B9B"/>
    <w:rsid w:val="00652F78"/>
    <w:rsid w:val="00653743"/>
    <w:rsid w:val="00653DD9"/>
    <w:rsid w:val="00654E6A"/>
    <w:rsid w:val="006551FC"/>
    <w:rsid w:val="006575F3"/>
    <w:rsid w:val="00660871"/>
    <w:rsid w:val="006609D8"/>
    <w:rsid w:val="00662809"/>
    <w:rsid w:val="00663823"/>
    <w:rsid w:val="0066423B"/>
    <w:rsid w:val="00664E08"/>
    <w:rsid w:val="006650D0"/>
    <w:rsid w:val="0066774D"/>
    <w:rsid w:val="00667F42"/>
    <w:rsid w:val="00671284"/>
    <w:rsid w:val="006727FC"/>
    <w:rsid w:val="00673906"/>
    <w:rsid w:val="006756CD"/>
    <w:rsid w:val="00676E5B"/>
    <w:rsid w:val="00677D6B"/>
    <w:rsid w:val="00680795"/>
    <w:rsid w:val="00682713"/>
    <w:rsid w:val="00683451"/>
    <w:rsid w:val="00683579"/>
    <w:rsid w:val="006854CE"/>
    <w:rsid w:val="00686B47"/>
    <w:rsid w:val="0068790B"/>
    <w:rsid w:val="006906E4"/>
    <w:rsid w:val="00691C54"/>
    <w:rsid w:val="00691E49"/>
    <w:rsid w:val="006922DC"/>
    <w:rsid w:val="006941DD"/>
    <w:rsid w:val="0069466B"/>
    <w:rsid w:val="00694795"/>
    <w:rsid w:val="006A257C"/>
    <w:rsid w:val="006A2615"/>
    <w:rsid w:val="006A4158"/>
    <w:rsid w:val="006A4AA7"/>
    <w:rsid w:val="006A4E15"/>
    <w:rsid w:val="006A5866"/>
    <w:rsid w:val="006A5E4F"/>
    <w:rsid w:val="006A643C"/>
    <w:rsid w:val="006B0F54"/>
    <w:rsid w:val="006B415B"/>
    <w:rsid w:val="006B4C95"/>
    <w:rsid w:val="006B4CBA"/>
    <w:rsid w:val="006B7542"/>
    <w:rsid w:val="006C0A59"/>
    <w:rsid w:val="006C19EE"/>
    <w:rsid w:val="006C2E46"/>
    <w:rsid w:val="006C3B05"/>
    <w:rsid w:val="006C4E45"/>
    <w:rsid w:val="006C5EE1"/>
    <w:rsid w:val="006C5F38"/>
    <w:rsid w:val="006C61B1"/>
    <w:rsid w:val="006C6DB8"/>
    <w:rsid w:val="006D0669"/>
    <w:rsid w:val="006D1C3F"/>
    <w:rsid w:val="006D1D4E"/>
    <w:rsid w:val="006D3771"/>
    <w:rsid w:val="006D440A"/>
    <w:rsid w:val="006D5599"/>
    <w:rsid w:val="006D592F"/>
    <w:rsid w:val="006D62BE"/>
    <w:rsid w:val="006D7B71"/>
    <w:rsid w:val="006E0006"/>
    <w:rsid w:val="006E01BB"/>
    <w:rsid w:val="006E0DF6"/>
    <w:rsid w:val="006E1BDE"/>
    <w:rsid w:val="006E336C"/>
    <w:rsid w:val="006E35A9"/>
    <w:rsid w:val="006E3B9E"/>
    <w:rsid w:val="006E4A27"/>
    <w:rsid w:val="006E5828"/>
    <w:rsid w:val="006E6BB9"/>
    <w:rsid w:val="006E784F"/>
    <w:rsid w:val="006F0B4F"/>
    <w:rsid w:val="006F0E97"/>
    <w:rsid w:val="006F1667"/>
    <w:rsid w:val="006F2DF3"/>
    <w:rsid w:val="006F2DF9"/>
    <w:rsid w:val="006F3C6F"/>
    <w:rsid w:val="006F41C6"/>
    <w:rsid w:val="006F48ED"/>
    <w:rsid w:val="006F5D45"/>
    <w:rsid w:val="006F5DD9"/>
    <w:rsid w:val="006F6FA2"/>
    <w:rsid w:val="007001D0"/>
    <w:rsid w:val="00700CE3"/>
    <w:rsid w:val="00701498"/>
    <w:rsid w:val="00701E70"/>
    <w:rsid w:val="00704F47"/>
    <w:rsid w:val="00705BC0"/>
    <w:rsid w:val="007072C2"/>
    <w:rsid w:val="0070746B"/>
    <w:rsid w:val="007075CA"/>
    <w:rsid w:val="00710C02"/>
    <w:rsid w:val="0071151E"/>
    <w:rsid w:val="007118AC"/>
    <w:rsid w:val="00711FC7"/>
    <w:rsid w:val="0071482B"/>
    <w:rsid w:val="00714C8F"/>
    <w:rsid w:val="00715A32"/>
    <w:rsid w:val="00716F57"/>
    <w:rsid w:val="00717A74"/>
    <w:rsid w:val="00720EA2"/>
    <w:rsid w:val="00721409"/>
    <w:rsid w:val="00721CE0"/>
    <w:rsid w:val="007221A2"/>
    <w:rsid w:val="00722935"/>
    <w:rsid w:val="00727815"/>
    <w:rsid w:val="007301A7"/>
    <w:rsid w:val="00730E31"/>
    <w:rsid w:val="00732735"/>
    <w:rsid w:val="007346F8"/>
    <w:rsid w:val="00734D66"/>
    <w:rsid w:val="00734E06"/>
    <w:rsid w:val="00736E9D"/>
    <w:rsid w:val="007373FA"/>
    <w:rsid w:val="00737E7D"/>
    <w:rsid w:val="0074063F"/>
    <w:rsid w:val="00740EF1"/>
    <w:rsid w:val="0074250E"/>
    <w:rsid w:val="007437BA"/>
    <w:rsid w:val="00744078"/>
    <w:rsid w:val="007444E7"/>
    <w:rsid w:val="00744DBD"/>
    <w:rsid w:val="00745398"/>
    <w:rsid w:val="00747B90"/>
    <w:rsid w:val="00754870"/>
    <w:rsid w:val="007561F0"/>
    <w:rsid w:val="00756632"/>
    <w:rsid w:val="0075754A"/>
    <w:rsid w:val="00760554"/>
    <w:rsid w:val="0076083D"/>
    <w:rsid w:val="00761DC2"/>
    <w:rsid w:val="00762B1E"/>
    <w:rsid w:val="00764B94"/>
    <w:rsid w:val="007652E2"/>
    <w:rsid w:val="00765A82"/>
    <w:rsid w:val="00766434"/>
    <w:rsid w:val="00770E10"/>
    <w:rsid w:val="00771E5C"/>
    <w:rsid w:val="00772107"/>
    <w:rsid w:val="00773E30"/>
    <w:rsid w:val="007742FF"/>
    <w:rsid w:val="00774A83"/>
    <w:rsid w:val="00775146"/>
    <w:rsid w:val="0077566D"/>
    <w:rsid w:val="00776097"/>
    <w:rsid w:val="007766A5"/>
    <w:rsid w:val="00776BBA"/>
    <w:rsid w:val="00776E39"/>
    <w:rsid w:val="0078016D"/>
    <w:rsid w:val="00781778"/>
    <w:rsid w:val="00782098"/>
    <w:rsid w:val="00784F2A"/>
    <w:rsid w:val="00786231"/>
    <w:rsid w:val="007900CB"/>
    <w:rsid w:val="007905B2"/>
    <w:rsid w:val="00790E9B"/>
    <w:rsid w:val="007917E7"/>
    <w:rsid w:val="007927C6"/>
    <w:rsid w:val="0079348E"/>
    <w:rsid w:val="00793EEB"/>
    <w:rsid w:val="00793F2B"/>
    <w:rsid w:val="0079405B"/>
    <w:rsid w:val="00795679"/>
    <w:rsid w:val="0079797F"/>
    <w:rsid w:val="007A05F4"/>
    <w:rsid w:val="007A0BB9"/>
    <w:rsid w:val="007A14E8"/>
    <w:rsid w:val="007A1D73"/>
    <w:rsid w:val="007A4023"/>
    <w:rsid w:val="007A5445"/>
    <w:rsid w:val="007A5A94"/>
    <w:rsid w:val="007A5E11"/>
    <w:rsid w:val="007A6C47"/>
    <w:rsid w:val="007B31F7"/>
    <w:rsid w:val="007B347F"/>
    <w:rsid w:val="007B39F6"/>
    <w:rsid w:val="007B5A98"/>
    <w:rsid w:val="007B5E30"/>
    <w:rsid w:val="007B6918"/>
    <w:rsid w:val="007C1DB0"/>
    <w:rsid w:val="007C2270"/>
    <w:rsid w:val="007C27D4"/>
    <w:rsid w:val="007C4CCE"/>
    <w:rsid w:val="007C570A"/>
    <w:rsid w:val="007C7D49"/>
    <w:rsid w:val="007C7DE5"/>
    <w:rsid w:val="007D0769"/>
    <w:rsid w:val="007D0EEB"/>
    <w:rsid w:val="007D1D99"/>
    <w:rsid w:val="007D4D2A"/>
    <w:rsid w:val="007D763D"/>
    <w:rsid w:val="007E00B1"/>
    <w:rsid w:val="007E0749"/>
    <w:rsid w:val="007E2F87"/>
    <w:rsid w:val="007E334F"/>
    <w:rsid w:val="007E4155"/>
    <w:rsid w:val="007E57B5"/>
    <w:rsid w:val="007E5D39"/>
    <w:rsid w:val="007E66C8"/>
    <w:rsid w:val="007E67BD"/>
    <w:rsid w:val="007E6BBD"/>
    <w:rsid w:val="007F06E1"/>
    <w:rsid w:val="007F0C09"/>
    <w:rsid w:val="007F3E75"/>
    <w:rsid w:val="007F517F"/>
    <w:rsid w:val="007F6391"/>
    <w:rsid w:val="007F6FB8"/>
    <w:rsid w:val="007F7481"/>
    <w:rsid w:val="007F76FF"/>
    <w:rsid w:val="00801421"/>
    <w:rsid w:val="00801491"/>
    <w:rsid w:val="008015A7"/>
    <w:rsid w:val="00801EF6"/>
    <w:rsid w:val="00802AEC"/>
    <w:rsid w:val="00803099"/>
    <w:rsid w:val="0080406C"/>
    <w:rsid w:val="0080562C"/>
    <w:rsid w:val="008071D0"/>
    <w:rsid w:val="0081066B"/>
    <w:rsid w:val="00810809"/>
    <w:rsid w:val="00810C6A"/>
    <w:rsid w:val="00810C86"/>
    <w:rsid w:val="00812350"/>
    <w:rsid w:val="00812369"/>
    <w:rsid w:val="00812741"/>
    <w:rsid w:val="008128E3"/>
    <w:rsid w:val="00815871"/>
    <w:rsid w:val="00821789"/>
    <w:rsid w:val="0082180B"/>
    <w:rsid w:val="00821BC9"/>
    <w:rsid w:val="00825147"/>
    <w:rsid w:val="00825D4F"/>
    <w:rsid w:val="008270C1"/>
    <w:rsid w:val="00830017"/>
    <w:rsid w:val="00830787"/>
    <w:rsid w:val="00830DC9"/>
    <w:rsid w:val="00831489"/>
    <w:rsid w:val="00833A6A"/>
    <w:rsid w:val="00833E2F"/>
    <w:rsid w:val="008341B9"/>
    <w:rsid w:val="00834F9A"/>
    <w:rsid w:val="008368F3"/>
    <w:rsid w:val="00837185"/>
    <w:rsid w:val="008400A8"/>
    <w:rsid w:val="008411C6"/>
    <w:rsid w:val="0084156A"/>
    <w:rsid w:val="008427B1"/>
    <w:rsid w:val="008449FF"/>
    <w:rsid w:val="008453F0"/>
    <w:rsid w:val="0084601D"/>
    <w:rsid w:val="008462FB"/>
    <w:rsid w:val="00846C73"/>
    <w:rsid w:val="008503C3"/>
    <w:rsid w:val="00850462"/>
    <w:rsid w:val="0085161D"/>
    <w:rsid w:val="00855597"/>
    <w:rsid w:val="00855780"/>
    <w:rsid w:val="00856178"/>
    <w:rsid w:val="00856BC2"/>
    <w:rsid w:val="00856C69"/>
    <w:rsid w:val="008570AB"/>
    <w:rsid w:val="00862545"/>
    <w:rsid w:val="008653B5"/>
    <w:rsid w:val="00865A76"/>
    <w:rsid w:val="008663D7"/>
    <w:rsid w:val="008669DC"/>
    <w:rsid w:val="0086730B"/>
    <w:rsid w:val="008679E6"/>
    <w:rsid w:val="00867A0F"/>
    <w:rsid w:val="0087176A"/>
    <w:rsid w:val="00871811"/>
    <w:rsid w:val="00872E1F"/>
    <w:rsid w:val="00873942"/>
    <w:rsid w:val="0087400E"/>
    <w:rsid w:val="00880558"/>
    <w:rsid w:val="00883894"/>
    <w:rsid w:val="00885DA2"/>
    <w:rsid w:val="00885E17"/>
    <w:rsid w:val="00886342"/>
    <w:rsid w:val="008875DE"/>
    <w:rsid w:val="0089092F"/>
    <w:rsid w:val="00893594"/>
    <w:rsid w:val="008947EA"/>
    <w:rsid w:val="00894ABF"/>
    <w:rsid w:val="00896FF4"/>
    <w:rsid w:val="008A0E85"/>
    <w:rsid w:val="008A15CB"/>
    <w:rsid w:val="008A1DDE"/>
    <w:rsid w:val="008A371D"/>
    <w:rsid w:val="008A5443"/>
    <w:rsid w:val="008A55A8"/>
    <w:rsid w:val="008A5F01"/>
    <w:rsid w:val="008A6B66"/>
    <w:rsid w:val="008A7078"/>
    <w:rsid w:val="008B0969"/>
    <w:rsid w:val="008B11D0"/>
    <w:rsid w:val="008B32B6"/>
    <w:rsid w:val="008B4464"/>
    <w:rsid w:val="008B4BF2"/>
    <w:rsid w:val="008B56E5"/>
    <w:rsid w:val="008B5AFD"/>
    <w:rsid w:val="008B6650"/>
    <w:rsid w:val="008B729C"/>
    <w:rsid w:val="008B7A4E"/>
    <w:rsid w:val="008C1506"/>
    <w:rsid w:val="008C2D30"/>
    <w:rsid w:val="008C2FB0"/>
    <w:rsid w:val="008C33F2"/>
    <w:rsid w:val="008C6C92"/>
    <w:rsid w:val="008C77F7"/>
    <w:rsid w:val="008D0AE4"/>
    <w:rsid w:val="008D1A0A"/>
    <w:rsid w:val="008D1B0D"/>
    <w:rsid w:val="008D20E6"/>
    <w:rsid w:val="008D2F52"/>
    <w:rsid w:val="008D3E19"/>
    <w:rsid w:val="008D57A4"/>
    <w:rsid w:val="008D5F06"/>
    <w:rsid w:val="008D6B57"/>
    <w:rsid w:val="008D74C3"/>
    <w:rsid w:val="008D7DFC"/>
    <w:rsid w:val="008E00FD"/>
    <w:rsid w:val="008E07C6"/>
    <w:rsid w:val="008E33EA"/>
    <w:rsid w:val="008E4180"/>
    <w:rsid w:val="008E5BB7"/>
    <w:rsid w:val="008E5F84"/>
    <w:rsid w:val="008E6A1B"/>
    <w:rsid w:val="008E6FF6"/>
    <w:rsid w:val="008E72E5"/>
    <w:rsid w:val="008E766A"/>
    <w:rsid w:val="008E79F9"/>
    <w:rsid w:val="008E7DCC"/>
    <w:rsid w:val="008F0EA9"/>
    <w:rsid w:val="008F1B1E"/>
    <w:rsid w:val="008F2B7E"/>
    <w:rsid w:val="008F31DF"/>
    <w:rsid w:val="008F38F6"/>
    <w:rsid w:val="008F411D"/>
    <w:rsid w:val="008F4D31"/>
    <w:rsid w:val="008F53F5"/>
    <w:rsid w:val="008F56A2"/>
    <w:rsid w:val="008F5FF0"/>
    <w:rsid w:val="008F61F2"/>
    <w:rsid w:val="008F63BC"/>
    <w:rsid w:val="008F6485"/>
    <w:rsid w:val="008F710C"/>
    <w:rsid w:val="008F7B17"/>
    <w:rsid w:val="008F7F78"/>
    <w:rsid w:val="00900316"/>
    <w:rsid w:val="0090122A"/>
    <w:rsid w:val="00901F73"/>
    <w:rsid w:val="0090394F"/>
    <w:rsid w:val="009054D3"/>
    <w:rsid w:val="00905587"/>
    <w:rsid w:val="00907B9D"/>
    <w:rsid w:val="00910CFA"/>
    <w:rsid w:val="009125D2"/>
    <w:rsid w:val="00913E76"/>
    <w:rsid w:val="00915E3F"/>
    <w:rsid w:val="00915F49"/>
    <w:rsid w:val="00915F97"/>
    <w:rsid w:val="0092273F"/>
    <w:rsid w:val="009238F1"/>
    <w:rsid w:val="009249B4"/>
    <w:rsid w:val="00926716"/>
    <w:rsid w:val="009270DB"/>
    <w:rsid w:val="00930BEB"/>
    <w:rsid w:val="009323DF"/>
    <w:rsid w:val="00932AFC"/>
    <w:rsid w:val="0093389C"/>
    <w:rsid w:val="00933A7D"/>
    <w:rsid w:val="00933DA9"/>
    <w:rsid w:val="0093491F"/>
    <w:rsid w:val="00935E14"/>
    <w:rsid w:val="00941E4F"/>
    <w:rsid w:val="00942454"/>
    <w:rsid w:val="0094480E"/>
    <w:rsid w:val="00946319"/>
    <w:rsid w:val="00947B5B"/>
    <w:rsid w:val="00950281"/>
    <w:rsid w:val="00951BD3"/>
    <w:rsid w:val="009529FD"/>
    <w:rsid w:val="00952B8F"/>
    <w:rsid w:val="0095569B"/>
    <w:rsid w:val="009559F2"/>
    <w:rsid w:val="009562CC"/>
    <w:rsid w:val="00957310"/>
    <w:rsid w:val="0095750D"/>
    <w:rsid w:val="00962B8F"/>
    <w:rsid w:val="009637E4"/>
    <w:rsid w:val="00964464"/>
    <w:rsid w:val="00965665"/>
    <w:rsid w:val="0096632E"/>
    <w:rsid w:val="00966D4F"/>
    <w:rsid w:val="00970E65"/>
    <w:rsid w:val="0097102C"/>
    <w:rsid w:val="00971CBF"/>
    <w:rsid w:val="00971F52"/>
    <w:rsid w:val="0097202E"/>
    <w:rsid w:val="00972E0B"/>
    <w:rsid w:val="0097462D"/>
    <w:rsid w:val="009748F0"/>
    <w:rsid w:val="00974A7C"/>
    <w:rsid w:val="0097587B"/>
    <w:rsid w:val="009766FE"/>
    <w:rsid w:val="00977715"/>
    <w:rsid w:val="00980439"/>
    <w:rsid w:val="00982444"/>
    <w:rsid w:val="00982BA7"/>
    <w:rsid w:val="00982D92"/>
    <w:rsid w:val="00982F10"/>
    <w:rsid w:val="009834A0"/>
    <w:rsid w:val="009843A8"/>
    <w:rsid w:val="00984993"/>
    <w:rsid w:val="00984CA2"/>
    <w:rsid w:val="009854F1"/>
    <w:rsid w:val="0098714A"/>
    <w:rsid w:val="0099032E"/>
    <w:rsid w:val="00993EA1"/>
    <w:rsid w:val="0099496C"/>
    <w:rsid w:val="00996569"/>
    <w:rsid w:val="009A057B"/>
    <w:rsid w:val="009A06F0"/>
    <w:rsid w:val="009A14DE"/>
    <w:rsid w:val="009A25FC"/>
    <w:rsid w:val="009A40DD"/>
    <w:rsid w:val="009A72B5"/>
    <w:rsid w:val="009A7BC2"/>
    <w:rsid w:val="009B011E"/>
    <w:rsid w:val="009B150E"/>
    <w:rsid w:val="009B1897"/>
    <w:rsid w:val="009B1BB7"/>
    <w:rsid w:val="009B1C51"/>
    <w:rsid w:val="009B48D4"/>
    <w:rsid w:val="009B751B"/>
    <w:rsid w:val="009C0992"/>
    <w:rsid w:val="009C0C48"/>
    <w:rsid w:val="009C1830"/>
    <w:rsid w:val="009C23DA"/>
    <w:rsid w:val="009C24B3"/>
    <w:rsid w:val="009C2C09"/>
    <w:rsid w:val="009C2E5A"/>
    <w:rsid w:val="009C6214"/>
    <w:rsid w:val="009C65F2"/>
    <w:rsid w:val="009C672A"/>
    <w:rsid w:val="009C7B18"/>
    <w:rsid w:val="009C7D55"/>
    <w:rsid w:val="009C7F52"/>
    <w:rsid w:val="009D07F2"/>
    <w:rsid w:val="009D1884"/>
    <w:rsid w:val="009D24A3"/>
    <w:rsid w:val="009D2FD6"/>
    <w:rsid w:val="009D3295"/>
    <w:rsid w:val="009D3665"/>
    <w:rsid w:val="009D3C84"/>
    <w:rsid w:val="009D40C6"/>
    <w:rsid w:val="009D54F3"/>
    <w:rsid w:val="009D6969"/>
    <w:rsid w:val="009D7470"/>
    <w:rsid w:val="009D7A58"/>
    <w:rsid w:val="009E0828"/>
    <w:rsid w:val="009E0CED"/>
    <w:rsid w:val="009E17A2"/>
    <w:rsid w:val="009E2D23"/>
    <w:rsid w:val="009E4043"/>
    <w:rsid w:val="009E43C1"/>
    <w:rsid w:val="009E6DF1"/>
    <w:rsid w:val="009F3BA0"/>
    <w:rsid w:val="009F3F5D"/>
    <w:rsid w:val="009F43CB"/>
    <w:rsid w:val="009F4CB9"/>
    <w:rsid w:val="00A01C02"/>
    <w:rsid w:val="00A02D24"/>
    <w:rsid w:val="00A05113"/>
    <w:rsid w:val="00A054DC"/>
    <w:rsid w:val="00A069AE"/>
    <w:rsid w:val="00A10389"/>
    <w:rsid w:val="00A1133E"/>
    <w:rsid w:val="00A11888"/>
    <w:rsid w:val="00A11E62"/>
    <w:rsid w:val="00A11E8F"/>
    <w:rsid w:val="00A12369"/>
    <w:rsid w:val="00A13522"/>
    <w:rsid w:val="00A14357"/>
    <w:rsid w:val="00A1524F"/>
    <w:rsid w:val="00A15E63"/>
    <w:rsid w:val="00A167D9"/>
    <w:rsid w:val="00A17672"/>
    <w:rsid w:val="00A20A6B"/>
    <w:rsid w:val="00A20C5D"/>
    <w:rsid w:val="00A20C76"/>
    <w:rsid w:val="00A222CA"/>
    <w:rsid w:val="00A225E3"/>
    <w:rsid w:val="00A239CC"/>
    <w:rsid w:val="00A23BC2"/>
    <w:rsid w:val="00A248C9"/>
    <w:rsid w:val="00A279AC"/>
    <w:rsid w:val="00A30C5D"/>
    <w:rsid w:val="00A310F1"/>
    <w:rsid w:val="00A31C68"/>
    <w:rsid w:val="00A325AE"/>
    <w:rsid w:val="00A326A6"/>
    <w:rsid w:val="00A35FAA"/>
    <w:rsid w:val="00A40163"/>
    <w:rsid w:val="00A409BC"/>
    <w:rsid w:val="00A42F6D"/>
    <w:rsid w:val="00A44612"/>
    <w:rsid w:val="00A44720"/>
    <w:rsid w:val="00A46164"/>
    <w:rsid w:val="00A46A8E"/>
    <w:rsid w:val="00A51337"/>
    <w:rsid w:val="00A520DA"/>
    <w:rsid w:val="00A537E5"/>
    <w:rsid w:val="00A540A5"/>
    <w:rsid w:val="00A54248"/>
    <w:rsid w:val="00A55B6F"/>
    <w:rsid w:val="00A61BD0"/>
    <w:rsid w:val="00A6388E"/>
    <w:rsid w:val="00A64FD7"/>
    <w:rsid w:val="00A70398"/>
    <w:rsid w:val="00A709AD"/>
    <w:rsid w:val="00A72DA9"/>
    <w:rsid w:val="00A733CB"/>
    <w:rsid w:val="00A739DF"/>
    <w:rsid w:val="00A740A0"/>
    <w:rsid w:val="00A751AD"/>
    <w:rsid w:val="00A773CD"/>
    <w:rsid w:val="00A775CF"/>
    <w:rsid w:val="00A77853"/>
    <w:rsid w:val="00A77FAF"/>
    <w:rsid w:val="00A805EB"/>
    <w:rsid w:val="00A80C87"/>
    <w:rsid w:val="00A81EED"/>
    <w:rsid w:val="00A84503"/>
    <w:rsid w:val="00A867DA"/>
    <w:rsid w:val="00A8782F"/>
    <w:rsid w:val="00A9167D"/>
    <w:rsid w:val="00A92D25"/>
    <w:rsid w:val="00A9401F"/>
    <w:rsid w:val="00A94689"/>
    <w:rsid w:val="00A94DDB"/>
    <w:rsid w:val="00A94F82"/>
    <w:rsid w:val="00A965CD"/>
    <w:rsid w:val="00AA1BEC"/>
    <w:rsid w:val="00AA27AA"/>
    <w:rsid w:val="00AA2DF3"/>
    <w:rsid w:val="00AA4761"/>
    <w:rsid w:val="00AA50BC"/>
    <w:rsid w:val="00AA6AE4"/>
    <w:rsid w:val="00AB24E7"/>
    <w:rsid w:val="00AB3237"/>
    <w:rsid w:val="00AB3624"/>
    <w:rsid w:val="00AB3917"/>
    <w:rsid w:val="00AB3A2D"/>
    <w:rsid w:val="00AB4AC8"/>
    <w:rsid w:val="00AB5E21"/>
    <w:rsid w:val="00AB75AE"/>
    <w:rsid w:val="00AB76EC"/>
    <w:rsid w:val="00AB7933"/>
    <w:rsid w:val="00AC13C9"/>
    <w:rsid w:val="00AC3071"/>
    <w:rsid w:val="00AC3A08"/>
    <w:rsid w:val="00AC3D18"/>
    <w:rsid w:val="00AC5E37"/>
    <w:rsid w:val="00AC6332"/>
    <w:rsid w:val="00AC6E92"/>
    <w:rsid w:val="00AD10CF"/>
    <w:rsid w:val="00AD2FC0"/>
    <w:rsid w:val="00AD35EA"/>
    <w:rsid w:val="00AD3BC7"/>
    <w:rsid w:val="00AD42E2"/>
    <w:rsid w:val="00AD4967"/>
    <w:rsid w:val="00AD562E"/>
    <w:rsid w:val="00AD5B1B"/>
    <w:rsid w:val="00AD66BE"/>
    <w:rsid w:val="00AD6DB9"/>
    <w:rsid w:val="00AE2459"/>
    <w:rsid w:val="00AE29C2"/>
    <w:rsid w:val="00AE3D23"/>
    <w:rsid w:val="00AE4EC8"/>
    <w:rsid w:val="00AE517C"/>
    <w:rsid w:val="00AE599E"/>
    <w:rsid w:val="00AE5D9F"/>
    <w:rsid w:val="00AE5F15"/>
    <w:rsid w:val="00AE61C0"/>
    <w:rsid w:val="00AE76C9"/>
    <w:rsid w:val="00AF06B4"/>
    <w:rsid w:val="00AF0C7E"/>
    <w:rsid w:val="00AF0EB2"/>
    <w:rsid w:val="00AF2791"/>
    <w:rsid w:val="00AF2EF5"/>
    <w:rsid w:val="00AF3117"/>
    <w:rsid w:val="00AF326B"/>
    <w:rsid w:val="00AF32F0"/>
    <w:rsid w:val="00AF3811"/>
    <w:rsid w:val="00AF418D"/>
    <w:rsid w:val="00AF560E"/>
    <w:rsid w:val="00AF6220"/>
    <w:rsid w:val="00AF636E"/>
    <w:rsid w:val="00AF70EE"/>
    <w:rsid w:val="00AF7618"/>
    <w:rsid w:val="00B00B01"/>
    <w:rsid w:val="00B04550"/>
    <w:rsid w:val="00B04964"/>
    <w:rsid w:val="00B04CBD"/>
    <w:rsid w:val="00B07602"/>
    <w:rsid w:val="00B10605"/>
    <w:rsid w:val="00B10F95"/>
    <w:rsid w:val="00B11B0A"/>
    <w:rsid w:val="00B12331"/>
    <w:rsid w:val="00B15B71"/>
    <w:rsid w:val="00B166C6"/>
    <w:rsid w:val="00B21941"/>
    <w:rsid w:val="00B21EB4"/>
    <w:rsid w:val="00B22A5B"/>
    <w:rsid w:val="00B2691D"/>
    <w:rsid w:val="00B26C44"/>
    <w:rsid w:val="00B27820"/>
    <w:rsid w:val="00B30944"/>
    <w:rsid w:val="00B3104B"/>
    <w:rsid w:val="00B32AAC"/>
    <w:rsid w:val="00B33F4D"/>
    <w:rsid w:val="00B36CFC"/>
    <w:rsid w:val="00B37148"/>
    <w:rsid w:val="00B37AFC"/>
    <w:rsid w:val="00B4084B"/>
    <w:rsid w:val="00B42B56"/>
    <w:rsid w:val="00B45864"/>
    <w:rsid w:val="00B460B5"/>
    <w:rsid w:val="00B47F4C"/>
    <w:rsid w:val="00B50958"/>
    <w:rsid w:val="00B51526"/>
    <w:rsid w:val="00B54E4F"/>
    <w:rsid w:val="00B567D8"/>
    <w:rsid w:val="00B60F6F"/>
    <w:rsid w:val="00B61A52"/>
    <w:rsid w:val="00B6230B"/>
    <w:rsid w:val="00B63C3C"/>
    <w:rsid w:val="00B64DE4"/>
    <w:rsid w:val="00B65561"/>
    <w:rsid w:val="00B676B8"/>
    <w:rsid w:val="00B70250"/>
    <w:rsid w:val="00B70C9E"/>
    <w:rsid w:val="00B71222"/>
    <w:rsid w:val="00B7358B"/>
    <w:rsid w:val="00B7388C"/>
    <w:rsid w:val="00B73E0D"/>
    <w:rsid w:val="00B7521F"/>
    <w:rsid w:val="00B830A1"/>
    <w:rsid w:val="00B83160"/>
    <w:rsid w:val="00B8365B"/>
    <w:rsid w:val="00B83705"/>
    <w:rsid w:val="00B83CA0"/>
    <w:rsid w:val="00B84243"/>
    <w:rsid w:val="00B85C34"/>
    <w:rsid w:val="00B86CCD"/>
    <w:rsid w:val="00B876C0"/>
    <w:rsid w:val="00B87806"/>
    <w:rsid w:val="00B93884"/>
    <w:rsid w:val="00B94405"/>
    <w:rsid w:val="00B94A65"/>
    <w:rsid w:val="00B94ADF"/>
    <w:rsid w:val="00B94FB4"/>
    <w:rsid w:val="00B95D2D"/>
    <w:rsid w:val="00B9607C"/>
    <w:rsid w:val="00B9676C"/>
    <w:rsid w:val="00BA0966"/>
    <w:rsid w:val="00BA0F2F"/>
    <w:rsid w:val="00BA379F"/>
    <w:rsid w:val="00BA6777"/>
    <w:rsid w:val="00BB2A98"/>
    <w:rsid w:val="00BB3AB5"/>
    <w:rsid w:val="00BB3DA8"/>
    <w:rsid w:val="00BB498B"/>
    <w:rsid w:val="00BB6D23"/>
    <w:rsid w:val="00BB721D"/>
    <w:rsid w:val="00BB7455"/>
    <w:rsid w:val="00BC2C65"/>
    <w:rsid w:val="00BC3CAB"/>
    <w:rsid w:val="00BC42CE"/>
    <w:rsid w:val="00BC6702"/>
    <w:rsid w:val="00BD210E"/>
    <w:rsid w:val="00BD40CB"/>
    <w:rsid w:val="00BD4954"/>
    <w:rsid w:val="00BD78D5"/>
    <w:rsid w:val="00BE0A68"/>
    <w:rsid w:val="00BE3D04"/>
    <w:rsid w:val="00BE537C"/>
    <w:rsid w:val="00BE6D85"/>
    <w:rsid w:val="00BE70B3"/>
    <w:rsid w:val="00BE7D58"/>
    <w:rsid w:val="00BF0270"/>
    <w:rsid w:val="00BF0E14"/>
    <w:rsid w:val="00BF1022"/>
    <w:rsid w:val="00BF164E"/>
    <w:rsid w:val="00BF1A33"/>
    <w:rsid w:val="00BF23C3"/>
    <w:rsid w:val="00BF3D35"/>
    <w:rsid w:val="00BF6D42"/>
    <w:rsid w:val="00BF7ED9"/>
    <w:rsid w:val="00C00AA5"/>
    <w:rsid w:val="00C0119C"/>
    <w:rsid w:val="00C02450"/>
    <w:rsid w:val="00C066AF"/>
    <w:rsid w:val="00C07DEC"/>
    <w:rsid w:val="00C1005F"/>
    <w:rsid w:val="00C107D2"/>
    <w:rsid w:val="00C11F05"/>
    <w:rsid w:val="00C11F2F"/>
    <w:rsid w:val="00C12D0A"/>
    <w:rsid w:val="00C13681"/>
    <w:rsid w:val="00C13DA0"/>
    <w:rsid w:val="00C15DEF"/>
    <w:rsid w:val="00C20E76"/>
    <w:rsid w:val="00C23647"/>
    <w:rsid w:val="00C2476F"/>
    <w:rsid w:val="00C2641F"/>
    <w:rsid w:val="00C276B1"/>
    <w:rsid w:val="00C3009E"/>
    <w:rsid w:val="00C31E81"/>
    <w:rsid w:val="00C3239B"/>
    <w:rsid w:val="00C3249E"/>
    <w:rsid w:val="00C3303C"/>
    <w:rsid w:val="00C3324A"/>
    <w:rsid w:val="00C342CD"/>
    <w:rsid w:val="00C34390"/>
    <w:rsid w:val="00C34C59"/>
    <w:rsid w:val="00C359BA"/>
    <w:rsid w:val="00C36775"/>
    <w:rsid w:val="00C40689"/>
    <w:rsid w:val="00C41D55"/>
    <w:rsid w:val="00C428E6"/>
    <w:rsid w:val="00C42D37"/>
    <w:rsid w:val="00C431A3"/>
    <w:rsid w:val="00C44BE3"/>
    <w:rsid w:val="00C44C1D"/>
    <w:rsid w:val="00C450A9"/>
    <w:rsid w:val="00C45903"/>
    <w:rsid w:val="00C46D0E"/>
    <w:rsid w:val="00C53EF2"/>
    <w:rsid w:val="00C55846"/>
    <w:rsid w:val="00C6305B"/>
    <w:rsid w:val="00C63109"/>
    <w:rsid w:val="00C63C1F"/>
    <w:rsid w:val="00C63ED7"/>
    <w:rsid w:val="00C705DA"/>
    <w:rsid w:val="00C71D1E"/>
    <w:rsid w:val="00C7356F"/>
    <w:rsid w:val="00C74126"/>
    <w:rsid w:val="00C74C39"/>
    <w:rsid w:val="00C74DA9"/>
    <w:rsid w:val="00C753BA"/>
    <w:rsid w:val="00C75645"/>
    <w:rsid w:val="00C7638D"/>
    <w:rsid w:val="00C763EA"/>
    <w:rsid w:val="00C77417"/>
    <w:rsid w:val="00C8049D"/>
    <w:rsid w:val="00C84953"/>
    <w:rsid w:val="00C854F5"/>
    <w:rsid w:val="00C85E77"/>
    <w:rsid w:val="00C86D90"/>
    <w:rsid w:val="00C872C5"/>
    <w:rsid w:val="00C8748F"/>
    <w:rsid w:val="00C87FB8"/>
    <w:rsid w:val="00C91347"/>
    <w:rsid w:val="00C91CF4"/>
    <w:rsid w:val="00C92123"/>
    <w:rsid w:val="00C95596"/>
    <w:rsid w:val="00C95850"/>
    <w:rsid w:val="00C95B85"/>
    <w:rsid w:val="00C978F2"/>
    <w:rsid w:val="00C97F24"/>
    <w:rsid w:val="00C97F3F"/>
    <w:rsid w:val="00CA0B5E"/>
    <w:rsid w:val="00CA0F4F"/>
    <w:rsid w:val="00CA15D7"/>
    <w:rsid w:val="00CA2F21"/>
    <w:rsid w:val="00CA3214"/>
    <w:rsid w:val="00CA450E"/>
    <w:rsid w:val="00CA475B"/>
    <w:rsid w:val="00CA4819"/>
    <w:rsid w:val="00CA49A3"/>
    <w:rsid w:val="00CA600B"/>
    <w:rsid w:val="00CA709C"/>
    <w:rsid w:val="00CB1F59"/>
    <w:rsid w:val="00CB4589"/>
    <w:rsid w:val="00CB54F0"/>
    <w:rsid w:val="00CB60C9"/>
    <w:rsid w:val="00CB62C0"/>
    <w:rsid w:val="00CB6D24"/>
    <w:rsid w:val="00CB795F"/>
    <w:rsid w:val="00CC0486"/>
    <w:rsid w:val="00CC0B67"/>
    <w:rsid w:val="00CC4867"/>
    <w:rsid w:val="00CC56ED"/>
    <w:rsid w:val="00CC5AB0"/>
    <w:rsid w:val="00CC6AFF"/>
    <w:rsid w:val="00CC7ED8"/>
    <w:rsid w:val="00CC7F08"/>
    <w:rsid w:val="00CD1BF3"/>
    <w:rsid w:val="00CD3382"/>
    <w:rsid w:val="00CE0085"/>
    <w:rsid w:val="00CE0472"/>
    <w:rsid w:val="00CE179F"/>
    <w:rsid w:val="00CE2B6C"/>
    <w:rsid w:val="00CE2C1A"/>
    <w:rsid w:val="00CE3F53"/>
    <w:rsid w:val="00CE4134"/>
    <w:rsid w:val="00CE558E"/>
    <w:rsid w:val="00CE5774"/>
    <w:rsid w:val="00CE7933"/>
    <w:rsid w:val="00CF164C"/>
    <w:rsid w:val="00CF2C6F"/>
    <w:rsid w:val="00CF4131"/>
    <w:rsid w:val="00CF5085"/>
    <w:rsid w:val="00CF5FDC"/>
    <w:rsid w:val="00D00382"/>
    <w:rsid w:val="00D0086A"/>
    <w:rsid w:val="00D02EF1"/>
    <w:rsid w:val="00D05719"/>
    <w:rsid w:val="00D07A8D"/>
    <w:rsid w:val="00D1024D"/>
    <w:rsid w:val="00D11F5B"/>
    <w:rsid w:val="00D120BF"/>
    <w:rsid w:val="00D121A1"/>
    <w:rsid w:val="00D143EC"/>
    <w:rsid w:val="00D1469B"/>
    <w:rsid w:val="00D15792"/>
    <w:rsid w:val="00D1741D"/>
    <w:rsid w:val="00D174C3"/>
    <w:rsid w:val="00D17D15"/>
    <w:rsid w:val="00D17E55"/>
    <w:rsid w:val="00D2179B"/>
    <w:rsid w:val="00D22699"/>
    <w:rsid w:val="00D2316C"/>
    <w:rsid w:val="00D23531"/>
    <w:rsid w:val="00D24D0C"/>
    <w:rsid w:val="00D24FF4"/>
    <w:rsid w:val="00D27324"/>
    <w:rsid w:val="00D30A84"/>
    <w:rsid w:val="00D30CBA"/>
    <w:rsid w:val="00D32192"/>
    <w:rsid w:val="00D323B5"/>
    <w:rsid w:val="00D327B7"/>
    <w:rsid w:val="00D3564F"/>
    <w:rsid w:val="00D36333"/>
    <w:rsid w:val="00D37C36"/>
    <w:rsid w:val="00D4187B"/>
    <w:rsid w:val="00D428B3"/>
    <w:rsid w:val="00D43E58"/>
    <w:rsid w:val="00D44D21"/>
    <w:rsid w:val="00D456C4"/>
    <w:rsid w:val="00D459CF"/>
    <w:rsid w:val="00D46A7B"/>
    <w:rsid w:val="00D50C9B"/>
    <w:rsid w:val="00D549BF"/>
    <w:rsid w:val="00D551E1"/>
    <w:rsid w:val="00D55317"/>
    <w:rsid w:val="00D55763"/>
    <w:rsid w:val="00D5708A"/>
    <w:rsid w:val="00D57285"/>
    <w:rsid w:val="00D576B5"/>
    <w:rsid w:val="00D57849"/>
    <w:rsid w:val="00D579C5"/>
    <w:rsid w:val="00D60439"/>
    <w:rsid w:val="00D6199A"/>
    <w:rsid w:val="00D62AB4"/>
    <w:rsid w:val="00D634BA"/>
    <w:rsid w:val="00D6661E"/>
    <w:rsid w:val="00D6714F"/>
    <w:rsid w:val="00D70BF5"/>
    <w:rsid w:val="00D70EB2"/>
    <w:rsid w:val="00D715EF"/>
    <w:rsid w:val="00D720BB"/>
    <w:rsid w:val="00D729FE"/>
    <w:rsid w:val="00D75924"/>
    <w:rsid w:val="00D75DD0"/>
    <w:rsid w:val="00D7602E"/>
    <w:rsid w:val="00D76996"/>
    <w:rsid w:val="00D77119"/>
    <w:rsid w:val="00D77C45"/>
    <w:rsid w:val="00D801F4"/>
    <w:rsid w:val="00D81071"/>
    <w:rsid w:val="00D82879"/>
    <w:rsid w:val="00D83B82"/>
    <w:rsid w:val="00D857FB"/>
    <w:rsid w:val="00D85D3F"/>
    <w:rsid w:val="00D87479"/>
    <w:rsid w:val="00D9150D"/>
    <w:rsid w:val="00D92B42"/>
    <w:rsid w:val="00D961F2"/>
    <w:rsid w:val="00D97687"/>
    <w:rsid w:val="00D9775E"/>
    <w:rsid w:val="00DA1610"/>
    <w:rsid w:val="00DA1A11"/>
    <w:rsid w:val="00DA1BEF"/>
    <w:rsid w:val="00DA28A8"/>
    <w:rsid w:val="00DA3143"/>
    <w:rsid w:val="00DA4EAE"/>
    <w:rsid w:val="00DA6854"/>
    <w:rsid w:val="00DA6D4F"/>
    <w:rsid w:val="00DA6FB4"/>
    <w:rsid w:val="00DA7AC3"/>
    <w:rsid w:val="00DA7B65"/>
    <w:rsid w:val="00DB10A8"/>
    <w:rsid w:val="00DB22B0"/>
    <w:rsid w:val="00DB4C98"/>
    <w:rsid w:val="00DB584E"/>
    <w:rsid w:val="00DB6289"/>
    <w:rsid w:val="00DB69D9"/>
    <w:rsid w:val="00DC16AF"/>
    <w:rsid w:val="00DC1CF7"/>
    <w:rsid w:val="00DC32EC"/>
    <w:rsid w:val="00DC4099"/>
    <w:rsid w:val="00DC4790"/>
    <w:rsid w:val="00DC6737"/>
    <w:rsid w:val="00DD051E"/>
    <w:rsid w:val="00DD05B3"/>
    <w:rsid w:val="00DD0BA0"/>
    <w:rsid w:val="00DD1046"/>
    <w:rsid w:val="00DD7B40"/>
    <w:rsid w:val="00DE117E"/>
    <w:rsid w:val="00DE1987"/>
    <w:rsid w:val="00DE1EF9"/>
    <w:rsid w:val="00DE2A71"/>
    <w:rsid w:val="00DE36CF"/>
    <w:rsid w:val="00DE42BA"/>
    <w:rsid w:val="00DE50C2"/>
    <w:rsid w:val="00DE566F"/>
    <w:rsid w:val="00DE5DF9"/>
    <w:rsid w:val="00DE5E0C"/>
    <w:rsid w:val="00DF0728"/>
    <w:rsid w:val="00DF1ADC"/>
    <w:rsid w:val="00DF2249"/>
    <w:rsid w:val="00DF2347"/>
    <w:rsid w:val="00DF2C5D"/>
    <w:rsid w:val="00DF30D5"/>
    <w:rsid w:val="00DF363A"/>
    <w:rsid w:val="00DF4173"/>
    <w:rsid w:val="00DF53E8"/>
    <w:rsid w:val="00DF61C8"/>
    <w:rsid w:val="00DF6323"/>
    <w:rsid w:val="00DF6B26"/>
    <w:rsid w:val="00DF744E"/>
    <w:rsid w:val="00E00258"/>
    <w:rsid w:val="00E0068F"/>
    <w:rsid w:val="00E016BB"/>
    <w:rsid w:val="00E01B7C"/>
    <w:rsid w:val="00E054BA"/>
    <w:rsid w:val="00E05967"/>
    <w:rsid w:val="00E06F9F"/>
    <w:rsid w:val="00E1099E"/>
    <w:rsid w:val="00E10D3F"/>
    <w:rsid w:val="00E1129E"/>
    <w:rsid w:val="00E11FBD"/>
    <w:rsid w:val="00E120DB"/>
    <w:rsid w:val="00E121DD"/>
    <w:rsid w:val="00E15A7E"/>
    <w:rsid w:val="00E160CA"/>
    <w:rsid w:val="00E1675C"/>
    <w:rsid w:val="00E16977"/>
    <w:rsid w:val="00E16BE1"/>
    <w:rsid w:val="00E17DAB"/>
    <w:rsid w:val="00E20209"/>
    <w:rsid w:val="00E20628"/>
    <w:rsid w:val="00E2103B"/>
    <w:rsid w:val="00E22A07"/>
    <w:rsid w:val="00E235C3"/>
    <w:rsid w:val="00E253F7"/>
    <w:rsid w:val="00E26003"/>
    <w:rsid w:val="00E273FF"/>
    <w:rsid w:val="00E27B91"/>
    <w:rsid w:val="00E306E7"/>
    <w:rsid w:val="00E30E1D"/>
    <w:rsid w:val="00E30FE2"/>
    <w:rsid w:val="00E32D8E"/>
    <w:rsid w:val="00E335C8"/>
    <w:rsid w:val="00E37BA9"/>
    <w:rsid w:val="00E37F9B"/>
    <w:rsid w:val="00E42411"/>
    <w:rsid w:val="00E42C8A"/>
    <w:rsid w:val="00E436F2"/>
    <w:rsid w:val="00E43965"/>
    <w:rsid w:val="00E43E3B"/>
    <w:rsid w:val="00E4452C"/>
    <w:rsid w:val="00E4582E"/>
    <w:rsid w:val="00E46611"/>
    <w:rsid w:val="00E46AB8"/>
    <w:rsid w:val="00E473B3"/>
    <w:rsid w:val="00E50E8D"/>
    <w:rsid w:val="00E51F1C"/>
    <w:rsid w:val="00E53F1A"/>
    <w:rsid w:val="00E54185"/>
    <w:rsid w:val="00E5444F"/>
    <w:rsid w:val="00E55832"/>
    <w:rsid w:val="00E55ABA"/>
    <w:rsid w:val="00E57CA7"/>
    <w:rsid w:val="00E61C5E"/>
    <w:rsid w:val="00E61EC0"/>
    <w:rsid w:val="00E62415"/>
    <w:rsid w:val="00E62B36"/>
    <w:rsid w:val="00E62DF5"/>
    <w:rsid w:val="00E6382C"/>
    <w:rsid w:val="00E63BDC"/>
    <w:rsid w:val="00E647C8"/>
    <w:rsid w:val="00E67C82"/>
    <w:rsid w:val="00E702CE"/>
    <w:rsid w:val="00E70F0A"/>
    <w:rsid w:val="00E71844"/>
    <w:rsid w:val="00E731D7"/>
    <w:rsid w:val="00E7371B"/>
    <w:rsid w:val="00E73765"/>
    <w:rsid w:val="00E74ACE"/>
    <w:rsid w:val="00E77C06"/>
    <w:rsid w:val="00E831F7"/>
    <w:rsid w:val="00E835D7"/>
    <w:rsid w:val="00E855E0"/>
    <w:rsid w:val="00E860B7"/>
    <w:rsid w:val="00E8780D"/>
    <w:rsid w:val="00E9221F"/>
    <w:rsid w:val="00E94499"/>
    <w:rsid w:val="00E95DB8"/>
    <w:rsid w:val="00E95E3B"/>
    <w:rsid w:val="00E9687B"/>
    <w:rsid w:val="00E97527"/>
    <w:rsid w:val="00EA186C"/>
    <w:rsid w:val="00EA46A8"/>
    <w:rsid w:val="00EA5A9E"/>
    <w:rsid w:val="00EA6556"/>
    <w:rsid w:val="00EA6842"/>
    <w:rsid w:val="00EA6D25"/>
    <w:rsid w:val="00EB1B80"/>
    <w:rsid w:val="00EB4C26"/>
    <w:rsid w:val="00EB5127"/>
    <w:rsid w:val="00EB53F2"/>
    <w:rsid w:val="00EB5521"/>
    <w:rsid w:val="00EB7803"/>
    <w:rsid w:val="00EC0295"/>
    <w:rsid w:val="00EC0454"/>
    <w:rsid w:val="00EC19FA"/>
    <w:rsid w:val="00EC2948"/>
    <w:rsid w:val="00EC5F86"/>
    <w:rsid w:val="00ED0940"/>
    <w:rsid w:val="00ED25CE"/>
    <w:rsid w:val="00ED3A55"/>
    <w:rsid w:val="00ED402C"/>
    <w:rsid w:val="00ED511B"/>
    <w:rsid w:val="00EE0ACF"/>
    <w:rsid w:val="00EE22E3"/>
    <w:rsid w:val="00EE2ED0"/>
    <w:rsid w:val="00EE37DE"/>
    <w:rsid w:val="00EE561B"/>
    <w:rsid w:val="00EE67C5"/>
    <w:rsid w:val="00EF18EF"/>
    <w:rsid w:val="00EF4031"/>
    <w:rsid w:val="00EF45CE"/>
    <w:rsid w:val="00EF648D"/>
    <w:rsid w:val="00EF695C"/>
    <w:rsid w:val="00F00984"/>
    <w:rsid w:val="00F01FF7"/>
    <w:rsid w:val="00F05908"/>
    <w:rsid w:val="00F10305"/>
    <w:rsid w:val="00F1076B"/>
    <w:rsid w:val="00F10D71"/>
    <w:rsid w:val="00F11A7F"/>
    <w:rsid w:val="00F11B9B"/>
    <w:rsid w:val="00F11D20"/>
    <w:rsid w:val="00F120D0"/>
    <w:rsid w:val="00F13E0D"/>
    <w:rsid w:val="00F15DFF"/>
    <w:rsid w:val="00F20B6E"/>
    <w:rsid w:val="00F20FF5"/>
    <w:rsid w:val="00F248EC"/>
    <w:rsid w:val="00F24BCF"/>
    <w:rsid w:val="00F24C64"/>
    <w:rsid w:val="00F2639B"/>
    <w:rsid w:val="00F271F4"/>
    <w:rsid w:val="00F276EE"/>
    <w:rsid w:val="00F27D72"/>
    <w:rsid w:val="00F311E2"/>
    <w:rsid w:val="00F32080"/>
    <w:rsid w:val="00F3255F"/>
    <w:rsid w:val="00F33271"/>
    <w:rsid w:val="00F3510E"/>
    <w:rsid w:val="00F35B8D"/>
    <w:rsid w:val="00F373DC"/>
    <w:rsid w:val="00F37EF3"/>
    <w:rsid w:val="00F403D6"/>
    <w:rsid w:val="00F40782"/>
    <w:rsid w:val="00F422EF"/>
    <w:rsid w:val="00F42894"/>
    <w:rsid w:val="00F43E26"/>
    <w:rsid w:val="00F45CF2"/>
    <w:rsid w:val="00F470EA"/>
    <w:rsid w:val="00F47B25"/>
    <w:rsid w:val="00F506AE"/>
    <w:rsid w:val="00F51346"/>
    <w:rsid w:val="00F5235B"/>
    <w:rsid w:val="00F54947"/>
    <w:rsid w:val="00F54F7B"/>
    <w:rsid w:val="00F55CD7"/>
    <w:rsid w:val="00F560DC"/>
    <w:rsid w:val="00F56916"/>
    <w:rsid w:val="00F56AD0"/>
    <w:rsid w:val="00F56CB1"/>
    <w:rsid w:val="00F626C2"/>
    <w:rsid w:val="00F630EF"/>
    <w:rsid w:val="00F63F85"/>
    <w:rsid w:val="00F65819"/>
    <w:rsid w:val="00F67A6B"/>
    <w:rsid w:val="00F70C57"/>
    <w:rsid w:val="00F71634"/>
    <w:rsid w:val="00F71C5B"/>
    <w:rsid w:val="00F7244F"/>
    <w:rsid w:val="00F72962"/>
    <w:rsid w:val="00F72D23"/>
    <w:rsid w:val="00F743D8"/>
    <w:rsid w:val="00F74CB0"/>
    <w:rsid w:val="00F75495"/>
    <w:rsid w:val="00F7639C"/>
    <w:rsid w:val="00F765EB"/>
    <w:rsid w:val="00F773A0"/>
    <w:rsid w:val="00F81CE4"/>
    <w:rsid w:val="00F85751"/>
    <w:rsid w:val="00F8673B"/>
    <w:rsid w:val="00F908F8"/>
    <w:rsid w:val="00F90FC5"/>
    <w:rsid w:val="00F92442"/>
    <w:rsid w:val="00F926C8"/>
    <w:rsid w:val="00F939DB"/>
    <w:rsid w:val="00F964B0"/>
    <w:rsid w:val="00F97D2D"/>
    <w:rsid w:val="00FA05A4"/>
    <w:rsid w:val="00FA2F87"/>
    <w:rsid w:val="00FA30C2"/>
    <w:rsid w:val="00FA63B6"/>
    <w:rsid w:val="00FA681F"/>
    <w:rsid w:val="00FA6958"/>
    <w:rsid w:val="00FA7135"/>
    <w:rsid w:val="00FA784C"/>
    <w:rsid w:val="00FB06E1"/>
    <w:rsid w:val="00FB0CA2"/>
    <w:rsid w:val="00FB1224"/>
    <w:rsid w:val="00FB1A25"/>
    <w:rsid w:val="00FB2099"/>
    <w:rsid w:val="00FB6912"/>
    <w:rsid w:val="00FC00DD"/>
    <w:rsid w:val="00FC0A72"/>
    <w:rsid w:val="00FC1247"/>
    <w:rsid w:val="00FC13E2"/>
    <w:rsid w:val="00FC14D9"/>
    <w:rsid w:val="00FC1C66"/>
    <w:rsid w:val="00FC27D4"/>
    <w:rsid w:val="00FC3CD4"/>
    <w:rsid w:val="00FC4E2A"/>
    <w:rsid w:val="00FC6F4F"/>
    <w:rsid w:val="00FD1B30"/>
    <w:rsid w:val="00FD2130"/>
    <w:rsid w:val="00FD3D3E"/>
    <w:rsid w:val="00FD4258"/>
    <w:rsid w:val="00FD4975"/>
    <w:rsid w:val="00FD5051"/>
    <w:rsid w:val="00FD5958"/>
    <w:rsid w:val="00FD5A0F"/>
    <w:rsid w:val="00FD756D"/>
    <w:rsid w:val="00FD7972"/>
    <w:rsid w:val="00FD79EA"/>
    <w:rsid w:val="00FE059A"/>
    <w:rsid w:val="00FE0781"/>
    <w:rsid w:val="00FE29AF"/>
    <w:rsid w:val="00FE395C"/>
    <w:rsid w:val="00FE3DE9"/>
    <w:rsid w:val="00FE54AE"/>
    <w:rsid w:val="00FF1E56"/>
    <w:rsid w:val="00FF2122"/>
    <w:rsid w:val="00FF2339"/>
    <w:rsid w:val="00FF2430"/>
    <w:rsid w:val="00FF26B9"/>
    <w:rsid w:val="00FF33AA"/>
    <w:rsid w:val="00FF371D"/>
    <w:rsid w:val="00FF4B33"/>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annotation text" w:uiPriority="99"/>
    <w:lsdException w:name="header" w:uiPriority="99"/>
    <w:lsdException w:name="footer" w:uiPriority="99"/>
    <w:lsdException w:name="caption" w:qFormat="1"/>
    <w:lsdException w:name="envelope address" w:semiHidden="1"/>
    <w:lsdException w:name="envelope return" w:semiHidden="1"/>
    <w:lsdException w:name="line number"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qFormat="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Hyperlink" w:uiPriority="99"/>
    <w:lsdException w:name="Strong" w:qFormat="1"/>
    <w:lsdException w:name="Emphasis" w:semiHidden="1" w:qFormat="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2D24"/>
    <w:pPr>
      <w:spacing w:after="240" w:line="260" w:lineRule="exact"/>
      <w:jc w:val="both"/>
    </w:pPr>
    <w:rPr>
      <w:rFonts w:ascii="Book Antiqua" w:hAnsi="Book Antiqua"/>
      <w:lang w:eastAsia="en-AU"/>
    </w:rPr>
  </w:style>
  <w:style w:type="paragraph" w:styleId="Heading1">
    <w:name w:val="heading 1"/>
    <w:basedOn w:val="HeadingBase"/>
    <w:next w:val="Normal"/>
    <w:qFormat/>
    <w:rsid w:val="002A32FD"/>
    <w:pPr>
      <w:spacing w:after="360"/>
      <w:jc w:val="center"/>
      <w:outlineLvl w:val="0"/>
    </w:pPr>
    <w:rPr>
      <w:b/>
      <w:smallCaps/>
      <w:kern w:val="28"/>
      <w:sz w:val="34"/>
    </w:rPr>
  </w:style>
  <w:style w:type="paragraph" w:styleId="Heading2">
    <w:name w:val="heading 2"/>
    <w:basedOn w:val="HeadingBase"/>
    <w:next w:val="Normal"/>
    <w:qFormat/>
    <w:rsid w:val="00883894"/>
    <w:pPr>
      <w:spacing w:after="48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qFormat/>
    <w:rsid w:val="00EC5F86"/>
    <w:pPr>
      <w:tabs>
        <w:tab w:val="left" w:pos="709"/>
      </w:tabs>
      <w:spacing w:before="120" w:after="120"/>
      <w:outlineLvl w:val="3"/>
    </w:pPr>
    <w:rPr>
      <w:b/>
      <w:sz w:val="22"/>
    </w:rPr>
  </w:style>
  <w:style w:type="paragraph" w:styleId="Heading5">
    <w:name w:val="heading 5"/>
    <w:basedOn w:val="HeadingBase"/>
    <w:next w:val="Normal"/>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semiHidden/>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EC5F86"/>
    <w:pPr>
      <w:keepNext/>
    </w:pPr>
    <w:rPr>
      <w:rFonts w:ascii="Arial" w:hAnsi="Arial"/>
      <w:sz w:val="24"/>
      <w:lang w:eastAsia="en-AU"/>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link w:val="ChartandTableFootnoteAlphaChar"/>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2A32FD"/>
    <w:pPr>
      <w:spacing w:after="60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rsid w:val="00EC5F86"/>
    <w:pPr>
      <w:numPr>
        <w:numId w:val="5"/>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lang w:eastAsia="en-AU"/>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lang w:eastAsia="en-AU"/>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semiHidden/>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lang w:eastAsia="en-AU"/>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semiHidden/>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basedOn w:val="Normal"/>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7437BA"/>
    <w:pPr>
      <w:spacing w:after="480"/>
      <w:outlineLvl w:val="9"/>
    </w:p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lang w:eastAsia="en-AU"/>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2A32FD"/>
    <w:pPr>
      <w:spacing w:after="360"/>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834F9A"/>
    <w:pPr>
      <w:outlineLvl w:val="9"/>
    </w:pPr>
  </w:style>
  <w:style w:type="paragraph" w:customStyle="1" w:styleId="Bulletpoint">
    <w:name w:val="Bullet point"/>
    <w:basedOn w:val="ListBullet"/>
    <w:qFormat/>
    <w:rsid w:val="00230B27"/>
    <w:pPr>
      <w:numPr>
        <w:numId w:val="13"/>
      </w:numPr>
      <w:tabs>
        <w:tab w:val="left" w:pos="340"/>
      </w:tabs>
      <w:spacing w:before="120" w:after="0" w:line="240" w:lineRule="auto"/>
      <w:ind w:left="720"/>
      <w:contextualSpacing w:val="0"/>
      <w:jc w:val="left"/>
    </w:pPr>
    <w:rPr>
      <w:rFonts w:ascii="Arial" w:eastAsia="Arial" w:hAnsi="Arial"/>
      <w:sz w:val="22"/>
      <w:szCs w:val="22"/>
      <w:lang w:eastAsia="en-US"/>
    </w:rPr>
  </w:style>
  <w:style w:type="paragraph" w:customStyle="1" w:styleId="Bulletpoint2">
    <w:name w:val="Bullet point 2"/>
    <w:basedOn w:val="ListBullet2"/>
    <w:uiPriority w:val="1"/>
    <w:qFormat/>
    <w:rsid w:val="00230B27"/>
    <w:pPr>
      <w:numPr>
        <w:numId w:val="14"/>
      </w:numPr>
      <w:tabs>
        <w:tab w:val="left" w:pos="680"/>
      </w:tabs>
      <w:spacing w:before="120" w:after="0" w:line="240" w:lineRule="auto"/>
      <w:contextualSpacing w:val="0"/>
      <w:jc w:val="left"/>
    </w:pPr>
    <w:rPr>
      <w:rFonts w:ascii="Arial" w:eastAsia="Arial" w:hAnsi="Arial"/>
      <w:sz w:val="22"/>
      <w:szCs w:val="22"/>
      <w:lang w:eastAsia="en-US"/>
    </w:rPr>
  </w:style>
  <w:style w:type="paragraph" w:styleId="ListBullet">
    <w:name w:val="List Bullet"/>
    <w:basedOn w:val="Normal"/>
    <w:semiHidden/>
    <w:rsid w:val="00230B27"/>
    <w:pPr>
      <w:numPr>
        <w:numId w:val="11"/>
      </w:numPr>
      <w:contextualSpacing/>
    </w:pPr>
  </w:style>
  <w:style w:type="paragraph" w:styleId="ListBullet2">
    <w:name w:val="List Bullet 2"/>
    <w:basedOn w:val="Normal"/>
    <w:semiHidden/>
    <w:rsid w:val="00230B27"/>
    <w:pPr>
      <w:numPr>
        <w:numId w:val="12"/>
      </w:numPr>
      <w:contextualSpacing/>
    </w:pPr>
  </w:style>
  <w:style w:type="paragraph" w:customStyle="1" w:styleId="OutlineNumbered1">
    <w:name w:val="Outline Numbered 1"/>
    <w:basedOn w:val="Normal"/>
    <w:link w:val="OutlineNumbered1Char"/>
    <w:rsid w:val="003C3191"/>
    <w:pPr>
      <w:numPr>
        <w:numId w:val="17"/>
      </w:numPr>
    </w:pPr>
    <w:rPr>
      <w:sz w:val="16"/>
    </w:rPr>
  </w:style>
  <w:style w:type="character" w:customStyle="1" w:styleId="ChartandTableFootnoteAlphaChar">
    <w:name w:val="Chart and Table Footnote Alpha Char"/>
    <w:basedOn w:val="HeadingBaseChar"/>
    <w:link w:val="ChartandTableFootnoteAlpha"/>
    <w:rsid w:val="003C3191"/>
    <w:rPr>
      <w:rFonts w:ascii="Arial" w:hAnsi="Arial"/>
      <w:sz w:val="16"/>
      <w:lang w:val="en-AU" w:eastAsia="en-AU" w:bidi="ar-SA"/>
    </w:rPr>
  </w:style>
  <w:style w:type="character" w:customStyle="1" w:styleId="OutlineNumbered1Char">
    <w:name w:val="Outline Numbered 1 Char"/>
    <w:basedOn w:val="ChartandTableFootnoteAlphaChar"/>
    <w:link w:val="OutlineNumbered1"/>
    <w:rsid w:val="003C3191"/>
    <w:rPr>
      <w:rFonts w:ascii="Book Antiqua" w:hAnsi="Book Antiqua"/>
      <w:sz w:val="16"/>
      <w:lang w:val="en-AU" w:eastAsia="en-AU" w:bidi="ar-SA"/>
    </w:rPr>
  </w:style>
  <w:style w:type="paragraph" w:customStyle="1" w:styleId="OutlineNumbered2">
    <w:name w:val="Outline Numbered 2"/>
    <w:basedOn w:val="Normal"/>
    <w:link w:val="OutlineNumbered2Char"/>
    <w:rsid w:val="003C3191"/>
    <w:pPr>
      <w:numPr>
        <w:ilvl w:val="1"/>
        <w:numId w:val="17"/>
      </w:numPr>
    </w:pPr>
    <w:rPr>
      <w:sz w:val="16"/>
    </w:rPr>
  </w:style>
  <w:style w:type="character" w:customStyle="1" w:styleId="OutlineNumbered2Char">
    <w:name w:val="Outline Numbered 2 Char"/>
    <w:basedOn w:val="ChartandTableFootnoteAlphaChar"/>
    <w:link w:val="OutlineNumbered2"/>
    <w:rsid w:val="003C3191"/>
    <w:rPr>
      <w:rFonts w:ascii="Book Antiqua" w:hAnsi="Book Antiqua"/>
      <w:sz w:val="16"/>
      <w:lang w:val="en-AU" w:eastAsia="en-AU" w:bidi="ar-SA"/>
    </w:rPr>
  </w:style>
  <w:style w:type="paragraph" w:customStyle="1" w:styleId="OutlineNumbered3">
    <w:name w:val="Outline Numbered 3"/>
    <w:basedOn w:val="Normal"/>
    <w:link w:val="OutlineNumbered3Char"/>
    <w:rsid w:val="003C3191"/>
    <w:pPr>
      <w:numPr>
        <w:ilvl w:val="2"/>
        <w:numId w:val="17"/>
      </w:numPr>
    </w:pPr>
    <w:rPr>
      <w:sz w:val="16"/>
    </w:rPr>
  </w:style>
  <w:style w:type="character" w:customStyle="1" w:styleId="OutlineNumbered3Char">
    <w:name w:val="Outline Numbered 3 Char"/>
    <w:basedOn w:val="ChartandTableFootnoteAlphaChar"/>
    <w:link w:val="OutlineNumbered3"/>
    <w:rsid w:val="003C3191"/>
    <w:rPr>
      <w:rFonts w:ascii="Book Antiqua" w:hAnsi="Book Antiqua"/>
      <w:sz w:val="16"/>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annotation text" w:uiPriority="99"/>
    <w:lsdException w:name="header" w:uiPriority="99"/>
    <w:lsdException w:name="footer" w:uiPriority="99"/>
    <w:lsdException w:name="caption" w:qFormat="1"/>
    <w:lsdException w:name="envelope address" w:semiHidden="1"/>
    <w:lsdException w:name="envelope return" w:semiHidden="1"/>
    <w:lsdException w:name="line number"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qFormat="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Hyperlink" w:uiPriority="99"/>
    <w:lsdException w:name="Strong" w:qFormat="1"/>
    <w:lsdException w:name="Emphasis" w:semiHidden="1" w:qFormat="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2D24"/>
    <w:pPr>
      <w:spacing w:after="240" w:line="260" w:lineRule="exact"/>
      <w:jc w:val="both"/>
    </w:pPr>
    <w:rPr>
      <w:rFonts w:ascii="Book Antiqua" w:hAnsi="Book Antiqua"/>
      <w:lang w:eastAsia="en-AU"/>
    </w:rPr>
  </w:style>
  <w:style w:type="paragraph" w:styleId="Heading1">
    <w:name w:val="heading 1"/>
    <w:basedOn w:val="HeadingBase"/>
    <w:next w:val="Normal"/>
    <w:qFormat/>
    <w:rsid w:val="002A32FD"/>
    <w:pPr>
      <w:spacing w:after="360"/>
      <w:jc w:val="center"/>
      <w:outlineLvl w:val="0"/>
    </w:pPr>
    <w:rPr>
      <w:b/>
      <w:smallCaps/>
      <w:kern w:val="28"/>
      <w:sz w:val="34"/>
    </w:rPr>
  </w:style>
  <w:style w:type="paragraph" w:styleId="Heading2">
    <w:name w:val="heading 2"/>
    <w:basedOn w:val="HeadingBase"/>
    <w:next w:val="Normal"/>
    <w:qFormat/>
    <w:rsid w:val="00883894"/>
    <w:pPr>
      <w:spacing w:after="48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qFormat/>
    <w:rsid w:val="00EC5F86"/>
    <w:pPr>
      <w:tabs>
        <w:tab w:val="left" w:pos="709"/>
      </w:tabs>
      <w:spacing w:before="120" w:after="120"/>
      <w:outlineLvl w:val="3"/>
    </w:pPr>
    <w:rPr>
      <w:b/>
      <w:sz w:val="22"/>
    </w:rPr>
  </w:style>
  <w:style w:type="paragraph" w:styleId="Heading5">
    <w:name w:val="heading 5"/>
    <w:basedOn w:val="HeadingBase"/>
    <w:next w:val="Normal"/>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semiHidden/>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EC5F86"/>
    <w:pPr>
      <w:keepNext/>
    </w:pPr>
    <w:rPr>
      <w:rFonts w:ascii="Arial" w:hAnsi="Arial"/>
      <w:sz w:val="24"/>
      <w:lang w:eastAsia="en-AU"/>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link w:val="ChartandTableFootnoteAlphaChar"/>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2A32FD"/>
    <w:pPr>
      <w:spacing w:after="60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rsid w:val="00EC5F86"/>
    <w:pPr>
      <w:numPr>
        <w:numId w:val="5"/>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lang w:eastAsia="en-AU"/>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lang w:eastAsia="en-AU"/>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semiHidden/>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lang w:eastAsia="en-AU"/>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semiHidden/>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basedOn w:val="Normal"/>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7437BA"/>
    <w:pPr>
      <w:spacing w:after="480"/>
      <w:outlineLvl w:val="9"/>
    </w:p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lang w:eastAsia="en-AU"/>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2A32FD"/>
    <w:pPr>
      <w:spacing w:after="360"/>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834F9A"/>
    <w:pPr>
      <w:outlineLvl w:val="9"/>
    </w:pPr>
  </w:style>
  <w:style w:type="paragraph" w:customStyle="1" w:styleId="Bulletpoint">
    <w:name w:val="Bullet point"/>
    <w:basedOn w:val="ListBullet"/>
    <w:qFormat/>
    <w:rsid w:val="00230B27"/>
    <w:pPr>
      <w:numPr>
        <w:numId w:val="13"/>
      </w:numPr>
      <w:tabs>
        <w:tab w:val="left" w:pos="340"/>
      </w:tabs>
      <w:spacing w:before="120" w:after="0" w:line="240" w:lineRule="auto"/>
      <w:ind w:left="720"/>
      <w:contextualSpacing w:val="0"/>
      <w:jc w:val="left"/>
    </w:pPr>
    <w:rPr>
      <w:rFonts w:ascii="Arial" w:eastAsia="Arial" w:hAnsi="Arial"/>
      <w:sz w:val="22"/>
      <w:szCs w:val="22"/>
      <w:lang w:eastAsia="en-US"/>
    </w:rPr>
  </w:style>
  <w:style w:type="paragraph" w:customStyle="1" w:styleId="Bulletpoint2">
    <w:name w:val="Bullet point 2"/>
    <w:basedOn w:val="ListBullet2"/>
    <w:uiPriority w:val="1"/>
    <w:qFormat/>
    <w:rsid w:val="00230B27"/>
    <w:pPr>
      <w:numPr>
        <w:numId w:val="14"/>
      </w:numPr>
      <w:tabs>
        <w:tab w:val="left" w:pos="680"/>
      </w:tabs>
      <w:spacing w:before="120" w:after="0" w:line="240" w:lineRule="auto"/>
      <w:contextualSpacing w:val="0"/>
      <w:jc w:val="left"/>
    </w:pPr>
    <w:rPr>
      <w:rFonts w:ascii="Arial" w:eastAsia="Arial" w:hAnsi="Arial"/>
      <w:sz w:val="22"/>
      <w:szCs w:val="22"/>
      <w:lang w:eastAsia="en-US"/>
    </w:rPr>
  </w:style>
  <w:style w:type="paragraph" w:styleId="ListBullet">
    <w:name w:val="List Bullet"/>
    <w:basedOn w:val="Normal"/>
    <w:semiHidden/>
    <w:rsid w:val="00230B27"/>
    <w:pPr>
      <w:numPr>
        <w:numId w:val="11"/>
      </w:numPr>
      <w:contextualSpacing/>
    </w:pPr>
  </w:style>
  <w:style w:type="paragraph" w:styleId="ListBullet2">
    <w:name w:val="List Bullet 2"/>
    <w:basedOn w:val="Normal"/>
    <w:semiHidden/>
    <w:rsid w:val="00230B27"/>
    <w:pPr>
      <w:numPr>
        <w:numId w:val="12"/>
      </w:numPr>
      <w:contextualSpacing/>
    </w:pPr>
  </w:style>
  <w:style w:type="paragraph" w:customStyle="1" w:styleId="OutlineNumbered1">
    <w:name w:val="Outline Numbered 1"/>
    <w:basedOn w:val="Normal"/>
    <w:link w:val="OutlineNumbered1Char"/>
    <w:rsid w:val="003C3191"/>
    <w:pPr>
      <w:numPr>
        <w:numId w:val="17"/>
      </w:numPr>
    </w:pPr>
    <w:rPr>
      <w:sz w:val="16"/>
    </w:rPr>
  </w:style>
  <w:style w:type="character" w:customStyle="1" w:styleId="ChartandTableFootnoteAlphaChar">
    <w:name w:val="Chart and Table Footnote Alpha Char"/>
    <w:basedOn w:val="HeadingBaseChar"/>
    <w:link w:val="ChartandTableFootnoteAlpha"/>
    <w:rsid w:val="003C3191"/>
    <w:rPr>
      <w:rFonts w:ascii="Arial" w:hAnsi="Arial"/>
      <w:sz w:val="16"/>
      <w:lang w:val="en-AU" w:eastAsia="en-AU" w:bidi="ar-SA"/>
    </w:rPr>
  </w:style>
  <w:style w:type="character" w:customStyle="1" w:styleId="OutlineNumbered1Char">
    <w:name w:val="Outline Numbered 1 Char"/>
    <w:basedOn w:val="ChartandTableFootnoteAlphaChar"/>
    <w:link w:val="OutlineNumbered1"/>
    <w:rsid w:val="003C3191"/>
    <w:rPr>
      <w:rFonts w:ascii="Book Antiqua" w:hAnsi="Book Antiqua"/>
      <w:sz w:val="16"/>
      <w:lang w:val="en-AU" w:eastAsia="en-AU" w:bidi="ar-SA"/>
    </w:rPr>
  </w:style>
  <w:style w:type="paragraph" w:customStyle="1" w:styleId="OutlineNumbered2">
    <w:name w:val="Outline Numbered 2"/>
    <w:basedOn w:val="Normal"/>
    <w:link w:val="OutlineNumbered2Char"/>
    <w:rsid w:val="003C3191"/>
    <w:pPr>
      <w:numPr>
        <w:ilvl w:val="1"/>
        <w:numId w:val="17"/>
      </w:numPr>
    </w:pPr>
    <w:rPr>
      <w:sz w:val="16"/>
    </w:rPr>
  </w:style>
  <w:style w:type="character" w:customStyle="1" w:styleId="OutlineNumbered2Char">
    <w:name w:val="Outline Numbered 2 Char"/>
    <w:basedOn w:val="ChartandTableFootnoteAlphaChar"/>
    <w:link w:val="OutlineNumbered2"/>
    <w:rsid w:val="003C3191"/>
    <w:rPr>
      <w:rFonts w:ascii="Book Antiqua" w:hAnsi="Book Antiqua"/>
      <w:sz w:val="16"/>
      <w:lang w:val="en-AU" w:eastAsia="en-AU" w:bidi="ar-SA"/>
    </w:rPr>
  </w:style>
  <w:style w:type="paragraph" w:customStyle="1" w:styleId="OutlineNumbered3">
    <w:name w:val="Outline Numbered 3"/>
    <w:basedOn w:val="Normal"/>
    <w:link w:val="OutlineNumbered3Char"/>
    <w:rsid w:val="003C3191"/>
    <w:pPr>
      <w:numPr>
        <w:ilvl w:val="2"/>
        <w:numId w:val="17"/>
      </w:numPr>
    </w:pPr>
    <w:rPr>
      <w:sz w:val="16"/>
    </w:rPr>
  </w:style>
  <w:style w:type="character" w:customStyle="1" w:styleId="OutlineNumbered3Char">
    <w:name w:val="Outline Numbered 3 Char"/>
    <w:basedOn w:val="ChartandTableFootnoteAlphaChar"/>
    <w:link w:val="OutlineNumbered3"/>
    <w:rsid w:val="003C3191"/>
    <w:rPr>
      <w:rFonts w:ascii="Book Antiqua" w:hAnsi="Book Antiqua"/>
      <w:sz w:val="16"/>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26604380">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6913838">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43362459">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3.xml"/><Relationship Id="rId26" Type="http://schemas.openxmlformats.org/officeDocument/2006/relationships/image" Target="media/image2.emf"/><Relationship Id="rId39" Type="http://schemas.openxmlformats.org/officeDocument/2006/relationships/header" Target="header11.xml"/><Relationship Id="rId21" Type="http://schemas.openxmlformats.org/officeDocument/2006/relationships/header" Target="header4.xml"/><Relationship Id="rId34" Type="http://schemas.openxmlformats.org/officeDocument/2006/relationships/header" Target="header8.xml"/><Relationship Id="rId42" Type="http://schemas.openxmlformats.org/officeDocument/2006/relationships/header" Target="header14.xml"/><Relationship Id="rId47" Type="http://schemas.openxmlformats.org/officeDocument/2006/relationships/image" Target="media/image7.emf"/><Relationship Id="rId50" Type="http://schemas.openxmlformats.org/officeDocument/2006/relationships/image" Target="media/image8.emf"/><Relationship Id="rId55" Type="http://schemas.openxmlformats.org/officeDocument/2006/relationships/header" Target="header17.xml"/><Relationship Id="rId63" Type="http://schemas.openxmlformats.org/officeDocument/2006/relationships/image" Target="media/image12.emf"/><Relationship Id="rId68" Type="http://schemas.openxmlformats.org/officeDocument/2006/relationships/image" Target="media/image13.emf"/><Relationship Id="rId76"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oleObject" Target="file:///\\fs5.budget.gov\budget$\2018-19%20Budget\Treasury%20PB%20Statements\04.%20ACCC\ACCC%20-%20Treasury%20Format_2018-19%20PBS%20Excel%20Tables%20V1%20(pasted%20values).xlsx!Table%203.9!R3C1:R14C6"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www.accc.gov.au/publications/corporate-plan-priorities" TargetMode="External"/><Relationship Id="rId11" Type="http://schemas.openxmlformats.org/officeDocument/2006/relationships/settings" Target="settings.xml"/><Relationship Id="rId24" Type="http://schemas.openxmlformats.org/officeDocument/2006/relationships/image" Target="media/image1.emf"/><Relationship Id="rId32" Type="http://schemas.openxmlformats.org/officeDocument/2006/relationships/image" Target="media/image3.emf"/><Relationship Id="rId37" Type="http://schemas.openxmlformats.org/officeDocument/2006/relationships/image" Target="media/image4.emf"/><Relationship Id="rId40" Type="http://schemas.openxmlformats.org/officeDocument/2006/relationships/header" Target="header12.xml"/><Relationship Id="rId45" Type="http://schemas.openxmlformats.org/officeDocument/2006/relationships/image" Target="media/image6.emf"/><Relationship Id="rId53" Type="http://schemas.openxmlformats.org/officeDocument/2006/relationships/image" Target="media/image9.emf"/><Relationship Id="rId58" Type="http://schemas.openxmlformats.org/officeDocument/2006/relationships/header" Target="header18.xml"/><Relationship Id="rId66" Type="http://schemas.openxmlformats.org/officeDocument/2006/relationships/header" Target="header22.xml"/><Relationship Id="rId74" Type="http://schemas.openxmlformats.org/officeDocument/2006/relationships/header" Target="header2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6.xml"/><Relationship Id="rId36" Type="http://schemas.openxmlformats.org/officeDocument/2006/relationships/header" Target="header10.xml"/><Relationship Id="rId49" Type="http://schemas.openxmlformats.org/officeDocument/2006/relationships/header" Target="header15.xml"/><Relationship Id="rId57" Type="http://schemas.openxmlformats.org/officeDocument/2006/relationships/oleObject" Target="file:///\\fs5.budget.gov\budget$\2018-19%20Budget\Treasury%20PB%20Statements\04.%20ACCC\ACCC%20-%20Treasury%20Format_2018-19%20PBS%20Excel%20Tables%20V1%20(pasted%20values).xlsx!Table%203.5!R3C1:R19C6" TargetMode="External"/><Relationship Id="rId61" Type="http://schemas.openxmlformats.org/officeDocument/2006/relationships/image" Target="media/image11.emf"/><Relationship Id="rId10" Type="http://schemas.microsoft.com/office/2007/relationships/stylesWithEffects" Target="stylesWithEffects.xml"/><Relationship Id="rId19" Type="http://schemas.openxmlformats.org/officeDocument/2006/relationships/header" Target="header2.xml"/><Relationship Id="rId31" Type="http://schemas.openxmlformats.org/officeDocument/2006/relationships/header" Target="header7.xml"/><Relationship Id="rId44" Type="http://schemas.openxmlformats.org/officeDocument/2006/relationships/oleObject" Target="file:///\\fs5.budget.gov\budget$\2018-19%20Budget\Treasury%20PB%20Statements\04.%20ACCC\ACCC%20-%20Treasury%20Format_2018-19%20PBS%20Excel%20Tables%20V1%20(pasted%20values).xlsx!Table%203.1!R4C1:R22C6" TargetMode="External"/><Relationship Id="rId52" Type="http://schemas.openxmlformats.org/officeDocument/2006/relationships/header" Target="header16.xml"/><Relationship Id="rId60" Type="http://schemas.openxmlformats.org/officeDocument/2006/relationships/header" Target="header20.xml"/><Relationship Id="rId65" Type="http://schemas.openxmlformats.org/officeDocument/2006/relationships/header" Target="header21.xml"/><Relationship Id="rId73"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4.xml"/><Relationship Id="rId27" Type="http://schemas.openxmlformats.org/officeDocument/2006/relationships/oleObject" Target="file:///\\fs5.budget.gov\budget$\2018-19%20Budget\Treasury%20PB%20Statements\04.%20ACCC\ACCC%20-%20Treasury%20Format_2018-19%20PBS%20Excel%20Tables%20V1%20(pasted%20values).xlsx!Table%201.2!R3C1:R23C7" TargetMode="External"/><Relationship Id="rId30" Type="http://schemas.openxmlformats.org/officeDocument/2006/relationships/hyperlink" Target="http://www.accc.gov.au/annualreports" TargetMode="External"/><Relationship Id="rId35" Type="http://schemas.openxmlformats.org/officeDocument/2006/relationships/header" Target="header9.xml"/><Relationship Id="rId43" Type="http://schemas.openxmlformats.org/officeDocument/2006/relationships/image" Target="media/image5.emf"/><Relationship Id="rId48" Type="http://schemas.openxmlformats.org/officeDocument/2006/relationships/oleObject" Target="file:///\\fs5.budget.gov\budget$\2018-19%20Budget\Treasury%20PB%20Statements\04.%20ACCC\ACCC%20-%20Treasury%20Format_2018-19%20PBS%20Excel%20Tables%20V1%20(pasted%20values).xlsx!Table%203.2!R3C1:R32C6" TargetMode="External"/><Relationship Id="rId56" Type="http://schemas.openxmlformats.org/officeDocument/2006/relationships/image" Target="media/image10.emf"/><Relationship Id="rId64" Type="http://schemas.openxmlformats.org/officeDocument/2006/relationships/oleObject" Target="file:///\\fs5.budget.gov\budget$\2018-19%20Budget\Treasury%20PB%20Statements\04.%20ACCC\ACCC%20-%20Treasury%20Format_2018-19%20PBS%20Excel%20Tables%20V1%20(pasted%20values).xlsx!Table%203.7!R3C1:R12C6" TargetMode="External"/><Relationship Id="rId69" Type="http://schemas.openxmlformats.org/officeDocument/2006/relationships/oleObject" Target="file:///\\fs5.budget.gov\budget$\2018-19%20Budget\Treasury%20PB%20Statements\04.%20ACCC\ACCC%20-%20Treasury%20Format_2018-19%20PBS%20Excel%20Tables%20V1%20(pasted%20values).xlsx!Table%203.8!R3C1:R10C6" TargetMode="External"/><Relationship Id="rId8" Type="http://schemas.openxmlformats.org/officeDocument/2006/relationships/numbering" Target="numbering.xml"/><Relationship Id="rId51" Type="http://schemas.openxmlformats.org/officeDocument/2006/relationships/oleObject" Target="file:///\\fs5.budget.gov\budget$\2018-19%20Budget\Treasury%20PB%20Statements\04.%20ACCC\ACCC%20-%20Treasury%20Format_2018-19%20PBS%20Excel%20Tables%20V1%20(pasted%20values).xlsx!Table%203.3!R3C1:R16C5" TargetMode="External"/><Relationship Id="rId72" Type="http://schemas.openxmlformats.org/officeDocument/2006/relationships/header" Target="header24.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footer" Target="footer2.xml"/><Relationship Id="rId25" Type="http://schemas.openxmlformats.org/officeDocument/2006/relationships/oleObject" Target="file:///\\fs5.budget.gov\budget$\2018-19%20Budget\Treasury%20PB%20Statements\04.%20ACCC\ACCC%20-%20Treasury%20Format_2018-19%20PBS%20Excel%20Tables%20V1%20(pasted%20values).xlsx!Table%201.1!R2C1:R26C3" TargetMode="External"/><Relationship Id="rId33" Type="http://schemas.openxmlformats.org/officeDocument/2006/relationships/oleObject" Target="file:///\\fs5.budget.gov\budget$\2018-19%20Budget\Treasury%20PB%20Statements\04.%20ACCC\ACCC%20-%20Treasury%20Format_2018-19%20PBS%20Excel%20Tables%20V1%20(pasted%20values).xlsx!Table%202.1!R4C1:R17C6" TargetMode="External"/><Relationship Id="rId38" Type="http://schemas.openxmlformats.org/officeDocument/2006/relationships/oleObject" Target="file:///\\fs5.budget.gov\budget$\2018-19%20Budget\Treasury%20PB%20Statements\04.%20ACCC\ACCC%20-%20Treasury%20Format_2018-19%20PBS%20Excel%20Tables%20V1%20(pasted%20values).xlsx!Table%202.1!R19C1:R29C6" TargetMode="External"/><Relationship Id="rId46" Type="http://schemas.openxmlformats.org/officeDocument/2006/relationships/oleObject" Target="file:///\\fs5.budget.gov\budget$\2018-19%20Budget\Treasury%20PB%20Statements\04.%20ACCC\ACCC%20-%20Treasury%20Format_2018-19%20PBS%20Excel%20Tables%20V1%20(pasted%20values).xlsx!Table%203.1!R25C1:R28C6" TargetMode="External"/><Relationship Id="rId59" Type="http://schemas.openxmlformats.org/officeDocument/2006/relationships/header" Target="header19.xml"/><Relationship Id="rId67" Type="http://schemas.openxmlformats.org/officeDocument/2006/relationships/header" Target="header23.xml"/><Relationship Id="rId20" Type="http://schemas.openxmlformats.org/officeDocument/2006/relationships/header" Target="header3.xml"/><Relationship Id="rId41" Type="http://schemas.openxmlformats.org/officeDocument/2006/relationships/header" Target="header13.xml"/><Relationship Id="rId54" Type="http://schemas.openxmlformats.org/officeDocument/2006/relationships/oleObject" Target="file:///\\fs5.budget.gov\budget$\2018-19%20Budget\Treasury%20PB%20Statements\04.%20ACCC\ACCC%20-%20Treasury%20Format_2018-19%20PBS%20Excel%20Tables%20V1%20(pasted%20values).xlsx!Table%203.4!R3C1:R29C6" TargetMode="External"/><Relationship Id="rId62" Type="http://schemas.openxmlformats.org/officeDocument/2006/relationships/oleObject" Target="file:///\\fs5.budget.gov\budget$\2018-19%20Budget\Treasury%20PB%20Statements\04.%20ACCC\ACCC%20-%20Treasury%20Format_2018-19%20PBS%20Excel%20Tables%20V1%20(pasted%20values).xlsx!Table%203.6!R4C1:R19C5" TargetMode="External"/><Relationship Id="rId70" Type="http://schemas.openxmlformats.org/officeDocument/2006/relationships/image" Target="media/image14.emf"/><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D32F813FF339BB439A8099CD5BC8C9D4" ma:contentTypeVersion="9248" ma:contentTypeDescription="" ma:contentTypeScope="" ma:versionID="a80e9b67aa428b55b13566229794d4f7">
  <xsd:schema xmlns:xsd="http://www.w3.org/2001/XMLSchema" xmlns:xs="http://www.w3.org/2001/XMLSchema" xmlns:p="http://schemas.microsoft.com/office/2006/metadata/properties" xmlns:ns1="http://schemas.microsoft.com/sharepoint/v3" xmlns:ns2="eb47d8b7-fefc-4923-b53c-9685ba6b7210" targetNamespace="http://schemas.microsoft.com/office/2006/metadata/properties" ma:root="true" ma:fieldsID="4b19b25c1b3fe20020fd823529388636" ns1:_="" ns2:_="">
    <xsd:import namespace="http://schemas.microsoft.com/sharepoint/v3"/>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TaxCatchAll xmlns="eb47d8b7-fefc-4923-b53c-9685ba6b7210">
      <Value>75</Value>
    </TaxCatchAll>
  </documentManagement>
</p:propertie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5cc967dd-c912-4b3c-bade-a8b03f189c59">
      <p:Name>Auditing</p:Name>
      <p:Description>Audits user actions on documents and list items to the Audit Log.</p:Description>
      <p:CustomData>
        <Audit>
          <Update/>
          <DeleteRestore/>
        </Audit>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77276-3E59-4A23-9383-C269F4925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3.xml><?xml version="1.0" encoding="utf-8"?>
<ds:datastoreItem xmlns:ds="http://schemas.openxmlformats.org/officeDocument/2006/customXml" ds:itemID="{F3F5838B-9058-46E1-A341-9D9BF3B9EB86}">
  <ds:schemaRefs>
    <ds:schemaRef ds:uri="http://schemas.microsoft.com/sharepoint/v3/contenttype/forms"/>
  </ds:schemaRefs>
</ds:datastoreItem>
</file>

<file path=customXml/itemProps4.xml><?xml version="1.0" encoding="utf-8"?>
<ds:datastoreItem xmlns:ds="http://schemas.openxmlformats.org/officeDocument/2006/customXml" ds:itemID="{F2491767-F8FC-41A7-A249-EE15A34F5D61}">
  <ds:schemaRefs>
    <ds:schemaRef ds:uri="http://schemas.microsoft.com/office/2006/metadata/properties"/>
    <ds:schemaRef ds:uri="http://schemas.microsoft.com/office/infopath/2007/PartnerControls"/>
    <ds:schemaRef ds:uri="http://purl.org/dc/terms/"/>
    <ds:schemaRef ds:uri="http://schemas.microsoft.com/sharepoint/v3"/>
    <ds:schemaRef ds:uri="eb47d8b7-fefc-4923-b53c-9685ba6b7210"/>
    <ds:schemaRef ds:uri="http://purl.org/dc/dcmitype/"/>
    <ds:schemaRef ds:uri="http://schemas.microsoft.com/office/2006/documentManagement/types"/>
    <ds:schemaRef ds:uri="http://www.w3.org/XML/1998/namespace"/>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51020D68-5EAE-4E18-9F29-D13EAD099859}">
  <ds:schemaRefs>
    <ds:schemaRef ds:uri="office.server.policy"/>
  </ds:schemaRefs>
</ds:datastoreItem>
</file>

<file path=customXml/itemProps6.xml><?xml version="1.0" encoding="utf-8"?>
<ds:datastoreItem xmlns:ds="http://schemas.openxmlformats.org/officeDocument/2006/customXml" ds:itemID="{D964E8D8-6041-44AC-91FB-C0440C5B0DDE}">
  <ds:schemaRefs>
    <ds:schemaRef ds:uri="http://schemas.microsoft.com/sharepoint/events"/>
  </ds:schemaRefs>
</ds:datastoreItem>
</file>

<file path=customXml/itemProps7.xml><?xml version="1.0" encoding="utf-8"?>
<ds:datastoreItem xmlns:ds="http://schemas.openxmlformats.org/officeDocument/2006/customXml" ds:itemID="{37876441-FE6C-4064-82DC-D2950EC64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Portfolio Budget Statements.dot</Template>
  <TotalTime>17</TotalTime>
  <Pages>28</Pages>
  <Words>4423</Words>
  <Characters>30209</Characters>
  <Application>Microsoft Office Word</Application>
  <DocSecurity>0</DocSecurity>
  <Lines>719</Lines>
  <Paragraphs>372</Paragraphs>
  <ScaleCrop>false</ScaleCrop>
  <HeadingPairs>
    <vt:vector size="2" baseType="variant">
      <vt:variant>
        <vt:lpstr>Title</vt:lpstr>
      </vt:variant>
      <vt:variant>
        <vt:i4>1</vt:i4>
      </vt:variant>
    </vt:vector>
  </HeadingPairs>
  <TitlesOfParts>
    <vt:vector size="1" baseType="lpstr">
      <vt:lpstr>Portfolio Budget Statements</vt:lpstr>
    </vt:vector>
  </TitlesOfParts>
  <Company>Australian Government - The Treasury</Company>
  <LinksUpToDate>false</LinksUpToDate>
  <CharactersWithSpaces>34260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dc:title>
  <dc:subject>Department Name</dc:subject>
  <dc:creator>[Author department]</dc:creator>
  <cp:lastModifiedBy>Easton, Sean</cp:lastModifiedBy>
  <cp:revision>16</cp:revision>
  <cp:lastPrinted>2018-05-05T11:46:00Z</cp:lastPrinted>
  <dcterms:created xsi:type="dcterms:W3CDTF">2018-05-05T06:23:00Z</dcterms:created>
  <dcterms:modified xsi:type="dcterms:W3CDTF">2018-05-05T15:24:00Z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0x010100605AAC981168BE40A9BD548B81A50DF6006EB3B15072AC1D409928D75C61018CC2</vt:lpwstr>
  </property>
  <property fmtid="{D5CDD505-2E9C-101B-9397-08002B2CF9AE}" pid="5" name="TSYRecordClass">
    <vt:lpwstr>75;#AE-20337-Destroy 7 years after action completed|668ae28e-5138-4c7c-82db-1c8c6afc81a6</vt:lpwstr>
  </property>
  <property fmtid="{D5CDD505-2E9C-101B-9397-08002B2CF9AE}" pid="6" name="_dlc_DocIdItemGuid">
    <vt:lpwstr>80ce654a-8b7a-4b78-844a-49e3b16f0e37</vt:lpwstr>
  </property>
  <property fmtid="{D5CDD505-2E9C-101B-9397-08002B2CF9AE}" pid="7" name="_dlc_DocId">
    <vt:lpwstr>2018CSSG-528562461-194</vt:lpwstr>
  </property>
  <property fmtid="{D5CDD505-2E9C-101B-9397-08002B2CF9AE}" pid="8" name="_dlc_DocIdUrl">
    <vt:lpwstr>http://tweb/sites/cssg/ped/pu/pt/_layouts/15/DocIdRedir.aspx?ID=2018CSSG-528562461-194, 2018CSSG-528562461-194</vt:lpwstr>
  </property>
  <property fmtid="{D5CDD505-2E9C-101B-9397-08002B2CF9AE}" pid="9" name="Language">
    <vt:lpwstr>English</vt:lpwstr>
  </property>
  <property fmtid="{D5CDD505-2E9C-101B-9397-08002B2CF9AE}" pid="10" name="IconOverlay">
    <vt:lpwstr/>
  </property>
  <property fmtid="{D5CDD505-2E9C-101B-9397-08002B2CF9AE}" pid="11" name="RecordPoint_WorkflowType">
    <vt:lpwstr>ActiveSubmitStub</vt:lpwstr>
  </property>
  <property fmtid="{D5CDD505-2E9C-101B-9397-08002B2CF9AE}" pid="12" name="RecordPoint_ActiveItemSiteId">
    <vt:lpwstr>{de902461-0703-410e-906b-a2e3a4f5dd57}</vt:lpwstr>
  </property>
  <property fmtid="{D5CDD505-2E9C-101B-9397-08002B2CF9AE}" pid="13" name="RecordPoint_ActiveItemListId">
    <vt:lpwstr>{1a5197ea-2690-47fd-a085-19629528b6d0}</vt:lpwstr>
  </property>
  <property fmtid="{D5CDD505-2E9C-101B-9397-08002B2CF9AE}" pid="14" name="RecordPoint_ActiveItemUniqueId">
    <vt:lpwstr>{80ce654a-8b7a-4b78-844a-49e3b16f0e37}</vt:lpwstr>
  </property>
  <property fmtid="{D5CDD505-2E9C-101B-9397-08002B2CF9AE}" pid="15" name="RecordPoint_ActiveItemWebId">
    <vt:lpwstr>{e237d495-0881-4849-ae62-ddc8a8132df5}</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RecordPoint_SubmissionCompleted">
    <vt:lpwstr>2018-02-21T12:08:37.1490822+11:00</vt:lpwstr>
  </property>
  <property fmtid="{D5CDD505-2E9C-101B-9397-08002B2CF9AE}" pid="20" name="RecordPoint_RecordNumberSubmitted">
    <vt:lpwstr>R0001595973</vt:lpwstr>
  </property>
  <property fmtid="{D5CDD505-2E9C-101B-9397-08002B2CF9AE}" pid="21" name="_DocHome">
    <vt:i4>507960413</vt:i4>
  </property>
</Properties>
</file>