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B6" w:rsidRPr="00A77BD1" w:rsidRDefault="00512A59" w:rsidP="00836710">
      <w:pPr>
        <w:pStyle w:val="Heading1"/>
      </w:pPr>
      <w:bookmarkStart w:id="0" w:name="_GoBack"/>
      <w:bookmarkEnd w:id="0"/>
      <w:r w:rsidRPr="00EC6D73">
        <w:t>SECTION 2:</w:t>
      </w:r>
      <w:r>
        <w:t xml:space="preserve"> </w:t>
      </w:r>
      <w:r w:rsidRPr="00EC6D73">
        <w:t>APPROPRIATENESS OF FORECASTING METHODOLOGY</w:t>
      </w:r>
    </w:p>
    <w:p w:rsidR="00CC0AFE" w:rsidRPr="00E0778C" w:rsidRDefault="00D547B2" w:rsidP="00E0778C">
      <w:pPr>
        <w:pStyle w:val="Heading2"/>
      </w:pPr>
      <w:r w:rsidRPr="00E0778C">
        <w:t>2.1</w:t>
      </w:r>
      <w:r w:rsidR="005B30E4" w:rsidRPr="00E0778C">
        <w:t>:</w:t>
      </w:r>
      <w:r w:rsidR="00836710" w:rsidRPr="00E0778C">
        <w:t xml:space="preserve"> </w:t>
      </w:r>
      <w:r w:rsidR="00AB4924" w:rsidRPr="00E0778C">
        <w:t>International Forecasting Practices</w:t>
      </w:r>
    </w:p>
    <w:p w:rsidR="00854D93" w:rsidRPr="00836710" w:rsidRDefault="00CC6FB2" w:rsidP="00836710">
      <w:pPr>
        <w:pStyle w:val="Heading3"/>
      </w:pPr>
      <w:r w:rsidRPr="00EC6D73">
        <w:t>Summary</w:t>
      </w:r>
    </w:p>
    <w:p w:rsidR="00CC6FB2" w:rsidRPr="00EC6D73" w:rsidRDefault="00CC6FB2" w:rsidP="007E1871">
      <w:r w:rsidRPr="00EC6D73">
        <w:t xml:space="preserve">A survey of </w:t>
      </w:r>
      <w:r w:rsidR="00971077" w:rsidRPr="00EC6D73">
        <w:t xml:space="preserve">comparable </w:t>
      </w:r>
      <w:r w:rsidRPr="00EC6D73">
        <w:t>macroeconomic and revenue forecasting agencies reveals:</w:t>
      </w:r>
    </w:p>
    <w:p w:rsidR="000F3E91" w:rsidRPr="00EC6D73" w:rsidRDefault="00832533" w:rsidP="007E1871">
      <w:pPr>
        <w:pStyle w:val="Bullet"/>
        <w:rPr>
          <w:b/>
        </w:rPr>
      </w:pPr>
      <w:r>
        <w:t>t</w:t>
      </w:r>
      <w:r w:rsidR="000F3E91" w:rsidRPr="00EC6D73">
        <w:t>here is no commonly</w:t>
      </w:r>
      <w:r w:rsidR="00275D44">
        <w:noBreakHyphen/>
      </w:r>
      <w:r w:rsidR="000F3E91" w:rsidRPr="00EC6D73">
        <w:t xml:space="preserve">accepted standard </w:t>
      </w:r>
      <w:r w:rsidR="00335D9F" w:rsidRPr="00EC6D73">
        <w:t xml:space="preserve">practice </w:t>
      </w:r>
      <w:r w:rsidR="00077CC9" w:rsidRPr="00EC6D73">
        <w:t>in</w:t>
      </w:r>
      <w:r w:rsidR="000F3E91" w:rsidRPr="00EC6D73">
        <w:t xml:space="preserve"> the production of </w:t>
      </w:r>
      <w:r w:rsidR="00771D43" w:rsidRPr="00EC6D73">
        <w:t xml:space="preserve">macroeconomic and revenue </w:t>
      </w:r>
      <w:r w:rsidR="000F3E91" w:rsidRPr="00EC6D73">
        <w:t>forecasts</w:t>
      </w:r>
      <w:r w:rsidR="00125126" w:rsidRPr="00EC6D73">
        <w:t>;</w:t>
      </w:r>
    </w:p>
    <w:p w:rsidR="00387E6D" w:rsidRPr="00EC6D73" w:rsidRDefault="00832533" w:rsidP="007E1871">
      <w:pPr>
        <w:pStyle w:val="Bullet"/>
        <w:rPr>
          <w:b/>
        </w:rPr>
      </w:pPr>
      <w:r>
        <w:t>m</w:t>
      </w:r>
      <w:r w:rsidR="00033D6A" w:rsidRPr="00EC6D73">
        <w:t xml:space="preserve">ost agencies </w:t>
      </w:r>
      <w:r w:rsidR="00B83B2B" w:rsidRPr="00EC6D73">
        <w:t>draw upon</w:t>
      </w:r>
      <w:r w:rsidR="00033D6A" w:rsidRPr="00EC6D73">
        <w:t xml:space="preserve"> a </w:t>
      </w:r>
      <w:r w:rsidR="00387E6D" w:rsidRPr="00EC6D73">
        <w:t>combination</w:t>
      </w:r>
      <w:r w:rsidR="00CC6FB2" w:rsidRPr="00EC6D73">
        <w:t xml:space="preserve"> of </w:t>
      </w:r>
      <w:r w:rsidR="00387E6D" w:rsidRPr="00EC6D73">
        <w:t xml:space="preserve">modelling techniques, </w:t>
      </w:r>
      <w:r w:rsidR="00971077" w:rsidRPr="00EC6D73">
        <w:t xml:space="preserve">consumer and business surveys, </w:t>
      </w:r>
      <w:r w:rsidR="00387E6D" w:rsidRPr="00EC6D73">
        <w:t>business liaison</w:t>
      </w:r>
      <w:r w:rsidR="00157BB3" w:rsidRPr="00EC6D73">
        <w:t>, expert opinion,</w:t>
      </w:r>
      <w:r w:rsidR="00387E6D" w:rsidRPr="00EC6D73">
        <w:t xml:space="preserve"> </w:t>
      </w:r>
      <w:r w:rsidR="00971077" w:rsidRPr="00EC6D73">
        <w:t xml:space="preserve">and judgement </w:t>
      </w:r>
      <w:r w:rsidR="0007437F" w:rsidRPr="00EC6D73">
        <w:t>to produce macroeconomic and revenue forecasts</w:t>
      </w:r>
      <w:r w:rsidR="00125126" w:rsidRPr="00EC6D73">
        <w:t>; and</w:t>
      </w:r>
    </w:p>
    <w:p w:rsidR="00CC6FB2" w:rsidRPr="00EC6D73" w:rsidRDefault="00832533" w:rsidP="007E1871">
      <w:pPr>
        <w:pStyle w:val="Bullet"/>
        <w:rPr>
          <w:b/>
        </w:rPr>
      </w:pPr>
      <w:r>
        <w:t>t</w:t>
      </w:r>
      <w:r w:rsidR="00D547B2" w:rsidRPr="00EC6D73">
        <w:t>he d</w:t>
      </w:r>
      <w:r w:rsidR="00387E6D" w:rsidRPr="00EC6D73">
        <w:t xml:space="preserve">ifferences </w:t>
      </w:r>
      <w:r w:rsidR="00D547B2" w:rsidRPr="00EC6D73">
        <w:t xml:space="preserve">across agencies </w:t>
      </w:r>
      <w:r w:rsidR="00387E6D" w:rsidRPr="00EC6D73">
        <w:t xml:space="preserve">lie in the modelling </w:t>
      </w:r>
      <w:r w:rsidR="00373E2D" w:rsidRPr="00EC6D73">
        <w:t>techniques</w:t>
      </w:r>
      <w:r w:rsidR="00D93B67">
        <w:t>,</w:t>
      </w:r>
      <w:r w:rsidR="00157BB3" w:rsidRPr="00EC6D73">
        <w:t xml:space="preserve"> particularly, the type and role of </w:t>
      </w:r>
      <w:r w:rsidR="008A64A5">
        <w:t xml:space="preserve">the </w:t>
      </w:r>
      <w:r w:rsidR="00157BB3" w:rsidRPr="00EC6D73">
        <w:t>models employed in the forecasting process</w:t>
      </w:r>
      <w:r w:rsidR="008A64A5">
        <w:t>,</w:t>
      </w:r>
      <w:r w:rsidR="009A5D35">
        <w:t xml:space="preserve"> </w:t>
      </w:r>
      <w:r w:rsidR="00387E6D" w:rsidRPr="00EC6D73">
        <w:t>and the weight given to each of these inputs.</w:t>
      </w:r>
    </w:p>
    <w:p w:rsidR="002B2A59" w:rsidRPr="00EC6D73" w:rsidRDefault="002B2A59" w:rsidP="00836710">
      <w:pPr>
        <w:pStyle w:val="Heading3"/>
      </w:pPr>
      <w:r w:rsidRPr="00EC6D73">
        <w:t xml:space="preserve">Macroeconomic </w:t>
      </w:r>
      <w:r w:rsidR="001E2489" w:rsidRPr="00EC6D73">
        <w:t>F</w:t>
      </w:r>
      <w:r w:rsidRPr="00EC6D73">
        <w:t>orecasting</w:t>
      </w:r>
      <w:r w:rsidR="00D42E33">
        <w:t xml:space="preserve"> Practices</w:t>
      </w:r>
    </w:p>
    <w:p w:rsidR="00AD47FF" w:rsidRPr="00756502" w:rsidRDefault="00CC6FB2" w:rsidP="007E1871">
      <w:r w:rsidRPr="00EC6D73">
        <w:t xml:space="preserve">A </w:t>
      </w:r>
      <w:r w:rsidR="000705F2" w:rsidRPr="00EC6D73">
        <w:t>high</w:t>
      </w:r>
      <w:r w:rsidR="00275D44">
        <w:noBreakHyphen/>
      </w:r>
      <w:r w:rsidR="000705F2" w:rsidRPr="00EC6D73">
        <w:t xml:space="preserve">level </w:t>
      </w:r>
      <w:r w:rsidRPr="00EC6D73">
        <w:t xml:space="preserve">survey of macroeconomic forecasting </w:t>
      </w:r>
      <w:r w:rsidR="0032002A">
        <w:t>practices</w:t>
      </w:r>
      <w:r w:rsidR="00832533">
        <w:t xml:space="preserve"> </w:t>
      </w:r>
      <w:r w:rsidRPr="00EC6D73">
        <w:t>indicates that most</w:t>
      </w:r>
      <w:r w:rsidR="009C5003" w:rsidRPr="00EC6D73">
        <w:t xml:space="preserve"> </w:t>
      </w:r>
      <w:r w:rsidR="007D56D5">
        <w:t xml:space="preserve">official </w:t>
      </w:r>
      <w:r w:rsidR="009C5003" w:rsidRPr="00EC6D73">
        <w:t xml:space="preserve">agencies </w:t>
      </w:r>
      <w:r w:rsidR="00AB4924" w:rsidRPr="00EC6D73">
        <w:t>draw upon</w:t>
      </w:r>
      <w:r w:rsidR="006670F7" w:rsidRPr="00EC6D73">
        <w:t xml:space="preserve"> a combination of modelling techniques, </w:t>
      </w:r>
      <w:r w:rsidR="000937C7" w:rsidRPr="00EC6D73">
        <w:t xml:space="preserve">and a range of other information, including judgement, </w:t>
      </w:r>
      <w:r w:rsidR="006670F7" w:rsidRPr="00EC6D73">
        <w:t xml:space="preserve">to produce macroeconomic forecasts. </w:t>
      </w:r>
      <w:r w:rsidR="00BE62F7" w:rsidRPr="00EC6D73">
        <w:t>The benefits of this multi</w:t>
      </w:r>
      <w:r w:rsidR="00275D44">
        <w:noBreakHyphen/>
      </w:r>
      <w:r w:rsidR="00BE62F7" w:rsidRPr="00EC6D73">
        <w:t xml:space="preserve">dimensional approach to macroeconomic forecasting have recently </w:t>
      </w:r>
      <w:r w:rsidR="00971077" w:rsidRPr="00EC6D73">
        <w:t xml:space="preserve">been </w:t>
      </w:r>
      <w:r w:rsidR="00BE62F7" w:rsidRPr="00EC6D73">
        <w:t>documented by the O</w:t>
      </w:r>
      <w:r w:rsidR="00B83B2B" w:rsidRPr="00EC6D73">
        <w:t xml:space="preserve">ffice for </w:t>
      </w:r>
      <w:r w:rsidR="00BE62F7" w:rsidRPr="00EC6D73">
        <w:t>B</w:t>
      </w:r>
      <w:r w:rsidR="00B83B2B" w:rsidRPr="00EC6D73">
        <w:t xml:space="preserve">udget </w:t>
      </w:r>
      <w:r w:rsidR="00BE62F7" w:rsidRPr="00EC6D73">
        <w:t>R</w:t>
      </w:r>
      <w:r w:rsidR="00B83B2B" w:rsidRPr="00EC6D73">
        <w:t>esponsibility</w:t>
      </w:r>
      <w:r w:rsidR="00BE62F7" w:rsidRPr="00EC6D73">
        <w:t xml:space="preserve"> </w:t>
      </w:r>
      <w:r w:rsidR="00FB585F" w:rsidRPr="00EC6D73">
        <w:t>(OBR)</w:t>
      </w:r>
      <w:r w:rsidR="00AF7EE8" w:rsidRPr="00EC6D73">
        <w:t xml:space="preserve"> (2011)</w:t>
      </w:r>
      <w:r w:rsidR="00AD47FF" w:rsidRPr="00756502">
        <w:rPr>
          <w:rStyle w:val="FootnoteReference"/>
        </w:rPr>
        <w:footnoteReference w:id="1"/>
      </w:r>
      <w:r w:rsidR="00AD47FF" w:rsidRPr="00756502">
        <w:t xml:space="preserve"> </w:t>
      </w:r>
      <w:r w:rsidR="00AB4924" w:rsidRPr="00756502">
        <w:t xml:space="preserve">and the Reserve Bank of Australia </w:t>
      </w:r>
      <w:r w:rsidR="00FB585F" w:rsidRPr="00A20293">
        <w:t>(RBA)</w:t>
      </w:r>
      <w:r w:rsidR="00AF7EE8" w:rsidRPr="00EC6D73">
        <w:t xml:space="preserve"> (2010)</w:t>
      </w:r>
      <w:r w:rsidR="006E3BD4">
        <w:t>.</w:t>
      </w:r>
      <w:r w:rsidR="00AD47FF" w:rsidRPr="00756502">
        <w:rPr>
          <w:rStyle w:val="FootnoteReference"/>
        </w:rPr>
        <w:footnoteReference w:id="2"/>
      </w:r>
    </w:p>
    <w:p w:rsidR="00DB2798" w:rsidRPr="00EC6D73" w:rsidRDefault="008040B7" w:rsidP="007E1871">
      <w:r w:rsidRPr="00EC6D73">
        <w:t>It is common for forecasting agencies to maintain two forecasting systems</w:t>
      </w:r>
      <w:r w:rsidR="007F6AAA" w:rsidRPr="00EC6D73">
        <w:t xml:space="preserve"> (Pagan</w:t>
      </w:r>
      <w:r w:rsidR="005B6A01">
        <w:t xml:space="preserve"> and Robertson</w:t>
      </w:r>
      <w:r w:rsidR="00AA54E1">
        <w:t>,</w:t>
      </w:r>
      <w:r w:rsidR="007F6AAA" w:rsidRPr="00EC6D73">
        <w:t xml:space="preserve"> 2002)</w:t>
      </w:r>
      <w:r w:rsidR="006E3BD4">
        <w:t>.</w:t>
      </w:r>
      <w:r w:rsidR="00257277">
        <w:rPr>
          <w:rStyle w:val="FootnoteReference"/>
        </w:rPr>
        <w:footnoteReference w:id="3"/>
      </w:r>
    </w:p>
    <w:p w:rsidR="00DB2798" w:rsidRPr="00A77BD1" w:rsidRDefault="008040B7" w:rsidP="007E1871">
      <w:pPr>
        <w:pStyle w:val="Bullet"/>
      </w:pPr>
      <w:r w:rsidRPr="00A77BD1">
        <w:t>The first focuses on the short</w:t>
      </w:r>
      <w:r w:rsidR="00275D44">
        <w:noBreakHyphen/>
      </w:r>
      <w:r w:rsidRPr="00A77BD1">
        <w:t xml:space="preserve">term forecasting horizon (up to, perhaps, six months) and </w:t>
      </w:r>
      <w:r w:rsidR="0006463A" w:rsidRPr="00A77BD1">
        <w:t>uses</w:t>
      </w:r>
      <w:r w:rsidRPr="00A77BD1">
        <w:t xml:space="preserve"> indicator or spread</w:t>
      </w:r>
      <w:r w:rsidR="00D325AD">
        <w:t xml:space="preserve"> </w:t>
      </w:r>
      <w:r w:rsidRPr="00A77BD1">
        <w:t xml:space="preserve">sheet models and </w:t>
      </w:r>
      <w:r w:rsidR="00161B54" w:rsidRPr="00A77BD1">
        <w:t>relies</w:t>
      </w:r>
      <w:r w:rsidRPr="00A77BD1">
        <w:t xml:space="preserve"> heavily upon judgement supplied by in</w:t>
      </w:r>
      <w:r w:rsidR="00275D44">
        <w:noBreakHyphen/>
      </w:r>
      <w:r w:rsidRPr="00A77BD1">
        <w:t>depth analysis</w:t>
      </w:r>
      <w:r w:rsidR="00852836" w:rsidRPr="00A77BD1">
        <w:t xml:space="preserve"> </w:t>
      </w:r>
      <w:r w:rsidRPr="00A77BD1">
        <w:t>of major sectors of the economy</w:t>
      </w:r>
      <w:r w:rsidR="00161B54" w:rsidRPr="00A77BD1">
        <w:t xml:space="preserve"> undertaken by sector specialists. </w:t>
      </w:r>
    </w:p>
    <w:p w:rsidR="00BE7836" w:rsidRPr="00A77BD1" w:rsidRDefault="00161B54" w:rsidP="007E1871">
      <w:pPr>
        <w:pStyle w:val="Bullet"/>
        <w:rPr>
          <w:b/>
        </w:rPr>
      </w:pPr>
      <w:r w:rsidRPr="00A77BD1">
        <w:t xml:space="preserve">The second </w:t>
      </w:r>
      <w:r w:rsidR="00FE207E" w:rsidRPr="00A77BD1">
        <w:t xml:space="preserve">focuses upon longer time horizons </w:t>
      </w:r>
      <w:r w:rsidR="009858B4">
        <w:t xml:space="preserve">(greater than six months) </w:t>
      </w:r>
      <w:r w:rsidR="00FE207E" w:rsidRPr="00A77BD1">
        <w:t xml:space="preserve">and </w:t>
      </w:r>
      <w:r w:rsidR="00852836" w:rsidRPr="00A77BD1">
        <w:t xml:space="preserve">modelling the economy as a </w:t>
      </w:r>
      <w:r w:rsidR="00832533">
        <w:t>‘</w:t>
      </w:r>
      <w:r w:rsidR="00852836" w:rsidRPr="00A77BD1">
        <w:t>system</w:t>
      </w:r>
      <w:r w:rsidR="00832533">
        <w:t>’</w:t>
      </w:r>
      <w:r w:rsidR="00852836" w:rsidRPr="00A77BD1">
        <w:t xml:space="preserve"> </w:t>
      </w:r>
      <w:r w:rsidR="00B77F2E" w:rsidRPr="00BE7836">
        <w:t xml:space="preserve">with the core forecasting technology </w:t>
      </w:r>
      <w:r w:rsidR="007D56D5" w:rsidRPr="00BE7836">
        <w:t xml:space="preserve">typically </w:t>
      </w:r>
      <w:r w:rsidR="00DB2798" w:rsidRPr="00A77BD1">
        <w:t>either</w:t>
      </w:r>
      <w:r w:rsidR="00D325AD">
        <w:t>:</w:t>
      </w:r>
    </w:p>
    <w:p w:rsidR="00BE7836" w:rsidRPr="00A77BD1" w:rsidRDefault="00852836" w:rsidP="0032002A">
      <w:pPr>
        <w:pStyle w:val="Dash"/>
        <w:ind w:left="1134" w:hanging="567"/>
      </w:pPr>
      <w:r w:rsidRPr="00A77BD1">
        <w:t xml:space="preserve">a </w:t>
      </w:r>
      <w:r w:rsidR="00DB2798" w:rsidRPr="00A77BD1">
        <w:t xml:space="preserve">relatively small </w:t>
      </w:r>
      <w:r w:rsidR="007D56D5" w:rsidRPr="00A77BD1">
        <w:t>economy</w:t>
      </w:r>
      <w:r w:rsidR="00275D44">
        <w:noBreakHyphen/>
      </w:r>
      <w:r w:rsidR="007D56D5" w:rsidRPr="00A77BD1">
        <w:t xml:space="preserve">wide structural </w:t>
      </w:r>
      <w:r w:rsidR="00B77F2E" w:rsidRPr="00A77BD1">
        <w:t>macro</w:t>
      </w:r>
      <w:r w:rsidR="00275D44">
        <w:noBreakHyphen/>
      </w:r>
      <w:r w:rsidR="00B77F2E" w:rsidRPr="00A77BD1">
        <w:t xml:space="preserve">econometric </w:t>
      </w:r>
      <w:r w:rsidRPr="00A77BD1">
        <w:t>model</w:t>
      </w:r>
      <w:r w:rsidR="00BE7836" w:rsidRPr="00A77BD1">
        <w:t>;</w:t>
      </w:r>
      <w:r w:rsidR="00460260" w:rsidRPr="00A77BD1">
        <w:t xml:space="preserve"> or</w:t>
      </w:r>
      <w:r w:rsidR="007F6AAA" w:rsidRPr="00A77BD1">
        <w:t xml:space="preserve"> </w:t>
      </w:r>
    </w:p>
    <w:p w:rsidR="008040B7" w:rsidRPr="00A77BD1" w:rsidRDefault="007F6AAA" w:rsidP="0032002A">
      <w:pPr>
        <w:pStyle w:val="Dash"/>
        <w:ind w:left="1134" w:hanging="567"/>
      </w:pPr>
      <w:r w:rsidRPr="00A77BD1">
        <w:t>single structural econometric equations</w:t>
      </w:r>
      <w:r w:rsidR="003D0E79" w:rsidRPr="00A77BD1">
        <w:t xml:space="preserve">, </w:t>
      </w:r>
      <w:r w:rsidR="002E58C9" w:rsidRPr="00A77BD1">
        <w:t>with national account identities preserved within a spread</w:t>
      </w:r>
      <w:r w:rsidR="000B2E7F" w:rsidRPr="00A77BD1">
        <w:t xml:space="preserve"> </w:t>
      </w:r>
      <w:r w:rsidR="002E58C9" w:rsidRPr="00A77BD1">
        <w:t>sheet system</w:t>
      </w:r>
      <w:r w:rsidR="0065271D">
        <w:t>,</w:t>
      </w:r>
      <w:r w:rsidR="002E58C9" w:rsidRPr="00A77BD1">
        <w:t xml:space="preserve"> and </w:t>
      </w:r>
      <w:r w:rsidR="00DB2798" w:rsidRPr="00A77BD1">
        <w:t>consistency between the elements of the forecasts</w:t>
      </w:r>
      <w:r w:rsidR="002E58C9" w:rsidRPr="00A77BD1">
        <w:t xml:space="preserve"> achieved by iterati</w:t>
      </w:r>
      <w:r w:rsidR="000B2E7F" w:rsidRPr="00A77BD1">
        <w:t>on between sector specialists</w:t>
      </w:r>
      <w:r w:rsidR="00852836" w:rsidRPr="00A77BD1">
        <w:t>.</w:t>
      </w:r>
    </w:p>
    <w:p w:rsidR="00AA67C6" w:rsidRDefault="003E6F46" w:rsidP="007E1871">
      <w:pPr>
        <w:rPr>
          <w:b/>
        </w:rPr>
      </w:pPr>
      <w:r>
        <w:t>The choice of core forecasting technology depend</w:t>
      </w:r>
      <w:r w:rsidR="005B6A01">
        <w:t>s</w:t>
      </w:r>
      <w:r>
        <w:t xml:space="preserve"> on the extent to which the </w:t>
      </w:r>
      <w:r w:rsidR="00344191">
        <w:t xml:space="preserve">forecasting agency </w:t>
      </w:r>
      <w:r w:rsidR="00522FE1">
        <w:t>has</w:t>
      </w:r>
      <w:r>
        <w:t xml:space="preserve"> the </w:t>
      </w:r>
      <w:r w:rsidR="00522FE1">
        <w:t xml:space="preserve">need </w:t>
      </w:r>
      <w:r>
        <w:t xml:space="preserve">to undertake policy evaluation. </w:t>
      </w:r>
      <w:r w:rsidR="004E712C">
        <w:t xml:space="preserve">In setting monetary policy, </w:t>
      </w:r>
      <w:r w:rsidR="00B26B2E">
        <w:t>c</w:t>
      </w:r>
      <w:r w:rsidR="00013637">
        <w:t xml:space="preserve">entral banks </w:t>
      </w:r>
      <w:r w:rsidR="00F86C48">
        <w:t xml:space="preserve">will </w:t>
      </w:r>
      <w:r w:rsidR="00B26B2E">
        <w:t xml:space="preserve">necessarily </w:t>
      </w:r>
      <w:r w:rsidR="00436B5B">
        <w:t>consider</w:t>
      </w:r>
      <w:r w:rsidR="00AA67C6">
        <w:t xml:space="preserve"> the impact of different </w:t>
      </w:r>
      <w:r w:rsidR="00B26B2E">
        <w:t xml:space="preserve">policy </w:t>
      </w:r>
      <w:r w:rsidR="00AA67C6">
        <w:t>stances against the central case forecasts.</w:t>
      </w:r>
      <w:r w:rsidR="00836710">
        <w:t xml:space="preserve"> </w:t>
      </w:r>
      <w:r w:rsidR="00AA67C6">
        <w:t xml:space="preserve">In </w:t>
      </w:r>
      <w:r w:rsidR="00044869">
        <w:t xml:space="preserve">contrast, </w:t>
      </w:r>
      <w:r w:rsidR="00633208">
        <w:t xml:space="preserve">fiscal policy is </w:t>
      </w:r>
      <w:r w:rsidR="005B6A01">
        <w:t xml:space="preserve">concerned with improving </w:t>
      </w:r>
      <w:r w:rsidR="00633208">
        <w:t>resource allocation</w:t>
      </w:r>
      <w:r w:rsidR="0034795D">
        <w:t>, typically</w:t>
      </w:r>
      <w:r w:rsidR="00633208">
        <w:t xml:space="preserve"> </w:t>
      </w:r>
      <w:r w:rsidR="00044869">
        <w:t>within a medium</w:t>
      </w:r>
      <w:r w:rsidR="00275D44">
        <w:noBreakHyphen/>
      </w:r>
      <w:r w:rsidR="00044869">
        <w:t xml:space="preserve">term </w:t>
      </w:r>
      <w:r w:rsidR="00344191">
        <w:t xml:space="preserve">fiscal </w:t>
      </w:r>
      <w:r w:rsidR="00044869">
        <w:t>framework</w:t>
      </w:r>
      <w:r w:rsidR="00AA67C6">
        <w:t xml:space="preserve">. In </w:t>
      </w:r>
      <w:r w:rsidR="00633208">
        <w:t xml:space="preserve">ordinary </w:t>
      </w:r>
      <w:r w:rsidR="00AA67C6">
        <w:t xml:space="preserve">economic </w:t>
      </w:r>
      <w:r w:rsidR="00633208">
        <w:t>circumstances</w:t>
      </w:r>
      <w:r w:rsidR="00AA67C6">
        <w:t>,</w:t>
      </w:r>
      <w:r w:rsidR="00633208">
        <w:t xml:space="preserve"> </w:t>
      </w:r>
      <w:r w:rsidR="00044869">
        <w:t xml:space="preserve">discretionary </w:t>
      </w:r>
      <w:r w:rsidR="00AA67C6">
        <w:t xml:space="preserve">fiscal policy is not concerned with </w:t>
      </w:r>
      <w:r w:rsidR="00044869">
        <w:t>stabilis</w:t>
      </w:r>
      <w:r w:rsidR="00AA67C6">
        <w:t>ing</w:t>
      </w:r>
      <w:r w:rsidR="00044869">
        <w:t xml:space="preserve"> the economic cycle. </w:t>
      </w:r>
      <w:r w:rsidR="00731BF2">
        <w:t xml:space="preserve">This distinction </w:t>
      </w:r>
      <w:r w:rsidR="00044869">
        <w:t>may</w:t>
      </w:r>
      <w:r w:rsidR="00731BF2">
        <w:t xml:space="preserve"> account for </w:t>
      </w:r>
      <w:r w:rsidR="007D56D5">
        <w:t xml:space="preserve">the </w:t>
      </w:r>
      <w:r w:rsidR="005C2A36">
        <w:t xml:space="preserve">greater </w:t>
      </w:r>
      <w:r w:rsidR="007D56D5">
        <w:t xml:space="preserve">tendency for central banks to invest </w:t>
      </w:r>
      <w:r w:rsidR="005C2A36">
        <w:t xml:space="preserve">the significant </w:t>
      </w:r>
      <w:r w:rsidR="00522FE1">
        <w:t xml:space="preserve">resources </w:t>
      </w:r>
      <w:r w:rsidR="005C2A36">
        <w:t xml:space="preserve">necessary to develop and maintain </w:t>
      </w:r>
      <w:r w:rsidR="00044869">
        <w:t>state</w:t>
      </w:r>
      <w:r w:rsidR="00275D44">
        <w:noBreakHyphen/>
      </w:r>
      <w:r w:rsidR="00044869">
        <w:t>of</w:t>
      </w:r>
      <w:r w:rsidR="00275D44">
        <w:noBreakHyphen/>
      </w:r>
      <w:r w:rsidR="00044869">
        <w:t>the</w:t>
      </w:r>
      <w:r w:rsidR="00275D44">
        <w:noBreakHyphen/>
      </w:r>
      <w:r w:rsidR="00044869">
        <w:t>ar</w:t>
      </w:r>
      <w:r w:rsidR="00AA67C6">
        <w:t>t model</w:t>
      </w:r>
      <w:r w:rsidR="00344191">
        <w:t xml:space="preserve">ling </w:t>
      </w:r>
      <w:r w:rsidR="00344191">
        <w:lastRenderedPageBreak/>
        <w:t>capability</w:t>
      </w:r>
      <w:r w:rsidR="005B6A01">
        <w:t xml:space="preserve"> that focus</w:t>
      </w:r>
      <w:r w:rsidR="0034795D">
        <w:t>es</w:t>
      </w:r>
      <w:r w:rsidR="005B6A01">
        <w:t xml:space="preserve"> on </w:t>
      </w:r>
      <w:r w:rsidR="00BE7836">
        <w:t>cyclical, rather than medium to longer term</w:t>
      </w:r>
      <w:r w:rsidR="00A37470">
        <w:t xml:space="preserve">, economic </w:t>
      </w:r>
      <w:r w:rsidR="0034795D">
        <w:t>fluctuations</w:t>
      </w:r>
      <w:r w:rsidR="004F3F89">
        <w:t>,</w:t>
      </w:r>
      <w:r w:rsidR="00AA67C6">
        <w:t xml:space="preserve"> </w:t>
      </w:r>
      <w:r w:rsidR="004D55D5">
        <w:t xml:space="preserve">that is, </w:t>
      </w:r>
      <w:r w:rsidR="00522FE1">
        <w:t>in comparison with Treasury and Finance Departments</w:t>
      </w:r>
      <w:r w:rsidR="00AA67C6">
        <w:t>.</w:t>
      </w:r>
    </w:p>
    <w:p w:rsidR="00AD47FF" w:rsidRPr="00A77BD1" w:rsidRDefault="00AD47FF" w:rsidP="007E1871">
      <w:pPr>
        <w:pStyle w:val="Heading4"/>
        <w:rPr>
          <w:b/>
        </w:rPr>
      </w:pPr>
      <w:r w:rsidRPr="00A77BD1">
        <w:t>Modelling techniques</w:t>
      </w:r>
    </w:p>
    <w:p w:rsidR="000A0621" w:rsidRDefault="003473DC">
      <w:r w:rsidRPr="00EC6D73">
        <w:t xml:space="preserve">One </w:t>
      </w:r>
      <w:r w:rsidR="00483619" w:rsidRPr="00EC6D73">
        <w:t xml:space="preserve">distinction between </w:t>
      </w:r>
      <w:r w:rsidR="00C80A7C" w:rsidRPr="00EC6D73">
        <w:t xml:space="preserve">models is </w:t>
      </w:r>
      <w:r w:rsidR="00483619" w:rsidRPr="00EC6D73">
        <w:t xml:space="preserve">the </w:t>
      </w:r>
      <w:r w:rsidR="00AD47FF" w:rsidRPr="00EC6D73">
        <w:t>trade</w:t>
      </w:r>
      <w:r w:rsidR="00275D44">
        <w:noBreakHyphen/>
      </w:r>
      <w:r w:rsidR="00AD47FF" w:rsidRPr="00EC6D73">
        <w:t>off between their conceptual coherence with economic theory and their empirical coherence with economic data.</w:t>
      </w:r>
      <w:r w:rsidR="000603B6">
        <w:rPr>
          <w:rStyle w:val="FootnoteReference"/>
        </w:rPr>
        <w:footnoteReference w:id="4"/>
      </w:r>
      <w:r w:rsidR="00AD47FF" w:rsidRPr="00EC6D73">
        <w:t xml:space="preserve"> Economy</w:t>
      </w:r>
      <w:r w:rsidR="00275D44">
        <w:noBreakHyphen/>
      </w:r>
      <w:r w:rsidR="00AD47FF" w:rsidRPr="00EC6D73">
        <w:t>wide structural macro</w:t>
      </w:r>
      <w:r w:rsidR="00275D44">
        <w:noBreakHyphen/>
      </w:r>
      <w:r w:rsidR="00AD47FF" w:rsidRPr="00EC6D73">
        <w:t xml:space="preserve">econometric models </w:t>
      </w:r>
      <w:r w:rsidR="008F7398" w:rsidRPr="00EC6D73">
        <w:t>draw heavily on</w:t>
      </w:r>
      <w:r w:rsidR="00AD47FF" w:rsidRPr="00EC6D73">
        <w:t xml:space="preserve"> economic theory to determine their specification</w:t>
      </w:r>
      <w:r w:rsidR="0012565C">
        <w:t xml:space="preserve">, which facilitates their use for policy </w:t>
      </w:r>
      <w:r w:rsidR="00DF5204">
        <w:t>evaluation</w:t>
      </w:r>
      <w:r w:rsidR="00AD47FF" w:rsidRPr="00EC6D73">
        <w:t>.</w:t>
      </w:r>
      <w:r w:rsidR="00836710">
        <w:t xml:space="preserve"> </w:t>
      </w:r>
      <w:r w:rsidR="00757678" w:rsidRPr="00EC6D73">
        <w:t>Fukac and Pagan (2009)</w:t>
      </w:r>
      <w:r w:rsidR="008E435B">
        <w:rPr>
          <w:rStyle w:val="FootnoteReference"/>
        </w:rPr>
        <w:footnoteReference w:id="5"/>
      </w:r>
      <w:r w:rsidR="00757678" w:rsidRPr="00EC6D73">
        <w:t xml:space="preserve"> distinguish between four generations of structural macro</w:t>
      </w:r>
      <w:r w:rsidR="00275D44">
        <w:noBreakHyphen/>
      </w:r>
      <w:r w:rsidR="00757678" w:rsidRPr="00EC6D73">
        <w:t>econometric models</w:t>
      </w:r>
      <w:r w:rsidR="00757678">
        <w:t xml:space="preserve">, with </w:t>
      </w:r>
      <w:r w:rsidR="00DF5204">
        <w:t>dynamic stochastic general equilibrium models</w:t>
      </w:r>
      <w:r w:rsidR="00757678">
        <w:t xml:space="preserve"> </w:t>
      </w:r>
      <w:r w:rsidR="00182A75">
        <w:t xml:space="preserve">at </w:t>
      </w:r>
      <w:r w:rsidR="00182A75" w:rsidRPr="00EC6D73">
        <w:t>the cutting edge of modelling practice</w:t>
      </w:r>
      <w:r w:rsidR="00757678">
        <w:t xml:space="preserve"> and the greatest coherence with economic the</w:t>
      </w:r>
      <w:r w:rsidR="00DF5204">
        <w:t>o</w:t>
      </w:r>
      <w:r w:rsidR="00757678">
        <w:t>ry.</w:t>
      </w:r>
      <w:r w:rsidR="00182A75">
        <w:t xml:space="preserve"> </w:t>
      </w:r>
      <w:r w:rsidR="00AD47FF" w:rsidRPr="00EC6D73">
        <w:t>In contrast, vector autoregression (VAR</w:t>
      </w:r>
      <w:r w:rsidR="008F7398" w:rsidRPr="00EC6D73">
        <w:t>)</w:t>
      </w:r>
      <w:r w:rsidR="00AD47FF" w:rsidRPr="00EC6D73">
        <w:t xml:space="preserve"> </w:t>
      </w:r>
      <w:r w:rsidR="00C80A7C" w:rsidRPr="00EC6D73">
        <w:t xml:space="preserve">models </w:t>
      </w:r>
      <w:r w:rsidR="00AD47FF" w:rsidRPr="00EC6D73">
        <w:t>are economy</w:t>
      </w:r>
      <w:r w:rsidR="00275D44">
        <w:noBreakHyphen/>
      </w:r>
      <w:r w:rsidR="00AD47FF" w:rsidRPr="00EC6D73">
        <w:t>wide systems of equations that model the interrelationships between economic variables while imposing minimal assumptions about the underlying structure of the economy.</w:t>
      </w:r>
      <w:r w:rsidR="00836710">
        <w:t xml:space="preserve"> </w:t>
      </w:r>
      <w:r w:rsidR="00AD47FF" w:rsidRPr="00EC6D73">
        <w:t>They aim to provide good statistical representations of the interactions between variables over the available sample period</w:t>
      </w:r>
      <w:r w:rsidR="00176DDE" w:rsidRPr="00EC6D73">
        <w:t xml:space="preserve">. </w:t>
      </w:r>
      <w:r w:rsidR="00B813ED">
        <w:t>They are more widely</w:t>
      </w:r>
      <w:r w:rsidR="00D325AD">
        <w:t xml:space="preserve"> used in near</w:t>
      </w:r>
      <w:r w:rsidR="00275D44">
        <w:noBreakHyphen/>
      </w:r>
      <w:r w:rsidR="00D325AD">
        <w:t>term forecasting.</w:t>
      </w:r>
    </w:p>
    <w:p w:rsidR="00D10DDD" w:rsidRDefault="0032002A">
      <w:r>
        <w:t xml:space="preserve">Located </w:t>
      </w:r>
      <w:r w:rsidR="008D608D">
        <w:t xml:space="preserve">between </w:t>
      </w:r>
      <w:r w:rsidR="00BF1EC5">
        <w:t>the</w:t>
      </w:r>
      <w:r w:rsidR="008D608D">
        <w:t xml:space="preserve">se </w:t>
      </w:r>
      <w:r w:rsidR="005A4AC7">
        <w:t>ends of the spectrum</w:t>
      </w:r>
      <w:r w:rsidR="00757678">
        <w:t xml:space="preserve"> </w:t>
      </w:r>
      <w:r w:rsidR="00182A75">
        <w:t>are structural macro</w:t>
      </w:r>
      <w:r w:rsidR="00275D44">
        <w:noBreakHyphen/>
      </w:r>
      <w:r w:rsidR="00182A75">
        <w:t xml:space="preserve">econometric models that </w:t>
      </w:r>
      <w:r w:rsidR="00DF5204">
        <w:t xml:space="preserve">use </w:t>
      </w:r>
      <w:r w:rsidR="00182A75">
        <w:t xml:space="preserve">economic theory to tie down the </w:t>
      </w:r>
      <w:r w:rsidR="00DF5204">
        <w:t xml:space="preserve">long run </w:t>
      </w:r>
      <w:r w:rsidR="00A40A4B">
        <w:t>(</w:t>
      </w:r>
      <w:r w:rsidR="00BF359F">
        <w:t xml:space="preserve">or </w:t>
      </w:r>
      <w:r w:rsidR="00A40A4B">
        <w:t xml:space="preserve">steady state) </w:t>
      </w:r>
      <w:r w:rsidR="00DF5204">
        <w:t>path of the modelled economy</w:t>
      </w:r>
      <w:r w:rsidR="00182A75">
        <w:t xml:space="preserve">, </w:t>
      </w:r>
      <w:r w:rsidR="00DF5204">
        <w:t xml:space="preserve">but allow </w:t>
      </w:r>
      <w:r w:rsidR="00D10DDD">
        <w:t xml:space="preserve">the </w:t>
      </w:r>
      <w:r w:rsidR="00DF5204">
        <w:t xml:space="preserve">data to dictate the </w:t>
      </w:r>
      <w:r w:rsidR="00182A75">
        <w:t>short</w:t>
      </w:r>
      <w:r w:rsidR="00275D44">
        <w:noBreakHyphen/>
      </w:r>
      <w:r w:rsidR="00182A75">
        <w:t xml:space="preserve">run dynamic </w:t>
      </w:r>
      <w:r w:rsidR="00DF5204">
        <w:t xml:space="preserve">adjustment </w:t>
      </w:r>
      <w:r w:rsidR="00096E2E">
        <w:t xml:space="preserve">path </w:t>
      </w:r>
      <w:r w:rsidR="00DF5204">
        <w:t xml:space="preserve">of the economy to the long run </w:t>
      </w:r>
      <w:r w:rsidR="00A40A4B">
        <w:t>steady state</w:t>
      </w:r>
      <w:r w:rsidR="003A4C33">
        <w:t>.</w:t>
      </w:r>
      <w:r w:rsidR="00182A75">
        <w:t xml:space="preserve"> </w:t>
      </w:r>
      <w:r w:rsidR="00DF5204">
        <w:t xml:space="preserve">These models </w:t>
      </w:r>
      <w:r w:rsidR="00A40A4B">
        <w:t xml:space="preserve">are the second and third generation of models according to the Fukac and Pagan taxonomy </w:t>
      </w:r>
      <w:r w:rsidR="00177030">
        <w:t xml:space="preserve">and can </w:t>
      </w:r>
      <w:r w:rsidR="000A0621">
        <w:t xml:space="preserve">be used </w:t>
      </w:r>
      <w:r w:rsidR="00BF359F">
        <w:t>as the core forecasting technology</w:t>
      </w:r>
      <w:r w:rsidR="004D55D5">
        <w:t>,</w:t>
      </w:r>
      <w:r w:rsidR="00BF359F">
        <w:t xml:space="preserve"> as well as </w:t>
      </w:r>
      <w:r w:rsidR="000A0621">
        <w:t>to</w:t>
      </w:r>
      <w:r w:rsidR="00D325AD">
        <w:t xml:space="preserve"> </w:t>
      </w:r>
      <w:r w:rsidR="0027547C">
        <w:t>evaluate the impact of macroeconomic policy</w:t>
      </w:r>
    </w:p>
    <w:p w:rsidR="009632DD" w:rsidRPr="00EC6D73" w:rsidRDefault="00AD47FF">
      <w:r w:rsidRPr="00EC6D73">
        <w:t>Economy</w:t>
      </w:r>
      <w:r w:rsidR="00275D44">
        <w:noBreakHyphen/>
      </w:r>
      <w:r w:rsidRPr="00EC6D73">
        <w:t>wide structural macro</w:t>
      </w:r>
      <w:r w:rsidR="00275D44">
        <w:noBreakHyphen/>
      </w:r>
      <w:r w:rsidRPr="00EC6D73">
        <w:t xml:space="preserve">econometric models that play a central role in macroeconomic forecasting include the Bank of England Quarterly Model, the HM Treasury and UK Office of Budget Responsibility Macroeconomic model, the US Federal Reserve FRB/US model, and the New Zealand Treasury Model. These models require considerable resources in development and maintenance. </w:t>
      </w:r>
    </w:p>
    <w:p w:rsidR="000D44E5" w:rsidRPr="00756502" w:rsidRDefault="000D44E5">
      <w:r w:rsidRPr="00121E9A">
        <w:t xml:space="preserve">In addition to the core forecasting technology, forecasting agencies may also maintain auxiliary models, </w:t>
      </w:r>
      <w:r w:rsidR="00A77BD1" w:rsidRPr="00EC6D73">
        <w:t>as inputs into the</w:t>
      </w:r>
      <w:r w:rsidR="00A77BD1">
        <w:t xml:space="preserve"> </w:t>
      </w:r>
      <w:r w:rsidR="00A77BD1" w:rsidRPr="00EC6D73">
        <w:t>forecasting and policy advising process</w:t>
      </w:r>
      <w:r w:rsidR="00A77BD1">
        <w:t xml:space="preserve">. These models may </w:t>
      </w:r>
      <w:r w:rsidRPr="00121E9A">
        <w:t xml:space="preserve">draw upon information sources that have been excluded from the core </w:t>
      </w:r>
      <w:r>
        <w:t xml:space="preserve">forecasting </w:t>
      </w:r>
      <w:r w:rsidRPr="00121E9A">
        <w:t>model</w:t>
      </w:r>
      <w:r>
        <w:t xml:space="preserve">. </w:t>
      </w:r>
      <w:r w:rsidR="00A77BD1">
        <w:t xml:space="preserve">They </w:t>
      </w:r>
      <w:r>
        <w:t>can also be used to analyse issues that would be difficult to undertake</w:t>
      </w:r>
      <w:r w:rsidRPr="003754D6">
        <w:t xml:space="preserve"> within</w:t>
      </w:r>
      <w:r>
        <w:t xml:space="preserve"> the core forecasting technology, for </w:t>
      </w:r>
      <w:r w:rsidRPr="00121E9A">
        <w:t>example</w:t>
      </w:r>
      <w:r>
        <w:t xml:space="preserve">, the economic impact of </w:t>
      </w:r>
      <w:r w:rsidRPr="00121E9A">
        <w:t>one</w:t>
      </w:r>
      <w:r w:rsidR="00275D44">
        <w:noBreakHyphen/>
      </w:r>
      <w:r w:rsidRPr="00121E9A">
        <w:t>off events, such as weather</w:t>
      </w:r>
      <w:r w:rsidR="00275D44">
        <w:noBreakHyphen/>
      </w:r>
      <w:r w:rsidRPr="00121E9A">
        <w:t>related phenomena</w:t>
      </w:r>
      <w:r>
        <w:t>.</w:t>
      </w:r>
    </w:p>
    <w:p w:rsidR="00AD47FF" w:rsidRPr="00A77BD1" w:rsidRDefault="00AD47FF" w:rsidP="00A77BD1">
      <w:pPr>
        <w:pStyle w:val="Heading4"/>
        <w:spacing w:after="240" w:line="260" w:lineRule="exact"/>
        <w:jc w:val="both"/>
        <w:rPr>
          <w:b/>
          <w:i/>
        </w:rPr>
      </w:pPr>
      <w:r w:rsidRPr="00A77BD1">
        <w:t>Additional inputs into the forecasting process</w:t>
      </w:r>
    </w:p>
    <w:p w:rsidR="00AD47FF" w:rsidRPr="00EC6D73" w:rsidRDefault="00AD47FF" w:rsidP="007E1871">
      <w:r w:rsidRPr="00756502">
        <w:t xml:space="preserve">While useful, </w:t>
      </w:r>
      <w:r w:rsidR="00AA56E4">
        <w:t xml:space="preserve">pure </w:t>
      </w:r>
      <w:r w:rsidRPr="00756502">
        <w:t xml:space="preserve">forecasts generated by econometric models are generally supplemented by </w:t>
      </w:r>
      <w:r w:rsidR="00096E2E">
        <w:t>in depth analysis of major sectors of the economy</w:t>
      </w:r>
      <w:r w:rsidR="007E4C58">
        <w:t>, drawing upon a range of other information,</w:t>
      </w:r>
      <w:r w:rsidRPr="00756502">
        <w:t xml:space="preserve"> to produce a final</w:t>
      </w:r>
      <w:r w:rsidR="00FE207E" w:rsidRPr="00EC6D73">
        <w:t xml:space="preserve"> </w:t>
      </w:r>
      <w:r w:rsidR="00E62D59">
        <w:t>macroeconomic</w:t>
      </w:r>
      <w:r w:rsidR="005F5154" w:rsidRPr="00EC6D73">
        <w:t xml:space="preserve"> forecast</w:t>
      </w:r>
      <w:r w:rsidRPr="00EC6D73">
        <w:t>.</w:t>
      </w:r>
      <w:r w:rsidR="00836710">
        <w:t xml:space="preserve"> </w:t>
      </w:r>
      <w:r w:rsidRPr="00EC6D73">
        <w:t>The reasons for this have been well</w:t>
      </w:r>
      <w:r w:rsidR="00275D44">
        <w:noBreakHyphen/>
      </w:r>
      <w:r w:rsidRPr="00EC6D73">
        <w:t>articulated by the OBR</w:t>
      </w:r>
      <w:r w:rsidR="007E4C58">
        <w:t xml:space="preserve"> (2011)</w:t>
      </w:r>
      <w:r w:rsidR="006E3BD4">
        <w:t>,</w:t>
      </w:r>
      <w:r w:rsidR="00F16B5E">
        <w:rPr>
          <w:rStyle w:val="FootnoteReference"/>
        </w:rPr>
        <w:footnoteReference w:id="6"/>
      </w:r>
      <w:r w:rsidRPr="00EC6D73">
        <w:t xml:space="preserve"> who note that:</w:t>
      </w:r>
    </w:p>
    <w:p w:rsidR="0029466C" w:rsidRDefault="00832533" w:rsidP="000C2FED">
      <w:pPr>
        <w:pStyle w:val="NormalIndent"/>
      </w:pPr>
      <w:r>
        <w:t>‘</w:t>
      </w:r>
      <w:r w:rsidR="00AD47FF" w:rsidRPr="00EC6D73">
        <w:t>Producing forecasts has never been solely a matter of cranking the handle of an econometric model.</w:t>
      </w:r>
      <w:r w:rsidR="00836710">
        <w:t xml:space="preserve"> </w:t>
      </w:r>
      <w:r w:rsidR="00AD47FF" w:rsidRPr="00EC6D73">
        <w:t>Models are an imperfect representation of the world.</w:t>
      </w:r>
      <w:r w:rsidR="00836710">
        <w:t xml:space="preserve"> </w:t>
      </w:r>
      <w:r w:rsidR="00AD47FF" w:rsidRPr="00EC6D73">
        <w:t>They are necessary simplifications of reality.</w:t>
      </w:r>
      <w:r w:rsidR="00836710">
        <w:t xml:space="preserve"> </w:t>
      </w:r>
      <w:r w:rsidR="00AD47FF" w:rsidRPr="00EC6D73">
        <w:t>Forecasters are typically confronted with at least some key behavioural equations that do not explain the recent past well.</w:t>
      </w:r>
      <w:r w:rsidR="00836710">
        <w:t xml:space="preserve"> </w:t>
      </w:r>
      <w:r w:rsidR="00AD47FF" w:rsidRPr="00EC6D73">
        <w:t>The forecaster has first to try to identify the reasons for this, and then decide whether the unexplained element of behaviour</w:t>
      </w:r>
      <w:r w:rsidR="003D34A5">
        <w:t xml:space="preserve"> — </w:t>
      </w:r>
      <w:r w:rsidR="00AD47FF" w:rsidRPr="00EC6D73">
        <w:t xml:space="preserve">the equation </w:t>
      </w:r>
      <w:r>
        <w:t>‘</w:t>
      </w:r>
      <w:r w:rsidR="00AD47FF" w:rsidRPr="00EC6D73">
        <w:t>residual</w:t>
      </w:r>
      <w:r>
        <w:t>’</w:t>
      </w:r>
      <w:r w:rsidR="00AD47FF" w:rsidRPr="00EC6D73">
        <w:t xml:space="preserve"> or </w:t>
      </w:r>
      <w:r>
        <w:t>‘</w:t>
      </w:r>
      <w:r w:rsidR="00AD47FF" w:rsidRPr="00EC6D73">
        <w:t>error</w:t>
      </w:r>
      <w:r>
        <w:t>’</w:t>
      </w:r>
      <w:r w:rsidR="003D34A5">
        <w:t xml:space="preserve"> — </w:t>
      </w:r>
      <w:r w:rsidR="00AD47FF" w:rsidRPr="00EC6D73">
        <w:t>will stay the same, get bigger or get smaller.</w:t>
      </w:r>
      <w:r w:rsidR="00275D44">
        <w:t>’</w:t>
      </w:r>
    </w:p>
    <w:p w:rsidR="00AD47FF" w:rsidRPr="00EC6D73" w:rsidRDefault="00AD47FF" w:rsidP="007E1871">
      <w:r w:rsidRPr="00EC6D73">
        <w:lastRenderedPageBreak/>
        <w:t>F</w:t>
      </w:r>
      <w:r w:rsidR="009A47F6" w:rsidRPr="00EC6D73">
        <w:t>ive</w:t>
      </w:r>
      <w:r w:rsidRPr="00EC6D73">
        <w:t xml:space="preserve"> additional elements inform the macroeconomic forecasts of most agencies</w:t>
      </w:r>
      <w:r w:rsidR="005F5154" w:rsidRPr="00EC6D73">
        <w:t>. The first three of these</w:t>
      </w:r>
      <w:r w:rsidR="00FE207E" w:rsidRPr="00EC6D73">
        <w:t xml:space="preserve"> are particularly </w:t>
      </w:r>
      <w:r w:rsidR="007F6AAA" w:rsidRPr="00EC6D73">
        <w:t>relevant</w:t>
      </w:r>
      <w:r w:rsidR="00FE207E" w:rsidRPr="00EC6D73">
        <w:t xml:space="preserve"> for near</w:t>
      </w:r>
      <w:r w:rsidR="00275D44">
        <w:noBreakHyphen/>
      </w:r>
      <w:r w:rsidR="00FE207E" w:rsidRPr="00EC6D73">
        <w:t>term forecast</w:t>
      </w:r>
      <w:r w:rsidR="00BB3162">
        <w:t>ing horizons</w:t>
      </w:r>
      <w:r w:rsidR="00487580">
        <w:t>.</w:t>
      </w:r>
    </w:p>
    <w:p w:rsidR="00AD47FF" w:rsidRPr="00EC6D73" w:rsidRDefault="00AD47FF" w:rsidP="007E1871">
      <w:r w:rsidRPr="00EC6D73">
        <w:t>First are consumer and business surveys, which have been shown to be useful in identifying the likely direction of household spending</w:t>
      </w:r>
      <w:r w:rsidR="00603806">
        <w:t>,</w:t>
      </w:r>
      <w:r w:rsidRPr="00EC6D73">
        <w:t xml:space="preserve"> and business investment and hiring decisions</w:t>
      </w:r>
      <w:r w:rsidR="00603806">
        <w:t>,</w:t>
      </w:r>
      <w:r w:rsidRPr="00EC6D73">
        <w:t xml:space="preserve"> in the first few quarters of a forecast period.</w:t>
      </w:r>
      <w:r w:rsidR="00836710">
        <w:t xml:space="preserve"> </w:t>
      </w:r>
      <w:r w:rsidRPr="00EC6D73">
        <w:t>Surveys contain questions that are forward looking and are generally published in a timelier manner than official data.</w:t>
      </w:r>
    </w:p>
    <w:p w:rsidR="00AD47FF" w:rsidRPr="00EC6D73" w:rsidRDefault="00AD47FF" w:rsidP="007E1871">
      <w:r w:rsidRPr="00EC6D73">
        <w:t>Second is business liaison.</w:t>
      </w:r>
      <w:r w:rsidR="00836710">
        <w:t xml:space="preserve"> </w:t>
      </w:r>
      <w:r w:rsidRPr="00EC6D73">
        <w:t>Maintaining a regular dialogue with the business community is seen as extremely valuable for identifying emerging trends in the economy.</w:t>
      </w:r>
      <w:r w:rsidR="00836710">
        <w:t xml:space="preserve"> </w:t>
      </w:r>
      <w:r w:rsidRPr="00EC6D73">
        <w:t>Many agencies have established dedicated resources, usually involving staff based away from the head office in major cities, who regularly engage with the business community through one</w:t>
      </w:r>
      <w:r w:rsidR="00275D44">
        <w:noBreakHyphen/>
      </w:r>
      <w:r w:rsidRPr="00EC6D73">
        <w:t>on</w:t>
      </w:r>
      <w:r w:rsidR="00275D44">
        <w:noBreakHyphen/>
      </w:r>
      <w:r w:rsidRPr="00EC6D73">
        <w:t>one discussions.</w:t>
      </w:r>
      <w:r w:rsidR="00836710">
        <w:t xml:space="preserve"> </w:t>
      </w:r>
      <w:r w:rsidRPr="00EC6D73">
        <w:t>Information gained from these engagements is used to inform the final macroeconomic forecasts.</w:t>
      </w:r>
      <w:r w:rsidR="00836710">
        <w:t xml:space="preserve"> </w:t>
      </w:r>
      <w:r w:rsidRPr="00EC6D73">
        <w:t>Some agencies regularly publish their findings.</w:t>
      </w:r>
      <w:r w:rsidR="00836710">
        <w:t xml:space="preserve"> </w:t>
      </w:r>
      <w:r w:rsidRPr="00EC6D73">
        <w:t>Examples include the US Federal Reserve</w:t>
      </w:r>
      <w:r w:rsidR="00832533">
        <w:t>’</w:t>
      </w:r>
      <w:r w:rsidRPr="00EC6D73">
        <w:t>s Beige Book, the Bank of England</w:t>
      </w:r>
      <w:r w:rsidR="00832533">
        <w:t>’</w:t>
      </w:r>
      <w:r w:rsidRPr="00EC6D73">
        <w:t>s Agency Report, and the Bank of Canada</w:t>
      </w:r>
      <w:r w:rsidR="00832533">
        <w:t>’</w:t>
      </w:r>
      <w:r w:rsidRPr="00EC6D73">
        <w:t>s Business Outlook Survey.</w:t>
      </w:r>
      <w:r w:rsidR="00836710">
        <w:t xml:space="preserve"> </w:t>
      </w:r>
      <w:r w:rsidRPr="00EC6D73">
        <w:t>The importance of business liaison was recently highlighted by the RBA:</w:t>
      </w:r>
    </w:p>
    <w:p w:rsidR="00AD47FF" w:rsidRPr="00EC6D73" w:rsidRDefault="00832533" w:rsidP="007E1871">
      <w:pPr>
        <w:pStyle w:val="NormalIndent"/>
      </w:pPr>
      <w:r>
        <w:t>‘</w:t>
      </w:r>
      <w:r w:rsidR="00AD47FF" w:rsidRPr="00EC6D73">
        <w:t>Over recent years, a couple of examples stand out where this liaison has been particularly important.</w:t>
      </w:r>
      <w:r w:rsidR="00836710">
        <w:t xml:space="preserve"> </w:t>
      </w:r>
      <w:r w:rsidR="00AD47FF" w:rsidRPr="00EC6D73">
        <w:t>One was in helping us understand the implications of the much tighter credit conditions in 2008 and 2009.</w:t>
      </w:r>
      <w:r w:rsidR="00836710">
        <w:t xml:space="preserve"> </w:t>
      </w:r>
      <w:r w:rsidR="00AD47FF" w:rsidRPr="00EC6D73">
        <w:t>And the other has been helping us understand the scale and the timing of the pick</w:t>
      </w:r>
      <w:r w:rsidR="00275D44">
        <w:noBreakHyphen/>
      </w:r>
      <w:r w:rsidR="00AD47FF" w:rsidRPr="00EC6D73">
        <w:t>up in investment in the resources sector.</w:t>
      </w:r>
      <w:r w:rsidR="00836710">
        <w:t xml:space="preserve"> </w:t>
      </w:r>
      <w:r w:rsidR="00AD47FF" w:rsidRPr="00EC6D73">
        <w:t>In both cases, our liaison provided us with valuable information that was not available elsewhere and had a significant role in shaping our forecasts.</w:t>
      </w:r>
      <w:r w:rsidR="00275D44">
        <w:t>’</w:t>
      </w:r>
    </w:p>
    <w:p w:rsidR="005F5154" w:rsidRPr="00EC6D73" w:rsidRDefault="005F5154">
      <w:r w:rsidRPr="00EC6D73">
        <w:t>Third, is partial economic data</w:t>
      </w:r>
      <w:r w:rsidR="00DB2798" w:rsidRPr="00EC6D73">
        <w:t xml:space="preserve"> and leading indicators</w:t>
      </w:r>
      <w:r w:rsidRPr="00EC6D73">
        <w:t>, such as the monthly building approval data in Australia, which can help to inform near</w:t>
      </w:r>
      <w:r w:rsidR="00275D44">
        <w:noBreakHyphen/>
      </w:r>
      <w:r w:rsidRPr="00EC6D73">
        <w:t>term forecasts of construction activity.</w:t>
      </w:r>
      <w:r w:rsidR="00836710">
        <w:t xml:space="preserve"> </w:t>
      </w:r>
    </w:p>
    <w:p w:rsidR="00096E2E" w:rsidRDefault="005F5154" w:rsidP="003F6CBD">
      <w:r>
        <w:t>Fourth</w:t>
      </w:r>
      <w:r w:rsidRPr="00320117">
        <w:t xml:space="preserve"> </w:t>
      </w:r>
      <w:r w:rsidR="00AD47FF" w:rsidRPr="00320117">
        <w:t xml:space="preserve">is expert opinion, such as advice from specialist agencies, for example </w:t>
      </w:r>
      <w:r w:rsidR="002660C1" w:rsidRPr="00320117">
        <w:t>t</w:t>
      </w:r>
      <w:r w:rsidR="00AD47FF" w:rsidRPr="00320117">
        <w:t>he Australian Treasury draws upon expert advice from its Retirement Income Modelling unit to project the growth in working age population</w:t>
      </w:r>
      <w:r w:rsidR="002660C1" w:rsidRPr="00320117">
        <w:t xml:space="preserve"> and expert advice from the Bureau of Resources and Energy </w:t>
      </w:r>
      <w:r w:rsidR="002660C1" w:rsidRPr="002E35EB">
        <w:t xml:space="preserve">Economics </w:t>
      </w:r>
      <w:r w:rsidR="002660C1" w:rsidRPr="005F5154">
        <w:t xml:space="preserve">to </w:t>
      </w:r>
      <w:r w:rsidR="00266782" w:rsidRPr="005F5154">
        <w:t xml:space="preserve">inform the </w:t>
      </w:r>
      <w:r w:rsidR="002660C1" w:rsidRPr="005F5154">
        <w:t>forecast</w:t>
      </w:r>
      <w:r w:rsidR="00266782" w:rsidRPr="005F5154">
        <w:t>s of</w:t>
      </w:r>
      <w:r w:rsidR="002660C1" w:rsidRPr="002E35EB">
        <w:t xml:space="preserve"> non</w:t>
      </w:r>
      <w:r w:rsidR="00275D44">
        <w:noBreakHyphen/>
      </w:r>
      <w:r w:rsidR="002660C1" w:rsidRPr="002E35EB">
        <w:t xml:space="preserve">rural </w:t>
      </w:r>
      <w:r w:rsidR="00096E2E" w:rsidRPr="002E35EB">
        <w:t>commodities</w:t>
      </w:r>
      <w:r w:rsidR="00096E2E">
        <w:t>.</w:t>
      </w:r>
      <w:r w:rsidR="00096E2E" w:rsidRPr="00320117">
        <w:t xml:space="preserve"> </w:t>
      </w:r>
    </w:p>
    <w:p w:rsidR="00AD47FF" w:rsidRPr="00320117" w:rsidRDefault="00096E2E">
      <w:r w:rsidRPr="00320117">
        <w:t>The</w:t>
      </w:r>
      <w:r w:rsidR="00AD47FF" w:rsidRPr="00320117">
        <w:t xml:space="preserve"> f</w:t>
      </w:r>
      <w:r w:rsidR="009A47F6" w:rsidRPr="00320117">
        <w:t>ifth</w:t>
      </w:r>
      <w:r w:rsidR="00AD47FF" w:rsidRPr="00320117">
        <w:t xml:space="preserve"> and least tangible input to macroeconomic forecasts is judgement, informed by experience and corporate memory.</w:t>
      </w:r>
      <w:r w:rsidR="001478C5">
        <w:rPr>
          <w:rStyle w:val="FootnoteReference"/>
        </w:rPr>
        <w:footnoteReference w:id="7"/>
      </w:r>
      <w:r w:rsidR="00836710">
        <w:t xml:space="preserve"> </w:t>
      </w:r>
      <w:r w:rsidR="00AD47FF" w:rsidRPr="00320117">
        <w:t>The OBR cite work which suggests that the use of judgement generally improves the accuracy of the forecasts</w:t>
      </w:r>
      <w:r w:rsidR="006E3BD4">
        <w:t>.</w:t>
      </w:r>
      <w:r w:rsidR="00AD47FF" w:rsidRPr="00320117">
        <w:rPr>
          <w:rStyle w:val="FootnoteReference"/>
        </w:rPr>
        <w:footnoteReference w:id="8"/>
      </w:r>
      <w:r w:rsidR="00836710">
        <w:t xml:space="preserve"> </w:t>
      </w:r>
      <w:r w:rsidR="00AD47FF" w:rsidRPr="00320117">
        <w:t>Indeed, all documentation by agencies on their approach to forecasting refers to the importance of judgement in shaping their forecasts.</w:t>
      </w:r>
    </w:p>
    <w:p w:rsidR="00AD47FF" w:rsidRPr="00320117" w:rsidRDefault="00AD47FF" w:rsidP="007E1871">
      <w:r w:rsidRPr="00320117">
        <w:t>Towards the end of the process, macroeconomic forecasts are typically subject to internal review by senior management.</w:t>
      </w:r>
      <w:r w:rsidR="00836710">
        <w:t xml:space="preserve"> </w:t>
      </w:r>
      <w:r w:rsidRPr="00320117">
        <w:t xml:space="preserve">Some agencies including the New Zealand Treasury, the Congressional Budget Office (CBO), and the Canadian Ministry of Finance also subject their forecasts to </w:t>
      </w:r>
      <w:r w:rsidR="009940D0" w:rsidRPr="00320117">
        <w:t xml:space="preserve">peer </w:t>
      </w:r>
      <w:r w:rsidRPr="00320117">
        <w:t>review by an external panel of experts.</w:t>
      </w:r>
    </w:p>
    <w:p w:rsidR="00AD47FF" w:rsidRPr="00320117" w:rsidRDefault="00AD47FF" w:rsidP="007E1871">
      <w:pPr>
        <w:rPr>
          <w:b/>
        </w:rPr>
      </w:pPr>
      <w:r w:rsidRPr="00320117">
        <w:t>In short, most agencies draw upon a combination of modelling techniques, surveys, business liaison, expert opinion and judgement to produce macroeconomic forecasts. The differences across agencies lie in the modelling techniques and the weight given to each of the inputs.</w:t>
      </w:r>
      <w:r w:rsidR="00836710">
        <w:t xml:space="preserve"> </w:t>
      </w:r>
    </w:p>
    <w:p w:rsidR="00AD47FF" w:rsidRPr="00EC6D73" w:rsidRDefault="00D42E33">
      <w:pPr>
        <w:pStyle w:val="Heading3"/>
        <w:jc w:val="both"/>
      </w:pPr>
      <w:r>
        <w:t xml:space="preserve">Taxation </w:t>
      </w:r>
      <w:r w:rsidR="001E2489" w:rsidRPr="00A20293">
        <w:t>Revenue Forecasting</w:t>
      </w:r>
      <w:r>
        <w:t xml:space="preserve"> Practices</w:t>
      </w:r>
    </w:p>
    <w:p w:rsidR="00AD47FF" w:rsidRPr="00320117" w:rsidRDefault="00AD47FF" w:rsidP="007E1871">
      <w:r w:rsidRPr="00320117">
        <w:t xml:space="preserve">Countries tend to release only general and limited information on their revenue forecasting methodology and individual head </w:t>
      </w:r>
      <w:r w:rsidR="00CF7141">
        <w:t xml:space="preserve">of </w:t>
      </w:r>
      <w:r w:rsidR="00CF7141" w:rsidRPr="00320117">
        <w:t xml:space="preserve">revenue </w:t>
      </w:r>
      <w:r w:rsidRPr="00320117">
        <w:t>models. This makes international comparisons more difficult than for macroeconomic forecasting.</w:t>
      </w:r>
    </w:p>
    <w:p w:rsidR="00AD47FF" w:rsidRPr="007E1871" w:rsidRDefault="00AD47FF" w:rsidP="00D42E33">
      <w:pPr>
        <w:pStyle w:val="Heading4"/>
      </w:pPr>
      <w:r w:rsidRPr="007E1871">
        <w:lastRenderedPageBreak/>
        <w:t xml:space="preserve">Modelling </w:t>
      </w:r>
      <w:r w:rsidRPr="00D42E33">
        <w:t>techniques</w:t>
      </w:r>
    </w:p>
    <w:p w:rsidR="00AD47FF" w:rsidRPr="00320117" w:rsidRDefault="00AD47FF" w:rsidP="007E1871">
      <w:r w:rsidRPr="00320117">
        <w:t xml:space="preserve">Based on available information, most countries forecast </w:t>
      </w:r>
      <w:r w:rsidR="00A7701E">
        <w:t xml:space="preserve">taxation </w:t>
      </w:r>
      <w:r w:rsidRPr="00320117">
        <w:t xml:space="preserve">revenue using a </w:t>
      </w:r>
      <w:r w:rsidR="00832533">
        <w:t>‘</w:t>
      </w:r>
      <w:r w:rsidRPr="00320117">
        <w:t>bottom</w:t>
      </w:r>
      <w:r w:rsidR="00275D44">
        <w:noBreakHyphen/>
      </w:r>
      <w:r w:rsidRPr="00320117">
        <w:t>up</w:t>
      </w:r>
      <w:r w:rsidR="00832533">
        <w:t>’</w:t>
      </w:r>
      <w:r w:rsidRPr="00320117">
        <w:t xml:space="preserve"> approach, where individual heads of revenue are forecast and </w:t>
      </w:r>
      <w:r w:rsidR="006B7A5D">
        <w:t xml:space="preserve">then </w:t>
      </w:r>
      <w:r w:rsidRPr="00320117">
        <w:t>aggregated to produce a total revenue forecast.</w:t>
      </w:r>
      <w:r w:rsidR="00836710">
        <w:t xml:space="preserve"> </w:t>
      </w:r>
      <w:r w:rsidRPr="00320117">
        <w:t>This is the general approach taken in the United States, Canada and New Zealand.</w:t>
      </w:r>
      <w:r w:rsidRPr="00320117">
        <w:rPr>
          <w:rStyle w:val="FootnoteReference"/>
        </w:rPr>
        <w:footnoteReference w:id="9"/>
      </w:r>
      <w:r w:rsidR="00836710">
        <w:t xml:space="preserve"> </w:t>
      </w:r>
      <w:r w:rsidRPr="00320117">
        <w:t>Some regions forecast total tax</w:t>
      </w:r>
      <w:r w:rsidR="00A7701E">
        <w:t>ation</w:t>
      </w:r>
      <w:r w:rsidRPr="00320117">
        <w:t xml:space="preserve"> revenue and then disaggregate </w:t>
      </w:r>
      <w:r w:rsidR="00A7701E">
        <w:t>this figure</w:t>
      </w:r>
      <w:r w:rsidRPr="00320117">
        <w:t xml:space="preserve"> into heads of revenue, for example Scotland</w:t>
      </w:r>
      <w:r w:rsidRPr="00320117">
        <w:rPr>
          <w:rStyle w:val="FootnoteReference"/>
        </w:rPr>
        <w:footnoteReference w:id="10"/>
      </w:r>
      <w:r w:rsidRPr="00320117">
        <w:t xml:space="preserve">, but this tends to be </w:t>
      </w:r>
      <w:r w:rsidR="00A7701E">
        <w:t xml:space="preserve">due to </w:t>
      </w:r>
      <w:r w:rsidRPr="00320117">
        <w:t>data limitations which constrain the use of a bottom</w:t>
      </w:r>
      <w:r w:rsidR="00275D44">
        <w:noBreakHyphen/>
      </w:r>
      <w:r w:rsidRPr="00320117">
        <w:t>up approach.</w:t>
      </w:r>
    </w:p>
    <w:p w:rsidR="00AD47FF" w:rsidRPr="00320117" w:rsidRDefault="00AD47FF" w:rsidP="007E1871">
      <w:r w:rsidRPr="00320117">
        <w:t xml:space="preserve">In terms of methodology, the main technologies used in revenue forecasting are mapping models, </w:t>
      </w:r>
      <w:r w:rsidR="00961AFC" w:rsidRPr="00320117">
        <w:t xml:space="preserve">single </w:t>
      </w:r>
      <w:r w:rsidRPr="00320117">
        <w:t>econometric equations and micro</w:t>
      </w:r>
      <w:r w:rsidR="00275D44">
        <w:noBreakHyphen/>
      </w:r>
      <w:r w:rsidRPr="00320117">
        <w:t>simulation models. The range of forecasting technologies employed can vary from one head of revenue to another, as noted by the United Kingdom</w:t>
      </w:r>
      <w:r w:rsidR="00832533">
        <w:t>’</w:t>
      </w:r>
      <w:r w:rsidRPr="00320117">
        <w:t xml:space="preserve">s </w:t>
      </w:r>
      <w:r w:rsidR="00832533" w:rsidRPr="00320117">
        <w:t>OBR</w:t>
      </w:r>
      <w:r w:rsidR="00832533">
        <w:t> </w:t>
      </w:r>
      <w:r w:rsidRPr="00320117">
        <w:t>(2011)</w:t>
      </w:r>
      <w:r w:rsidR="006E3BD4">
        <w:t>:</w:t>
      </w:r>
      <w:r w:rsidRPr="00320117">
        <w:rPr>
          <w:rStyle w:val="FootnoteReference"/>
        </w:rPr>
        <w:footnoteReference w:id="11"/>
      </w:r>
    </w:p>
    <w:p w:rsidR="00AD47FF" w:rsidRPr="00320117" w:rsidRDefault="00832533" w:rsidP="007E1871">
      <w:pPr>
        <w:pStyle w:val="NormalIndent"/>
      </w:pPr>
      <w:r>
        <w:t>‘</w:t>
      </w:r>
      <w:r w:rsidR="00AD47FF" w:rsidRPr="00320117">
        <w:t>forecasting models are specific to each individual tax and can take a variety of different forms such as econometric equations, micro</w:t>
      </w:r>
      <w:r w:rsidR="00275D44">
        <w:noBreakHyphen/>
      </w:r>
      <w:r w:rsidR="00AD47FF" w:rsidRPr="00320117">
        <w:t>simulation models based on samples of individual tax records, projections in line with selected indicators [mapping] or just simply by judgement.</w:t>
      </w:r>
      <w:r w:rsidR="00275D44">
        <w:t>’</w:t>
      </w:r>
    </w:p>
    <w:p w:rsidR="00AD47FF" w:rsidRPr="00320117" w:rsidRDefault="00AD47FF" w:rsidP="007E1871">
      <w:r w:rsidRPr="00320117">
        <w:t xml:space="preserve">Mapping models appear to be a widely used technology </w:t>
      </w:r>
      <w:r w:rsidR="003101CF" w:rsidRPr="00320117">
        <w:t xml:space="preserve">for countries </w:t>
      </w:r>
      <w:r w:rsidRPr="00320117">
        <w:t xml:space="preserve">where revenue forecasts are prepared in conjunction with </w:t>
      </w:r>
      <w:r w:rsidR="00E946DC" w:rsidRPr="00320117">
        <w:t>macro</w:t>
      </w:r>
      <w:r w:rsidRPr="00320117">
        <w:t>economic forecasts.</w:t>
      </w:r>
      <w:r w:rsidR="00836710">
        <w:t xml:space="preserve"> </w:t>
      </w:r>
      <w:r w:rsidRPr="00320117">
        <w:t>The</w:t>
      </w:r>
      <w:r w:rsidR="003101CF" w:rsidRPr="00320117">
        <w:t>se mo</w:t>
      </w:r>
      <w:r w:rsidRPr="00320117">
        <w:t>dels are largely accounting frameworks</w:t>
      </w:r>
      <w:r w:rsidR="00E946DC" w:rsidRPr="00320117">
        <w:t xml:space="preserve"> </w:t>
      </w:r>
      <w:r w:rsidRPr="00320117">
        <w:t xml:space="preserve">designed to account for the conceptual differences between </w:t>
      </w:r>
      <w:r w:rsidR="00AE44C1">
        <w:t>a</w:t>
      </w:r>
      <w:r w:rsidRPr="00320117">
        <w:t xml:space="preserve"> taxable base, which reflects taxation law principles, and </w:t>
      </w:r>
      <w:r w:rsidR="00AE44C1">
        <w:t>an</w:t>
      </w:r>
      <w:r w:rsidRPr="00320117">
        <w:t xml:space="preserve"> economic base, which reflects national accounting principles</w:t>
      </w:r>
      <w:r w:rsidR="003333AB" w:rsidRPr="00320117">
        <w:t xml:space="preserve"> (for example the difference between economic and taxable income for companies)</w:t>
      </w:r>
      <w:r w:rsidRPr="00320117">
        <w:t>.</w:t>
      </w:r>
      <w:r w:rsidR="00E946DC" w:rsidRPr="00320117">
        <w:rPr>
          <w:rStyle w:val="FootnoteReference"/>
        </w:rPr>
        <w:footnoteReference w:id="12"/>
      </w:r>
      <w:r w:rsidRPr="00320117">
        <w:t xml:space="preserve"> </w:t>
      </w:r>
      <w:r w:rsidR="00961AFC" w:rsidRPr="00320117">
        <w:t xml:space="preserve">Econometric techniques are not usually required as the elasticity of revenue to its taxable base is one for </w:t>
      </w:r>
      <w:r w:rsidR="00AE44C1">
        <w:t xml:space="preserve">heads of </w:t>
      </w:r>
      <w:r w:rsidR="00961AFC" w:rsidRPr="00320117">
        <w:t xml:space="preserve">revenue with a flat tax rate, as is the case for </w:t>
      </w:r>
      <w:r w:rsidR="006907FF" w:rsidRPr="00320117">
        <w:t>many</w:t>
      </w:r>
      <w:r w:rsidR="00961AFC" w:rsidRPr="00320117">
        <w:t xml:space="preserve"> taxes. </w:t>
      </w:r>
      <w:r w:rsidRPr="00320117">
        <w:t xml:space="preserve">The </w:t>
      </w:r>
      <w:r w:rsidR="00E946DC" w:rsidRPr="00320117">
        <w:t>macro</w:t>
      </w:r>
      <w:r w:rsidRPr="00320117">
        <w:t xml:space="preserve">economic forecasts are used to grow the </w:t>
      </w:r>
      <w:r w:rsidR="003101CF" w:rsidRPr="00320117">
        <w:t xml:space="preserve">economic </w:t>
      </w:r>
      <w:r w:rsidRPr="00320117">
        <w:t>base</w:t>
      </w:r>
      <w:r w:rsidR="00E946DC" w:rsidRPr="00320117">
        <w:t>, ensuring</w:t>
      </w:r>
      <w:r w:rsidR="003101CF" w:rsidRPr="00320117">
        <w:t xml:space="preserve"> </w:t>
      </w:r>
      <w:r w:rsidRPr="00320117">
        <w:t xml:space="preserve">consistency between the </w:t>
      </w:r>
      <w:r w:rsidR="00E946DC" w:rsidRPr="00320117">
        <w:t>macro</w:t>
      </w:r>
      <w:r w:rsidRPr="00320117">
        <w:t>economic and revenue outlook</w:t>
      </w:r>
      <w:r w:rsidR="003101CF" w:rsidRPr="00320117">
        <w:t>s</w:t>
      </w:r>
      <w:r w:rsidRPr="00320117">
        <w:t>. The New Zealand Treasury relies heavily on mapping technology to produce revenue forecasts.</w:t>
      </w:r>
      <w:r w:rsidRPr="00320117">
        <w:rPr>
          <w:rStyle w:val="FootnoteReference"/>
        </w:rPr>
        <w:footnoteReference w:id="13"/>
      </w:r>
    </w:p>
    <w:p w:rsidR="000705F2" w:rsidRPr="00320117" w:rsidRDefault="00273ED8" w:rsidP="007E1871">
      <w:r w:rsidRPr="00320117">
        <w:t>Mapping technologies</w:t>
      </w:r>
      <w:r w:rsidR="00A13388" w:rsidRPr="00320117">
        <w:t xml:space="preserve"> tend to be supplemented by the use of econometric </w:t>
      </w:r>
      <w:r w:rsidRPr="00320117">
        <w:t>models</w:t>
      </w:r>
      <w:r w:rsidR="00A13388" w:rsidRPr="00320117">
        <w:t xml:space="preserve"> to </w:t>
      </w:r>
      <w:r w:rsidR="003B607C">
        <w:t>estimate</w:t>
      </w:r>
      <w:r w:rsidR="00A13388" w:rsidRPr="00320117">
        <w:t xml:space="preserve"> tax revenue elasticities</w:t>
      </w:r>
      <w:r w:rsidR="00F826B4" w:rsidRPr="00320117">
        <w:t>, for example, for progressive taxes</w:t>
      </w:r>
      <w:r w:rsidR="00A13388" w:rsidRPr="00320117">
        <w:t>, and in some instances by micro</w:t>
      </w:r>
      <w:r w:rsidR="00275D44">
        <w:noBreakHyphen/>
      </w:r>
      <w:r w:rsidR="00A13388" w:rsidRPr="00320117">
        <w:t>simulation</w:t>
      </w:r>
      <w:r w:rsidR="00A13388" w:rsidRPr="00531A77">
        <w:t xml:space="preserve">. </w:t>
      </w:r>
      <w:r w:rsidR="00D66408" w:rsidRPr="00531A77">
        <w:t>Micro</w:t>
      </w:r>
      <w:r w:rsidR="00275D44">
        <w:noBreakHyphen/>
      </w:r>
      <w:r w:rsidR="00D66408" w:rsidRPr="00531A77">
        <w:t>simulation models operate at the level of the individual behavioural entity, such as a person, family, or firm. Such models simulate large representative populations of these low</w:t>
      </w:r>
      <w:r w:rsidR="00275D44">
        <w:noBreakHyphen/>
      </w:r>
      <w:r w:rsidR="00D66408" w:rsidRPr="00531A77">
        <w:t>level entities in order to draw conclusions that apply to higher levels of aggregation such as an entire country. This type of model is distinct from aggregate models whose explanatory variables already represent collective properties.</w:t>
      </w:r>
      <w:r w:rsidR="00836710">
        <w:t xml:space="preserve"> </w:t>
      </w:r>
      <w:r w:rsidR="00D66408">
        <w:t>M</w:t>
      </w:r>
      <w:r w:rsidR="00A13388" w:rsidRPr="00D66408">
        <w:t>icro</w:t>
      </w:r>
      <w:r w:rsidR="00275D44">
        <w:noBreakHyphen/>
      </w:r>
      <w:r w:rsidR="00A13388" w:rsidRPr="00D66408">
        <w:t>simulation has been applied in the United States and United Kingdom to forecast personal income tax revenue, using large</w:t>
      </w:r>
      <w:r w:rsidR="00A13388" w:rsidRPr="00320117">
        <w:t xml:space="preserve"> data sets to develop detailed micro</w:t>
      </w:r>
      <w:r w:rsidR="00275D44">
        <w:noBreakHyphen/>
      </w:r>
      <w:r w:rsidR="00A13388" w:rsidRPr="00320117">
        <w:t>simulations.</w:t>
      </w:r>
    </w:p>
    <w:p w:rsidR="00AD4B4D" w:rsidRPr="00320117" w:rsidRDefault="00675CB2" w:rsidP="007E1871">
      <w:r w:rsidRPr="00320117">
        <w:t>Data</w:t>
      </w:r>
      <w:r w:rsidR="00AD4B4D" w:rsidRPr="00320117">
        <w:t xml:space="preserve"> limitations are a constraint on revenue forecasting methodology.</w:t>
      </w:r>
      <w:r w:rsidR="00836710">
        <w:t xml:space="preserve"> </w:t>
      </w:r>
      <w:r w:rsidR="00AD4B4D" w:rsidRPr="00320117">
        <w:t xml:space="preserve">In particular, there are </w:t>
      </w:r>
      <w:r w:rsidR="00D63DE5">
        <w:t xml:space="preserve">typically </w:t>
      </w:r>
      <w:r w:rsidR="00AD4B4D" w:rsidRPr="00320117">
        <w:t xml:space="preserve">long lags in receiving income tax return data, and items in individual tax returns tend to be aggregated, particularly for corporate tax payers, with the effect of concealing drivers of assessable income for revenue forecasting purposes. </w:t>
      </w:r>
    </w:p>
    <w:p w:rsidR="000705F2" w:rsidRPr="00531A77" w:rsidRDefault="000705F2" w:rsidP="004C2EEE">
      <w:pPr>
        <w:pStyle w:val="Heading4"/>
        <w:spacing w:after="240"/>
        <w:jc w:val="both"/>
        <w:rPr>
          <w:b/>
          <w:i/>
        </w:rPr>
      </w:pPr>
      <w:r w:rsidRPr="00531A77">
        <w:t>Additional inputs</w:t>
      </w:r>
      <w:r w:rsidR="005B1602" w:rsidRPr="00531A77">
        <w:t xml:space="preserve"> into the forecasting process</w:t>
      </w:r>
    </w:p>
    <w:p w:rsidR="00F826B4" w:rsidRPr="00320117" w:rsidRDefault="002A386E" w:rsidP="007E1871">
      <w:r w:rsidRPr="00320117">
        <w:t>As with macroeconomic forecast</w:t>
      </w:r>
      <w:r w:rsidR="00F03ECF" w:rsidRPr="00320117">
        <w:t>ing</w:t>
      </w:r>
      <w:r w:rsidR="00B27DE6" w:rsidRPr="00320117">
        <w:t xml:space="preserve">, forecasts generated by </w:t>
      </w:r>
      <w:r w:rsidR="00F03ECF" w:rsidRPr="00320117">
        <w:t xml:space="preserve">revenue head </w:t>
      </w:r>
      <w:r w:rsidR="00B27DE6" w:rsidRPr="00320117">
        <w:t xml:space="preserve">models are supplemented by other information to produce a final taxation revenue forecast. </w:t>
      </w:r>
      <w:r w:rsidR="00F03ECF" w:rsidRPr="00320117">
        <w:t xml:space="preserve">The first of these </w:t>
      </w:r>
      <w:r w:rsidR="007D301E" w:rsidRPr="00320117">
        <w:t>is</w:t>
      </w:r>
      <w:r w:rsidR="00AD4B4D" w:rsidRPr="00320117">
        <w:t xml:space="preserve"> </w:t>
      </w:r>
      <w:r w:rsidR="00B27DE6" w:rsidRPr="00320117">
        <w:t>business liaison with companies</w:t>
      </w:r>
      <w:r w:rsidR="0083133A" w:rsidRPr="00320117">
        <w:t>, often undertaken by the revenue collection agency</w:t>
      </w:r>
      <w:r w:rsidR="00AD4B4D" w:rsidRPr="00320117">
        <w:t xml:space="preserve">. </w:t>
      </w:r>
      <w:r w:rsidR="00CD21B3" w:rsidRPr="00320117">
        <w:t>The</w:t>
      </w:r>
      <w:r w:rsidR="00B27DE6" w:rsidRPr="00320117">
        <w:t xml:space="preserve"> </w:t>
      </w:r>
      <w:r w:rsidR="00CD21B3" w:rsidRPr="00320117">
        <w:t xml:space="preserve">second, </w:t>
      </w:r>
      <w:r w:rsidR="00B27DE6" w:rsidRPr="00320117">
        <w:t>and least tangible input to revenue forecasts</w:t>
      </w:r>
      <w:r w:rsidR="00CD21B3" w:rsidRPr="00320117">
        <w:t>,</w:t>
      </w:r>
      <w:r w:rsidR="00B27DE6" w:rsidRPr="00320117">
        <w:t xml:space="preserve"> is judgement, informed by experience</w:t>
      </w:r>
      <w:r w:rsidR="001B44AC">
        <w:t>.</w:t>
      </w:r>
    </w:p>
    <w:p w:rsidR="00912DD7" w:rsidRPr="00531A77" w:rsidRDefault="00CD64CA" w:rsidP="00836710">
      <w:pPr>
        <w:pStyle w:val="Heading2"/>
      </w:pPr>
      <w:r w:rsidRPr="00531A77">
        <w:lastRenderedPageBreak/>
        <w:t>2.2</w:t>
      </w:r>
      <w:r w:rsidR="005B30E4" w:rsidRPr="00531A77">
        <w:t>:</w:t>
      </w:r>
      <w:r w:rsidR="00836710">
        <w:t xml:space="preserve"> </w:t>
      </w:r>
      <w:r w:rsidRPr="00531A77">
        <w:t>Treasury</w:t>
      </w:r>
      <w:r w:rsidR="00832533">
        <w:t>’</w:t>
      </w:r>
      <w:r w:rsidRPr="00531A77">
        <w:t>s Approach to Macroeconomic Forecasting</w:t>
      </w:r>
    </w:p>
    <w:p w:rsidR="00AC3676" w:rsidRPr="00320117" w:rsidRDefault="00AC3676">
      <w:pPr>
        <w:pStyle w:val="Heading3"/>
        <w:jc w:val="both"/>
      </w:pPr>
      <w:r w:rsidRPr="00320117">
        <w:t>Summary</w:t>
      </w:r>
    </w:p>
    <w:p w:rsidR="00AC3676" w:rsidRPr="00320117" w:rsidRDefault="009D1E65" w:rsidP="007E1871">
      <w:pPr>
        <w:pStyle w:val="Bullet"/>
        <w:rPr>
          <w:b/>
        </w:rPr>
      </w:pPr>
      <w:r w:rsidRPr="00320117">
        <w:t>Treasury</w:t>
      </w:r>
      <w:r w:rsidR="00832533">
        <w:t>’</w:t>
      </w:r>
      <w:r w:rsidRPr="00320117">
        <w:t>s forecasting</w:t>
      </w:r>
      <w:r w:rsidR="00AC3676" w:rsidRPr="00320117">
        <w:t xml:space="preserve"> approach </w:t>
      </w:r>
      <w:r w:rsidR="004841DE" w:rsidRPr="00320117">
        <w:t xml:space="preserve">draws upon </w:t>
      </w:r>
      <w:r w:rsidR="00AB1DF9" w:rsidRPr="00320117">
        <w:t xml:space="preserve">the </w:t>
      </w:r>
      <w:r w:rsidR="00AC4F96" w:rsidRPr="00320117">
        <w:t xml:space="preserve">full </w:t>
      </w:r>
      <w:r w:rsidR="00AB1DF9" w:rsidRPr="00320117">
        <w:t xml:space="preserve">range of modelling </w:t>
      </w:r>
      <w:r w:rsidRPr="00320117">
        <w:t>techniques</w:t>
      </w:r>
      <w:r w:rsidR="00AB1DF9" w:rsidRPr="00320117">
        <w:t xml:space="preserve"> and information used by </w:t>
      </w:r>
      <w:r w:rsidR="001722C4" w:rsidRPr="00320117">
        <w:t>comparable</w:t>
      </w:r>
      <w:r w:rsidR="00AB1DF9" w:rsidRPr="00320117">
        <w:t xml:space="preserve"> </w:t>
      </w:r>
      <w:r w:rsidR="006B5052" w:rsidRPr="00320117">
        <w:t xml:space="preserve">official </w:t>
      </w:r>
      <w:r w:rsidR="00AB1DF9" w:rsidRPr="00320117">
        <w:t>agencies</w:t>
      </w:r>
      <w:r w:rsidR="00771D43" w:rsidRPr="00320117">
        <w:t xml:space="preserve"> overseas</w:t>
      </w:r>
      <w:r w:rsidRPr="00320117">
        <w:t xml:space="preserve">, </w:t>
      </w:r>
      <w:r w:rsidR="00AC3676" w:rsidRPr="00320117">
        <w:t>includ</w:t>
      </w:r>
      <w:r w:rsidRPr="00320117">
        <w:t>ing</w:t>
      </w:r>
      <w:r w:rsidR="00AC3676" w:rsidRPr="00320117">
        <w:t xml:space="preserve"> </w:t>
      </w:r>
      <w:r w:rsidR="0024407F" w:rsidRPr="00320117">
        <w:t xml:space="preserve">structural </w:t>
      </w:r>
      <w:r w:rsidR="00D63DE5">
        <w:t>macro</w:t>
      </w:r>
      <w:r w:rsidR="001A6A61">
        <w:t> </w:t>
      </w:r>
      <w:r w:rsidR="00AC3676" w:rsidRPr="00320117">
        <w:t>econometric models</w:t>
      </w:r>
      <w:r w:rsidR="00534380" w:rsidRPr="00320117">
        <w:t xml:space="preserve"> and equations</w:t>
      </w:r>
      <w:r w:rsidR="00440AF1" w:rsidRPr="00320117">
        <w:t>;</w:t>
      </w:r>
      <w:r w:rsidR="00AC3676" w:rsidRPr="00320117">
        <w:t xml:space="preserve"> </w:t>
      </w:r>
      <w:r w:rsidRPr="00320117">
        <w:t>spread sheet</w:t>
      </w:r>
      <w:r w:rsidR="00AC3676" w:rsidRPr="00320117">
        <w:t xml:space="preserve"> analysis and accounting frameworks</w:t>
      </w:r>
      <w:r w:rsidR="00440AF1" w:rsidRPr="00320117">
        <w:t xml:space="preserve">; </w:t>
      </w:r>
      <w:r w:rsidR="00AC3676" w:rsidRPr="00320117">
        <w:t xml:space="preserve">supplemented by </w:t>
      </w:r>
      <w:r w:rsidR="00E94477" w:rsidRPr="00320117">
        <w:t>survey data</w:t>
      </w:r>
      <w:r w:rsidR="008971D7" w:rsidRPr="00320117">
        <w:t>,</w:t>
      </w:r>
      <w:r w:rsidR="001722C4" w:rsidRPr="00320117">
        <w:t xml:space="preserve"> </w:t>
      </w:r>
      <w:r w:rsidR="00AC3676" w:rsidRPr="00320117">
        <w:t>business liaison</w:t>
      </w:r>
      <w:r w:rsidR="0024407F" w:rsidRPr="00320117">
        <w:t>,</w:t>
      </w:r>
      <w:r w:rsidR="00E218AC" w:rsidRPr="00320117">
        <w:t xml:space="preserve"> expert opinion</w:t>
      </w:r>
      <w:r w:rsidR="000C4F8C" w:rsidRPr="00320117">
        <w:t xml:space="preserve"> and judgement</w:t>
      </w:r>
      <w:r w:rsidR="00AC3676" w:rsidRPr="00320117">
        <w:t>.</w:t>
      </w:r>
    </w:p>
    <w:p w:rsidR="00210C9A" w:rsidRPr="00320117" w:rsidRDefault="00210C9A" w:rsidP="007E1871">
      <w:pPr>
        <w:pStyle w:val="Bullet"/>
        <w:rPr>
          <w:b/>
        </w:rPr>
      </w:pPr>
      <w:r w:rsidRPr="00320117">
        <w:t xml:space="preserve">Broadly speaking, GDP </w:t>
      </w:r>
      <w:r w:rsidR="00A91447" w:rsidRPr="00320117">
        <w:t xml:space="preserve">forecasts </w:t>
      </w:r>
      <w:r w:rsidRPr="00320117">
        <w:t>are built up from forecasts of the components o</w:t>
      </w:r>
      <w:r w:rsidR="00E66CB7" w:rsidRPr="00320117">
        <w:t xml:space="preserve">f the expenditure measure of </w:t>
      </w:r>
      <w:r w:rsidR="000B0DD6" w:rsidRPr="00320117">
        <w:t>GDP</w:t>
      </w:r>
      <w:r w:rsidR="009D7490">
        <w:t>. S</w:t>
      </w:r>
      <w:r w:rsidRPr="00320117">
        <w:t>ingle</w:t>
      </w:r>
      <w:r w:rsidR="00935438" w:rsidRPr="00320117">
        <w:t xml:space="preserve"> </w:t>
      </w:r>
      <w:r w:rsidR="001121BD" w:rsidRPr="00320117">
        <w:t xml:space="preserve">structural </w:t>
      </w:r>
      <w:r w:rsidRPr="00320117">
        <w:t xml:space="preserve">econometric </w:t>
      </w:r>
      <w:r w:rsidR="00935438" w:rsidRPr="00320117">
        <w:t xml:space="preserve">equations </w:t>
      </w:r>
      <w:r w:rsidR="009D7490">
        <w:t xml:space="preserve">are </w:t>
      </w:r>
      <w:r w:rsidRPr="00320117">
        <w:t xml:space="preserve">the principal </w:t>
      </w:r>
      <w:r w:rsidR="00AA56E4">
        <w:t xml:space="preserve">technical </w:t>
      </w:r>
      <w:r w:rsidRPr="00320117">
        <w:t>input to Treasury</w:t>
      </w:r>
      <w:r w:rsidR="00832533">
        <w:t>’</w:t>
      </w:r>
      <w:r w:rsidRPr="00320117">
        <w:t>s macroeconomic forecasting approach, providing an empirical framework for forecasting key variables.</w:t>
      </w:r>
      <w:r w:rsidR="00836710">
        <w:t xml:space="preserve"> </w:t>
      </w:r>
      <w:r w:rsidR="00AA56E4">
        <w:t>N</w:t>
      </w:r>
      <w:r w:rsidR="00AA56E4" w:rsidRPr="00A77BD1">
        <w:t xml:space="preserve">ational account identities </w:t>
      </w:r>
      <w:r w:rsidR="00AA56E4">
        <w:t xml:space="preserve">are </w:t>
      </w:r>
      <w:r w:rsidR="00AA56E4" w:rsidRPr="00A77BD1">
        <w:t>preserved within a spread sheet system</w:t>
      </w:r>
      <w:r w:rsidR="00AA56E4">
        <w:t xml:space="preserve"> (the </w:t>
      </w:r>
      <w:r w:rsidR="00C57869" w:rsidRPr="00531A77">
        <w:t xml:space="preserve">National Accounts Forecasting Framework </w:t>
      </w:r>
      <w:r w:rsidR="00C57869">
        <w:t xml:space="preserve">or </w:t>
      </w:r>
      <w:r w:rsidR="00AA56E4">
        <w:t>NAFF),</w:t>
      </w:r>
      <w:r w:rsidR="00AA56E4" w:rsidRPr="00A77BD1">
        <w:t xml:space="preserve"> and consistency between the elements of the forecasts </w:t>
      </w:r>
      <w:r w:rsidR="00AA56E4">
        <w:t xml:space="preserve">is </w:t>
      </w:r>
      <w:r w:rsidR="00AA56E4" w:rsidRPr="00A77BD1">
        <w:t>achieved by iteration between sector specialists.</w:t>
      </w:r>
    </w:p>
    <w:p w:rsidR="00C90AA0" w:rsidRPr="00320117" w:rsidRDefault="005D078B" w:rsidP="007E1871">
      <w:pPr>
        <w:pStyle w:val="Bullet"/>
        <w:rPr>
          <w:b/>
        </w:rPr>
      </w:pPr>
      <w:r w:rsidRPr="00320117">
        <w:t>Treasury</w:t>
      </w:r>
      <w:r w:rsidR="00832533">
        <w:t>’</w:t>
      </w:r>
      <w:r w:rsidRPr="00320117">
        <w:t xml:space="preserve">s </w:t>
      </w:r>
      <w:r w:rsidR="00757FAF" w:rsidRPr="00320117">
        <w:t xml:space="preserve">structural </w:t>
      </w:r>
      <w:r w:rsidRPr="00320117">
        <w:t>macro</w:t>
      </w:r>
      <w:r w:rsidR="008E1C8D">
        <w:t xml:space="preserve"> </w:t>
      </w:r>
      <w:r w:rsidRPr="00320117">
        <w:t>econom</w:t>
      </w:r>
      <w:r w:rsidR="00757FAF" w:rsidRPr="00320117">
        <w:t>etric</w:t>
      </w:r>
      <w:r w:rsidRPr="00320117">
        <w:t xml:space="preserve"> model </w:t>
      </w:r>
      <w:r w:rsidR="000523B5" w:rsidRPr="00320117">
        <w:t xml:space="preserve">(TRYM) </w:t>
      </w:r>
      <w:r w:rsidR="003A0793" w:rsidRPr="00320117">
        <w:t>is effectively a one</w:t>
      </w:r>
      <w:r w:rsidR="00275D44">
        <w:noBreakHyphen/>
      </w:r>
      <w:r w:rsidR="003A0793" w:rsidRPr="00320117">
        <w:t>sector, small</w:t>
      </w:r>
      <w:r w:rsidR="00275D44">
        <w:noBreakHyphen/>
      </w:r>
      <w:r w:rsidR="003A0793" w:rsidRPr="00320117">
        <w:t>open</w:t>
      </w:r>
      <w:r w:rsidR="00275D44">
        <w:noBreakHyphen/>
      </w:r>
      <w:r w:rsidR="003A0793" w:rsidRPr="00320117">
        <w:t>economy</w:t>
      </w:r>
      <w:r w:rsidR="009D7490">
        <w:t>,</w:t>
      </w:r>
      <w:r w:rsidR="003A0793" w:rsidRPr="00320117">
        <w:t xml:space="preserve"> neoclassical growth model.</w:t>
      </w:r>
      <w:r w:rsidR="00D86CB5" w:rsidRPr="00320117">
        <w:t xml:space="preserve"> </w:t>
      </w:r>
      <w:r w:rsidR="000523B5" w:rsidRPr="00320117">
        <w:t>TRYM is currently</w:t>
      </w:r>
      <w:r w:rsidR="00210C9A" w:rsidRPr="00320117">
        <w:t xml:space="preserve"> under </w:t>
      </w:r>
      <w:r w:rsidR="00255F1E" w:rsidRPr="00320117">
        <w:t>re</w:t>
      </w:r>
      <w:r w:rsidR="00210C9A" w:rsidRPr="00320117">
        <w:t xml:space="preserve">development, </w:t>
      </w:r>
      <w:r w:rsidR="000523B5" w:rsidRPr="00320117">
        <w:t>and upon completion will be used to produce macroeconomic forecasts and sensitivity analysis as an input into the NAFF</w:t>
      </w:r>
      <w:r w:rsidR="00275D44">
        <w:noBreakHyphen/>
      </w:r>
      <w:r w:rsidR="00D36A18">
        <w:t>derived forecast</w:t>
      </w:r>
      <w:r w:rsidR="004D03DF" w:rsidRPr="00320117">
        <w:t xml:space="preserve">. </w:t>
      </w:r>
      <w:r w:rsidR="00A343DB" w:rsidRPr="00320117">
        <w:t xml:space="preserve">Treasury has taken the view that the </w:t>
      </w:r>
      <w:r w:rsidR="008F6086" w:rsidRPr="00320117">
        <w:t xml:space="preserve">substantial </w:t>
      </w:r>
      <w:r w:rsidR="00A343DB" w:rsidRPr="00320117">
        <w:t xml:space="preserve">costs </w:t>
      </w:r>
      <w:r w:rsidR="00A7210C" w:rsidRPr="00320117">
        <w:t xml:space="preserve">of </w:t>
      </w:r>
      <w:r w:rsidR="008F6086" w:rsidRPr="00320117">
        <w:t>developing and maintaining the latest generation of macroeconomic model</w:t>
      </w:r>
      <w:r w:rsidR="00D86CB5" w:rsidRPr="00320117">
        <w:t>s</w:t>
      </w:r>
      <w:r w:rsidR="008F6086" w:rsidRPr="00320117">
        <w:t xml:space="preserve"> could not be justified</w:t>
      </w:r>
      <w:r w:rsidR="00757FAF" w:rsidRPr="00320117">
        <w:t>, in particular</w:t>
      </w:r>
      <w:r w:rsidR="008F6086" w:rsidRPr="00320117">
        <w:t xml:space="preserve"> in terms of improved forecast accuracy.</w:t>
      </w:r>
    </w:p>
    <w:p w:rsidR="00443370" w:rsidRPr="00531A77" w:rsidRDefault="00443370" w:rsidP="007E1871">
      <w:pPr>
        <w:pStyle w:val="Bullet"/>
        <w:rPr>
          <w:b/>
        </w:rPr>
      </w:pPr>
      <w:r w:rsidRPr="00531A77">
        <w:t>Business liaison information is an important input into the development of the forecasts. The information is used to inform judgement of the short</w:t>
      </w:r>
      <w:r w:rsidR="00275D44">
        <w:noBreakHyphen/>
      </w:r>
      <w:r w:rsidRPr="00531A77">
        <w:t>term forecasts and to identify key emerging trends in the economy. The program has been refocussed to target critical sectors on an ongoing basis</w:t>
      </w:r>
      <w:r w:rsidR="00AA56E4">
        <w:t>,</w:t>
      </w:r>
      <w:r w:rsidRPr="00531A77">
        <w:t xml:space="preserve"> </w:t>
      </w:r>
      <w:r w:rsidR="00AA56E4">
        <w:t>as well as</w:t>
      </w:r>
      <w:r w:rsidR="0054270E" w:rsidRPr="00531A77">
        <w:t xml:space="preserve"> sector</w:t>
      </w:r>
      <w:r w:rsidR="00275D44">
        <w:noBreakHyphen/>
      </w:r>
      <w:r w:rsidR="0054270E" w:rsidRPr="00531A77">
        <w:t>specific issues that arise in a particular forecast round.</w:t>
      </w:r>
    </w:p>
    <w:p w:rsidR="00AB1DF9" w:rsidRPr="00531A77" w:rsidRDefault="00AB1DF9" w:rsidP="007E1871">
      <w:pPr>
        <w:pStyle w:val="Bullet"/>
        <w:rPr>
          <w:b/>
        </w:rPr>
      </w:pPr>
      <w:r w:rsidRPr="00531A77">
        <w:t>Macroeconomic forecasts are subject to internal review</w:t>
      </w:r>
      <w:r w:rsidR="00F37B5E" w:rsidRPr="00531A77">
        <w:t>,</w:t>
      </w:r>
      <w:r w:rsidRPr="00531A77">
        <w:t xml:space="preserve"> ahead of </w:t>
      </w:r>
      <w:r w:rsidR="000B0DD6" w:rsidRPr="00531A77">
        <w:t xml:space="preserve">formal </w:t>
      </w:r>
      <w:r w:rsidR="00FF57FF" w:rsidRPr="00531A77">
        <w:t xml:space="preserve">peer </w:t>
      </w:r>
      <w:r w:rsidRPr="00531A77">
        <w:t xml:space="preserve">review </w:t>
      </w:r>
      <w:r w:rsidR="0024407F" w:rsidRPr="00531A77">
        <w:t xml:space="preserve">by other government agencies </w:t>
      </w:r>
      <w:r w:rsidRPr="00531A77">
        <w:t xml:space="preserve">at </w:t>
      </w:r>
      <w:r w:rsidR="00FF64FE" w:rsidRPr="00531A77">
        <w:t>the Joint Economic Forecasting Group (JEFG) meeting, where the forecasts are discussed with representatives from the RBA</w:t>
      </w:r>
      <w:r w:rsidR="001722C4" w:rsidRPr="00531A77">
        <w:t xml:space="preserve">, Australian Government central agencies and the </w:t>
      </w:r>
      <w:r w:rsidR="00446B70" w:rsidRPr="00531A77">
        <w:t xml:space="preserve">Australian Bureau of Statistics </w:t>
      </w:r>
      <w:r w:rsidR="00446B70">
        <w:t>(ABS)</w:t>
      </w:r>
      <w:r w:rsidR="00F37B5E" w:rsidRPr="00531A77">
        <w:t>.</w:t>
      </w:r>
      <w:r w:rsidR="000B0DD6" w:rsidRPr="00531A77">
        <w:t xml:space="preserve"> Treasury also maintains an ongoing dialogue on the macroeconomic outlook with private sector forecasters.</w:t>
      </w:r>
    </w:p>
    <w:p w:rsidR="009D26C3" w:rsidRPr="00531A77" w:rsidRDefault="001722C4" w:rsidP="007E1871">
      <w:pPr>
        <w:pStyle w:val="Bullet"/>
        <w:rPr>
          <w:b/>
        </w:rPr>
      </w:pPr>
      <w:r w:rsidRPr="00531A77">
        <w:t>Treasury</w:t>
      </w:r>
      <w:r w:rsidR="00832533">
        <w:t>’</w:t>
      </w:r>
      <w:r w:rsidRPr="00531A77">
        <w:t xml:space="preserve">s forecasting methodologies operate in an environment of continuous internal evaluation and development. </w:t>
      </w:r>
      <w:r w:rsidR="00255F1E" w:rsidRPr="00531A77">
        <w:t xml:space="preserve">In recent years, </w:t>
      </w:r>
      <w:r w:rsidR="009E1090">
        <w:t>Treasury</w:t>
      </w:r>
      <w:r w:rsidR="00E7128D" w:rsidRPr="00531A77">
        <w:t xml:space="preserve"> has </w:t>
      </w:r>
      <w:r w:rsidR="009E1090">
        <w:t xml:space="preserve">hired </w:t>
      </w:r>
      <w:r w:rsidR="00E7128D" w:rsidRPr="00531A77">
        <w:t>an in</w:t>
      </w:r>
      <w:r w:rsidR="00275D44">
        <w:noBreakHyphen/>
      </w:r>
      <w:r w:rsidR="00E7128D" w:rsidRPr="00531A77">
        <w:t>house technical specialist to quality assure the rigo</w:t>
      </w:r>
      <w:r w:rsidR="00255F1E" w:rsidRPr="00531A77">
        <w:t>u</w:t>
      </w:r>
      <w:r w:rsidR="00E7128D" w:rsidRPr="00531A77">
        <w:t xml:space="preserve">r of </w:t>
      </w:r>
      <w:r w:rsidR="001A6A61">
        <w:t>its</w:t>
      </w:r>
      <w:r w:rsidR="001A6A61" w:rsidRPr="00531A77">
        <w:t xml:space="preserve"> </w:t>
      </w:r>
      <w:r w:rsidR="00E7128D" w:rsidRPr="00531A77">
        <w:t>model</w:t>
      </w:r>
      <w:r w:rsidR="00DB3A2E">
        <w:t>ling techniques</w:t>
      </w:r>
      <w:r w:rsidR="0017476C">
        <w:t>,</w:t>
      </w:r>
      <w:r w:rsidR="00E7128D" w:rsidRPr="00531A77">
        <w:t xml:space="preserve"> and </w:t>
      </w:r>
      <w:r w:rsidR="009E1090">
        <w:t xml:space="preserve">to </w:t>
      </w:r>
      <w:r w:rsidR="00E7128D" w:rsidRPr="00531A77">
        <w:t>ensure that they are at the cutting edge of forecasting practice</w:t>
      </w:r>
      <w:r w:rsidR="00480979" w:rsidRPr="00531A77">
        <w:t>, within the overall modelling strategy adopted by Treasury</w:t>
      </w:r>
      <w:r w:rsidR="00E7128D" w:rsidRPr="00531A77">
        <w:t>.</w:t>
      </w:r>
    </w:p>
    <w:p w:rsidR="00D269E4" w:rsidRPr="00531A77" w:rsidRDefault="00AC3676" w:rsidP="004C2EEE">
      <w:pPr>
        <w:pStyle w:val="Heading3"/>
        <w:jc w:val="both"/>
      </w:pPr>
      <w:r w:rsidRPr="00531A77">
        <w:t>Context</w:t>
      </w:r>
    </w:p>
    <w:p w:rsidR="00647EDB" w:rsidRDefault="000A3286" w:rsidP="007E1871">
      <w:r w:rsidRPr="00531A77">
        <w:t xml:space="preserve">Treasury is the principal economic advisory agency of the </w:t>
      </w:r>
      <w:r w:rsidR="00F32B4E" w:rsidRPr="00531A77">
        <w:t xml:space="preserve">Australian </w:t>
      </w:r>
      <w:r w:rsidRPr="00531A77">
        <w:t>Government.</w:t>
      </w:r>
      <w:r w:rsidR="00836710">
        <w:t xml:space="preserve"> </w:t>
      </w:r>
      <w:r w:rsidR="003A4C33">
        <w:t>As p</w:t>
      </w:r>
      <w:r w:rsidR="00F0219E" w:rsidRPr="00531A77">
        <w:t xml:space="preserve">art of this </w:t>
      </w:r>
      <w:r w:rsidRPr="00531A77">
        <w:t>role</w:t>
      </w:r>
      <w:r w:rsidR="003A4C33">
        <w:t>, Treasury</w:t>
      </w:r>
      <w:r w:rsidR="00836710">
        <w:t xml:space="preserve"> </w:t>
      </w:r>
      <w:r w:rsidRPr="00531A77">
        <w:t>provide</w:t>
      </w:r>
      <w:r w:rsidR="003A4C33">
        <w:t>s</w:t>
      </w:r>
      <w:r w:rsidRPr="00531A77">
        <w:t xml:space="preserve"> expert advice and analysis o</w:t>
      </w:r>
      <w:r w:rsidR="00F0219E" w:rsidRPr="00531A77">
        <w:t>f</w:t>
      </w:r>
      <w:r w:rsidRPr="00531A77">
        <w:t xml:space="preserve"> domestic and international economic developments. </w:t>
      </w:r>
      <w:r w:rsidR="009D1E65" w:rsidRPr="00531A77">
        <w:t>The Domestic Economy Division (DED)</w:t>
      </w:r>
      <w:r w:rsidR="00F0219E" w:rsidRPr="00531A77">
        <w:t xml:space="preserve"> </w:t>
      </w:r>
      <w:r w:rsidR="009D1E65" w:rsidRPr="00531A77">
        <w:t>is responsible for pr</w:t>
      </w:r>
      <w:r w:rsidR="008E707E" w:rsidRPr="00531A77">
        <w:t xml:space="preserve">eparing </w:t>
      </w:r>
      <w:r w:rsidR="00157CE9" w:rsidRPr="00531A77">
        <w:t>the Australian Government</w:t>
      </w:r>
      <w:r w:rsidR="00832533">
        <w:t>’</w:t>
      </w:r>
      <w:r w:rsidR="00157CE9" w:rsidRPr="00531A77">
        <w:t xml:space="preserve">s </w:t>
      </w:r>
      <w:r w:rsidR="009D1E65" w:rsidRPr="00531A77">
        <w:t xml:space="preserve">macroeconomic forecasts </w:t>
      </w:r>
      <w:r w:rsidR="00460512" w:rsidRPr="00531A77">
        <w:t xml:space="preserve">and </w:t>
      </w:r>
      <w:r w:rsidR="009D1E65" w:rsidRPr="00531A77">
        <w:t xml:space="preserve">briefing the </w:t>
      </w:r>
      <w:r w:rsidR="00157CE9" w:rsidRPr="00531A77">
        <w:t xml:space="preserve">Government on the </w:t>
      </w:r>
      <w:r w:rsidR="009D50B3" w:rsidRPr="00531A77">
        <w:t>current state of</w:t>
      </w:r>
      <w:r w:rsidR="002F317D" w:rsidRPr="00531A77">
        <w:t>, and the outlook for,</w:t>
      </w:r>
      <w:r w:rsidR="009D50B3" w:rsidRPr="00531A77">
        <w:t xml:space="preserve"> the domestic economy</w:t>
      </w:r>
      <w:r w:rsidR="009D1E65" w:rsidRPr="00531A77">
        <w:t>.</w:t>
      </w:r>
      <w:r w:rsidR="00F0219E" w:rsidRPr="00531A77">
        <w:t xml:space="preserve"> </w:t>
      </w:r>
      <w:r w:rsidR="003A4C33">
        <w:t xml:space="preserve">DED </w:t>
      </w:r>
      <w:r w:rsidR="00F0219E" w:rsidRPr="00531A77">
        <w:t>has around 30 staff.</w:t>
      </w:r>
      <w:r w:rsidR="009D1E65" w:rsidRPr="00531A77">
        <w:t xml:space="preserve"> </w:t>
      </w:r>
    </w:p>
    <w:p w:rsidR="003A4C33" w:rsidRPr="00531A77" w:rsidRDefault="003A4C33" w:rsidP="007E1871">
      <w:r>
        <w:t>Treasury generally has two major forecasting rounds in the year. One is used as the basis for the Australian Government</w:t>
      </w:r>
      <w:r w:rsidR="00832533">
        <w:t>’</w:t>
      </w:r>
      <w:r>
        <w:t xml:space="preserve">s forecasts published in the budget each May. Another forms the basis for the revised forecasts published in the </w:t>
      </w:r>
      <w:r w:rsidRPr="00F51D5C">
        <w:rPr>
          <w:i/>
        </w:rPr>
        <w:t>Mid</w:t>
      </w:r>
      <w:r w:rsidR="00275D44">
        <w:rPr>
          <w:i/>
        </w:rPr>
        <w:noBreakHyphen/>
      </w:r>
      <w:r w:rsidRPr="00F51D5C">
        <w:rPr>
          <w:i/>
        </w:rPr>
        <w:t>Year Economic and Fiscal Outlook</w:t>
      </w:r>
      <w:r>
        <w:t xml:space="preserve"> (MYEFO) in October</w:t>
      </w:r>
      <w:r w:rsidR="00275D44">
        <w:noBreakHyphen/>
      </w:r>
      <w:r>
        <w:t>January. Two other rounds are also held, around June and December. As they come soon after the intensive forecasting for the budget and MYEFO respectively, these rounds tend to be less formal</w:t>
      </w:r>
      <w:r w:rsidRPr="00531A77">
        <w:t>.</w:t>
      </w:r>
      <w:r w:rsidR="0050063C">
        <w:t xml:space="preserve"> Treasury also prepares </w:t>
      </w:r>
      <w:r w:rsidR="00F51D5C" w:rsidRPr="00531A77">
        <w:t xml:space="preserve">an extensive commentary and analysis of economic developments to accompany the </w:t>
      </w:r>
      <w:r w:rsidR="00832533">
        <w:t>’</w:t>
      </w:r>
      <w:r w:rsidR="00F51D5C" w:rsidRPr="00531A77">
        <w:t xml:space="preserve">official forecasts, released in the Budget and MYEFO. </w:t>
      </w:r>
    </w:p>
    <w:p w:rsidR="00106912" w:rsidRPr="00531A77" w:rsidRDefault="00CD0050" w:rsidP="007E1871">
      <w:r w:rsidRPr="00531A77">
        <w:lastRenderedPageBreak/>
        <w:t>T</w:t>
      </w:r>
      <w:r w:rsidR="000A3286" w:rsidRPr="00531A77">
        <w:t xml:space="preserve">he range of </w:t>
      </w:r>
      <w:r w:rsidR="00971077" w:rsidRPr="00531A77">
        <w:t>Treasury</w:t>
      </w:r>
      <w:r w:rsidR="00832533">
        <w:t>’</w:t>
      </w:r>
      <w:r w:rsidR="00971077" w:rsidRPr="00531A77">
        <w:t xml:space="preserve">s </w:t>
      </w:r>
      <w:r w:rsidR="002906A5" w:rsidRPr="00531A77">
        <w:t xml:space="preserve">macroeconomic </w:t>
      </w:r>
      <w:r w:rsidR="000A3286" w:rsidRPr="00531A77">
        <w:t xml:space="preserve">forecasting responsibilities </w:t>
      </w:r>
      <w:r w:rsidR="001521F3" w:rsidRPr="00531A77">
        <w:t xml:space="preserve">reflects </w:t>
      </w:r>
      <w:r w:rsidRPr="00531A77">
        <w:t xml:space="preserve">its role </w:t>
      </w:r>
      <w:r w:rsidR="004E48E5" w:rsidRPr="00531A77">
        <w:t xml:space="preserve">in the process of </w:t>
      </w:r>
      <w:r w:rsidR="000C2704" w:rsidRPr="00531A77">
        <w:t xml:space="preserve">preparing budget estimates of taxation </w:t>
      </w:r>
      <w:r w:rsidR="002906A5" w:rsidRPr="00531A77">
        <w:t xml:space="preserve">revenue </w:t>
      </w:r>
      <w:r w:rsidR="000C2704" w:rsidRPr="00531A77">
        <w:t>and expenditure</w:t>
      </w:r>
      <w:r w:rsidR="000A3286" w:rsidRPr="00531A77">
        <w:t>.</w:t>
      </w:r>
      <w:r w:rsidR="00836710">
        <w:t xml:space="preserve"> </w:t>
      </w:r>
      <w:r w:rsidR="000A3286" w:rsidRPr="00531A77">
        <w:t xml:space="preserve">Treasury </w:t>
      </w:r>
      <w:r w:rsidR="006A6B8D" w:rsidRPr="00531A77">
        <w:t xml:space="preserve">is required to </w:t>
      </w:r>
      <w:r w:rsidR="000A3286" w:rsidRPr="00531A77">
        <w:t xml:space="preserve">produce disaggregated nominal GDP forecasts </w:t>
      </w:r>
      <w:r w:rsidR="00F0219E" w:rsidRPr="00531A77">
        <w:t xml:space="preserve">to underpin </w:t>
      </w:r>
      <w:r w:rsidR="000A3286" w:rsidRPr="00531A77">
        <w:t>tax</w:t>
      </w:r>
      <w:r w:rsidR="00F0219E" w:rsidRPr="00531A77">
        <w:t>ation</w:t>
      </w:r>
      <w:r w:rsidR="000A3286" w:rsidRPr="00531A77">
        <w:t xml:space="preserve"> </w:t>
      </w:r>
      <w:r w:rsidR="00F0219E" w:rsidRPr="00531A77">
        <w:t>revenue estimates</w:t>
      </w:r>
      <w:r w:rsidR="000A3286" w:rsidRPr="00531A77">
        <w:t xml:space="preserve"> and </w:t>
      </w:r>
      <w:r w:rsidR="006A6B8D" w:rsidRPr="00531A77">
        <w:t xml:space="preserve">labour market and CPI forecasts </w:t>
      </w:r>
      <w:r w:rsidR="00F0219E" w:rsidRPr="00531A77">
        <w:t xml:space="preserve">to underpin </w:t>
      </w:r>
      <w:r w:rsidR="006A6B8D" w:rsidRPr="00531A77">
        <w:t>expenditure estimates</w:t>
      </w:r>
      <w:r w:rsidR="003D34A5">
        <w:t xml:space="preserve">. </w:t>
      </w:r>
      <w:r w:rsidR="00106912" w:rsidRPr="00531A77">
        <w:t>Forecasts are usually generated for the remainder of the current fiscal year, the budget y</w:t>
      </w:r>
      <w:r w:rsidR="006777E6" w:rsidRPr="00531A77">
        <w:t>ear and the subsequent year, with</w:t>
      </w:r>
      <w:r w:rsidR="00106912" w:rsidRPr="00531A77">
        <w:t xml:space="preserve"> projections </w:t>
      </w:r>
      <w:r w:rsidR="006707D1" w:rsidRPr="00531A77">
        <w:t xml:space="preserve">prepared </w:t>
      </w:r>
      <w:r w:rsidR="00106912" w:rsidRPr="00531A77">
        <w:t xml:space="preserve">for </w:t>
      </w:r>
      <w:r w:rsidR="006777E6" w:rsidRPr="00531A77">
        <w:t>the subsequent</w:t>
      </w:r>
      <w:r w:rsidR="00106912" w:rsidRPr="00531A77">
        <w:t xml:space="preserve"> two years.</w:t>
      </w:r>
      <w:r w:rsidR="00836710">
        <w:t xml:space="preserve"> </w:t>
      </w:r>
      <w:r w:rsidR="00106912" w:rsidRPr="00531A77">
        <w:t>Forecasts take into account cyclical variation in economic activity, whereas projections are based on long</w:t>
      </w:r>
      <w:r w:rsidR="00275D44">
        <w:noBreakHyphen/>
      </w:r>
      <w:r w:rsidR="00106912" w:rsidRPr="00531A77">
        <w:t xml:space="preserve">term average growth rates and </w:t>
      </w:r>
      <w:r w:rsidR="006707D1" w:rsidRPr="00531A77">
        <w:t xml:space="preserve">technical </w:t>
      </w:r>
      <w:r w:rsidR="00106912" w:rsidRPr="00531A77">
        <w:t>assumptions (for example, CPI growth is assumed to be 2½ per cent in the projection years, in line with the mid</w:t>
      </w:r>
      <w:r w:rsidR="00275D44">
        <w:noBreakHyphen/>
      </w:r>
      <w:r w:rsidR="00106912" w:rsidRPr="00531A77">
        <w:t>point of the inflation target</w:t>
      </w:r>
      <w:r w:rsidR="00B42A51" w:rsidRPr="00531A77">
        <w:t xml:space="preserve"> band</w:t>
      </w:r>
      <w:r w:rsidR="00106912" w:rsidRPr="00531A77">
        <w:t>).</w:t>
      </w:r>
    </w:p>
    <w:p w:rsidR="00DC1020" w:rsidRPr="00C824BC" w:rsidRDefault="00F51D5C" w:rsidP="007E1871">
      <w:pPr>
        <w:rPr>
          <w:rFonts w:eastAsiaTheme="minorHAnsi"/>
          <w:b/>
          <w:lang w:eastAsia="en-US"/>
        </w:rPr>
      </w:pPr>
      <w:r>
        <w:rPr>
          <w:rFonts w:eastAsiaTheme="minorHAnsi"/>
          <w:lang w:eastAsia="en-US"/>
        </w:rPr>
        <w:t>T</w:t>
      </w:r>
      <w:r w:rsidR="00DC1020" w:rsidRPr="00C824BC">
        <w:rPr>
          <w:rFonts w:eastAsiaTheme="minorHAnsi"/>
          <w:lang w:eastAsia="en-US"/>
        </w:rPr>
        <w:t>he International Economy Division pr</w:t>
      </w:r>
      <w:r w:rsidR="006C2D28">
        <w:rPr>
          <w:rFonts w:eastAsiaTheme="minorHAnsi"/>
          <w:lang w:eastAsia="en-US"/>
        </w:rPr>
        <w:t>epares</w:t>
      </w:r>
      <w:r w:rsidR="00DC1020" w:rsidRPr="00C824BC">
        <w:rPr>
          <w:rFonts w:eastAsiaTheme="minorHAnsi"/>
          <w:lang w:eastAsia="en-US"/>
        </w:rPr>
        <w:t xml:space="preserve"> </w:t>
      </w:r>
      <w:r w:rsidR="006C2D28">
        <w:rPr>
          <w:rFonts w:eastAsiaTheme="minorHAnsi"/>
          <w:lang w:eastAsia="en-US"/>
        </w:rPr>
        <w:t xml:space="preserve">the economic outlook </w:t>
      </w:r>
      <w:r w:rsidR="00DC1020" w:rsidRPr="00C824BC">
        <w:rPr>
          <w:rFonts w:eastAsiaTheme="minorHAnsi"/>
          <w:lang w:eastAsia="en-US"/>
        </w:rPr>
        <w:t>for 19 countries</w:t>
      </w:r>
      <w:r w:rsidR="006C2D28">
        <w:rPr>
          <w:rFonts w:eastAsiaTheme="minorHAnsi"/>
          <w:lang w:eastAsia="en-US"/>
        </w:rPr>
        <w:t xml:space="preserve"> (largely forecasts of GDP growth)</w:t>
      </w:r>
      <w:r w:rsidR="00DC1020" w:rsidRPr="00C824BC">
        <w:rPr>
          <w:rFonts w:eastAsiaTheme="minorHAnsi"/>
          <w:lang w:eastAsia="en-US"/>
        </w:rPr>
        <w:t>.</w:t>
      </w:r>
      <w:r w:rsidR="00836710">
        <w:rPr>
          <w:rFonts w:eastAsiaTheme="minorHAnsi"/>
          <w:b/>
          <w:lang w:eastAsia="en-US"/>
        </w:rPr>
        <w:t xml:space="preserve"> </w:t>
      </w:r>
      <w:r w:rsidR="00DC1020" w:rsidRPr="00C824BC">
        <w:rPr>
          <w:rFonts w:eastAsiaTheme="minorHAnsi"/>
          <w:lang w:eastAsia="en-US"/>
        </w:rPr>
        <w:t>These countries cover 77 per cent of global GDP on a PPP basis, and account for around 90 per cent of Australia</w:t>
      </w:r>
      <w:r w:rsidR="00832533">
        <w:rPr>
          <w:rFonts w:eastAsiaTheme="minorHAnsi"/>
          <w:b/>
          <w:lang w:eastAsia="en-US"/>
        </w:rPr>
        <w:t>’</w:t>
      </w:r>
      <w:r w:rsidR="00DC1020" w:rsidRPr="00C824BC">
        <w:rPr>
          <w:rFonts w:eastAsiaTheme="minorHAnsi"/>
          <w:lang w:eastAsia="en-US"/>
        </w:rPr>
        <w:t>s merchandise trade exports.</w:t>
      </w:r>
      <w:r w:rsidR="00836710">
        <w:rPr>
          <w:rFonts w:eastAsiaTheme="minorHAnsi"/>
          <w:b/>
          <w:lang w:eastAsia="en-US"/>
        </w:rPr>
        <w:t xml:space="preserve"> </w:t>
      </w:r>
      <w:r w:rsidR="00DC1020" w:rsidRPr="00C824BC">
        <w:rPr>
          <w:rFonts w:eastAsiaTheme="minorHAnsi"/>
          <w:lang w:eastAsia="en-US"/>
        </w:rPr>
        <w:t>For a few of the country forecasts, specifically the United States and China, a bottom</w:t>
      </w:r>
      <w:r w:rsidR="00275D44">
        <w:rPr>
          <w:rFonts w:eastAsiaTheme="minorHAnsi"/>
          <w:lang w:eastAsia="en-US"/>
        </w:rPr>
        <w:noBreakHyphen/>
      </w:r>
      <w:r w:rsidR="00DC1020" w:rsidRPr="00C824BC">
        <w:rPr>
          <w:rFonts w:eastAsiaTheme="minorHAnsi"/>
          <w:lang w:eastAsia="en-US"/>
        </w:rPr>
        <w:t>up framework examining each of the national accounts components is used to derive GDP</w:t>
      </w:r>
      <w:r w:rsidR="00C26D52">
        <w:rPr>
          <w:rFonts w:eastAsiaTheme="minorHAnsi"/>
          <w:lang w:eastAsia="en-US"/>
        </w:rPr>
        <w:t xml:space="preserve"> forecasts</w:t>
      </w:r>
      <w:r w:rsidR="00DC1020" w:rsidRPr="00C824BC">
        <w:rPr>
          <w:rFonts w:eastAsiaTheme="minorHAnsi"/>
          <w:lang w:eastAsia="en-US"/>
        </w:rPr>
        <w:t>.</w:t>
      </w:r>
      <w:r w:rsidR="00836710">
        <w:rPr>
          <w:rFonts w:eastAsiaTheme="minorHAnsi"/>
          <w:b/>
          <w:lang w:eastAsia="en-US"/>
        </w:rPr>
        <w:t xml:space="preserve"> </w:t>
      </w:r>
      <w:r w:rsidR="00DC1020" w:rsidRPr="00C824BC">
        <w:rPr>
          <w:rFonts w:eastAsiaTheme="minorHAnsi"/>
          <w:lang w:eastAsia="en-US"/>
        </w:rPr>
        <w:t>For all other countries, forecasts are developed at the aggregate level.</w:t>
      </w:r>
      <w:r w:rsidR="00836710">
        <w:rPr>
          <w:rFonts w:eastAsiaTheme="minorHAnsi"/>
          <w:b/>
          <w:lang w:eastAsia="en-US"/>
        </w:rPr>
        <w:t xml:space="preserve"> </w:t>
      </w:r>
      <w:r w:rsidR="00DC1020" w:rsidRPr="00C824BC">
        <w:rPr>
          <w:rFonts w:eastAsiaTheme="minorHAnsi"/>
          <w:lang w:eastAsia="en-US"/>
        </w:rPr>
        <w:t>The forecasts are compiled by looking at the latest economic data, the policy and external environment</w:t>
      </w:r>
      <w:r w:rsidR="00C26D52">
        <w:rPr>
          <w:rFonts w:eastAsiaTheme="minorHAnsi"/>
          <w:lang w:eastAsia="en-US"/>
        </w:rPr>
        <w:t xml:space="preserve"> and</w:t>
      </w:r>
      <w:r w:rsidR="00DC1020" w:rsidRPr="00C824BC">
        <w:rPr>
          <w:rFonts w:eastAsiaTheme="minorHAnsi"/>
          <w:lang w:eastAsia="en-US"/>
        </w:rPr>
        <w:t xml:space="preserve"> the associated balance of risks, and applying judgment.</w:t>
      </w:r>
      <w:r w:rsidR="00836710">
        <w:rPr>
          <w:rFonts w:eastAsiaTheme="minorHAnsi"/>
          <w:b/>
          <w:lang w:eastAsia="en-US"/>
        </w:rPr>
        <w:t xml:space="preserve"> </w:t>
      </w:r>
      <w:r w:rsidR="00DC1020" w:rsidRPr="00C824BC">
        <w:rPr>
          <w:rFonts w:eastAsiaTheme="minorHAnsi"/>
          <w:lang w:eastAsia="en-US"/>
        </w:rPr>
        <w:t xml:space="preserve">These forecasts are strongly influenced by other reputable and timely forecasts, notably Consensus </w:t>
      </w:r>
      <w:r w:rsidR="001A6A61">
        <w:rPr>
          <w:rFonts w:eastAsiaTheme="minorHAnsi"/>
          <w:lang w:eastAsia="en-US"/>
        </w:rPr>
        <w:t>Economics</w:t>
      </w:r>
      <w:r w:rsidR="00F07366">
        <w:rPr>
          <w:rFonts w:eastAsiaTheme="minorHAnsi"/>
          <w:lang w:eastAsia="en-US"/>
        </w:rPr>
        <w:t>’</w:t>
      </w:r>
      <w:r w:rsidR="001A6A61">
        <w:rPr>
          <w:rFonts w:eastAsiaTheme="minorHAnsi"/>
          <w:lang w:eastAsia="en-US"/>
        </w:rPr>
        <w:t xml:space="preserve"> </w:t>
      </w:r>
      <w:r w:rsidR="00DC1020" w:rsidRPr="00C824BC">
        <w:rPr>
          <w:rFonts w:eastAsiaTheme="minorHAnsi"/>
          <w:lang w:eastAsia="en-US"/>
        </w:rPr>
        <w:t>forecasts and the IMF World Economic Outlook</w:t>
      </w:r>
      <w:r w:rsidR="00446B70">
        <w:rPr>
          <w:rFonts w:eastAsiaTheme="minorHAnsi"/>
          <w:lang w:eastAsia="en-US"/>
        </w:rPr>
        <w:t>.</w:t>
      </w:r>
    </w:p>
    <w:p w:rsidR="005D7251" w:rsidRPr="00531A77" w:rsidRDefault="0020537C">
      <w:pPr>
        <w:pStyle w:val="Heading3"/>
        <w:jc w:val="both"/>
      </w:pPr>
      <w:r w:rsidRPr="00531A77">
        <w:t>Forecasting a</w:t>
      </w:r>
      <w:r w:rsidR="005D7251" w:rsidRPr="00531A77">
        <w:t>pproach and process</w:t>
      </w:r>
    </w:p>
    <w:p w:rsidR="001F6DCB" w:rsidRPr="00531A77" w:rsidRDefault="007C6EF2" w:rsidP="007E1871">
      <w:r w:rsidRPr="00531A77">
        <w:t>Treasury</w:t>
      </w:r>
      <w:r w:rsidR="00832533">
        <w:t>’</w:t>
      </w:r>
      <w:r w:rsidRPr="00531A77">
        <w:t xml:space="preserve">s forecasting framework </w:t>
      </w:r>
      <w:r w:rsidR="00C26D52">
        <w:t>(the</w:t>
      </w:r>
      <w:r w:rsidR="00C26D52" w:rsidRPr="00531A77">
        <w:t xml:space="preserve"> NAFF</w:t>
      </w:r>
      <w:r w:rsidR="00C26D52">
        <w:t xml:space="preserve">) </w:t>
      </w:r>
      <w:r w:rsidR="001035C5">
        <w:t xml:space="preserve">is </w:t>
      </w:r>
      <w:r w:rsidRPr="00531A77">
        <w:t>a large spread</w:t>
      </w:r>
      <w:r w:rsidR="00F80698" w:rsidRPr="00531A77">
        <w:t xml:space="preserve"> </w:t>
      </w:r>
      <w:r w:rsidRPr="00531A77">
        <w:t xml:space="preserve">sheet system structured </w:t>
      </w:r>
      <w:r w:rsidR="00AC3676" w:rsidRPr="00531A77">
        <w:t xml:space="preserve">according to </w:t>
      </w:r>
      <w:r w:rsidRPr="00531A77">
        <w:t xml:space="preserve">the methodological framework used by the </w:t>
      </w:r>
      <w:r w:rsidR="00C824BC">
        <w:t xml:space="preserve">ABS </w:t>
      </w:r>
      <w:r w:rsidRPr="00531A77">
        <w:t xml:space="preserve">in producing </w:t>
      </w:r>
      <w:r w:rsidR="00B17C6F" w:rsidRPr="00531A77">
        <w:t>national accounts</w:t>
      </w:r>
      <w:r w:rsidR="00832533">
        <w:t>’</w:t>
      </w:r>
      <w:r w:rsidR="00B17C6F" w:rsidRPr="00531A77">
        <w:t xml:space="preserve"> statistics</w:t>
      </w:r>
      <w:r w:rsidRPr="00531A77">
        <w:t>. The system provides a comprehensive, detailed and consistent set of forecasts of the components of demand and output, the external accounts, the labour market</w:t>
      </w:r>
      <w:r w:rsidR="00B17C6F" w:rsidRPr="00531A77">
        <w:t xml:space="preserve">, </w:t>
      </w:r>
      <w:r w:rsidRPr="00531A77">
        <w:t>prices and wages.</w:t>
      </w:r>
      <w:r w:rsidR="001F6DCB" w:rsidRPr="00531A77">
        <w:t xml:space="preserve"> This framework has been </w:t>
      </w:r>
      <w:r w:rsidR="00177017">
        <w:t xml:space="preserve">used </w:t>
      </w:r>
      <w:r w:rsidR="001F6DCB" w:rsidRPr="00531A77">
        <w:t xml:space="preserve">for </w:t>
      </w:r>
      <w:r w:rsidR="00255F1E" w:rsidRPr="00531A77">
        <w:t>many</w:t>
      </w:r>
      <w:r w:rsidR="001F6DCB" w:rsidRPr="00531A77">
        <w:t xml:space="preserve"> years.</w:t>
      </w:r>
    </w:p>
    <w:p w:rsidR="009D1E65" w:rsidRPr="00531A77" w:rsidRDefault="00F67F3E" w:rsidP="007E1871">
      <w:r w:rsidRPr="00531A77">
        <w:t>Treasury</w:t>
      </w:r>
      <w:r w:rsidR="00832533">
        <w:t>’</w:t>
      </w:r>
      <w:r w:rsidRPr="00531A77">
        <w:t xml:space="preserve">s forecasting approach </w:t>
      </w:r>
      <w:r w:rsidR="00806AE0" w:rsidRPr="00531A77">
        <w:t>is structured around sectoral teams</w:t>
      </w:r>
      <w:r w:rsidRPr="00531A77">
        <w:t xml:space="preserve"> </w:t>
      </w:r>
      <w:r w:rsidR="00806AE0" w:rsidRPr="00531A77">
        <w:t>and is overseen by a central coordinating unit (the NAFF unit)</w:t>
      </w:r>
      <w:r w:rsidR="00292210" w:rsidRPr="00531A77">
        <w:t xml:space="preserve">, containing around </w:t>
      </w:r>
      <w:r w:rsidR="00446B70">
        <w:t>five</w:t>
      </w:r>
      <w:r w:rsidR="00446B70" w:rsidRPr="00531A77">
        <w:t xml:space="preserve"> </w:t>
      </w:r>
      <w:r w:rsidR="00292210" w:rsidRPr="00531A77">
        <w:t>staff</w:t>
      </w:r>
      <w:r w:rsidR="00806AE0" w:rsidRPr="00531A77">
        <w:t>.</w:t>
      </w:r>
      <w:r w:rsidR="00836710">
        <w:t xml:space="preserve"> </w:t>
      </w:r>
      <w:r w:rsidR="00806AE0" w:rsidRPr="00531A77">
        <w:t>Th</w:t>
      </w:r>
      <w:r w:rsidR="006777E6" w:rsidRPr="00531A77">
        <w:t>is</w:t>
      </w:r>
      <w:r w:rsidR="00806AE0" w:rsidRPr="00531A77">
        <w:t xml:space="preserve"> unit manages the NAFF, </w:t>
      </w:r>
      <w:r w:rsidRPr="00531A77">
        <w:t>oversees the forecasting process</w:t>
      </w:r>
      <w:r w:rsidR="00806AE0" w:rsidRPr="00531A77">
        <w:t xml:space="preserve">, ensures the </w:t>
      </w:r>
      <w:r w:rsidRPr="00531A77">
        <w:t xml:space="preserve">quality and </w:t>
      </w:r>
      <w:r w:rsidR="00F80698" w:rsidRPr="00531A77">
        <w:t xml:space="preserve">consistency of </w:t>
      </w:r>
      <w:r w:rsidR="00806AE0" w:rsidRPr="00531A77">
        <w:t xml:space="preserve">the sectoral team </w:t>
      </w:r>
      <w:r w:rsidR="00F80698" w:rsidRPr="00531A77">
        <w:t xml:space="preserve">forecasts </w:t>
      </w:r>
      <w:r w:rsidR="00806AE0" w:rsidRPr="00531A77">
        <w:t xml:space="preserve">and produces </w:t>
      </w:r>
      <w:r w:rsidR="00D01A82" w:rsidRPr="00531A77">
        <w:t xml:space="preserve">forecasts of </w:t>
      </w:r>
      <w:r w:rsidR="00806AE0" w:rsidRPr="00531A77">
        <w:t xml:space="preserve">the economic </w:t>
      </w:r>
      <w:r w:rsidR="00D01A82" w:rsidRPr="00531A77">
        <w:t>series</w:t>
      </w:r>
      <w:r w:rsidR="000B0DD6" w:rsidRPr="00531A77">
        <w:t xml:space="preserve"> </w:t>
      </w:r>
      <w:r w:rsidR="00806AE0" w:rsidRPr="00531A77">
        <w:t xml:space="preserve">that underpin the </w:t>
      </w:r>
      <w:r w:rsidR="00D01A82" w:rsidRPr="00531A77">
        <w:t>Australian Government</w:t>
      </w:r>
      <w:r w:rsidR="00806AE0" w:rsidRPr="00531A77">
        <w:t xml:space="preserve"> Budget</w:t>
      </w:r>
      <w:r w:rsidRPr="00531A77">
        <w:t>.</w:t>
      </w:r>
      <w:r w:rsidR="00836710">
        <w:t xml:space="preserve"> </w:t>
      </w:r>
      <w:r w:rsidR="00806AE0" w:rsidRPr="00531A77">
        <w:t>The NAFF unit is staffed by analysts with experience in one or more sectoral units.</w:t>
      </w:r>
    </w:p>
    <w:p w:rsidR="00106912" w:rsidRPr="00531A77" w:rsidRDefault="00106912" w:rsidP="007E1871">
      <w:r w:rsidRPr="00531A77">
        <w:t>The NAFF unit is also accountable for the technical assumptions that underpin Treasury</w:t>
      </w:r>
      <w:r w:rsidR="00832533">
        <w:t>’</w:t>
      </w:r>
      <w:r w:rsidRPr="00531A77">
        <w:t xml:space="preserve">s </w:t>
      </w:r>
      <w:r w:rsidR="00177017">
        <w:t>macro</w:t>
      </w:r>
      <w:r w:rsidRPr="00531A77">
        <w:t>economic forecasts</w:t>
      </w:r>
      <w:r w:rsidR="00857768">
        <w:t xml:space="preserve"> </w:t>
      </w:r>
      <w:r w:rsidR="00857768" w:rsidRPr="00531A77">
        <w:t>(</w:t>
      </w:r>
      <w:r w:rsidR="00857768">
        <w:t>for example,</w:t>
      </w:r>
      <w:r w:rsidR="00857768" w:rsidRPr="00531A77">
        <w:t xml:space="preserve"> </w:t>
      </w:r>
      <w:r w:rsidR="001035C5">
        <w:t xml:space="preserve">there </w:t>
      </w:r>
      <w:r w:rsidR="00070F57">
        <w:t>are technical</w:t>
      </w:r>
      <w:r w:rsidR="001035C5">
        <w:t xml:space="preserve"> assumption</w:t>
      </w:r>
      <w:r w:rsidR="00070F57">
        <w:t>s</w:t>
      </w:r>
      <w:r w:rsidR="001035C5">
        <w:t xml:space="preserve"> </w:t>
      </w:r>
      <w:r w:rsidR="00857768" w:rsidRPr="00531A77">
        <w:t>for interest rates, exchange rates and oil prices)</w:t>
      </w:r>
      <w:r w:rsidR="00177017">
        <w:t>. These assumptions</w:t>
      </w:r>
      <w:r w:rsidR="006777E6" w:rsidRPr="00531A77">
        <w:t xml:space="preserve"> are reset at the start of each</w:t>
      </w:r>
      <w:r w:rsidRPr="00531A77">
        <w:t xml:space="preserve"> forecasting round.</w:t>
      </w:r>
      <w:r w:rsidR="00836710">
        <w:t xml:space="preserve"> </w:t>
      </w:r>
      <w:r w:rsidRPr="00531A77">
        <w:t>The usual assumption is that exchange rates and oil prices will remain around recent average levels, and that interest rates will evolve in line with market expectations.</w:t>
      </w:r>
      <w:r w:rsidR="00836710">
        <w:t xml:space="preserve"> </w:t>
      </w:r>
      <w:r w:rsidRPr="00531A77">
        <w:t>These assumptions are not always applied mechanically</w:t>
      </w:r>
      <w:r w:rsidR="003D34A5">
        <w:t xml:space="preserve"> — </w:t>
      </w:r>
      <w:r w:rsidRPr="00531A77">
        <w:t>for example, if the path for interest rates implied by market yields is diverging from the forecasts made by market economists, then weight may be given to both sources of information in arriving at a technical assumption.</w:t>
      </w:r>
      <w:r w:rsidR="00836710">
        <w:t xml:space="preserve"> </w:t>
      </w:r>
      <w:r w:rsidRPr="00531A77">
        <w:t>The assumptions are revisited throughout the forecasting round if there are significant movements in any of these variables.</w:t>
      </w:r>
    </w:p>
    <w:p w:rsidR="00AB4924" w:rsidRPr="00531A77" w:rsidRDefault="00B27A29" w:rsidP="007E1871">
      <w:r w:rsidRPr="00531A77">
        <w:t>Once the</w:t>
      </w:r>
      <w:r w:rsidR="00106912" w:rsidRPr="00531A77">
        <w:t xml:space="preserve"> quarterly National Accounts have been released, s</w:t>
      </w:r>
      <w:r w:rsidR="00D96B32" w:rsidRPr="00531A77">
        <w:t>ectoral teams</w:t>
      </w:r>
      <w:r w:rsidR="005C6313" w:rsidRPr="00531A77">
        <w:t xml:space="preserve"> produce </w:t>
      </w:r>
      <w:r w:rsidR="00D96B32" w:rsidRPr="00531A77">
        <w:t xml:space="preserve">forecasts for the </w:t>
      </w:r>
      <w:r w:rsidR="005C6313" w:rsidRPr="00531A77">
        <w:t>components of the expenditure measure of GDP</w:t>
      </w:r>
      <w:r w:rsidR="003D34A5">
        <w:t xml:space="preserve"> — </w:t>
      </w:r>
      <w:r w:rsidR="005C6313" w:rsidRPr="00531A77">
        <w:t>that is, for consumption, private investment, government spending, exports and imports.</w:t>
      </w:r>
      <w:r w:rsidR="00836710">
        <w:t xml:space="preserve"> </w:t>
      </w:r>
      <w:r w:rsidR="002F317D" w:rsidRPr="00531A77">
        <w:t>Th</w:t>
      </w:r>
      <w:r w:rsidR="004D03DF" w:rsidRPr="00531A77">
        <w:t>e</w:t>
      </w:r>
      <w:r w:rsidR="002F317D" w:rsidRPr="00531A77">
        <w:t>s</w:t>
      </w:r>
      <w:r w:rsidR="004D03DF" w:rsidRPr="00531A77">
        <w:t>e</w:t>
      </w:r>
      <w:r w:rsidR="002F317D" w:rsidRPr="00531A77">
        <w:t xml:space="preserve"> </w:t>
      </w:r>
      <w:r w:rsidR="004D03DF" w:rsidRPr="00531A77">
        <w:t>forecasts are</w:t>
      </w:r>
      <w:r w:rsidR="002F317D" w:rsidRPr="00531A77">
        <w:t xml:space="preserve"> aggregated in the NAFF to provide an estimate of GDP. </w:t>
      </w:r>
      <w:r w:rsidR="00D96B32" w:rsidRPr="00531A77">
        <w:t>I</w:t>
      </w:r>
      <w:r w:rsidR="005C6313" w:rsidRPr="00531A77">
        <w:t>t is also necessary to produce forecasts of the components of the income measure of GDP</w:t>
      </w:r>
      <w:r w:rsidR="003D34A5">
        <w:t xml:space="preserve"> — </w:t>
      </w:r>
      <w:r w:rsidR="005C6313" w:rsidRPr="00531A77">
        <w:t>such as compensation of employees and company gross operating surplus</w:t>
      </w:r>
      <w:r w:rsidR="003D34A5">
        <w:t xml:space="preserve"> — </w:t>
      </w:r>
      <w:r w:rsidR="005C6313" w:rsidRPr="00531A77">
        <w:t xml:space="preserve">in order to forecast taxation </w:t>
      </w:r>
      <w:r w:rsidR="004B6013" w:rsidRPr="00531A77">
        <w:t>revenue</w:t>
      </w:r>
      <w:r w:rsidR="005C6313" w:rsidRPr="00531A77">
        <w:t>.</w:t>
      </w:r>
      <w:r w:rsidR="00836710">
        <w:t xml:space="preserve"> </w:t>
      </w:r>
      <w:r w:rsidR="005C6313" w:rsidRPr="00531A77">
        <w:t xml:space="preserve">The NAFF unit has </w:t>
      </w:r>
      <w:r w:rsidR="004D03DF" w:rsidRPr="00531A77">
        <w:t xml:space="preserve">the </w:t>
      </w:r>
      <w:r w:rsidR="005C6313" w:rsidRPr="00531A77">
        <w:t>main responsibility for generating these income forecasts</w:t>
      </w:r>
      <w:r w:rsidR="004B6013" w:rsidRPr="00531A77">
        <w:t>. They</w:t>
      </w:r>
      <w:r w:rsidR="005C6313" w:rsidRPr="00531A77">
        <w:t xml:space="preserve"> are derived </w:t>
      </w:r>
      <w:r w:rsidR="004D03DF" w:rsidRPr="00531A77">
        <w:t xml:space="preserve">by decomposing the estimate of GDP (constructed from </w:t>
      </w:r>
      <w:r w:rsidR="005C6313" w:rsidRPr="00531A77">
        <w:t>the expenditure forecasts</w:t>
      </w:r>
      <w:r w:rsidR="004D03DF" w:rsidRPr="00531A77">
        <w:t>)</w:t>
      </w:r>
      <w:r w:rsidR="004B6013" w:rsidRPr="00531A77">
        <w:t>, drawing upon</w:t>
      </w:r>
      <w:r w:rsidR="004D03DF" w:rsidRPr="00531A77">
        <w:t xml:space="preserve"> </w:t>
      </w:r>
      <w:r w:rsidR="005C6313" w:rsidRPr="00531A77">
        <w:t xml:space="preserve">the outlook for </w:t>
      </w:r>
      <w:r w:rsidR="00673C92">
        <w:t>series</w:t>
      </w:r>
      <w:r w:rsidR="004D03DF" w:rsidRPr="00531A77">
        <w:t>,</w:t>
      </w:r>
      <w:r w:rsidR="005C6313" w:rsidRPr="00531A77">
        <w:t xml:space="preserve"> such as employment and wages</w:t>
      </w:r>
      <w:r w:rsidR="00AB4924" w:rsidRPr="00531A77">
        <w:t>.</w:t>
      </w:r>
      <w:r w:rsidR="00836710">
        <w:t xml:space="preserve"> </w:t>
      </w:r>
      <w:r w:rsidR="00AB4924" w:rsidRPr="00531A77">
        <w:t>Interest and dividend income forecasts are also produce</w:t>
      </w:r>
      <w:r w:rsidRPr="00531A77">
        <w:t>d</w:t>
      </w:r>
      <w:r w:rsidR="00AB4924" w:rsidRPr="00531A77">
        <w:t xml:space="preserve"> by the NAFF unit</w:t>
      </w:r>
      <w:r w:rsidR="00177017">
        <w:t>, which are used to forecast taxation revenue</w:t>
      </w:r>
      <w:r w:rsidR="00AB4924" w:rsidRPr="00531A77">
        <w:t>.</w:t>
      </w:r>
    </w:p>
    <w:p w:rsidR="00177017" w:rsidRPr="00E23A2F" w:rsidRDefault="00AB4924" w:rsidP="007E1871">
      <w:r w:rsidRPr="00177017">
        <w:lastRenderedPageBreak/>
        <w:t>F</w:t>
      </w:r>
      <w:r w:rsidRPr="00E23A2F">
        <w:t>orecasts produced by sectoral teams and the NAFF unit are prepared using a mix of</w:t>
      </w:r>
      <w:r w:rsidR="00177017" w:rsidRPr="00E23A2F">
        <w:t>:</w:t>
      </w:r>
    </w:p>
    <w:p w:rsidR="00177017" w:rsidRPr="00E23A2F" w:rsidRDefault="00AB4924" w:rsidP="007E1871">
      <w:pPr>
        <w:pStyle w:val="Bullet"/>
        <w:rPr>
          <w:b/>
        </w:rPr>
      </w:pPr>
      <w:r w:rsidRPr="00E23A2F">
        <w:t xml:space="preserve">single </w:t>
      </w:r>
      <w:r w:rsidR="00825970" w:rsidRPr="00E23A2F">
        <w:t xml:space="preserve">structural </w:t>
      </w:r>
      <w:r w:rsidRPr="00E23A2F">
        <w:t xml:space="preserve">econometric </w:t>
      </w:r>
      <w:r w:rsidR="00FD4B72" w:rsidRPr="00E23A2F">
        <w:t>equations</w:t>
      </w:r>
      <w:r w:rsidR="00825970">
        <w:t>;</w:t>
      </w:r>
      <w:r w:rsidRPr="00E23A2F">
        <w:t xml:space="preserve"> </w:t>
      </w:r>
    </w:p>
    <w:p w:rsidR="00177017" w:rsidRPr="00E23A2F" w:rsidRDefault="00A0325D" w:rsidP="007E1871">
      <w:pPr>
        <w:pStyle w:val="Bullet"/>
        <w:rPr>
          <w:b/>
        </w:rPr>
      </w:pPr>
      <w:r>
        <w:t>p</w:t>
      </w:r>
      <w:r w:rsidR="00825970">
        <w:t xml:space="preserve">artial and leading </w:t>
      </w:r>
      <w:r w:rsidR="00AB4924" w:rsidRPr="00E23A2F">
        <w:t xml:space="preserve">indicator data (for example, </w:t>
      </w:r>
      <w:r w:rsidR="00825970">
        <w:t xml:space="preserve">retail sales for private consumption and </w:t>
      </w:r>
      <w:r w:rsidR="00AB4924" w:rsidRPr="00E23A2F">
        <w:t>building approvals for dwelling investment)</w:t>
      </w:r>
      <w:r w:rsidR="00825970">
        <w:t>;</w:t>
      </w:r>
      <w:r w:rsidR="00AB4924" w:rsidRPr="00E23A2F">
        <w:t xml:space="preserve"> </w:t>
      </w:r>
    </w:p>
    <w:p w:rsidR="00177017" w:rsidRPr="00E23A2F" w:rsidRDefault="00AB4924" w:rsidP="007E1871">
      <w:pPr>
        <w:pStyle w:val="Bullet"/>
        <w:rPr>
          <w:b/>
        </w:rPr>
      </w:pPr>
      <w:r w:rsidRPr="00E23A2F">
        <w:t xml:space="preserve">business surveys (for example, the ABS survey of capital expenditure intentions), </w:t>
      </w:r>
    </w:p>
    <w:p w:rsidR="00177017" w:rsidRPr="00E23A2F" w:rsidRDefault="00AB4924" w:rsidP="007E1871">
      <w:pPr>
        <w:pStyle w:val="Bullet"/>
        <w:rPr>
          <w:b/>
        </w:rPr>
      </w:pPr>
      <w:r w:rsidRPr="00E23A2F">
        <w:t xml:space="preserve">business liaison information, </w:t>
      </w:r>
    </w:p>
    <w:p w:rsidR="00177017" w:rsidRDefault="00AB4924" w:rsidP="007E1871">
      <w:pPr>
        <w:pStyle w:val="Bullet"/>
        <w:rPr>
          <w:b/>
        </w:rPr>
      </w:pPr>
      <w:r w:rsidRPr="00E23A2F">
        <w:t xml:space="preserve">information </w:t>
      </w:r>
      <w:r w:rsidR="00825970">
        <w:t>on general government expenditure received</w:t>
      </w:r>
      <w:r w:rsidRPr="00E23A2F">
        <w:t xml:space="preserve"> from </w:t>
      </w:r>
      <w:r w:rsidR="00825970">
        <w:t>Treasury</w:t>
      </w:r>
      <w:r w:rsidR="00832533">
        <w:t>’</w:t>
      </w:r>
      <w:r w:rsidR="00825970">
        <w:t xml:space="preserve">s </w:t>
      </w:r>
      <w:r w:rsidRPr="00E23A2F">
        <w:t xml:space="preserve">budget </w:t>
      </w:r>
      <w:r w:rsidR="00825970">
        <w:t>division</w:t>
      </w:r>
      <w:r w:rsidRPr="00E23A2F">
        <w:t xml:space="preserve">, the Department of Finance and </w:t>
      </w:r>
      <w:r w:rsidR="007E7C1F">
        <w:t xml:space="preserve">Deregulation (Finance) </w:t>
      </w:r>
      <w:r w:rsidR="00825970">
        <w:t>and S</w:t>
      </w:r>
      <w:r w:rsidRPr="00E23A2F">
        <w:t>tate Treasuries</w:t>
      </w:r>
      <w:r w:rsidR="00177017">
        <w:t>;</w:t>
      </w:r>
      <w:r w:rsidR="00836710">
        <w:t xml:space="preserve"> </w:t>
      </w:r>
      <w:r w:rsidRPr="00E23A2F">
        <w:t xml:space="preserve">and </w:t>
      </w:r>
    </w:p>
    <w:p w:rsidR="00AB1DF9" w:rsidRPr="00E23A2F" w:rsidRDefault="00825970" w:rsidP="007E1871">
      <w:pPr>
        <w:pStyle w:val="Bullet"/>
        <w:rPr>
          <w:b/>
        </w:rPr>
      </w:pPr>
      <w:r>
        <w:t xml:space="preserve">information from </w:t>
      </w:r>
      <w:r w:rsidR="00AB4924" w:rsidRPr="00E23A2F">
        <w:t>specialist agencies such as the Bureau of Resources and Energy Economics</w:t>
      </w:r>
      <w:r w:rsidR="0021385A">
        <w:t xml:space="preserve"> (BREE)</w:t>
      </w:r>
      <w:r w:rsidR="00AB4924" w:rsidRPr="00E23A2F">
        <w:t xml:space="preserve"> (</w:t>
      </w:r>
      <w:r>
        <w:t xml:space="preserve">on the outlook for </w:t>
      </w:r>
      <w:r w:rsidR="00AB4924" w:rsidRPr="00E23A2F">
        <w:t>non</w:t>
      </w:r>
      <w:r w:rsidR="00275D44">
        <w:noBreakHyphen/>
      </w:r>
      <w:r w:rsidR="00AB4924" w:rsidRPr="00E23A2F">
        <w:t>rural commodities) and the Australian Bureau of Agricultural and Resource Economics and Sciences (</w:t>
      </w:r>
      <w:r>
        <w:t xml:space="preserve">on the outlook for </w:t>
      </w:r>
      <w:r w:rsidR="00AB4924" w:rsidRPr="00E23A2F">
        <w:t>rural commodities).</w:t>
      </w:r>
      <w:r w:rsidR="005C6313" w:rsidRPr="00E23A2F">
        <w:t xml:space="preserve"> </w:t>
      </w:r>
    </w:p>
    <w:p w:rsidR="00AB1DF9" w:rsidRPr="00531A77" w:rsidRDefault="00AB1DF9" w:rsidP="007E1871">
      <w:r w:rsidRPr="00531A77">
        <w:t>The weight placed on each of these inputs is informed by economic theory, evolving economic trends, liaison information and forecasting experience.</w:t>
      </w:r>
      <w:r w:rsidR="00836710">
        <w:t xml:space="preserve"> </w:t>
      </w:r>
      <w:r w:rsidRPr="00531A77">
        <w:t>These factors all inform the judgement applied to pure model</w:t>
      </w:r>
      <w:r w:rsidR="00275D44">
        <w:noBreakHyphen/>
      </w:r>
      <w:r w:rsidRPr="00531A77">
        <w:t>driven forecasts.</w:t>
      </w:r>
      <w:r w:rsidR="00836710">
        <w:t xml:space="preserve"> </w:t>
      </w:r>
      <w:r w:rsidRPr="00531A77">
        <w:t xml:space="preserve">The analysts discuss their forecasts with their colleagues and management before presenting them to a meeting of all economists within the DED, where they are subjected to rigorous review. </w:t>
      </w:r>
    </w:p>
    <w:p w:rsidR="00177017" w:rsidRPr="00531A77" w:rsidRDefault="00177017" w:rsidP="007E1871">
      <w:r w:rsidRPr="00531A77">
        <w:t>An iterative process is used to ensure consistency between the various elements of the forecasts (for example, employment is an important influence on consumption and hence GDP, but GDP also strongly influences employment).</w:t>
      </w:r>
      <w:r w:rsidR="00836710">
        <w:t xml:space="preserve"> </w:t>
      </w:r>
      <w:r w:rsidRPr="00531A77">
        <w:t>The individual sector forecasts are currently linked together using the NAFF, rather than in an econometric model, although Treasury</w:t>
      </w:r>
      <w:r w:rsidR="00832533">
        <w:t>’</w:t>
      </w:r>
      <w:r w:rsidRPr="00531A77">
        <w:t>s TRYM macroeconomic model has been used as a consistency check.</w:t>
      </w:r>
      <w:r w:rsidR="00836710">
        <w:t xml:space="preserve"> </w:t>
      </w:r>
      <w:r w:rsidRPr="00531A77">
        <w:t>The model has not been used in this capacity for the past two years due to its redevelopment which is detailed later in th</w:t>
      </w:r>
      <w:r w:rsidR="00DD7193">
        <w:t>is section</w:t>
      </w:r>
      <w:r w:rsidRPr="00531A77">
        <w:t>.</w:t>
      </w:r>
    </w:p>
    <w:p w:rsidR="00E23A2F" w:rsidRPr="00FC2976" w:rsidRDefault="00595588" w:rsidP="007E1871">
      <w:r w:rsidRPr="00FC2976">
        <w:t>Treasury</w:t>
      </w:r>
      <w:r w:rsidR="00832533">
        <w:t>’</w:t>
      </w:r>
      <w:r w:rsidRPr="00FC2976">
        <w:t xml:space="preserve">s macroeconomic forecasts are </w:t>
      </w:r>
      <w:r w:rsidRPr="004C3123">
        <w:t xml:space="preserve">informed by discussions </w:t>
      </w:r>
      <w:r w:rsidR="00243D09">
        <w:t xml:space="preserve">held </w:t>
      </w:r>
      <w:r w:rsidRPr="00FC2976">
        <w:t xml:space="preserve">at three formal committee meetings </w:t>
      </w:r>
      <w:r w:rsidRPr="004C3123">
        <w:t>during each forecasting round:</w:t>
      </w:r>
      <w:r w:rsidR="00243D09">
        <w:t xml:space="preserve"> in particular;</w:t>
      </w:r>
      <w:r w:rsidRPr="00FC2976">
        <w:t xml:space="preserve"> </w:t>
      </w:r>
    </w:p>
    <w:p w:rsidR="00E23A2F" w:rsidRPr="007E1871" w:rsidRDefault="00595588" w:rsidP="007E1871">
      <w:pPr>
        <w:pStyle w:val="Bullet"/>
      </w:pPr>
      <w:r w:rsidRPr="00A0325D">
        <w:t>the international com</w:t>
      </w:r>
      <w:r w:rsidRPr="007E1871">
        <w:t>mittee meeting to discuss the global outlook (comprising Treasury and the RBA)</w:t>
      </w:r>
      <w:r w:rsidR="006752B9" w:rsidRPr="007E1871">
        <w:t>;</w:t>
      </w:r>
      <w:r w:rsidRPr="007E1871">
        <w:t xml:space="preserve"> </w:t>
      </w:r>
    </w:p>
    <w:p w:rsidR="00E23A2F" w:rsidRPr="007E1871" w:rsidRDefault="00595588" w:rsidP="007E1871">
      <w:pPr>
        <w:pStyle w:val="Bullet"/>
      </w:pPr>
      <w:r w:rsidRPr="007E1871">
        <w:t xml:space="preserve">the public committee meeting to discuss the general government forecasts (comprising Treasury, the RBA, </w:t>
      </w:r>
      <w:r w:rsidR="007E7C1F" w:rsidRPr="007E1871">
        <w:t>Finance</w:t>
      </w:r>
      <w:r w:rsidRPr="007E1871">
        <w:t xml:space="preserve"> and the ABS)</w:t>
      </w:r>
      <w:r w:rsidR="006752B9" w:rsidRPr="007E1871">
        <w:t>;</w:t>
      </w:r>
      <w:r w:rsidRPr="007E1871">
        <w:t xml:space="preserve"> and </w:t>
      </w:r>
    </w:p>
    <w:p w:rsidR="00595588" w:rsidRPr="00A0325D" w:rsidRDefault="00595588" w:rsidP="007E1871">
      <w:pPr>
        <w:pStyle w:val="Bullet"/>
      </w:pPr>
      <w:r w:rsidRPr="007E1871">
        <w:t>the balance of payments meeting to discuss the export forecasts, predominantly the outlook for non</w:t>
      </w:r>
      <w:r w:rsidR="00275D44">
        <w:noBreakHyphen/>
      </w:r>
      <w:r w:rsidRPr="007E1871">
        <w:t>rural commodity exports (comprising Treasury, the RBA, the ABS and BREE).</w:t>
      </w:r>
      <w:r w:rsidR="00836710" w:rsidRPr="007E1871">
        <w:t xml:space="preserve"> </w:t>
      </w:r>
    </w:p>
    <w:p w:rsidR="007E7C1F" w:rsidRDefault="00595588" w:rsidP="007E1871">
      <w:r w:rsidRPr="00531A77">
        <w:t>An internal quality test of the forecasts follows by presenting them to senior management within Treasury.</w:t>
      </w:r>
      <w:r w:rsidR="00836710">
        <w:t xml:space="preserve"> </w:t>
      </w:r>
      <w:r w:rsidRPr="00531A77">
        <w:t xml:space="preserve">They are then subject to </w:t>
      </w:r>
      <w:r w:rsidR="00E23A2F">
        <w:t xml:space="preserve">formal </w:t>
      </w:r>
      <w:r w:rsidR="006752B9" w:rsidRPr="00531A77">
        <w:t xml:space="preserve">peer </w:t>
      </w:r>
      <w:r w:rsidRPr="00531A77">
        <w:t>assessment at the Joint Economic Forecasting Group (JEFG</w:t>
      </w:r>
      <w:r w:rsidRPr="00FC2976">
        <w:t>) meeting, which meets three times a year (</w:t>
      </w:r>
      <w:r w:rsidR="007E7C1F" w:rsidRPr="00FC2976">
        <w:t xml:space="preserve">but </w:t>
      </w:r>
      <w:r w:rsidRPr="004C3123">
        <w:t xml:space="preserve">not during the June round), where the forecasts are discussed with representatives from the RBA, the Department of the Prime Minister and Cabinet, Finance </w:t>
      </w:r>
      <w:r w:rsidRPr="00715C95">
        <w:t>and the ABS</w:t>
      </w:r>
      <w:r w:rsidR="003D34A5">
        <w:t xml:space="preserve">. </w:t>
      </w:r>
      <w:r w:rsidR="007E7C1F" w:rsidRPr="003F6CBD">
        <w:t>Treasury also maintains an ongoing dialogue on the macroeconomic outlook with private sector forecasters, particularly those employed in financial markets.</w:t>
      </w:r>
    </w:p>
    <w:p w:rsidR="00070F57" w:rsidRPr="000C2FED" w:rsidRDefault="00070F57" w:rsidP="007E1871">
      <w:r w:rsidRPr="00FA15F5">
        <w:t xml:space="preserve">A stylised schematic of the </w:t>
      </w:r>
      <w:r>
        <w:t xml:space="preserve">macroeconomic </w:t>
      </w:r>
      <w:r w:rsidRPr="00FA15F5">
        <w:t xml:space="preserve">forecasting framework is provided in </w:t>
      </w:r>
      <w:r>
        <w:t>Figure</w:t>
      </w:r>
      <w:r w:rsidRPr="00FA15F5">
        <w:t xml:space="preserve"> 2</w:t>
      </w:r>
      <w:r>
        <w:t>.1</w:t>
      </w:r>
      <w:r w:rsidRPr="00FA15F5">
        <w:t>, below.</w:t>
      </w:r>
    </w:p>
    <w:p w:rsidR="00AC26C0" w:rsidRPr="00FE207E" w:rsidRDefault="001B44AC" w:rsidP="00A552E5">
      <w:pPr>
        <w:pStyle w:val="ChartMainHeading"/>
        <w:spacing w:after="120"/>
      </w:pPr>
      <w:r>
        <w:lastRenderedPageBreak/>
        <w:t>Figure</w:t>
      </w:r>
      <w:r w:rsidR="00AC26C0" w:rsidRPr="00FE207E">
        <w:t xml:space="preserve"> </w:t>
      </w:r>
      <w:r w:rsidR="00A552E5">
        <w:t>2.</w:t>
      </w:r>
      <w:r w:rsidR="00ED0945" w:rsidRPr="00FE207E">
        <w:t>1</w:t>
      </w:r>
      <w:r w:rsidR="00880152" w:rsidRPr="00FE207E">
        <w:t>:</w:t>
      </w:r>
      <w:r w:rsidR="00832533">
        <w:t xml:space="preserve"> </w:t>
      </w:r>
      <w:r w:rsidR="00880152" w:rsidRPr="00FE207E">
        <w:t xml:space="preserve">Macroeconomic </w:t>
      </w:r>
      <w:r w:rsidR="00083510" w:rsidRPr="00FE207E">
        <w:t xml:space="preserve">Forecasting </w:t>
      </w:r>
      <w:r w:rsidR="00880152" w:rsidRPr="00FE207E">
        <w:t>Framework</w:t>
      </w:r>
    </w:p>
    <w:p w:rsidR="00083510" w:rsidRPr="00FE207E" w:rsidRDefault="00B5115C" w:rsidP="00F27B62">
      <w:pPr>
        <w:pStyle w:val="Bullet"/>
        <w:numPr>
          <w:ilvl w:val="0"/>
          <w:numId w:val="0"/>
        </w:numPr>
        <w:spacing w:line="240" w:lineRule="auto"/>
        <w:jc w:val="center"/>
      </w:pPr>
      <w:r w:rsidRPr="00B5115C">
        <w:rPr>
          <w:noProof/>
        </w:rPr>
        <w:drawing>
          <wp:inline distT="0" distB="0" distL="0" distR="0" wp14:anchorId="176295D6" wp14:editId="3C1AF73A">
            <wp:extent cx="5731510" cy="4929433"/>
            <wp:effectExtent l="0" t="0" r="2540" b="5080"/>
            <wp:docPr id="6" name="Picture 6" descr="The figure shows a stylised flow chart of the macroeconomic forecasting framework in three levels.  At the top level are the forecasting inputs (historical data, business surveys, exogenous assumptions, business liaison, policy information, international forecasts, partial indicators, expenditure information and tax information) which flow into the middle level, where models and judgement inform the National Account Forecasting Framework, which flow into the bottom level where macroeconomic forecasts and then parameters are produced." title="Figure 2.1: Macroeconomic Forecast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929433"/>
                    </a:xfrm>
                    <a:prstGeom prst="rect">
                      <a:avLst/>
                    </a:prstGeom>
                    <a:noFill/>
                    <a:ln>
                      <a:noFill/>
                    </a:ln>
                  </pic:spPr>
                </pic:pic>
              </a:graphicData>
            </a:graphic>
          </wp:inline>
        </w:drawing>
      </w:r>
    </w:p>
    <w:p w:rsidR="00C233DF" w:rsidRPr="00531A77" w:rsidRDefault="00C233DF" w:rsidP="004C2EEE">
      <w:pPr>
        <w:pStyle w:val="Heading3"/>
        <w:jc w:val="both"/>
      </w:pPr>
      <w:r w:rsidRPr="00531A77">
        <w:t xml:space="preserve">Recent </w:t>
      </w:r>
      <w:r w:rsidR="00194198" w:rsidRPr="00531A77">
        <w:t>i</w:t>
      </w:r>
      <w:r w:rsidRPr="00531A77">
        <w:t xml:space="preserve">mprovements to </w:t>
      </w:r>
      <w:r w:rsidR="00C30CD1" w:rsidRPr="00531A77">
        <w:t>macroeconomic forecasting methodology</w:t>
      </w:r>
    </w:p>
    <w:p w:rsidR="00492C81" w:rsidRPr="00531A77" w:rsidRDefault="00C30CD1" w:rsidP="007E1871">
      <w:r w:rsidRPr="00531A77">
        <w:t xml:space="preserve">Treasury </w:t>
      </w:r>
      <w:r w:rsidR="00C65DA8" w:rsidRPr="00531A77">
        <w:t xml:space="preserve">is </w:t>
      </w:r>
      <w:r w:rsidR="00492C81" w:rsidRPr="00531A77">
        <w:t>continuously look</w:t>
      </w:r>
      <w:r w:rsidR="00C65DA8" w:rsidRPr="00531A77">
        <w:t>ing</w:t>
      </w:r>
      <w:r w:rsidR="00492C81" w:rsidRPr="00531A77">
        <w:t xml:space="preserve"> to improve forecasting </w:t>
      </w:r>
      <w:r w:rsidR="00070F57">
        <w:t>methodology</w:t>
      </w:r>
      <w:r w:rsidR="00572309" w:rsidRPr="00531A77">
        <w:t xml:space="preserve"> </w:t>
      </w:r>
      <w:r w:rsidR="00070F57">
        <w:t xml:space="preserve">and processes </w:t>
      </w:r>
      <w:r w:rsidR="00572309" w:rsidRPr="00531A77">
        <w:t xml:space="preserve">to </w:t>
      </w:r>
      <w:r w:rsidR="006B378D">
        <w:t>enhance</w:t>
      </w:r>
      <w:r w:rsidR="00572309" w:rsidRPr="00531A77">
        <w:t xml:space="preserve"> the </w:t>
      </w:r>
      <w:r w:rsidR="006777E6" w:rsidRPr="00531A77">
        <w:t>quality of</w:t>
      </w:r>
      <w:r w:rsidR="00572309" w:rsidRPr="00531A77">
        <w:t xml:space="preserve"> </w:t>
      </w:r>
      <w:r w:rsidR="006B378D">
        <w:t>its</w:t>
      </w:r>
      <w:r w:rsidR="00572309" w:rsidRPr="00531A77">
        <w:t xml:space="preserve"> macroeconomic forecast</w:t>
      </w:r>
      <w:r w:rsidR="006B378D">
        <w:t>s</w:t>
      </w:r>
      <w:r w:rsidR="006777E6" w:rsidRPr="00531A77">
        <w:t>, the efficiency with which they</w:t>
      </w:r>
      <w:r w:rsidR="00572309" w:rsidRPr="00531A77">
        <w:t xml:space="preserve"> are produced</w:t>
      </w:r>
      <w:r w:rsidR="006777E6" w:rsidRPr="00531A77">
        <w:t>,</w:t>
      </w:r>
      <w:r w:rsidR="00572309" w:rsidRPr="00531A77">
        <w:t xml:space="preserve"> and to incorporate </w:t>
      </w:r>
      <w:r w:rsidR="00901344" w:rsidRPr="00531A77">
        <w:t xml:space="preserve">the </w:t>
      </w:r>
      <w:r w:rsidR="00572309" w:rsidRPr="00531A77">
        <w:t>latest advances in forecasting technologies</w:t>
      </w:r>
      <w:r w:rsidR="00492C81" w:rsidRPr="00531A77">
        <w:t>.</w:t>
      </w:r>
      <w:r w:rsidR="00836710">
        <w:t xml:space="preserve"> </w:t>
      </w:r>
      <w:r w:rsidR="00572309" w:rsidRPr="00531A77">
        <w:t xml:space="preserve">In the current constrained budget environment this approach </w:t>
      </w:r>
      <w:r w:rsidR="0059673F" w:rsidRPr="00531A77">
        <w:t xml:space="preserve">has </w:t>
      </w:r>
      <w:r w:rsidR="00572309" w:rsidRPr="00531A77">
        <w:t>even</w:t>
      </w:r>
      <w:r w:rsidR="0059673F" w:rsidRPr="00531A77">
        <w:t xml:space="preserve"> greater relevance</w:t>
      </w:r>
      <w:r w:rsidR="00572309" w:rsidRPr="00531A77">
        <w:t>.</w:t>
      </w:r>
      <w:r w:rsidR="00836710">
        <w:t xml:space="preserve"> </w:t>
      </w:r>
      <w:r w:rsidR="00492C81" w:rsidRPr="00531A77">
        <w:t>For the purposes of this review</w:t>
      </w:r>
      <w:r w:rsidR="0070283E" w:rsidRPr="00531A77">
        <w:t>,</w:t>
      </w:r>
      <w:r w:rsidR="00492C81" w:rsidRPr="00531A77">
        <w:t xml:space="preserve"> it is </w:t>
      </w:r>
      <w:r w:rsidR="00104E37" w:rsidRPr="00531A77">
        <w:t>important</w:t>
      </w:r>
      <w:r w:rsidR="00492C81" w:rsidRPr="00531A77">
        <w:t xml:space="preserve"> to highlight </w:t>
      </w:r>
      <w:r w:rsidR="006B378D">
        <w:t xml:space="preserve">the following </w:t>
      </w:r>
      <w:r w:rsidR="00104E37" w:rsidRPr="00531A77">
        <w:t>areas of recent focus</w:t>
      </w:r>
      <w:r w:rsidR="00492C81" w:rsidRPr="00531A77">
        <w:t>.</w:t>
      </w:r>
    </w:p>
    <w:p w:rsidR="00206195" w:rsidRPr="00EF78D3" w:rsidRDefault="00206195" w:rsidP="00836710">
      <w:pPr>
        <w:pStyle w:val="Heading4"/>
        <w:rPr>
          <w:b/>
        </w:rPr>
      </w:pPr>
      <w:r w:rsidRPr="00EF78D3">
        <w:t>Technical Adviser</w:t>
      </w:r>
    </w:p>
    <w:p w:rsidR="00206195" w:rsidRPr="00531A77" w:rsidRDefault="00206195" w:rsidP="007E1871">
      <w:pPr>
        <w:rPr>
          <w:lang w:val="en"/>
        </w:rPr>
      </w:pPr>
      <w:r w:rsidRPr="00531A77">
        <w:t>Treasury established a dedicated technical advising role in DED in mid</w:t>
      </w:r>
      <w:r w:rsidR="00275D44">
        <w:noBreakHyphen/>
      </w:r>
      <w:r w:rsidRPr="00531A77">
        <w:t>2009.</w:t>
      </w:r>
      <w:r w:rsidR="00836710">
        <w:t xml:space="preserve"> </w:t>
      </w:r>
      <w:r w:rsidRPr="00531A77">
        <w:t xml:space="preserve">The Technical Adviser is </w:t>
      </w:r>
      <w:r w:rsidR="0092255D" w:rsidRPr="00531A77">
        <w:t>in effect</w:t>
      </w:r>
      <w:r w:rsidRPr="00531A77">
        <w:t xml:space="preserve"> DED</w:t>
      </w:r>
      <w:r w:rsidR="00832533">
        <w:t>’</w:t>
      </w:r>
      <w:r w:rsidRPr="00531A77">
        <w:t>s Chief Knowledge Officer</w:t>
      </w:r>
      <w:r w:rsidR="006777E6" w:rsidRPr="00531A77">
        <w:t xml:space="preserve">, and </w:t>
      </w:r>
      <w:r w:rsidRPr="00531A77">
        <w:t xml:space="preserve">is </w:t>
      </w:r>
      <w:r w:rsidRPr="00531A77">
        <w:rPr>
          <w:lang w:val="en"/>
        </w:rPr>
        <w:t>responsible for administering knowledge management practices in the division, which includes:</w:t>
      </w:r>
    </w:p>
    <w:p w:rsidR="00206195" w:rsidRPr="007E1871" w:rsidRDefault="001A4A6E" w:rsidP="007E1871">
      <w:pPr>
        <w:pStyle w:val="Bullet"/>
      </w:pPr>
      <w:r>
        <w:rPr>
          <w:lang w:val="en"/>
        </w:rPr>
        <w:t>d</w:t>
      </w:r>
      <w:r w:rsidRPr="00531A77">
        <w:rPr>
          <w:lang w:val="en"/>
        </w:rPr>
        <w:t>eveloping</w:t>
      </w:r>
      <w:r w:rsidR="003129A3" w:rsidRPr="00531A77">
        <w:rPr>
          <w:lang w:val="en"/>
        </w:rPr>
        <w:t>,</w:t>
      </w:r>
      <w:r w:rsidR="00206195" w:rsidRPr="00531A77">
        <w:rPr>
          <w:lang w:val="en"/>
        </w:rPr>
        <w:t xml:space="preserve"> an</w:t>
      </w:r>
      <w:r w:rsidR="00206195" w:rsidRPr="007E1871">
        <w:t xml:space="preserve"> overall framework that guides</w:t>
      </w:r>
      <w:r w:rsidR="00DA4CA8" w:rsidRPr="007E1871">
        <w:t>,</w:t>
      </w:r>
      <w:r w:rsidR="00206195" w:rsidRPr="007E1871">
        <w:t xml:space="preserve"> </w:t>
      </w:r>
      <w:r w:rsidR="00DA4CA8" w:rsidRPr="007E1871">
        <w:t>and actively promot</w:t>
      </w:r>
      <w:r w:rsidR="00901344" w:rsidRPr="007E1871">
        <w:t>es</w:t>
      </w:r>
      <w:r w:rsidR="00DA4CA8" w:rsidRPr="007E1871">
        <w:t xml:space="preserve">, </w:t>
      </w:r>
      <w:r w:rsidR="00206195" w:rsidRPr="007E1871">
        <w:t>macroeconomic technical skills development and training within</w:t>
      </w:r>
      <w:r w:rsidR="0092255D" w:rsidRPr="007E1871">
        <w:t>,</w:t>
      </w:r>
      <w:r w:rsidR="00206195" w:rsidRPr="007E1871">
        <w:t xml:space="preserve"> and beyond</w:t>
      </w:r>
      <w:r w:rsidR="0092255D" w:rsidRPr="007E1871">
        <w:t>,</w:t>
      </w:r>
      <w:r w:rsidR="00206195" w:rsidRPr="007E1871">
        <w:t xml:space="preserve"> </w:t>
      </w:r>
      <w:r w:rsidR="00DA4CA8" w:rsidRPr="007E1871">
        <w:t>DED</w:t>
      </w:r>
      <w:r w:rsidR="00206195" w:rsidRPr="007E1871">
        <w:t>;</w:t>
      </w:r>
    </w:p>
    <w:p w:rsidR="00206195" w:rsidRPr="007E1871" w:rsidRDefault="001A4A6E" w:rsidP="007E1871">
      <w:pPr>
        <w:pStyle w:val="Bullet"/>
      </w:pPr>
      <w:r>
        <w:t>o</w:t>
      </w:r>
      <w:r w:rsidRPr="007E1871">
        <w:t xml:space="preserve">verseeing </w:t>
      </w:r>
      <w:r w:rsidR="00206195" w:rsidRPr="007E1871">
        <w:t xml:space="preserve">the documentation of forecasting </w:t>
      </w:r>
      <w:r w:rsidR="003129A3" w:rsidRPr="007E1871">
        <w:t>methodology</w:t>
      </w:r>
      <w:r w:rsidR="00206195" w:rsidRPr="007E1871">
        <w:t>; and</w:t>
      </w:r>
    </w:p>
    <w:p w:rsidR="00206195" w:rsidRPr="00531A77" w:rsidRDefault="001A4A6E" w:rsidP="007E1871">
      <w:pPr>
        <w:pStyle w:val="Bullet"/>
        <w:rPr>
          <w:b/>
          <w:lang w:val="en"/>
        </w:rPr>
      </w:pPr>
      <w:r>
        <w:t>f</w:t>
      </w:r>
      <w:r w:rsidRPr="007E1871">
        <w:t xml:space="preserve">acilitating </w:t>
      </w:r>
      <w:r w:rsidR="00206195" w:rsidRPr="007E1871">
        <w:t>collab</w:t>
      </w:r>
      <w:r w:rsidR="00206195" w:rsidRPr="00531A77">
        <w:rPr>
          <w:lang w:val="en"/>
        </w:rPr>
        <w:t>oration, coordination and communication within</w:t>
      </w:r>
      <w:r w:rsidR="00CE7631" w:rsidRPr="00531A77">
        <w:rPr>
          <w:lang w:val="en"/>
        </w:rPr>
        <w:t>,</w:t>
      </w:r>
      <w:r w:rsidR="00206195" w:rsidRPr="00531A77">
        <w:rPr>
          <w:lang w:val="en"/>
        </w:rPr>
        <w:t xml:space="preserve"> and beyond</w:t>
      </w:r>
      <w:r w:rsidR="00CE7631" w:rsidRPr="00531A77">
        <w:rPr>
          <w:lang w:val="en"/>
        </w:rPr>
        <w:t>,</w:t>
      </w:r>
      <w:r w:rsidR="00206195" w:rsidRPr="00531A77">
        <w:rPr>
          <w:lang w:val="en"/>
        </w:rPr>
        <w:t xml:space="preserve"> </w:t>
      </w:r>
      <w:r w:rsidR="00CE7631" w:rsidRPr="00531A77">
        <w:rPr>
          <w:lang w:val="en"/>
        </w:rPr>
        <w:t>DED</w:t>
      </w:r>
      <w:r w:rsidR="00206195" w:rsidRPr="00531A77">
        <w:rPr>
          <w:lang w:val="en"/>
        </w:rPr>
        <w:t>.</w:t>
      </w:r>
    </w:p>
    <w:p w:rsidR="00206195" w:rsidRPr="00531A77" w:rsidRDefault="00206195" w:rsidP="007E1871">
      <w:r w:rsidRPr="00531A77">
        <w:lastRenderedPageBreak/>
        <w:t xml:space="preserve">The </w:t>
      </w:r>
      <w:r w:rsidR="006777E6" w:rsidRPr="00531A77">
        <w:t>Technical</w:t>
      </w:r>
      <w:r w:rsidRPr="00531A77">
        <w:t xml:space="preserve"> Adviser </w:t>
      </w:r>
      <w:r w:rsidR="006777E6" w:rsidRPr="00531A77">
        <w:t xml:space="preserve">is an </w:t>
      </w:r>
      <w:r w:rsidRPr="00531A77">
        <w:t>SES Band 1 with a PhD in economics, a research track</w:t>
      </w:r>
      <w:r w:rsidR="00275D44">
        <w:noBreakHyphen/>
      </w:r>
      <w:r w:rsidRPr="00531A77">
        <w:t>record (including publications in top general and field journals), post</w:t>
      </w:r>
      <w:r w:rsidR="00275D44">
        <w:noBreakHyphen/>
      </w:r>
      <w:r w:rsidRPr="00531A77">
        <w:t>graduate teaching experience, extensive peer</w:t>
      </w:r>
      <w:r w:rsidR="00275D44">
        <w:noBreakHyphen/>
      </w:r>
      <w:r w:rsidRPr="00531A77">
        <w:t xml:space="preserve">review experience, and over 10 years professional experience in a </w:t>
      </w:r>
      <w:r w:rsidR="00070F57">
        <w:t xml:space="preserve">macroeconomic </w:t>
      </w:r>
      <w:r w:rsidRPr="00531A77">
        <w:t>policy advising/forecasting role.</w:t>
      </w:r>
    </w:p>
    <w:p w:rsidR="00206195" w:rsidRPr="00715C95" w:rsidRDefault="00206195" w:rsidP="007E1871">
      <w:r w:rsidRPr="00531A77">
        <w:t>The knowledge management framework developed by the Technical Adviser is purpose</w:t>
      </w:r>
      <w:r w:rsidR="00275D44">
        <w:noBreakHyphen/>
      </w:r>
      <w:r w:rsidRPr="00531A77">
        <w:t>built to deliver effective</w:t>
      </w:r>
      <w:r w:rsidR="0021385A">
        <w:t xml:space="preserve"> d</w:t>
      </w:r>
      <w:r w:rsidRPr="00531A77">
        <w:t>evelopment</w:t>
      </w:r>
      <w:r w:rsidR="0021385A">
        <w:t>,</w:t>
      </w:r>
      <w:r w:rsidRPr="00531A77">
        <w:t xml:space="preserve"> </w:t>
      </w:r>
      <w:r w:rsidR="0021385A" w:rsidRPr="00531A77">
        <w:t xml:space="preserve">dissemination and documentation </w:t>
      </w:r>
      <w:r w:rsidRPr="00531A77">
        <w:t>of macroeconomic knowledge.</w:t>
      </w:r>
      <w:r w:rsidR="00836710">
        <w:t xml:space="preserve"> </w:t>
      </w:r>
      <w:r w:rsidRPr="00531A77">
        <w:t>Most elements have been in place for two years.</w:t>
      </w:r>
      <w:r w:rsidR="00836710">
        <w:t xml:space="preserve"> </w:t>
      </w:r>
      <w:r w:rsidRPr="00531A77">
        <w:t>This framework has allowed DED to move its training and econometrics and modelling to leading edge practices</w:t>
      </w:r>
      <w:r w:rsidR="0021385A">
        <w:t>,</w:t>
      </w:r>
      <w:r w:rsidRPr="00531A77">
        <w:t xml:space="preserve"> which have been incorporated into </w:t>
      </w:r>
      <w:r w:rsidRPr="00715C95">
        <w:t>producing the macroeconomic forecasts.</w:t>
      </w:r>
    </w:p>
    <w:p w:rsidR="00114BC3" w:rsidRPr="00531A77" w:rsidRDefault="00375ABC" w:rsidP="007E1871">
      <w:r w:rsidRPr="00460A38">
        <w:t xml:space="preserve">Attachment </w:t>
      </w:r>
      <w:r w:rsidR="00EF78D3" w:rsidRPr="00460A38">
        <w:t>B</w:t>
      </w:r>
      <w:r w:rsidR="00114BC3" w:rsidRPr="00715C95">
        <w:t xml:space="preserve"> provides mor</w:t>
      </w:r>
      <w:r w:rsidR="00114BC3" w:rsidRPr="00531A77">
        <w:t>e information on the role of the technical adviser.</w:t>
      </w:r>
    </w:p>
    <w:p w:rsidR="009569C2" w:rsidRPr="00EF78D3" w:rsidRDefault="00094899" w:rsidP="00836710">
      <w:pPr>
        <w:pStyle w:val="Heading4"/>
        <w:rPr>
          <w:b/>
        </w:rPr>
      </w:pPr>
      <w:r w:rsidRPr="00EF78D3">
        <w:t>Single</w:t>
      </w:r>
      <w:r w:rsidR="00275D44">
        <w:noBreakHyphen/>
      </w:r>
      <w:r w:rsidR="00307627" w:rsidRPr="00EF78D3">
        <w:t xml:space="preserve">equation </w:t>
      </w:r>
      <w:r w:rsidRPr="00EF78D3">
        <w:t xml:space="preserve">econometric </w:t>
      </w:r>
      <w:r w:rsidR="00307627" w:rsidRPr="00EF78D3">
        <w:t>models</w:t>
      </w:r>
    </w:p>
    <w:p w:rsidR="00BB7C8F" w:rsidRPr="00531A77" w:rsidRDefault="00094899" w:rsidP="007E1871">
      <w:r w:rsidRPr="00531A77">
        <w:t>A</w:t>
      </w:r>
      <w:r w:rsidR="00ED05AB" w:rsidRPr="00531A77">
        <w:t>s indicated above, single</w:t>
      </w:r>
      <w:r w:rsidR="00275D44">
        <w:noBreakHyphen/>
      </w:r>
      <w:r w:rsidR="00ED05AB" w:rsidRPr="00531A77">
        <w:t xml:space="preserve">equation econometric models are the principal input to </w:t>
      </w:r>
      <w:r w:rsidR="00D63BF1" w:rsidRPr="00531A77">
        <w:t>Treasury</w:t>
      </w:r>
      <w:r w:rsidR="00832533">
        <w:t>’</w:t>
      </w:r>
      <w:r w:rsidR="00D63BF1" w:rsidRPr="00531A77">
        <w:t>s macroeconomic forecast</w:t>
      </w:r>
      <w:r w:rsidR="00ED05AB" w:rsidRPr="00531A77">
        <w:t xml:space="preserve">ing approach, providing </w:t>
      </w:r>
      <w:r w:rsidR="00206195" w:rsidRPr="00531A77">
        <w:t>a</w:t>
      </w:r>
      <w:r w:rsidR="00ED05AB" w:rsidRPr="00531A77">
        <w:t>n empirical</w:t>
      </w:r>
      <w:r w:rsidR="00206195" w:rsidRPr="00531A77">
        <w:t xml:space="preserve"> framework </w:t>
      </w:r>
      <w:r w:rsidR="00ED05AB" w:rsidRPr="00531A77">
        <w:t>for forecasting key</w:t>
      </w:r>
      <w:r w:rsidR="00206195" w:rsidRPr="00531A77">
        <w:t xml:space="preserve"> variables.</w:t>
      </w:r>
      <w:r w:rsidR="00836710">
        <w:t xml:space="preserve"> </w:t>
      </w:r>
      <w:r w:rsidR="00206195" w:rsidRPr="00531A77">
        <w:t xml:space="preserve">With assistance from the Technical Adviser, </w:t>
      </w:r>
      <w:r w:rsidR="00D63BF1" w:rsidRPr="00531A77">
        <w:t xml:space="preserve">DED has </w:t>
      </w:r>
      <w:r w:rsidR="00206195" w:rsidRPr="00531A77">
        <w:t xml:space="preserve">been through a process </w:t>
      </w:r>
      <w:r w:rsidR="00ED05AB" w:rsidRPr="00531A77">
        <w:t xml:space="preserve">over the past two years </w:t>
      </w:r>
      <w:r w:rsidR="00206195" w:rsidRPr="00531A77">
        <w:t xml:space="preserve">of refreshing, testing and documenting the </w:t>
      </w:r>
      <w:r w:rsidR="00D63BF1" w:rsidRPr="00531A77">
        <w:t xml:space="preserve">suite </w:t>
      </w:r>
      <w:r w:rsidR="00206195" w:rsidRPr="00531A77">
        <w:t xml:space="preserve">of </w:t>
      </w:r>
      <w:r w:rsidR="00D63BF1" w:rsidRPr="00531A77">
        <w:t>models</w:t>
      </w:r>
      <w:r w:rsidR="00206195" w:rsidRPr="00531A77">
        <w:t xml:space="preserve"> used to produce macroeconomic forecasts</w:t>
      </w:r>
      <w:r w:rsidR="00D63BF1" w:rsidRPr="00531A77">
        <w:t>.</w:t>
      </w:r>
      <w:r w:rsidR="00836710">
        <w:t xml:space="preserve"> </w:t>
      </w:r>
      <w:r w:rsidR="00ED05AB" w:rsidRPr="00531A77">
        <w:t>This has led to tangible improvements in the modelling of</w:t>
      </w:r>
      <w:r w:rsidR="00D63BF1" w:rsidRPr="00531A77">
        <w:t xml:space="preserve"> household consumption, new dwelling investment, elaborately transformed manufactured exports, services exports, endogenous imports and employment, wages and the CPI.</w:t>
      </w:r>
      <w:r w:rsidR="00836710">
        <w:t xml:space="preserve"> </w:t>
      </w:r>
    </w:p>
    <w:p w:rsidR="00BE4A27" w:rsidRPr="00531A77" w:rsidRDefault="00BE4A27" w:rsidP="007E1871">
      <w:r w:rsidRPr="00531A77">
        <w:t>Treasury has also developed a coincident indicator which combines a</w:t>
      </w:r>
      <w:r w:rsidR="00BC2709" w:rsidRPr="00531A77">
        <w:t>round 20 different economic data series t</w:t>
      </w:r>
      <w:r w:rsidRPr="00531A77">
        <w:t xml:space="preserve">o provide a </w:t>
      </w:r>
      <w:r w:rsidR="00DD3A20" w:rsidRPr="00531A77">
        <w:t>timely summary measure of domestic economic activity</w:t>
      </w:r>
      <w:r w:rsidR="0070244C">
        <w:t>. The coincident indicator</w:t>
      </w:r>
      <w:r w:rsidR="00836710">
        <w:t xml:space="preserve"> </w:t>
      </w:r>
      <w:r w:rsidR="000523B5" w:rsidRPr="00531A77">
        <w:t xml:space="preserve">is used as an input into </w:t>
      </w:r>
      <w:r w:rsidR="0070244C">
        <w:t>the preparation of the near</w:t>
      </w:r>
      <w:r w:rsidR="00275D44">
        <w:noBreakHyphen/>
      </w:r>
      <w:r w:rsidR="0070244C">
        <w:t>term forecasts.</w:t>
      </w:r>
    </w:p>
    <w:p w:rsidR="00E75867" w:rsidRPr="00EF78D3" w:rsidRDefault="00E75867" w:rsidP="00E75867">
      <w:pPr>
        <w:pStyle w:val="Heading4"/>
        <w:rPr>
          <w:b/>
        </w:rPr>
      </w:pPr>
      <w:r w:rsidRPr="00EF78D3">
        <w:t>Business Liaison</w:t>
      </w:r>
    </w:p>
    <w:p w:rsidR="00E75867" w:rsidRPr="00D52162" w:rsidRDefault="00E75867" w:rsidP="00E75867">
      <w:r w:rsidRPr="00D52162">
        <w:t>Treasury</w:t>
      </w:r>
      <w:r>
        <w:t>’</w:t>
      </w:r>
      <w:r w:rsidRPr="00D52162">
        <w:t>s Business Liaison Program has maintained contact with organisations across Australia for over a decade and is an integral part of the forecasting process.</w:t>
      </w:r>
      <w:r>
        <w:t xml:space="preserve"> </w:t>
      </w:r>
      <w:r w:rsidRPr="00D52162">
        <w:t>Companies from major industry sectors participate in the program, ranging in size from large multinationals to smaller localised firms.</w:t>
      </w:r>
      <w:r>
        <w:t xml:space="preserve"> A</w:t>
      </w:r>
      <w:r w:rsidRPr="00D52162">
        <w:t>s part of the JEFG process</w:t>
      </w:r>
      <w:r>
        <w:t>,</w:t>
      </w:r>
      <w:r w:rsidRPr="00D52162">
        <w:t xml:space="preserve"> Treasury </w:t>
      </w:r>
      <w:r>
        <w:t xml:space="preserve">also </w:t>
      </w:r>
      <w:r w:rsidRPr="00D52162">
        <w:t xml:space="preserve">consults with the RBA and BREE on the key </w:t>
      </w:r>
      <w:r>
        <w:t>insights</w:t>
      </w:r>
      <w:r w:rsidRPr="00D52162">
        <w:t xml:space="preserve"> from their </w:t>
      </w:r>
      <w:r>
        <w:t xml:space="preserve">liaison </w:t>
      </w:r>
      <w:r w:rsidRPr="00D52162">
        <w:t>programs</w:t>
      </w:r>
      <w:r>
        <w:t xml:space="preserve">, given </w:t>
      </w:r>
      <w:r w:rsidRPr="00D52162">
        <w:t xml:space="preserve">the RBA runs a </w:t>
      </w:r>
      <w:r>
        <w:t xml:space="preserve">much </w:t>
      </w:r>
      <w:r w:rsidRPr="00D52162">
        <w:t>larger program</w:t>
      </w:r>
      <w:r>
        <w:t xml:space="preserve"> than Treasury, </w:t>
      </w:r>
      <w:r w:rsidRPr="00D52162">
        <w:t xml:space="preserve">and </w:t>
      </w:r>
      <w:r>
        <w:t xml:space="preserve">the </w:t>
      </w:r>
      <w:r w:rsidRPr="00D52162">
        <w:t>BREE</w:t>
      </w:r>
      <w:r>
        <w:t xml:space="preserve">’s program is more </w:t>
      </w:r>
      <w:r w:rsidRPr="00D52162">
        <w:t xml:space="preserve">targeted </w:t>
      </w:r>
      <w:r>
        <w:t xml:space="preserve">towards </w:t>
      </w:r>
      <w:r w:rsidRPr="00D52162">
        <w:t>mining and energy sector companies.</w:t>
      </w:r>
    </w:p>
    <w:p w:rsidR="00E75867" w:rsidRPr="00D52162" w:rsidRDefault="00E75867" w:rsidP="00E75867">
      <w:r w:rsidRPr="00D52162">
        <w:t xml:space="preserve">The information collected from liaison is used to inform analyst judgement of their </w:t>
      </w:r>
      <w:r>
        <w:t>near</w:t>
      </w:r>
      <w:r w:rsidR="00275D44">
        <w:noBreakHyphen/>
      </w:r>
      <w:r w:rsidRPr="00D52162">
        <w:t>term forecasts and to test and identify key emerging trends in the economy.</w:t>
      </w:r>
    </w:p>
    <w:p w:rsidR="00E75867" w:rsidRPr="00D52162" w:rsidRDefault="00E75867" w:rsidP="00E75867">
      <w:r w:rsidRPr="00D52162">
        <w:t>There are two distinct purposes of the Treasury program.</w:t>
      </w:r>
      <w:r>
        <w:t xml:space="preserve"> </w:t>
      </w:r>
      <w:r w:rsidRPr="00D52162">
        <w:t xml:space="preserve">The first, and most substantive part of the program, is to develop a detailed understanding of the economic conditions being faced by business and </w:t>
      </w:r>
      <w:r>
        <w:t xml:space="preserve">their </w:t>
      </w:r>
      <w:r w:rsidRPr="00D52162">
        <w:t>likely respon</w:t>
      </w:r>
      <w:r>
        <w:t>se</w:t>
      </w:r>
      <w:r w:rsidRPr="00D52162">
        <w:t xml:space="preserve"> to evolving economic conditions.</w:t>
      </w:r>
      <w:r>
        <w:t xml:space="preserve"> </w:t>
      </w:r>
      <w:r w:rsidRPr="00D52162">
        <w:t>The second is to gain information as a specific input into the macroeconomic forecasts</w:t>
      </w:r>
      <w:r>
        <w:t>,</w:t>
      </w:r>
      <w:r w:rsidRPr="00D52162">
        <w:t xml:space="preserve"> including for capital expenditure and export volumes.</w:t>
      </w:r>
    </w:p>
    <w:p w:rsidR="00E75867" w:rsidRPr="00D52162" w:rsidRDefault="00E75867" w:rsidP="00E75867">
      <w:r w:rsidRPr="00D52162">
        <w:t>Liaison rounds are conducted each quarter, approximately two weeks before the start of each forecasting round, with major rounds held in February and August, prior to the preparation of forecasts for the Budget and the MYEFO. The program is managed within DED with between 120</w:t>
      </w:r>
      <w:r w:rsidR="00C87217">
        <w:t> </w:t>
      </w:r>
      <w:r w:rsidRPr="00D52162">
        <w:t>and 150 face</w:t>
      </w:r>
      <w:r w:rsidR="00275D44">
        <w:noBreakHyphen/>
      </w:r>
      <w:r w:rsidRPr="00D52162">
        <w:t>to</w:t>
      </w:r>
      <w:r w:rsidR="00275D44">
        <w:noBreakHyphen/>
      </w:r>
      <w:r w:rsidRPr="00D52162">
        <w:t>face interviews conducted each year.</w:t>
      </w:r>
    </w:p>
    <w:p w:rsidR="00E75867" w:rsidRPr="00D52162" w:rsidRDefault="00E75867" w:rsidP="00E75867">
      <w:r w:rsidRPr="00D52162">
        <w:t>The program was refocussed at the beginning of 2012 and divided into two streams, a core and a revolving stream.</w:t>
      </w:r>
      <w:r>
        <w:t xml:space="preserve"> </w:t>
      </w:r>
      <w:r w:rsidRPr="00D52162">
        <w:t xml:space="preserve">The core stream involves around 20 companies across a range of critical sectors of the economy, including miners, manufacturers, retailers and key suppliers of intermediate goods and services </w:t>
      </w:r>
      <w:r>
        <w:t>(</w:t>
      </w:r>
      <w:r w:rsidRPr="00D52162">
        <w:t>such as law firms, recruitment firms, palette makers, and transport and logistics providers</w:t>
      </w:r>
      <w:r>
        <w:t>)</w:t>
      </w:r>
      <w:r w:rsidR="00C87217">
        <w:t xml:space="preserve">. </w:t>
      </w:r>
      <w:r w:rsidRPr="00D52162">
        <w:t xml:space="preserve">It is intended that Treasury SES officers maintain contact with the same firms each quarter, with a </w:t>
      </w:r>
      <w:r w:rsidRPr="00D52162">
        <w:lastRenderedPageBreak/>
        <w:t>focus on relationship building and discussions around current activity and the outlook</w:t>
      </w:r>
      <w:r>
        <w:t>,</w:t>
      </w:r>
      <w:r w:rsidRPr="00D52162">
        <w:t xml:space="preserve"> as opposed to a set of structured questions.</w:t>
      </w:r>
    </w:p>
    <w:p w:rsidR="00E75867" w:rsidRPr="00D52162" w:rsidRDefault="00E75867" w:rsidP="00E75867">
      <w:r w:rsidRPr="00D52162">
        <w:t>The revolving stream is a new flexible component of the program.</w:t>
      </w:r>
      <w:r>
        <w:t xml:space="preserve"> </w:t>
      </w:r>
      <w:r w:rsidRPr="00D52162">
        <w:t>Prior to each forecasting round, key challenges and particularly important sectors of the economy are identified.</w:t>
      </w:r>
      <w:r>
        <w:t xml:space="preserve"> </w:t>
      </w:r>
      <w:r w:rsidRPr="00D52162">
        <w:t>Liaison contacts in those specific sectors or regions are then targeted to provide more qualitative information to inform the forecasts.</w:t>
      </w:r>
      <w:r>
        <w:t xml:space="preserve"> </w:t>
      </w:r>
    </w:p>
    <w:p w:rsidR="00E75867" w:rsidRDefault="00E75867" w:rsidP="00E75867">
      <w:r w:rsidRPr="00D52162">
        <w:t>Treasury continues to look at innovative ways to connect with more businesses through existing networks and channels.</w:t>
      </w:r>
      <w:r>
        <w:t xml:space="preserve"> </w:t>
      </w:r>
      <w:r w:rsidRPr="00D52162">
        <w:t>For example, building on past work with Business Chambers to set up roundtables with a range of their members across diverse sectors and firm</w:t>
      </w:r>
      <w:r>
        <w:t>s</w:t>
      </w:r>
      <w:r w:rsidR="00AB294E">
        <w:t xml:space="preserve">. And, </w:t>
      </w:r>
      <w:r>
        <w:t xml:space="preserve">drawing upon </w:t>
      </w:r>
      <w:r w:rsidRPr="00D52162">
        <w:t>other Government agencies, such as Enterprise Connect, who regular</w:t>
      </w:r>
      <w:r>
        <w:t>ly meet</w:t>
      </w:r>
      <w:r w:rsidRPr="00D52162">
        <w:t xml:space="preserve"> with business.</w:t>
      </w:r>
    </w:p>
    <w:tbl>
      <w:tblPr>
        <w:tblW w:w="9072" w:type="dxa"/>
        <w:tblInd w:w="108" w:type="dxa"/>
        <w:shd w:val="clear" w:color="auto" w:fill="C6D9F1"/>
        <w:tblLook w:val="01E0" w:firstRow="1" w:lastRow="1" w:firstColumn="1" w:lastColumn="1" w:noHBand="0" w:noVBand="0"/>
      </w:tblPr>
      <w:tblGrid>
        <w:gridCol w:w="9072"/>
      </w:tblGrid>
      <w:tr w:rsidR="00F27B62" w:rsidTr="00876FF5">
        <w:tc>
          <w:tcPr>
            <w:tcW w:w="5000" w:type="pct"/>
            <w:shd w:val="clear" w:color="auto" w:fill="C6D9F1"/>
          </w:tcPr>
          <w:p w:rsidR="00F27B62" w:rsidRDefault="00F27B62" w:rsidP="005A23A2">
            <w:pPr>
              <w:pStyle w:val="BoxHeading"/>
              <w:spacing w:before="180"/>
              <w:rPr>
                <w:bCs/>
              </w:rPr>
            </w:pPr>
            <w:r w:rsidRPr="00F42E03">
              <w:rPr>
                <w:u w:val="single"/>
              </w:rPr>
              <w:t>Recommendation 1</w:t>
            </w:r>
            <w:r w:rsidRPr="00F42E03">
              <w:t>:</w:t>
            </w:r>
          </w:p>
          <w:p w:rsidR="00F27B62" w:rsidRPr="008950C5" w:rsidRDefault="00F27B62" w:rsidP="005A23A2">
            <w:pPr>
              <w:pStyle w:val="BoxText"/>
              <w:spacing w:before="120" w:after="180"/>
              <w:rPr>
                <w:bCs w:val="0"/>
              </w:rPr>
            </w:pPr>
            <w:r w:rsidRPr="00F42E03">
              <w:t>Given the importance of information on economic conditions obtained from business liaison</w:t>
            </w:r>
            <w:r>
              <w:t xml:space="preserve"> — </w:t>
            </w:r>
            <w:r w:rsidRPr="00F42E03">
              <w:t>and the capacity of this source to inform the forecasts</w:t>
            </w:r>
            <w:r>
              <w:t xml:space="preserve"> — </w:t>
            </w:r>
            <w:r w:rsidRPr="00F42E03">
              <w:t>Treasury should investigate with the Reserve Bank of Australia more formal channels through which to exchange insights from their respective programs, such as during the quarterly joint forecasting rounds (without compromising the confidentiality of liaison contacts). Similarly, Treasury should also investigate whether further information can be drawn from the Australian Tax</w:t>
            </w:r>
            <w:r>
              <w:t>ation</w:t>
            </w:r>
            <w:r w:rsidRPr="00F42E03">
              <w:t xml:space="preserve"> Office’s liaison with large corporate taxpayers for revenue forecasting purposes.</w:t>
            </w:r>
          </w:p>
        </w:tc>
      </w:tr>
    </w:tbl>
    <w:p w:rsidR="00C502D1" w:rsidRPr="00EF78D3" w:rsidRDefault="00C502D1" w:rsidP="000C2FED">
      <w:pPr>
        <w:pStyle w:val="Heading4"/>
        <w:spacing w:before="360"/>
        <w:rPr>
          <w:b/>
        </w:rPr>
      </w:pPr>
      <w:r w:rsidRPr="00EF78D3">
        <w:t xml:space="preserve">Treasury </w:t>
      </w:r>
      <w:r w:rsidR="007C5BCA" w:rsidRPr="00EF78D3">
        <w:t xml:space="preserve">Macroeconomic </w:t>
      </w:r>
      <w:r w:rsidRPr="00EF78D3">
        <w:t>Model (TRYM)</w:t>
      </w:r>
    </w:p>
    <w:p w:rsidR="00C502D1" w:rsidRPr="00531A77" w:rsidRDefault="00C502D1" w:rsidP="007E1871">
      <w:r w:rsidRPr="00531A77">
        <w:t>TRYM is effectively a one</w:t>
      </w:r>
      <w:r w:rsidR="00275D44">
        <w:noBreakHyphen/>
      </w:r>
      <w:r w:rsidRPr="00531A77">
        <w:t>sector, small</w:t>
      </w:r>
      <w:r w:rsidR="00275D44">
        <w:noBreakHyphen/>
      </w:r>
      <w:r w:rsidRPr="00531A77">
        <w:t>open</w:t>
      </w:r>
      <w:r w:rsidR="00275D44">
        <w:noBreakHyphen/>
      </w:r>
      <w:r w:rsidRPr="00531A77">
        <w:t>economy neoclassical growth model.</w:t>
      </w:r>
      <w:r w:rsidR="00836710">
        <w:t xml:space="preserve"> </w:t>
      </w:r>
      <w:r w:rsidRPr="00531A77">
        <w:t xml:space="preserve">DED has employed TRYM as a forecasting tool to varying degrees over the </w:t>
      </w:r>
      <w:r w:rsidR="00A57B65">
        <w:t>past</w:t>
      </w:r>
      <w:r w:rsidRPr="00531A77">
        <w:t xml:space="preserve"> 20</w:t>
      </w:r>
      <w:r w:rsidR="006F7E7E" w:rsidRPr="00531A77">
        <w:t> </w:t>
      </w:r>
      <w:r w:rsidRPr="00531A77">
        <w:t>years.</w:t>
      </w:r>
      <w:r w:rsidR="00836710">
        <w:t xml:space="preserve"> </w:t>
      </w:r>
      <w:r w:rsidRPr="00531A77">
        <w:t xml:space="preserve">TRYM has been used </w:t>
      </w:r>
      <w:r w:rsidR="00BB7C8F" w:rsidRPr="00531A77">
        <w:t xml:space="preserve">primarily </w:t>
      </w:r>
      <w:r w:rsidR="0070244C">
        <w:t>to provide</w:t>
      </w:r>
      <w:r w:rsidRPr="00531A77">
        <w:t xml:space="preserve"> a consistency check on the NAFF</w:t>
      </w:r>
      <w:r w:rsidR="00275D44">
        <w:noBreakHyphen/>
      </w:r>
      <w:r w:rsidRPr="00531A77">
        <w:t>derived forecast</w:t>
      </w:r>
      <w:r w:rsidR="0070244C">
        <w:t>, with</w:t>
      </w:r>
      <w:r w:rsidR="00836710">
        <w:t xml:space="preserve"> </w:t>
      </w:r>
      <w:r w:rsidR="00BE4A27" w:rsidRPr="00531A77">
        <w:t>divergences at an aggregate and component level</w:t>
      </w:r>
      <w:r w:rsidR="0070244C">
        <w:t xml:space="preserve"> identified and analysed by the sectoral specialists</w:t>
      </w:r>
      <w:r w:rsidR="00BE4A27" w:rsidRPr="00531A77">
        <w:t>.</w:t>
      </w:r>
      <w:r w:rsidR="00836710">
        <w:t xml:space="preserve"> </w:t>
      </w:r>
      <w:r w:rsidR="00BE4A27" w:rsidRPr="00531A77">
        <w:t xml:space="preserve">TRYM is also useful </w:t>
      </w:r>
      <w:r w:rsidR="00176B5F" w:rsidRPr="00531A77">
        <w:t xml:space="preserve">as a tool to run </w:t>
      </w:r>
      <w:r w:rsidR="00832533">
        <w:t>‘</w:t>
      </w:r>
      <w:r w:rsidR="0059673F" w:rsidRPr="00531A77">
        <w:t>what if</w:t>
      </w:r>
      <w:r w:rsidR="00832533">
        <w:t>’</w:t>
      </w:r>
      <w:r w:rsidR="0059673F" w:rsidRPr="00531A77">
        <w:t xml:space="preserve"> </w:t>
      </w:r>
      <w:r w:rsidR="00176B5F" w:rsidRPr="00531A77">
        <w:t xml:space="preserve">scenarios </w:t>
      </w:r>
      <w:r w:rsidR="0059673F" w:rsidRPr="00531A77">
        <w:t xml:space="preserve">where </w:t>
      </w:r>
      <w:r w:rsidR="00176B5F" w:rsidRPr="00531A77">
        <w:t xml:space="preserve">the model </w:t>
      </w:r>
      <w:r w:rsidR="0059673F" w:rsidRPr="00531A77">
        <w:t xml:space="preserve">is shocked </w:t>
      </w:r>
      <w:r w:rsidR="00176B5F" w:rsidRPr="00531A77">
        <w:t xml:space="preserve">and </w:t>
      </w:r>
      <w:r w:rsidR="0059673F" w:rsidRPr="00531A77">
        <w:t xml:space="preserve">the resulting </w:t>
      </w:r>
      <w:r w:rsidR="00176B5F" w:rsidRPr="00531A77">
        <w:t>output compared with a baseline</w:t>
      </w:r>
      <w:r w:rsidRPr="00531A77">
        <w:t>.</w:t>
      </w:r>
      <w:r w:rsidR="00836710">
        <w:t xml:space="preserve"> </w:t>
      </w:r>
    </w:p>
    <w:p w:rsidR="00A57B65" w:rsidRDefault="00C502D1" w:rsidP="007E1871">
      <w:r w:rsidRPr="00531A77">
        <w:t>Following a review in 2010</w:t>
      </w:r>
      <w:r w:rsidR="00FE1DFC" w:rsidRPr="00531A77">
        <w:t xml:space="preserve">, </w:t>
      </w:r>
      <w:r w:rsidRPr="00531A77">
        <w:t>DED, in collaboration with the Macroeconomic Modelling Division, has undertaken a major redesign of TRYM</w:t>
      </w:r>
      <w:r w:rsidR="00EC7712" w:rsidRPr="00531A77">
        <w:t>,</w:t>
      </w:r>
      <w:r w:rsidRPr="00531A77">
        <w:t xml:space="preserve"> with a view to simplifying the computational environment and harmonising the data and assumptions.</w:t>
      </w:r>
      <w:r w:rsidR="00836710">
        <w:t xml:space="preserve"> </w:t>
      </w:r>
      <w:r w:rsidRPr="00531A77">
        <w:t>This work has progressed along a number of dimensions.</w:t>
      </w:r>
      <w:r w:rsidR="00836710">
        <w:t xml:space="preserve"> </w:t>
      </w:r>
      <w:r w:rsidRPr="00531A77">
        <w:t>A joint DED</w:t>
      </w:r>
      <w:r w:rsidR="00275D44">
        <w:noBreakHyphen/>
      </w:r>
      <w:r w:rsidRPr="00531A77">
        <w:t>ABS working group has been established to</w:t>
      </w:r>
      <w:r w:rsidR="00A57B65">
        <w:t>:</w:t>
      </w:r>
    </w:p>
    <w:p w:rsidR="00A57B65" w:rsidRDefault="00C502D1" w:rsidP="00BC3C9B">
      <w:pPr>
        <w:pStyle w:val="Bullet"/>
      </w:pPr>
      <w:r w:rsidRPr="00531A77">
        <w:t xml:space="preserve">transfer ownership </w:t>
      </w:r>
      <w:r w:rsidR="00BB7C8F" w:rsidRPr="00531A77">
        <w:t xml:space="preserve">to the ABS </w:t>
      </w:r>
      <w:r w:rsidRPr="00531A77">
        <w:t xml:space="preserve">of numerous </w:t>
      </w:r>
      <w:r w:rsidR="00FE1DFC" w:rsidRPr="00531A77">
        <w:t>series</w:t>
      </w:r>
      <w:r w:rsidRPr="00531A77">
        <w:t xml:space="preserve"> currently constructed/inferred by Treasury for macro</w:t>
      </w:r>
      <w:r w:rsidR="006A0E04">
        <w:t>economic</w:t>
      </w:r>
      <w:r w:rsidRPr="00531A77">
        <w:t xml:space="preserve"> modelling purposes using ABS data</w:t>
      </w:r>
      <w:r w:rsidR="006A0E04">
        <w:t>;</w:t>
      </w:r>
      <w:r w:rsidRPr="00531A77">
        <w:t xml:space="preserve"> and </w:t>
      </w:r>
    </w:p>
    <w:p w:rsidR="006A0E04" w:rsidRDefault="00C502D1" w:rsidP="00BC3C9B">
      <w:pPr>
        <w:pStyle w:val="Bullet"/>
      </w:pPr>
      <w:r w:rsidRPr="00531A77">
        <w:t>regular</w:t>
      </w:r>
      <w:r w:rsidR="00BB7C8F" w:rsidRPr="00531A77">
        <w:t>ly</w:t>
      </w:r>
      <w:r w:rsidRPr="00531A77">
        <w:t xml:space="preserve"> peer</w:t>
      </w:r>
      <w:r w:rsidR="00275D44">
        <w:noBreakHyphen/>
      </w:r>
      <w:r w:rsidRPr="00531A77">
        <w:t>review</w:t>
      </w:r>
      <w:r w:rsidR="00FE1DFC" w:rsidRPr="00531A77">
        <w:t>ing</w:t>
      </w:r>
      <w:r w:rsidRPr="00531A77">
        <w:t xml:space="preserve"> Treasury</w:t>
      </w:r>
      <w:r w:rsidR="006A0E04">
        <w:t>’s</w:t>
      </w:r>
      <w:r w:rsidRPr="00531A77">
        <w:t xml:space="preserve"> macro</w:t>
      </w:r>
      <w:r w:rsidR="006A0E04">
        <w:t>economic</w:t>
      </w:r>
      <w:r w:rsidRPr="00531A77">
        <w:t xml:space="preserve"> modelling</w:t>
      </w:r>
      <w:r w:rsidR="00934FE9" w:rsidRPr="00531A77">
        <w:t xml:space="preserve"> and </w:t>
      </w:r>
      <w:r w:rsidRPr="00531A77">
        <w:t xml:space="preserve">data </w:t>
      </w:r>
      <w:r w:rsidR="00934FE9" w:rsidRPr="00531A77">
        <w:t>construction</w:t>
      </w:r>
      <w:r w:rsidRPr="00531A77">
        <w:t>.</w:t>
      </w:r>
      <w:r w:rsidR="00836710">
        <w:t xml:space="preserve"> </w:t>
      </w:r>
    </w:p>
    <w:p w:rsidR="00C502D1" w:rsidRPr="00531A77" w:rsidRDefault="00C502D1" w:rsidP="00BC3C9B">
      <w:pPr>
        <w:pStyle w:val="Bullet"/>
        <w:numPr>
          <w:ilvl w:val="0"/>
          <w:numId w:val="0"/>
        </w:numPr>
      </w:pPr>
      <w:r w:rsidRPr="00531A77">
        <w:t>Sectoral analysts in DED are responsible for the development and maintenance of TRYM</w:t>
      </w:r>
      <w:r w:rsidR="00832533">
        <w:t>’</w:t>
      </w:r>
      <w:r w:rsidRPr="00531A77">
        <w:t>s structural behavioural equations.</w:t>
      </w:r>
      <w:r w:rsidR="006A0E04">
        <w:t xml:space="preserve"> </w:t>
      </w:r>
      <w:r w:rsidRPr="00531A77">
        <w:t>On</w:t>
      </w:r>
      <w:r w:rsidR="00275D44">
        <w:noBreakHyphen/>
      </w:r>
      <w:r w:rsidRPr="00531A77">
        <w:t xml:space="preserve">going work is aimed at making TRYM consistent with </w:t>
      </w:r>
      <w:r w:rsidR="00832533">
        <w:t>‘</w:t>
      </w:r>
      <w:r w:rsidRPr="00531A77">
        <w:t>best practice</w:t>
      </w:r>
      <w:r w:rsidR="00832533">
        <w:t>’</w:t>
      </w:r>
      <w:r w:rsidRPr="00531A77">
        <w:t xml:space="preserve"> structural vector auto</w:t>
      </w:r>
      <w:r w:rsidR="00275D44">
        <w:noBreakHyphen/>
      </w:r>
      <w:r w:rsidRPr="00531A77">
        <w:t>regression methods by removing all ad</w:t>
      </w:r>
      <w:r w:rsidR="00275D44">
        <w:noBreakHyphen/>
      </w:r>
      <w:r w:rsidRPr="00531A77">
        <w:t>hoc forward</w:t>
      </w:r>
      <w:r w:rsidR="00275D44">
        <w:noBreakHyphen/>
      </w:r>
      <w:r w:rsidRPr="00531A77">
        <w:t>looking elements.</w:t>
      </w:r>
    </w:p>
    <w:p w:rsidR="006142D5" w:rsidRPr="00531A77" w:rsidRDefault="0059673F" w:rsidP="007E1871">
      <w:r w:rsidRPr="00531A77">
        <w:t>At the conclusion of this redevelopment</w:t>
      </w:r>
      <w:r w:rsidR="00ED05AB" w:rsidRPr="00531A77">
        <w:t>,</w:t>
      </w:r>
      <w:r w:rsidRPr="00531A77">
        <w:t xml:space="preserve"> </w:t>
      </w:r>
      <w:r w:rsidR="00A822F7" w:rsidRPr="00531A77">
        <w:t xml:space="preserve">TRYM </w:t>
      </w:r>
      <w:r w:rsidRPr="00531A77">
        <w:t>will be used to produce</w:t>
      </w:r>
      <w:r w:rsidR="006142D5" w:rsidRPr="00531A77">
        <w:t xml:space="preserve"> macroeconomic forecasts </w:t>
      </w:r>
      <w:r w:rsidRPr="00531A77">
        <w:t>and sensitivity analysis as an input into the NAFF</w:t>
      </w:r>
      <w:r w:rsidR="006142D5" w:rsidRPr="00531A77">
        <w:t>.</w:t>
      </w:r>
      <w:r w:rsidR="00836710">
        <w:t xml:space="preserve"> </w:t>
      </w:r>
      <w:r w:rsidR="006142D5" w:rsidRPr="00531A77">
        <w:t>Treasury is aiming for</w:t>
      </w:r>
      <w:r w:rsidR="00ED05AB" w:rsidRPr="00531A77">
        <w:t xml:space="preserve"> the redeveloped</w:t>
      </w:r>
      <w:r w:rsidR="006142D5" w:rsidRPr="00531A77">
        <w:t xml:space="preserve"> TRYM to be </w:t>
      </w:r>
      <w:r w:rsidR="00ED05AB" w:rsidRPr="00531A77">
        <w:t>fully operational</w:t>
      </w:r>
      <w:r w:rsidR="006142D5" w:rsidRPr="00531A77">
        <w:t xml:space="preserve"> </w:t>
      </w:r>
      <w:r w:rsidR="00A822F7" w:rsidRPr="00531A77">
        <w:t>for</w:t>
      </w:r>
      <w:r w:rsidR="006142D5" w:rsidRPr="00531A77">
        <w:t xml:space="preserve"> the Budget 2013 forecast round.</w:t>
      </w:r>
    </w:p>
    <w:p w:rsidR="00114BC3" w:rsidRDefault="00582B7B" w:rsidP="007E1871">
      <w:r w:rsidRPr="00531A77">
        <w:t xml:space="preserve">Further </w:t>
      </w:r>
      <w:r w:rsidR="00114BC3" w:rsidRPr="00531A77">
        <w:t>information on the TRYM model</w:t>
      </w:r>
      <w:r w:rsidR="00375ABC" w:rsidRPr="00531A77">
        <w:t xml:space="preserve"> is </w:t>
      </w:r>
      <w:r w:rsidR="00375ABC" w:rsidRPr="00715C95">
        <w:t xml:space="preserve">provided at </w:t>
      </w:r>
      <w:r w:rsidR="00375ABC" w:rsidRPr="00460A38">
        <w:t xml:space="preserve">Attachment </w:t>
      </w:r>
      <w:r w:rsidR="00EF78D3" w:rsidRPr="00460A38">
        <w:t>B</w:t>
      </w:r>
      <w:r w:rsidR="00114BC3" w:rsidRPr="00460A38">
        <w:t>.</w:t>
      </w:r>
    </w:p>
    <w:tbl>
      <w:tblPr>
        <w:tblW w:w="9072" w:type="dxa"/>
        <w:tblInd w:w="108" w:type="dxa"/>
        <w:shd w:val="clear" w:color="auto" w:fill="C6D9F1"/>
        <w:tblLook w:val="01E0" w:firstRow="1" w:lastRow="1" w:firstColumn="1" w:lastColumn="1" w:noHBand="0" w:noVBand="0"/>
      </w:tblPr>
      <w:tblGrid>
        <w:gridCol w:w="9072"/>
      </w:tblGrid>
      <w:tr w:rsidR="00F27B62" w:rsidTr="00876FF5">
        <w:tc>
          <w:tcPr>
            <w:tcW w:w="5000" w:type="pct"/>
            <w:shd w:val="clear" w:color="auto" w:fill="C6D9F1"/>
          </w:tcPr>
          <w:p w:rsidR="00F27B62" w:rsidRDefault="00F27B62" w:rsidP="0075508F">
            <w:pPr>
              <w:pStyle w:val="BoxHeading"/>
              <w:spacing w:before="180"/>
              <w:rPr>
                <w:bCs/>
              </w:rPr>
            </w:pPr>
            <w:r w:rsidRPr="00F42E03">
              <w:rPr>
                <w:u w:val="single"/>
              </w:rPr>
              <w:lastRenderedPageBreak/>
              <w:t>Recommendation </w:t>
            </w:r>
            <w:r>
              <w:rPr>
                <w:u w:val="single"/>
              </w:rPr>
              <w:t>2</w:t>
            </w:r>
            <w:r w:rsidRPr="00F42E03">
              <w:t>:</w:t>
            </w:r>
          </w:p>
          <w:p w:rsidR="00F27B62" w:rsidRPr="008950C5" w:rsidRDefault="00F27B62" w:rsidP="0075508F">
            <w:pPr>
              <w:pStyle w:val="BoxText"/>
              <w:spacing w:before="180" w:after="120"/>
              <w:rPr>
                <w:bCs w:val="0"/>
              </w:rPr>
            </w:pPr>
            <w:r w:rsidRPr="00F42E03">
              <w:t>A detailed assessment of the role, and appropriate type, of Treasury’s macro econometric model was beyond the scope of this Review.</w:t>
            </w:r>
            <w:r>
              <w:t xml:space="preserve"> </w:t>
            </w:r>
            <w:r w:rsidRPr="00F42E03">
              <w:t>However, the Review believes it is important to embed the redeveloped TRYM model into the economic forecasting process, both</w:t>
            </w:r>
            <w:r>
              <w:t xml:space="preserve"> </w:t>
            </w:r>
            <w:r w:rsidRPr="00F42E03">
              <w:t>as a complement to the existing forecasting framework and to facilitate analysis of the impact of shocks to the domestic economy.</w:t>
            </w:r>
          </w:p>
        </w:tc>
      </w:tr>
    </w:tbl>
    <w:p w:rsidR="00942FE9" w:rsidRPr="00EF78D3" w:rsidRDefault="008C627C" w:rsidP="000C2FED">
      <w:pPr>
        <w:pStyle w:val="Heading4"/>
        <w:spacing w:before="360"/>
        <w:rPr>
          <w:b/>
        </w:rPr>
      </w:pPr>
      <w:r w:rsidRPr="00EF78D3">
        <w:t>Odysseus</w:t>
      </w:r>
      <w:r w:rsidR="00597949" w:rsidRPr="00EF78D3">
        <w:t xml:space="preserve"> database</w:t>
      </w:r>
    </w:p>
    <w:p w:rsidR="00404ADC" w:rsidRPr="00D52162" w:rsidRDefault="00D6535B" w:rsidP="007E1871">
      <w:r w:rsidRPr="00D52162">
        <w:t>To undertake its forecasting and modelling work</w:t>
      </w:r>
      <w:r w:rsidR="006777E6" w:rsidRPr="00D52162">
        <w:t>,</w:t>
      </w:r>
      <w:r w:rsidRPr="00D52162">
        <w:t xml:space="preserve"> </w:t>
      </w:r>
      <w:r w:rsidR="008C627C" w:rsidRPr="00D52162">
        <w:t>DED uses a large number of economic time</w:t>
      </w:r>
      <w:r w:rsidR="00275D44">
        <w:noBreakHyphen/>
      </w:r>
      <w:r w:rsidR="008C627C" w:rsidRPr="00D52162">
        <w:t>series imported from many external sources.</w:t>
      </w:r>
      <w:r w:rsidR="00836710">
        <w:t xml:space="preserve"> </w:t>
      </w:r>
      <w:r w:rsidR="00404ADC" w:rsidRPr="00D52162">
        <w:t>The Treasury data holdings contain over 80,000 time</w:t>
      </w:r>
      <w:r w:rsidR="00275D44">
        <w:noBreakHyphen/>
      </w:r>
      <w:r w:rsidR="00404ADC" w:rsidRPr="00D52162">
        <w:t>series.</w:t>
      </w:r>
      <w:r w:rsidR="00836710">
        <w:t xml:space="preserve"> </w:t>
      </w:r>
      <w:r w:rsidR="00404ADC" w:rsidRPr="00D52162">
        <w:t>At monthly and quarterly intervals, new time</w:t>
      </w:r>
      <w:r w:rsidR="00275D44">
        <w:noBreakHyphen/>
      </w:r>
      <w:r w:rsidR="00404ADC" w:rsidRPr="00D52162">
        <w:t xml:space="preserve">series are retrieved and linked to historical </w:t>
      </w:r>
      <w:r w:rsidR="00E22129">
        <w:t>data</w:t>
      </w:r>
      <w:r w:rsidR="00404ADC" w:rsidRPr="00D52162">
        <w:t>.</w:t>
      </w:r>
      <w:r w:rsidR="00836710">
        <w:t xml:space="preserve"> </w:t>
      </w:r>
      <w:r w:rsidR="00404ADC" w:rsidRPr="00D52162">
        <w:t xml:space="preserve">The manual effort required to undertake this process and maintain data integrity was </w:t>
      </w:r>
      <w:r w:rsidR="006777E6" w:rsidRPr="00D52162">
        <w:t xml:space="preserve">particularly </w:t>
      </w:r>
      <w:r w:rsidR="00404ADC" w:rsidRPr="00D52162">
        <w:t>onerous.</w:t>
      </w:r>
    </w:p>
    <w:p w:rsidR="008C627C" w:rsidRPr="00D52162" w:rsidRDefault="00623A3B" w:rsidP="00A6138A">
      <w:r w:rsidRPr="00D52162">
        <w:t>Given th</w:t>
      </w:r>
      <w:r w:rsidR="00E22129">
        <w:t>e</w:t>
      </w:r>
      <w:r w:rsidRPr="00D52162">
        <w:t xml:space="preserve"> core </w:t>
      </w:r>
      <w:r w:rsidR="00E22129">
        <w:t xml:space="preserve">nature </w:t>
      </w:r>
      <w:r w:rsidRPr="00D52162">
        <w:t xml:space="preserve">of </w:t>
      </w:r>
      <w:r w:rsidR="00E22129">
        <w:t xml:space="preserve">this </w:t>
      </w:r>
      <w:r w:rsidRPr="00D52162">
        <w:t>work, DED</w:t>
      </w:r>
      <w:r w:rsidR="008C627C" w:rsidRPr="00D52162">
        <w:t xml:space="preserve"> has </w:t>
      </w:r>
      <w:r w:rsidR="00E22129">
        <w:t xml:space="preserve">made a significant </w:t>
      </w:r>
      <w:r w:rsidR="008C627C" w:rsidRPr="00D52162">
        <w:t>invest</w:t>
      </w:r>
      <w:r w:rsidR="00E22129">
        <w:t xml:space="preserve">ment </w:t>
      </w:r>
      <w:r w:rsidR="008C627C" w:rsidRPr="00D52162">
        <w:t>in a comprehensive database management program</w:t>
      </w:r>
      <w:r w:rsidRPr="00D52162">
        <w:t>, the Odysseus database</w:t>
      </w:r>
      <w:r w:rsidR="008C627C" w:rsidRPr="00D52162">
        <w:t>.</w:t>
      </w:r>
      <w:r w:rsidR="00836710">
        <w:t xml:space="preserve"> </w:t>
      </w:r>
      <w:r w:rsidR="008C627C" w:rsidRPr="00D52162">
        <w:t xml:space="preserve">The development of this database followed an independent review into data management and information practices within </w:t>
      </w:r>
      <w:r w:rsidR="000905C0" w:rsidRPr="00D52162">
        <w:t>DED</w:t>
      </w:r>
      <w:r w:rsidR="008C627C" w:rsidRPr="00D52162">
        <w:t xml:space="preserve"> that identified a number of </w:t>
      </w:r>
      <w:r w:rsidRPr="00D52162">
        <w:t>problems associated</w:t>
      </w:r>
      <w:r w:rsidR="008C627C" w:rsidRPr="00D52162">
        <w:t xml:space="preserve"> with using Microsoft Excel as the data management, storage and analysis program.</w:t>
      </w:r>
      <w:r w:rsidR="00E22129">
        <w:t xml:space="preserve"> </w:t>
      </w:r>
      <w:r w:rsidR="008C627C" w:rsidRPr="00D52162">
        <w:t xml:space="preserve">Many of the </w:t>
      </w:r>
      <w:r w:rsidR="00E22129">
        <w:t xml:space="preserve">data management </w:t>
      </w:r>
      <w:r w:rsidR="008C627C" w:rsidRPr="00D52162">
        <w:t xml:space="preserve">problems faced by </w:t>
      </w:r>
      <w:r w:rsidR="00404ADC" w:rsidRPr="00D52162">
        <w:t>DED</w:t>
      </w:r>
      <w:r w:rsidR="008C627C" w:rsidRPr="00D52162">
        <w:t xml:space="preserve"> </w:t>
      </w:r>
      <w:r w:rsidR="00C758FB" w:rsidRPr="00D52162">
        <w:t xml:space="preserve">related to the </w:t>
      </w:r>
      <w:r w:rsidR="008C627C" w:rsidRPr="00D52162">
        <w:t xml:space="preserve">size and complexity </w:t>
      </w:r>
      <w:r w:rsidR="00C758FB" w:rsidRPr="00D52162">
        <w:t xml:space="preserve">of the </w:t>
      </w:r>
      <w:r w:rsidR="00E22129">
        <w:t>time</w:t>
      </w:r>
      <w:r w:rsidR="00C758FB" w:rsidRPr="00D52162">
        <w:t xml:space="preserve"> series being maintained, </w:t>
      </w:r>
      <w:r w:rsidR="008C627C" w:rsidRPr="00D52162">
        <w:t xml:space="preserve">including </w:t>
      </w:r>
      <w:r w:rsidR="00C758FB" w:rsidRPr="00D52162">
        <w:t xml:space="preserve">the </w:t>
      </w:r>
      <w:r w:rsidR="00E22129">
        <w:t xml:space="preserve">great </w:t>
      </w:r>
      <w:r w:rsidR="00C758FB" w:rsidRPr="00D52162">
        <w:t xml:space="preserve">number of </w:t>
      </w:r>
      <w:r w:rsidR="008C627C" w:rsidRPr="00D52162">
        <w:t>links</w:t>
      </w:r>
      <w:r w:rsidR="00C758FB" w:rsidRPr="00D52162">
        <w:t xml:space="preserve"> between</w:t>
      </w:r>
      <w:r w:rsidR="008C627C" w:rsidRPr="00D52162">
        <w:t xml:space="preserve"> </w:t>
      </w:r>
      <w:r w:rsidR="00E22129">
        <w:t xml:space="preserve">Excel </w:t>
      </w:r>
      <w:r w:rsidR="008C627C" w:rsidRPr="00D52162">
        <w:t xml:space="preserve">worksheets </w:t>
      </w:r>
      <w:r w:rsidR="00C758FB" w:rsidRPr="00D52162">
        <w:t>and</w:t>
      </w:r>
      <w:r w:rsidR="008C627C" w:rsidRPr="00D52162">
        <w:t xml:space="preserve"> workbooks.</w:t>
      </w:r>
      <w:r w:rsidR="00836710">
        <w:t xml:space="preserve"> </w:t>
      </w:r>
      <w:r w:rsidR="008C627C" w:rsidRPr="00D52162">
        <w:t>Most of the time</w:t>
      </w:r>
      <w:r w:rsidR="00275D44">
        <w:noBreakHyphen/>
      </w:r>
      <w:r w:rsidR="008C627C" w:rsidRPr="00D52162">
        <w:t xml:space="preserve">series data used in Treasury </w:t>
      </w:r>
      <w:r w:rsidR="00C758FB" w:rsidRPr="00D52162">
        <w:t>are</w:t>
      </w:r>
      <w:r w:rsidR="008C627C" w:rsidRPr="00D52162">
        <w:t xml:space="preserve"> prov</w:t>
      </w:r>
      <w:r w:rsidR="00404ADC" w:rsidRPr="00D52162">
        <w:t>ided in Excel format.</w:t>
      </w:r>
    </w:p>
    <w:p w:rsidR="00752A22" w:rsidRPr="00D52162" w:rsidRDefault="008C627C" w:rsidP="00BC3C9B">
      <w:pPr>
        <w:spacing w:after="360"/>
      </w:pPr>
      <w:r w:rsidRPr="00D52162">
        <w:t xml:space="preserve">While mitigation strategies were </w:t>
      </w:r>
      <w:r w:rsidR="00C21579" w:rsidRPr="00D52162">
        <w:t xml:space="preserve">put </w:t>
      </w:r>
      <w:r w:rsidRPr="00D52162">
        <w:t>in place to deal with known risks, these strategies were resource intensive and relatively inefficient.</w:t>
      </w:r>
      <w:r w:rsidR="00836710">
        <w:t xml:space="preserve"> </w:t>
      </w:r>
      <w:r w:rsidRPr="00D52162">
        <w:t xml:space="preserve">The </w:t>
      </w:r>
      <w:r w:rsidR="000905C0" w:rsidRPr="00D52162">
        <w:t>Odysseus</w:t>
      </w:r>
      <w:r w:rsidR="00623A3B" w:rsidRPr="00D52162">
        <w:t xml:space="preserve"> </w:t>
      </w:r>
      <w:r w:rsidR="00E22129">
        <w:t xml:space="preserve">database </w:t>
      </w:r>
      <w:r w:rsidR="00623A3B" w:rsidRPr="00D52162">
        <w:t>ha</w:t>
      </w:r>
      <w:r w:rsidR="00E22129">
        <w:t>s</w:t>
      </w:r>
      <w:r w:rsidRPr="00D52162">
        <w:t xml:space="preserve"> reduce</w:t>
      </w:r>
      <w:r w:rsidR="00623A3B" w:rsidRPr="00D52162">
        <w:t>d</w:t>
      </w:r>
      <w:r w:rsidRPr="00D52162">
        <w:t xml:space="preserve"> operational risks; improve</w:t>
      </w:r>
      <w:r w:rsidR="00623A3B" w:rsidRPr="00D52162">
        <w:t>d</w:t>
      </w:r>
      <w:r w:rsidRPr="00D52162">
        <w:t xml:space="preserve"> data quality and integrity; provide</w:t>
      </w:r>
      <w:r w:rsidR="00623A3B" w:rsidRPr="00D52162">
        <w:t>d</w:t>
      </w:r>
      <w:r w:rsidRPr="00D52162">
        <w:t xml:space="preserve"> more efficient mechanisms for data capture and processing; improve</w:t>
      </w:r>
      <w:r w:rsidR="00623A3B" w:rsidRPr="00D52162">
        <w:t>d</w:t>
      </w:r>
      <w:r w:rsidRPr="00D52162">
        <w:t xml:space="preserve"> analytical capability and </w:t>
      </w:r>
      <w:r w:rsidR="00623A3B" w:rsidRPr="00D52162">
        <w:t>enabled analytical staff to spend more of their time on economic analysis instead of data checking</w:t>
      </w:r>
      <w:r w:rsidRPr="00D52162">
        <w:t>.</w:t>
      </w:r>
    </w:p>
    <w:p w:rsidR="00912DD7" w:rsidRPr="00D52162" w:rsidRDefault="00476FB2" w:rsidP="002C5E9D">
      <w:pPr>
        <w:pStyle w:val="Heading2"/>
      </w:pPr>
      <w:r w:rsidRPr="00D52162">
        <w:t>2.3</w:t>
      </w:r>
      <w:r w:rsidR="00D52162">
        <w:t>:</w:t>
      </w:r>
      <w:r w:rsidR="00836710">
        <w:t xml:space="preserve"> </w:t>
      </w:r>
      <w:r w:rsidRPr="00D52162">
        <w:t>Treasury</w:t>
      </w:r>
      <w:r w:rsidR="00832533">
        <w:t>’</w:t>
      </w:r>
      <w:r w:rsidRPr="00D52162">
        <w:t>s Approach to Revenue Forecasting</w:t>
      </w:r>
    </w:p>
    <w:p w:rsidR="0058768A" w:rsidRPr="00FA15F5" w:rsidRDefault="00460174" w:rsidP="00836710">
      <w:pPr>
        <w:pStyle w:val="Heading3"/>
      </w:pPr>
      <w:r w:rsidRPr="00FA15F5">
        <w:t>Summary</w:t>
      </w:r>
    </w:p>
    <w:p w:rsidR="00EA0D5C" w:rsidRPr="00FA15F5" w:rsidRDefault="000A0983" w:rsidP="007E1871">
      <w:pPr>
        <w:pStyle w:val="Bullet"/>
        <w:rPr>
          <w:b/>
        </w:rPr>
      </w:pPr>
      <w:r w:rsidRPr="00FA15F5">
        <w:t xml:space="preserve">Treasury </w:t>
      </w:r>
      <w:r w:rsidR="00390105" w:rsidRPr="00FA15F5">
        <w:t xml:space="preserve">revenue forecasting </w:t>
      </w:r>
      <w:r w:rsidR="008D3C43" w:rsidRPr="00FA15F5">
        <w:t>methodology</w:t>
      </w:r>
      <w:r w:rsidR="001E557E" w:rsidRPr="00FA15F5">
        <w:t xml:space="preserve"> </w:t>
      </w:r>
      <w:r w:rsidR="00DD3A20" w:rsidRPr="00FA15F5">
        <w:t>is similar to</w:t>
      </w:r>
      <w:r w:rsidR="008D3C43" w:rsidRPr="00FA15F5">
        <w:t xml:space="preserve"> comparable </w:t>
      </w:r>
      <w:r w:rsidR="00FF57FF" w:rsidRPr="00FA15F5">
        <w:t xml:space="preserve">official </w:t>
      </w:r>
      <w:r w:rsidR="001E557E" w:rsidRPr="00FA15F5">
        <w:t>agencies</w:t>
      </w:r>
      <w:r w:rsidR="002E18B7" w:rsidRPr="00FA15F5">
        <w:t xml:space="preserve"> overseas</w:t>
      </w:r>
      <w:r w:rsidR="00DC581E" w:rsidRPr="00FA15F5">
        <w:t>. Forecasts of taxation revenue are built</w:t>
      </w:r>
      <w:r w:rsidR="008D3C43" w:rsidRPr="00FA15F5">
        <w:t xml:space="preserve"> </w:t>
      </w:r>
      <w:r w:rsidR="00DC581E" w:rsidRPr="00FA15F5">
        <w:t xml:space="preserve">up from </w:t>
      </w:r>
      <w:r w:rsidR="008D3C43" w:rsidRPr="00FA15F5">
        <w:t>forecasts of individual revenue heads</w:t>
      </w:r>
      <w:r w:rsidR="00DC581E" w:rsidRPr="00FA15F5">
        <w:t>, which are</w:t>
      </w:r>
      <w:r w:rsidR="008D3C43" w:rsidRPr="00FA15F5">
        <w:t xml:space="preserve"> based on Treasury</w:t>
      </w:r>
      <w:r w:rsidR="00832533">
        <w:t>’</w:t>
      </w:r>
      <w:r w:rsidR="008D3C43" w:rsidRPr="00FA15F5">
        <w:t xml:space="preserve">s </w:t>
      </w:r>
      <w:r w:rsidR="00C04C31" w:rsidRPr="00FA15F5">
        <w:t xml:space="preserve">macroeconomic </w:t>
      </w:r>
      <w:r w:rsidR="008D3C43" w:rsidRPr="00FA15F5">
        <w:t>forecasts of the relevant economic base</w:t>
      </w:r>
      <w:r w:rsidR="00DC581E" w:rsidRPr="00FA15F5">
        <w:t xml:space="preserve">, and </w:t>
      </w:r>
      <w:r w:rsidR="00974F14" w:rsidRPr="00FA15F5">
        <w:t>mapping models</w:t>
      </w:r>
      <w:r w:rsidR="00DC581E" w:rsidRPr="00FA15F5">
        <w:t>,</w:t>
      </w:r>
      <w:r w:rsidR="00974F14" w:rsidRPr="00FA15F5">
        <w:t xml:space="preserve"> which account for the differences between </w:t>
      </w:r>
      <w:r w:rsidR="00DC581E" w:rsidRPr="00FA15F5">
        <w:t xml:space="preserve">taxable and </w:t>
      </w:r>
      <w:r w:rsidR="00974F14" w:rsidRPr="00FA15F5">
        <w:t xml:space="preserve">economic </w:t>
      </w:r>
      <w:r w:rsidR="00DC581E" w:rsidRPr="00FA15F5">
        <w:t>bases</w:t>
      </w:r>
      <w:r w:rsidR="008D3C43" w:rsidRPr="00FA15F5">
        <w:t>.</w:t>
      </w:r>
    </w:p>
    <w:p w:rsidR="002C5C88" w:rsidRPr="00FA15F5" w:rsidRDefault="00EA0D5C" w:rsidP="007E1871">
      <w:pPr>
        <w:pStyle w:val="Bullet"/>
      </w:pPr>
      <w:r w:rsidRPr="00FA15F5">
        <w:t>Revenue forecasts are subject to internal review</w:t>
      </w:r>
      <w:r w:rsidR="00390105" w:rsidRPr="00FA15F5">
        <w:t>,</w:t>
      </w:r>
      <w:r w:rsidRPr="00FA15F5">
        <w:t xml:space="preserve"> ahead of </w:t>
      </w:r>
      <w:r w:rsidR="00CC312B">
        <w:t xml:space="preserve">formal </w:t>
      </w:r>
      <w:r w:rsidR="00FF57FF" w:rsidRPr="00FA15F5">
        <w:t xml:space="preserve">peer </w:t>
      </w:r>
      <w:r w:rsidRPr="00FA15F5">
        <w:t>review at revenue conferences held with the Australian Tax Office</w:t>
      </w:r>
      <w:r w:rsidR="005F68EA">
        <w:t xml:space="preserve"> and Customs</w:t>
      </w:r>
      <w:r w:rsidRPr="00FA15F5">
        <w:t>.</w:t>
      </w:r>
    </w:p>
    <w:p w:rsidR="00F73646" w:rsidRPr="00FA15F5" w:rsidRDefault="000A0983" w:rsidP="007E1871">
      <w:pPr>
        <w:pStyle w:val="Bullet"/>
      </w:pPr>
      <w:r w:rsidRPr="00FA15F5">
        <w:t xml:space="preserve">Treasury overhauled its </w:t>
      </w:r>
      <w:r w:rsidR="00D31563" w:rsidRPr="00FA15F5">
        <w:t xml:space="preserve">revenue forecasting methodology </w:t>
      </w:r>
      <w:r w:rsidR="006C5616" w:rsidRPr="00FA15F5">
        <w:t xml:space="preserve">in response to the </w:t>
      </w:r>
      <w:r w:rsidR="00D17837" w:rsidRPr="00FA15F5">
        <w:t>recommendations</w:t>
      </w:r>
      <w:r w:rsidR="006C5616" w:rsidRPr="00FA15F5">
        <w:t xml:space="preserve"> of </w:t>
      </w:r>
      <w:r w:rsidR="00F73646" w:rsidRPr="00FA15F5">
        <w:t xml:space="preserve">the </w:t>
      </w:r>
      <w:r w:rsidRPr="00226C99">
        <w:t xml:space="preserve">2005 </w:t>
      </w:r>
      <w:r w:rsidR="00F73646" w:rsidRPr="00226C99">
        <w:t>R</w:t>
      </w:r>
      <w:r w:rsidRPr="00226C99">
        <w:t>eview</w:t>
      </w:r>
      <w:r w:rsidR="006A730A" w:rsidRPr="00FA15F5">
        <w:rPr>
          <w:i/>
        </w:rPr>
        <w:t xml:space="preserve">. </w:t>
      </w:r>
      <w:r w:rsidR="006A730A" w:rsidRPr="00FA15F5">
        <w:t xml:space="preserve">The </w:t>
      </w:r>
      <w:r w:rsidR="002E18B7" w:rsidRPr="00FA15F5">
        <w:t xml:space="preserve">2005 </w:t>
      </w:r>
      <w:r w:rsidR="006A730A" w:rsidRPr="00FA15F5">
        <w:t>Review</w:t>
      </w:r>
      <w:r w:rsidR="00D31563" w:rsidRPr="00FA15F5">
        <w:t xml:space="preserve"> </w:t>
      </w:r>
      <w:r w:rsidR="00F73646" w:rsidRPr="00FA15F5">
        <w:t xml:space="preserve">found that </w:t>
      </w:r>
      <w:r w:rsidR="006A730A" w:rsidRPr="00FA15F5">
        <w:t>Treasury</w:t>
      </w:r>
      <w:r w:rsidR="00F73646" w:rsidRPr="00FA15F5">
        <w:t xml:space="preserve"> was underestimating revenue, </w:t>
      </w:r>
      <w:r w:rsidR="006C5616" w:rsidRPr="00FA15F5">
        <w:t xml:space="preserve">in large part because </w:t>
      </w:r>
      <w:r w:rsidR="007D5890">
        <w:t xml:space="preserve">Treasury had </w:t>
      </w:r>
      <w:r w:rsidR="00F73646" w:rsidRPr="00FA15F5">
        <w:t>an inadequate understanding of the relationship between the nominal economy and</w:t>
      </w:r>
      <w:r w:rsidR="007D5890">
        <w:t xml:space="preserve"> revenue and, related to this,observation, </w:t>
      </w:r>
      <w:r w:rsidR="00DD3A20" w:rsidRPr="00FA15F5">
        <w:t>Treasury</w:t>
      </w:r>
      <w:r w:rsidR="00F73646" w:rsidRPr="00FA15F5">
        <w:t xml:space="preserve"> had underinvested in taxation revenue data.</w:t>
      </w:r>
    </w:p>
    <w:p w:rsidR="000A0983" w:rsidRPr="00FA15F5" w:rsidRDefault="00DD3A20" w:rsidP="007E1871">
      <w:pPr>
        <w:pStyle w:val="Bullet"/>
        <w:rPr>
          <w:b/>
        </w:rPr>
      </w:pPr>
      <w:r w:rsidRPr="00FA15F5">
        <w:t xml:space="preserve">Treasury </w:t>
      </w:r>
      <w:r w:rsidR="008D3C43" w:rsidRPr="00FA15F5">
        <w:t xml:space="preserve">is continually looking </w:t>
      </w:r>
      <w:r w:rsidR="00974F14" w:rsidRPr="00FA15F5">
        <w:t>at</w:t>
      </w:r>
      <w:r w:rsidR="008D3C43" w:rsidRPr="00FA15F5">
        <w:t xml:space="preserve"> </w:t>
      </w:r>
      <w:r w:rsidR="00DA7356" w:rsidRPr="00FA15F5">
        <w:t xml:space="preserve">ways to </w:t>
      </w:r>
      <w:r w:rsidR="002C5C88" w:rsidRPr="00FA15F5">
        <w:t>improve its forecasting methodology</w:t>
      </w:r>
      <w:r w:rsidR="00EA0D5C" w:rsidRPr="00FA15F5">
        <w:t>, including in response to forecast error</w:t>
      </w:r>
      <w:r w:rsidRPr="00FA15F5">
        <w:t>s</w:t>
      </w:r>
      <w:r w:rsidR="00EA0D5C" w:rsidRPr="00FA15F5">
        <w:t>. It is currently investigating the use of micro simulation models to forecast individual income tax revenue.</w:t>
      </w:r>
    </w:p>
    <w:p w:rsidR="0023428F" w:rsidRPr="00FA15F5" w:rsidRDefault="00460174" w:rsidP="00836710">
      <w:pPr>
        <w:pStyle w:val="Heading3"/>
      </w:pPr>
      <w:r w:rsidRPr="00FA15F5">
        <w:lastRenderedPageBreak/>
        <w:t>Context</w:t>
      </w:r>
    </w:p>
    <w:p w:rsidR="001D132E" w:rsidRPr="00FA15F5" w:rsidRDefault="001D132E" w:rsidP="007E1871">
      <w:r w:rsidRPr="00FA15F5">
        <w:t>Treasury is responsible for preparing the Australian Government</w:t>
      </w:r>
      <w:r w:rsidR="00832533">
        <w:t>’</w:t>
      </w:r>
      <w:r w:rsidRPr="00FA15F5">
        <w:t xml:space="preserve">s taxation revenue forecasts. The Revenue Analysis Unit </w:t>
      </w:r>
      <w:r w:rsidR="00FB1375" w:rsidRPr="00FA15F5">
        <w:t xml:space="preserve">(RAU) </w:t>
      </w:r>
      <w:r w:rsidRPr="00FA15F5">
        <w:t>has around 10 staff to perform this task</w:t>
      </w:r>
      <w:r w:rsidR="004C4CDB" w:rsidRPr="00FA15F5">
        <w:t xml:space="preserve">, </w:t>
      </w:r>
      <w:r w:rsidR="00C55CC2" w:rsidRPr="00FA15F5">
        <w:t>significantly less</w:t>
      </w:r>
      <w:r w:rsidR="009D2324" w:rsidRPr="00FA15F5">
        <w:t xml:space="preserve"> than </w:t>
      </w:r>
      <w:r w:rsidRPr="00FA15F5">
        <w:t xml:space="preserve">the macroeconomic forecasting area, reflecting </w:t>
      </w:r>
      <w:r w:rsidR="00F514DF" w:rsidRPr="00FA15F5">
        <w:t>the revenue forecasting area</w:t>
      </w:r>
      <w:r w:rsidR="00832533">
        <w:t>’</w:t>
      </w:r>
      <w:r w:rsidR="00F514DF" w:rsidRPr="00FA15F5">
        <w:t xml:space="preserve">s </w:t>
      </w:r>
      <w:r w:rsidR="00292210" w:rsidRPr="00FA15F5">
        <w:t xml:space="preserve">narrower </w:t>
      </w:r>
      <w:r w:rsidRPr="00FA15F5">
        <w:t>forecast</w:t>
      </w:r>
      <w:r w:rsidR="00F514DF" w:rsidRPr="00FA15F5">
        <w:t>ing</w:t>
      </w:r>
      <w:r w:rsidRPr="00FA15F5">
        <w:t xml:space="preserve"> </w:t>
      </w:r>
      <w:r w:rsidR="00292210" w:rsidRPr="00FA15F5">
        <w:t xml:space="preserve">focus </w:t>
      </w:r>
      <w:r w:rsidRPr="00FA15F5">
        <w:t xml:space="preserve">and </w:t>
      </w:r>
      <w:r w:rsidR="00292210" w:rsidRPr="00FA15F5">
        <w:t xml:space="preserve">less onerous </w:t>
      </w:r>
      <w:r w:rsidRPr="00FA15F5">
        <w:t xml:space="preserve">briefing </w:t>
      </w:r>
      <w:r w:rsidR="001A5B9E" w:rsidRPr="00FA15F5">
        <w:t>work load</w:t>
      </w:r>
      <w:r w:rsidRPr="00FA15F5">
        <w:t xml:space="preserve">. </w:t>
      </w:r>
    </w:p>
    <w:p w:rsidR="00FF57FF" w:rsidRPr="00FA15F5" w:rsidRDefault="006C40BA" w:rsidP="007E1871">
      <w:r w:rsidRPr="00FA15F5">
        <w:t xml:space="preserve">Treasury </w:t>
      </w:r>
      <w:r w:rsidR="001A5B9E" w:rsidRPr="00FA15F5">
        <w:t xml:space="preserve">prepares revenue forecasts twice a year, </w:t>
      </w:r>
      <w:r w:rsidR="00E22129">
        <w:t xml:space="preserve">as well as the </w:t>
      </w:r>
      <w:r w:rsidR="001A5B9E" w:rsidRPr="00FA15F5">
        <w:t>associated extensive commentary and analysis of revenue developments to accompany the Government</w:t>
      </w:r>
      <w:r w:rsidR="00832533">
        <w:t>’</w:t>
      </w:r>
      <w:r w:rsidR="001A5B9E" w:rsidRPr="00FA15F5">
        <w:t xml:space="preserve">s official forecasts, released </w:t>
      </w:r>
      <w:r w:rsidR="005A0137" w:rsidRPr="00FA15F5">
        <w:t>at</w:t>
      </w:r>
      <w:r w:rsidR="001A5B9E" w:rsidRPr="00FA15F5">
        <w:t xml:space="preserve"> Budget and MYEFO.</w:t>
      </w:r>
      <w:r w:rsidR="00E177B9" w:rsidRPr="00FA15F5">
        <w:t xml:space="preserve"> </w:t>
      </w:r>
      <w:r w:rsidR="001A5B9E" w:rsidRPr="00FA15F5">
        <w:t>Forecasts are usually generated for the remainder of the current fiscal year, the budget year and the subsequent year, with projections prepared for the subsequent two years.</w:t>
      </w:r>
      <w:r w:rsidR="00836710">
        <w:t xml:space="preserve"> </w:t>
      </w:r>
      <w:r w:rsidR="001A5B9E" w:rsidRPr="00FA15F5">
        <w:t>Forecasts take into account cyclical variation in economic activity, whereas projections are based on long</w:t>
      </w:r>
      <w:r w:rsidR="00275D44">
        <w:noBreakHyphen/>
      </w:r>
      <w:r w:rsidR="001A5B9E" w:rsidRPr="00FA15F5">
        <w:t>term average growth rates.</w:t>
      </w:r>
    </w:p>
    <w:p w:rsidR="00CC3045" w:rsidRPr="00FA15F5" w:rsidRDefault="00CC3045" w:rsidP="007E1871">
      <w:pPr>
        <w:rPr>
          <w:b/>
        </w:rPr>
      </w:pPr>
      <w:r w:rsidRPr="00FA15F5">
        <w:t>The revenue forecasts are presented in the Budget documents on a cash basis. Under cash basis reporting, tax receipts are accounted for at the time a tax payment is received by the A</w:t>
      </w:r>
      <w:r w:rsidR="00E15964">
        <w:t>ustralian Taxation Office (A</w:t>
      </w:r>
      <w:r w:rsidRPr="00FA15F5">
        <w:t>TO</w:t>
      </w:r>
      <w:r w:rsidR="00E15964">
        <w:t>)</w:t>
      </w:r>
      <w:r w:rsidRPr="00FA15F5">
        <w:t>.</w:t>
      </w:r>
      <w:r w:rsidR="00836710">
        <w:t xml:space="preserve"> </w:t>
      </w:r>
      <w:r w:rsidRPr="00FA15F5">
        <w:t xml:space="preserve">This is in contrast to the </w:t>
      </w:r>
      <w:r w:rsidR="006A289A" w:rsidRPr="00FA15F5">
        <w:t>macro</w:t>
      </w:r>
      <w:r w:rsidRPr="00FA15F5">
        <w:t xml:space="preserve">economic </w:t>
      </w:r>
      <w:r w:rsidR="006A289A" w:rsidRPr="00FA15F5">
        <w:t xml:space="preserve">series </w:t>
      </w:r>
      <w:r w:rsidRPr="00FA15F5">
        <w:t xml:space="preserve">which are reported in the National Accounts on </w:t>
      </w:r>
      <w:r w:rsidR="004D7746" w:rsidRPr="00FA15F5">
        <w:t xml:space="preserve">an accrual basis, to reflect the time when </w:t>
      </w:r>
      <w:r w:rsidRPr="00FA15F5">
        <w:t>the economic activity occurred.</w:t>
      </w:r>
      <w:r w:rsidR="00836710">
        <w:t xml:space="preserve"> </w:t>
      </w:r>
      <w:r w:rsidR="00DF1D72" w:rsidRPr="00FA15F5">
        <w:t xml:space="preserve">Timing adjustments are made </w:t>
      </w:r>
      <w:r w:rsidR="00494A49" w:rsidRPr="00FA15F5">
        <w:t xml:space="preserve">to the economic </w:t>
      </w:r>
      <w:r w:rsidR="008D7B28" w:rsidRPr="00FA15F5">
        <w:t>base</w:t>
      </w:r>
      <w:r w:rsidR="00494A49" w:rsidRPr="00FA15F5">
        <w:t xml:space="preserve"> </w:t>
      </w:r>
      <w:r w:rsidR="00DF1D72" w:rsidRPr="00FA15F5">
        <w:t xml:space="preserve">as part of the revenue forecasting process, in order to take into account </w:t>
      </w:r>
      <w:r w:rsidR="00FC2976">
        <w:t xml:space="preserve">the </w:t>
      </w:r>
      <w:r w:rsidR="00DF1D72" w:rsidRPr="00FA15F5">
        <w:t xml:space="preserve">likely </w:t>
      </w:r>
      <w:r w:rsidR="00FC2976">
        <w:t>lag</w:t>
      </w:r>
      <w:r w:rsidR="00DF1D72" w:rsidRPr="00FA15F5">
        <w:t xml:space="preserve"> between </w:t>
      </w:r>
      <w:r w:rsidR="00C674E8">
        <w:t xml:space="preserve">the timing of the </w:t>
      </w:r>
      <w:r w:rsidR="00DF1D72" w:rsidRPr="00FA15F5">
        <w:t xml:space="preserve">economic activity and the associated </w:t>
      </w:r>
      <w:r w:rsidR="00C674E8">
        <w:t xml:space="preserve">receipt of </w:t>
      </w:r>
      <w:r w:rsidR="00DF1D72" w:rsidRPr="00FA15F5">
        <w:t>tax revenue by the ATO</w:t>
      </w:r>
      <w:r w:rsidRPr="00FA15F5">
        <w:t xml:space="preserve">. </w:t>
      </w:r>
    </w:p>
    <w:p w:rsidR="00A9785B" w:rsidRPr="00FA15F5" w:rsidRDefault="005720E9" w:rsidP="00836710">
      <w:pPr>
        <w:pStyle w:val="Heading3"/>
      </w:pPr>
      <w:r w:rsidRPr="00FA15F5">
        <w:t xml:space="preserve">Forecasting Approach </w:t>
      </w:r>
      <w:r>
        <w:t>a</w:t>
      </w:r>
      <w:r w:rsidRPr="00FA15F5">
        <w:t>nd Process</w:t>
      </w:r>
    </w:p>
    <w:p w:rsidR="00BE22F0" w:rsidRPr="00531A77" w:rsidRDefault="00770F8B" w:rsidP="007E1871">
      <w:r w:rsidRPr="00FA15F5">
        <w:t>Similar to many countries, Treasury</w:t>
      </w:r>
      <w:r w:rsidR="00832533">
        <w:t>’</w:t>
      </w:r>
      <w:r w:rsidRPr="00FA15F5">
        <w:t xml:space="preserve">s revenue forecasts are generated using a </w:t>
      </w:r>
      <w:r w:rsidR="00832533">
        <w:t>‘</w:t>
      </w:r>
      <w:r w:rsidRPr="00FA15F5">
        <w:t>bottom up</w:t>
      </w:r>
      <w:r w:rsidR="00832533">
        <w:t>’</w:t>
      </w:r>
      <w:r w:rsidRPr="00FA15F5">
        <w:t xml:space="preserve"> approach, where </w:t>
      </w:r>
      <w:r w:rsidR="005D4BBA" w:rsidRPr="00FA15F5">
        <w:t xml:space="preserve">forecasts for </w:t>
      </w:r>
      <w:r w:rsidRPr="00FA15F5">
        <w:t xml:space="preserve">individual </w:t>
      </w:r>
      <w:r w:rsidR="002F32D3" w:rsidRPr="00FA15F5">
        <w:t>revenue</w:t>
      </w:r>
      <w:r w:rsidR="008D3C43" w:rsidRPr="00FA15F5">
        <w:t xml:space="preserve"> heads </w:t>
      </w:r>
      <w:r w:rsidRPr="00FA15F5">
        <w:t xml:space="preserve">are </w:t>
      </w:r>
      <w:r w:rsidR="004C4CDB" w:rsidRPr="00FA15F5">
        <w:t xml:space="preserve">prepared </w:t>
      </w:r>
      <w:r w:rsidRPr="00FA15F5">
        <w:t xml:space="preserve">based on </w:t>
      </w:r>
      <w:r w:rsidR="0090633E" w:rsidRPr="00FA15F5">
        <w:t xml:space="preserve">macroeconomic </w:t>
      </w:r>
      <w:r w:rsidR="004C4CDB" w:rsidRPr="00FA15F5">
        <w:t xml:space="preserve">forecasts of </w:t>
      </w:r>
      <w:r w:rsidRPr="00FA15F5">
        <w:t xml:space="preserve">the relevant economic </w:t>
      </w:r>
      <w:r w:rsidR="009D2324" w:rsidRPr="00FA15F5">
        <w:t xml:space="preserve">base </w:t>
      </w:r>
      <w:r w:rsidR="00B43CDA" w:rsidRPr="00FA15F5">
        <w:t xml:space="preserve">and </w:t>
      </w:r>
      <w:r w:rsidR="00254802" w:rsidRPr="00FA15F5">
        <w:t xml:space="preserve">then </w:t>
      </w:r>
      <w:r w:rsidR="00B43CDA" w:rsidRPr="00FA15F5">
        <w:t>aggregated</w:t>
      </w:r>
      <w:r w:rsidR="00A44986" w:rsidRPr="00FA15F5">
        <w:t xml:space="preserve"> to produce </w:t>
      </w:r>
      <w:r w:rsidR="0083395B" w:rsidRPr="00FA15F5">
        <w:t>a total</w:t>
      </w:r>
      <w:r w:rsidR="00A44986" w:rsidRPr="00FA15F5">
        <w:t xml:space="preserve"> revenue forecast</w:t>
      </w:r>
      <w:r w:rsidRPr="00FA15F5">
        <w:t>.</w:t>
      </w:r>
      <w:r w:rsidR="00836710">
        <w:t xml:space="preserve"> </w:t>
      </w:r>
      <w:r w:rsidR="00715C95" w:rsidRPr="00715C95">
        <w:t>Treasury also main</w:t>
      </w:r>
      <w:r w:rsidR="00715C95" w:rsidRPr="007C0D21">
        <w:t>tains</w:t>
      </w:r>
      <w:r w:rsidR="00715C95" w:rsidRPr="00460A38">
        <w:t xml:space="preserve"> </w:t>
      </w:r>
      <w:r w:rsidR="00715C95" w:rsidRPr="003F6CBD">
        <w:t>econometric approaches to estimating aggregate revenue. O</w:t>
      </w:r>
      <w:r w:rsidR="00BE22F0" w:rsidRPr="003F6CBD">
        <w:t xml:space="preserve">ver time, investments </w:t>
      </w:r>
      <w:r w:rsidR="00715C95" w:rsidRPr="003F6CBD">
        <w:t xml:space="preserve">have </w:t>
      </w:r>
      <w:r w:rsidR="00BE22F0" w:rsidRPr="003F6CBD">
        <w:t>enabled the development of improved models of individual heads of revenue which, in turn, has seen Treasury place more weight on these models to generate revenue forecasts and less weight on</w:t>
      </w:r>
      <w:r w:rsidR="00715C95" w:rsidRPr="003F6CBD">
        <w:t xml:space="preserve"> more aggregate approaches</w:t>
      </w:r>
      <w:r w:rsidR="00BE22F0" w:rsidRPr="003F6CBD">
        <w:t>.</w:t>
      </w:r>
      <w:r w:rsidR="00836710">
        <w:t xml:space="preserve"> </w:t>
      </w:r>
    </w:p>
    <w:p w:rsidR="00770F8B" w:rsidRPr="00FA15F5" w:rsidRDefault="00770F8B" w:rsidP="007E1871">
      <w:r w:rsidRPr="00FA15F5">
        <w:t xml:space="preserve">The revenue forecasting </w:t>
      </w:r>
      <w:r w:rsidR="002222DF" w:rsidRPr="00FA15F5">
        <w:t xml:space="preserve">methodology </w:t>
      </w:r>
      <w:r w:rsidRPr="00FA15F5">
        <w:t xml:space="preserve">can be best described as </w:t>
      </w:r>
      <w:r w:rsidR="00832533">
        <w:t>‘</w:t>
      </w:r>
      <w:r w:rsidRPr="00FA15F5">
        <w:t>mapping</w:t>
      </w:r>
      <w:r w:rsidR="00832533">
        <w:t>’</w:t>
      </w:r>
      <w:r w:rsidR="00B84F83" w:rsidRPr="00FA15F5">
        <w:t>,</w:t>
      </w:r>
      <w:r w:rsidRPr="00FA15F5">
        <w:t xml:space="preserve"> rather than modelling</w:t>
      </w:r>
      <w:r w:rsidR="002222DF" w:rsidRPr="00FA15F5">
        <w:t xml:space="preserve">. </w:t>
      </w:r>
      <w:r w:rsidR="004C4CDB" w:rsidRPr="00FA15F5">
        <w:t>T</w:t>
      </w:r>
      <w:r w:rsidR="002222DF" w:rsidRPr="00FA15F5">
        <w:t>his is because</w:t>
      </w:r>
      <w:r w:rsidR="004C4CDB" w:rsidRPr="00FA15F5">
        <w:t>, firstly,</w:t>
      </w:r>
      <w:r w:rsidR="002222DF" w:rsidRPr="00FA15F5">
        <w:t xml:space="preserve"> the revenue head models</w:t>
      </w:r>
      <w:r w:rsidR="008E6AB3" w:rsidRPr="00FA15F5">
        <w:t xml:space="preserve"> are largely accounting frameworks</w:t>
      </w:r>
      <w:r w:rsidR="00FB1375" w:rsidRPr="00FA15F5">
        <w:t xml:space="preserve">, with an elasticity </w:t>
      </w:r>
      <w:r w:rsidR="002646C1" w:rsidRPr="00FA15F5">
        <w:t>of one</w:t>
      </w:r>
      <w:r w:rsidR="00FB1375" w:rsidRPr="00FA15F5">
        <w:t xml:space="preserve"> typically applied to forecasts of the taxable base</w:t>
      </w:r>
      <w:r w:rsidR="004C4CDB" w:rsidRPr="00FA15F5">
        <w:t xml:space="preserve"> (the reasons, for which, are discussed below)</w:t>
      </w:r>
      <w:r w:rsidR="00FB1375" w:rsidRPr="00FA15F5">
        <w:t>.</w:t>
      </w:r>
      <w:r w:rsidR="00FB1375" w:rsidRPr="00FA15F5" w:rsidDel="00AD2598">
        <w:t xml:space="preserve"> </w:t>
      </w:r>
      <w:r w:rsidR="008E6AB3" w:rsidRPr="00FA15F5">
        <w:t xml:space="preserve">And, </w:t>
      </w:r>
      <w:r w:rsidR="00FB1375" w:rsidRPr="00FA15F5">
        <w:t>secondly</w:t>
      </w:r>
      <w:r w:rsidR="008E6AB3" w:rsidRPr="00FA15F5">
        <w:t xml:space="preserve">, the </w:t>
      </w:r>
      <w:r w:rsidR="0090633E" w:rsidRPr="00FA15F5">
        <w:t>macro</w:t>
      </w:r>
      <w:r w:rsidR="008E6AB3" w:rsidRPr="00FA15F5">
        <w:t xml:space="preserve">economic forecasts supplied by DED are typically used </w:t>
      </w:r>
      <w:r w:rsidR="004C4CDB" w:rsidRPr="00FA15F5">
        <w:t xml:space="preserve">to grow the taxable base </w:t>
      </w:r>
      <w:r w:rsidR="008E6AB3" w:rsidRPr="00FA15F5">
        <w:t>without being subject to judgemental adjustment</w:t>
      </w:r>
      <w:r w:rsidR="004C4CDB" w:rsidRPr="00FA15F5">
        <w:t xml:space="preserve"> (a</w:t>
      </w:r>
      <w:r w:rsidR="0090633E" w:rsidRPr="00FA15F5">
        <w:t xml:space="preserve">lso </w:t>
      </w:r>
      <w:r w:rsidR="004C4CDB" w:rsidRPr="00FA15F5">
        <w:t>discussed further, below)</w:t>
      </w:r>
      <w:r w:rsidR="008E6AB3" w:rsidRPr="00FA15F5">
        <w:t>.</w:t>
      </w:r>
    </w:p>
    <w:p w:rsidR="004542F1" w:rsidRPr="00FA15F5" w:rsidRDefault="00770F8B" w:rsidP="007E1871">
      <w:r w:rsidRPr="00FA15F5">
        <w:t xml:space="preserve">The </w:t>
      </w:r>
      <w:r w:rsidR="00266CCA" w:rsidRPr="00FA15F5">
        <w:t xml:space="preserve">revenue </w:t>
      </w:r>
      <w:r w:rsidRPr="00FA15F5">
        <w:t xml:space="preserve">forecasting models are largely accounting frameworks designed to </w:t>
      </w:r>
      <w:r w:rsidR="001972E6" w:rsidRPr="00FA15F5">
        <w:t xml:space="preserve">account for the conceptual differences between </w:t>
      </w:r>
      <w:r w:rsidRPr="00FA15F5">
        <w:t>the taxable base</w:t>
      </w:r>
      <w:r w:rsidR="00E8111D" w:rsidRPr="00FA15F5">
        <w:t>,</w:t>
      </w:r>
      <w:r w:rsidR="004542F1" w:rsidRPr="00FA15F5">
        <w:t xml:space="preserve"> </w:t>
      </w:r>
      <w:r w:rsidR="001972E6" w:rsidRPr="00FA15F5">
        <w:t xml:space="preserve">which reflects </w:t>
      </w:r>
      <w:r w:rsidR="004533A2" w:rsidRPr="00FA15F5">
        <w:t>T</w:t>
      </w:r>
      <w:r w:rsidR="00266CCA" w:rsidRPr="00FA15F5">
        <w:t xml:space="preserve">axation </w:t>
      </w:r>
      <w:r w:rsidR="004533A2" w:rsidRPr="00FA15F5">
        <w:t>L</w:t>
      </w:r>
      <w:r w:rsidR="00266CCA" w:rsidRPr="00FA15F5">
        <w:t xml:space="preserve">aw </w:t>
      </w:r>
      <w:r w:rsidR="009D2324" w:rsidRPr="00FA15F5">
        <w:t>principles</w:t>
      </w:r>
      <w:r w:rsidR="00E8111D" w:rsidRPr="00FA15F5">
        <w:t>,</w:t>
      </w:r>
      <w:r w:rsidR="009D2324" w:rsidRPr="00FA15F5">
        <w:t xml:space="preserve"> </w:t>
      </w:r>
      <w:r w:rsidR="001972E6" w:rsidRPr="00FA15F5">
        <w:t xml:space="preserve">and the </w:t>
      </w:r>
      <w:r w:rsidR="004542F1" w:rsidRPr="00FA15F5">
        <w:t xml:space="preserve">economic </w:t>
      </w:r>
      <w:r w:rsidR="0083395B" w:rsidRPr="00FA15F5">
        <w:t>base</w:t>
      </w:r>
      <w:r w:rsidR="00351B2B" w:rsidRPr="00FA15F5">
        <w:t>,</w:t>
      </w:r>
      <w:r w:rsidR="001972E6" w:rsidRPr="00FA15F5">
        <w:t xml:space="preserve"> </w:t>
      </w:r>
      <w:r w:rsidR="0094109B" w:rsidRPr="00FA15F5">
        <w:t>forecast by DED</w:t>
      </w:r>
      <w:r w:rsidR="00E8111D" w:rsidRPr="00FA15F5">
        <w:t>,</w:t>
      </w:r>
      <w:r w:rsidR="0094109B" w:rsidRPr="00FA15F5">
        <w:t xml:space="preserve"> </w:t>
      </w:r>
      <w:r w:rsidR="007A4FCF" w:rsidRPr="00FA15F5">
        <w:t xml:space="preserve">which reflects </w:t>
      </w:r>
      <w:r w:rsidR="00083FA8" w:rsidRPr="00FA15F5">
        <w:t>National Account</w:t>
      </w:r>
      <w:r w:rsidR="00351B2B" w:rsidRPr="00FA15F5">
        <w:t>ing principles</w:t>
      </w:r>
      <w:r w:rsidRPr="00FA15F5">
        <w:t>.</w:t>
      </w:r>
      <w:r w:rsidR="00BE7E15" w:rsidRPr="00FA15F5">
        <w:t xml:space="preserve"> </w:t>
      </w:r>
      <w:r w:rsidR="002646C1" w:rsidRPr="00FA15F5">
        <w:t xml:space="preserve">These differences are most pronounced </w:t>
      </w:r>
      <w:r w:rsidR="0094109B" w:rsidRPr="00FA15F5">
        <w:t>for the income tax heads</w:t>
      </w:r>
      <w:r w:rsidR="00FC2976">
        <w:t xml:space="preserve"> of revenue</w:t>
      </w:r>
      <w:r w:rsidR="00083FA8" w:rsidRPr="00FA15F5">
        <w:t>,</w:t>
      </w:r>
      <w:r w:rsidR="0094109B" w:rsidRPr="00FA15F5">
        <w:t xml:space="preserve"> in particular </w:t>
      </w:r>
      <w:r w:rsidR="002646C1" w:rsidRPr="00FA15F5">
        <w:t>corporate income tax</w:t>
      </w:r>
      <w:r w:rsidR="009D2324" w:rsidRPr="00FA15F5">
        <w:t xml:space="preserve">. </w:t>
      </w:r>
      <w:r w:rsidR="006F0D11" w:rsidRPr="00FA15F5">
        <w:t>For this head</w:t>
      </w:r>
      <w:r w:rsidR="00FC2976">
        <w:t xml:space="preserve"> of revenue</w:t>
      </w:r>
      <w:r w:rsidR="006F0D11" w:rsidRPr="00FA15F5">
        <w:t xml:space="preserve">, </w:t>
      </w:r>
      <w:r w:rsidR="00083FA8" w:rsidRPr="00FA15F5">
        <w:t>g</w:t>
      </w:r>
      <w:r w:rsidR="009D2324" w:rsidRPr="00FA15F5">
        <w:t xml:space="preserve">ross operating surplus </w:t>
      </w:r>
      <w:r w:rsidR="004C4CDB" w:rsidRPr="00FA15F5">
        <w:t xml:space="preserve">(GOS) </w:t>
      </w:r>
      <w:r w:rsidR="009D2324" w:rsidRPr="00FA15F5">
        <w:t xml:space="preserve">is the relevant </w:t>
      </w:r>
      <w:r w:rsidR="001253E7" w:rsidRPr="00FA15F5">
        <w:t xml:space="preserve">National Accounts measure </w:t>
      </w:r>
      <w:r w:rsidR="009D2324" w:rsidRPr="00FA15F5">
        <w:t>of economic income</w:t>
      </w:r>
      <w:r w:rsidR="00202C01" w:rsidRPr="00FA15F5">
        <w:t>. H</w:t>
      </w:r>
      <w:r w:rsidR="00351B2B" w:rsidRPr="00FA15F5">
        <w:t>owever</w:t>
      </w:r>
      <w:r w:rsidR="00202C01" w:rsidRPr="00FA15F5">
        <w:t>,</w:t>
      </w:r>
      <w:r w:rsidR="009D2324" w:rsidRPr="00FA15F5">
        <w:t xml:space="preserve"> </w:t>
      </w:r>
      <w:r w:rsidR="00351B2B" w:rsidRPr="00FA15F5">
        <w:t xml:space="preserve">many adjustments need </w:t>
      </w:r>
      <w:r w:rsidR="001253E7" w:rsidRPr="00FA15F5">
        <w:t xml:space="preserve">to be </w:t>
      </w:r>
      <w:r w:rsidR="00351B2B" w:rsidRPr="00FA15F5">
        <w:t xml:space="preserve">made to GOS to account </w:t>
      </w:r>
      <w:r w:rsidR="001253E7" w:rsidRPr="00FA15F5">
        <w:t>for conceptual differences with taxable corporate profits</w:t>
      </w:r>
      <w:r w:rsidR="00202C01" w:rsidRPr="00FA15F5">
        <w:t xml:space="preserve"> before it can be used for revenue forecasting purposes</w:t>
      </w:r>
      <w:r w:rsidR="004E39B7" w:rsidRPr="00FA15F5">
        <w:t>.</w:t>
      </w:r>
      <w:r w:rsidR="00836710">
        <w:t xml:space="preserve"> </w:t>
      </w:r>
      <w:r w:rsidR="004E39B7" w:rsidRPr="00FA15F5">
        <w:t>F</w:t>
      </w:r>
      <w:r w:rsidR="004C4CDB" w:rsidRPr="00FA15F5">
        <w:t>or example, corporate GOS is measured before deducting depreciation charges</w:t>
      </w:r>
      <w:r w:rsidR="00093CCA" w:rsidRPr="00FA15F5">
        <w:t xml:space="preserve"> and debt</w:t>
      </w:r>
      <w:r w:rsidR="00275D44">
        <w:noBreakHyphen/>
      </w:r>
      <w:r w:rsidR="00093CCA" w:rsidRPr="00FA15F5">
        <w:t>servicing interest expenses</w:t>
      </w:r>
      <w:r w:rsidR="00C44BBE">
        <w:t xml:space="preserve">. It also </w:t>
      </w:r>
      <w:r w:rsidR="004C4CDB" w:rsidRPr="00FA15F5">
        <w:t>excludes holding gains or losses in trading stock</w:t>
      </w:r>
      <w:r w:rsidR="00291A77" w:rsidRPr="00FA15F5">
        <w:t xml:space="preserve"> and realised capital gains or losses in the assets and liabilities of the corporate sector</w:t>
      </w:r>
      <w:r w:rsidR="008316F0" w:rsidRPr="00FA15F5">
        <w:t>.</w:t>
      </w:r>
      <w:r w:rsidR="002646C1" w:rsidRPr="00FA15F5">
        <w:t xml:space="preserve"> </w:t>
      </w:r>
      <w:r w:rsidR="004E39B7" w:rsidRPr="00FA15F5">
        <w:t xml:space="preserve">For other </w:t>
      </w:r>
      <w:r w:rsidR="00D45FEE" w:rsidRPr="00FA15F5">
        <w:t>r</w:t>
      </w:r>
      <w:r w:rsidR="00234220" w:rsidRPr="00FA15F5">
        <w:t>evenue heads</w:t>
      </w:r>
      <w:r w:rsidR="00D45FEE" w:rsidRPr="00FA15F5">
        <w:t>,</w:t>
      </w:r>
      <w:r w:rsidR="00234220" w:rsidRPr="00FA15F5">
        <w:t xml:space="preserve"> such as excise,</w:t>
      </w:r>
      <w:r w:rsidR="00D45FEE" w:rsidRPr="00FA15F5">
        <w:t xml:space="preserve"> </w:t>
      </w:r>
      <w:r w:rsidR="00D72848" w:rsidRPr="00FA15F5">
        <w:t xml:space="preserve">forecasts of </w:t>
      </w:r>
      <w:r w:rsidR="00234220" w:rsidRPr="00FA15F5">
        <w:t xml:space="preserve">the economic base supplied by DED </w:t>
      </w:r>
      <w:r w:rsidR="00D45FEE" w:rsidRPr="00FA15F5">
        <w:t xml:space="preserve">can be used </w:t>
      </w:r>
      <w:r w:rsidR="00AD2D35" w:rsidRPr="00FA15F5">
        <w:t xml:space="preserve">more </w:t>
      </w:r>
      <w:r w:rsidR="00D45FEE" w:rsidRPr="00FA15F5">
        <w:t xml:space="preserve">directly, </w:t>
      </w:r>
      <w:r w:rsidR="00234220" w:rsidRPr="00FA15F5">
        <w:t>with</w:t>
      </w:r>
      <w:r w:rsidR="00AD2D35" w:rsidRPr="00FA15F5">
        <w:t xml:space="preserve"> less</w:t>
      </w:r>
      <w:r w:rsidR="00234220" w:rsidRPr="00FA15F5">
        <w:t xml:space="preserve"> adjustment</w:t>
      </w:r>
      <w:r w:rsidR="00D45FEE" w:rsidRPr="00FA15F5">
        <w:t>,</w:t>
      </w:r>
      <w:r w:rsidR="00234220" w:rsidRPr="00FA15F5">
        <w:t xml:space="preserve"> because the </w:t>
      </w:r>
      <w:r w:rsidR="00D45FEE" w:rsidRPr="00FA15F5">
        <w:t xml:space="preserve">taxable </w:t>
      </w:r>
      <w:r w:rsidR="004E39B7" w:rsidRPr="00FA15F5">
        <w:t xml:space="preserve">and </w:t>
      </w:r>
      <w:r w:rsidR="00D45FEE" w:rsidRPr="00FA15F5">
        <w:t>economic base</w:t>
      </w:r>
      <w:r w:rsidR="004E39B7" w:rsidRPr="00FA15F5">
        <w:t>s are more closely aligned</w:t>
      </w:r>
      <w:r w:rsidR="00234220" w:rsidRPr="00FA15F5">
        <w:t>.</w:t>
      </w:r>
    </w:p>
    <w:p w:rsidR="00A839FB" w:rsidRPr="00FA15F5" w:rsidRDefault="0095036D" w:rsidP="007E1871">
      <w:r w:rsidRPr="00FA15F5">
        <w:t>Ec</w:t>
      </w:r>
      <w:r w:rsidR="00A839FB" w:rsidRPr="00FA15F5">
        <w:t xml:space="preserve">onometric </w:t>
      </w:r>
      <w:r w:rsidRPr="00FA15F5">
        <w:t>techniques are</w:t>
      </w:r>
      <w:r w:rsidR="00BE7E15" w:rsidRPr="00FA15F5">
        <w:t xml:space="preserve"> not </w:t>
      </w:r>
      <w:r w:rsidR="00AB0987" w:rsidRPr="00FA15F5">
        <w:t xml:space="preserve">usually </w:t>
      </w:r>
      <w:r w:rsidR="00BE7E15" w:rsidRPr="00FA15F5">
        <w:t xml:space="preserve">required to </w:t>
      </w:r>
      <w:r w:rsidRPr="00FA15F5">
        <w:t>uncover</w:t>
      </w:r>
      <w:r w:rsidR="00BE7E15" w:rsidRPr="00FA15F5">
        <w:t xml:space="preserve"> the quantitative relationships </w:t>
      </w:r>
      <w:r w:rsidRPr="00FA15F5">
        <w:t xml:space="preserve">between </w:t>
      </w:r>
      <w:r w:rsidR="00AB0987" w:rsidRPr="00FA15F5">
        <w:t>a</w:t>
      </w:r>
      <w:r w:rsidRPr="00FA15F5">
        <w:t xml:space="preserve"> head of revenue and its taxable base</w:t>
      </w:r>
      <w:r w:rsidR="00656A20" w:rsidRPr="00FA15F5">
        <w:t xml:space="preserve">. This is because, </w:t>
      </w:r>
      <w:r w:rsidR="00AB0987" w:rsidRPr="00FA15F5">
        <w:t>conceptually</w:t>
      </w:r>
      <w:r w:rsidR="00656A20" w:rsidRPr="00FA15F5">
        <w:t>,</w:t>
      </w:r>
      <w:r w:rsidR="00AB0987" w:rsidRPr="00FA15F5">
        <w:t xml:space="preserve"> </w:t>
      </w:r>
      <w:r w:rsidR="00A839FB" w:rsidRPr="00FA15F5">
        <w:t xml:space="preserve">the elasticity of </w:t>
      </w:r>
      <w:r w:rsidRPr="00FA15F5">
        <w:t xml:space="preserve">revenue </w:t>
      </w:r>
      <w:r w:rsidR="00A839FB" w:rsidRPr="00FA15F5">
        <w:t xml:space="preserve">to its taxable base </w:t>
      </w:r>
      <w:r w:rsidR="00AB0987" w:rsidRPr="00FA15F5">
        <w:t xml:space="preserve">is </w:t>
      </w:r>
      <w:r w:rsidR="00A839FB" w:rsidRPr="00FA15F5">
        <w:t>one</w:t>
      </w:r>
      <w:r w:rsidR="00AB0987" w:rsidRPr="00FA15F5">
        <w:t xml:space="preserve"> for revenue heads with a flat tax rate</w:t>
      </w:r>
      <w:r w:rsidR="00637B3F" w:rsidRPr="00FA15F5">
        <w:t>. Th</w:t>
      </w:r>
      <w:r w:rsidR="009D2324" w:rsidRPr="00FA15F5">
        <w:t xml:space="preserve">is </w:t>
      </w:r>
      <w:r w:rsidR="00637B3F" w:rsidRPr="00FA15F5">
        <w:t xml:space="preserve">is </w:t>
      </w:r>
      <w:r w:rsidR="009D2324" w:rsidRPr="00FA15F5">
        <w:t xml:space="preserve">the case for most Commonwealth </w:t>
      </w:r>
      <w:r w:rsidR="009D2324" w:rsidRPr="00FA15F5">
        <w:lastRenderedPageBreak/>
        <w:t xml:space="preserve">taxes. Intuitively, this means </w:t>
      </w:r>
      <w:r w:rsidR="00637B3F" w:rsidRPr="00FA15F5">
        <w:t xml:space="preserve">that </w:t>
      </w:r>
      <w:r w:rsidR="00054196" w:rsidRPr="00FA15F5">
        <w:t xml:space="preserve">taxation revenue increases by one per cent </w:t>
      </w:r>
      <w:r w:rsidR="00637B3F" w:rsidRPr="00FA15F5">
        <w:t xml:space="preserve">for each increase </w:t>
      </w:r>
      <w:r w:rsidR="00054196" w:rsidRPr="00FA15F5">
        <w:t xml:space="preserve">of </w:t>
      </w:r>
      <w:r w:rsidR="00F27B62" w:rsidRPr="00FA15F5">
        <w:t>one</w:t>
      </w:r>
      <w:r w:rsidR="00F27B62">
        <w:t> </w:t>
      </w:r>
      <w:r w:rsidR="00054196" w:rsidRPr="00FA15F5">
        <w:t xml:space="preserve">per cent </w:t>
      </w:r>
      <w:r w:rsidR="00637B3F" w:rsidRPr="00FA15F5">
        <w:t xml:space="preserve">in the </w:t>
      </w:r>
      <w:r w:rsidR="00A839FB" w:rsidRPr="00FA15F5">
        <w:t>taxable base.</w:t>
      </w:r>
      <w:r w:rsidR="00836710">
        <w:t xml:space="preserve"> </w:t>
      </w:r>
      <w:r w:rsidR="00A839FB" w:rsidRPr="00FA15F5">
        <w:t xml:space="preserve">The </w:t>
      </w:r>
      <w:r w:rsidR="008D4F39" w:rsidRPr="00FA15F5">
        <w:t xml:space="preserve">main </w:t>
      </w:r>
      <w:r w:rsidR="00A839FB" w:rsidRPr="00FA15F5">
        <w:t>exception is Treasury</w:t>
      </w:r>
      <w:r w:rsidR="00832533">
        <w:t>’</w:t>
      </w:r>
      <w:r w:rsidR="00A839FB" w:rsidRPr="00FA15F5">
        <w:t xml:space="preserve">s model for income tax withholding, which incorporates </w:t>
      </w:r>
      <w:r w:rsidR="008F68B2" w:rsidRPr="00FA15F5">
        <w:t xml:space="preserve">an elasticity </w:t>
      </w:r>
      <w:r w:rsidR="00A839FB" w:rsidRPr="00FA15F5">
        <w:t>which ha</w:t>
      </w:r>
      <w:r w:rsidR="008F68B2" w:rsidRPr="00FA15F5">
        <w:t xml:space="preserve">s </w:t>
      </w:r>
      <w:r w:rsidR="00A839FB" w:rsidRPr="00FA15F5">
        <w:t xml:space="preserve">been </w:t>
      </w:r>
      <w:r w:rsidR="008F68B2" w:rsidRPr="00FA15F5">
        <w:t xml:space="preserve">econometrically </w:t>
      </w:r>
      <w:r w:rsidR="00A839FB" w:rsidRPr="00FA15F5">
        <w:t>estimated</w:t>
      </w:r>
      <w:r w:rsidR="00656A20" w:rsidRPr="00FA15F5">
        <w:t>,</w:t>
      </w:r>
      <w:r w:rsidR="00A839FB" w:rsidRPr="00FA15F5">
        <w:t xml:space="preserve"> to capture the progressivity of the individuals</w:t>
      </w:r>
      <w:r w:rsidR="00832533">
        <w:t>’</w:t>
      </w:r>
      <w:r w:rsidR="00A839FB" w:rsidRPr="00FA15F5">
        <w:t xml:space="preserve"> income tax system.</w:t>
      </w:r>
    </w:p>
    <w:p w:rsidR="00421747" w:rsidRPr="00FA15F5" w:rsidRDefault="00421747" w:rsidP="007E1871">
      <w:r w:rsidRPr="00FA15F5">
        <w:t xml:space="preserve">The revenue forecasting models generate forecasts on an income year or accrual basis. These forecasts need to be adjusted for </w:t>
      </w:r>
      <w:r w:rsidR="00015A4B" w:rsidRPr="00FA15F5">
        <w:t>the revenue head</w:t>
      </w:r>
      <w:r w:rsidR="00832533">
        <w:t>’</w:t>
      </w:r>
      <w:r w:rsidR="00015A4B" w:rsidRPr="00FA15F5">
        <w:t xml:space="preserve">s payment arrangements </w:t>
      </w:r>
      <w:r w:rsidRPr="00FA15F5">
        <w:t>to generate forecasts on a cash basis</w:t>
      </w:r>
      <w:r w:rsidR="00015A4B" w:rsidRPr="00FA15F5">
        <w:t>.</w:t>
      </w:r>
      <w:r w:rsidRPr="00FA15F5">
        <w:t xml:space="preserve"> The payment arrangements introduce a lag between the </w:t>
      </w:r>
      <w:r w:rsidR="00C44BBE">
        <w:t xml:space="preserve">timing of the </w:t>
      </w:r>
      <w:r w:rsidRPr="00FA15F5">
        <w:t>economic activity and the receipt of the associated revenue</w:t>
      </w:r>
      <w:r w:rsidR="003D34A5">
        <w:t xml:space="preserve"> — </w:t>
      </w:r>
      <w:r w:rsidRPr="00FA15F5">
        <w:t xml:space="preserve">for example, 60 per cent of corporate income tax is </w:t>
      </w:r>
      <w:r w:rsidR="00E33798" w:rsidRPr="00FA15F5">
        <w:t xml:space="preserve">typically </w:t>
      </w:r>
      <w:r w:rsidRPr="00FA15F5">
        <w:t>received in the year that the profit is generated, with the remaining 40 per cent received in the following year. Further adjustments are made to take into account any information on recent tax</w:t>
      </w:r>
      <w:r w:rsidR="00C44BBE">
        <w:t>ation</w:t>
      </w:r>
      <w:r w:rsidRPr="00FA15F5">
        <w:t xml:space="preserve"> collections </w:t>
      </w:r>
      <w:r w:rsidR="00597697" w:rsidRPr="00FA15F5">
        <w:t xml:space="preserve">provided by </w:t>
      </w:r>
      <w:r w:rsidRPr="00FA15F5">
        <w:t>the ATO.</w:t>
      </w:r>
    </w:p>
    <w:p w:rsidR="009C0C50" w:rsidRPr="00FA15F5" w:rsidRDefault="009C0C50" w:rsidP="007E1871">
      <w:r w:rsidRPr="00FA15F5">
        <w:t>It follows from th</w:t>
      </w:r>
      <w:r w:rsidR="00421747" w:rsidRPr="00FA15F5">
        <w:t xml:space="preserve">is approach to </w:t>
      </w:r>
      <w:r w:rsidRPr="00FA15F5">
        <w:t>forecasting that the focus of Treasury</w:t>
      </w:r>
      <w:r w:rsidR="00832533">
        <w:t>’</w:t>
      </w:r>
      <w:r w:rsidRPr="00FA15F5">
        <w:t>s model development is improving its understanding of each taxable base.</w:t>
      </w:r>
      <w:r w:rsidR="00836710">
        <w:t xml:space="preserve"> </w:t>
      </w:r>
      <w:r w:rsidRPr="00FA15F5">
        <w:t>The models mimic, as closely as possible, the structure of the relevant income tax returns and payments systems. RAU works closely with the ATO to improve its technical understanding of the taxable bases and the tax payments system.</w:t>
      </w:r>
      <w:r w:rsidR="00836710">
        <w:t xml:space="preserve"> </w:t>
      </w:r>
      <w:r w:rsidRPr="00FA15F5">
        <w:t>It also works closely with DED to improve its understanding of the difference between the taxable and economic bases, and to identify and resolve instances where tax</w:t>
      </w:r>
      <w:r w:rsidR="00C44BBE">
        <w:t>ation</w:t>
      </w:r>
      <w:r w:rsidRPr="00FA15F5">
        <w:t xml:space="preserve"> receipts and economic data are providing conflicting signals about the state of the nominal economy.</w:t>
      </w:r>
      <w:r w:rsidR="00836710">
        <w:t xml:space="preserve"> </w:t>
      </w:r>
      <w:r w:rsidRPr="00FA15F5">
        <w:t xml:space="preserve">Several improvements to the information flows and knowledge transfer between these areas are </w:t>
      </w:r>
      <w:r w:rsidRPr="00715C95">
        <w:t xml:space="preserve">described at </w:t>
      </w:r>
      <w:r w:rsidRPr="00460A38">
        <w:t xml:space="preserve">Attachment </w:t>
      </w:r>
      <w:r w:rsidR="00EF78D3" w:rsidRPr="00460A38">
        <w:t>C</w:t>
      </w:r>
      <w:r w:rsidRPr="00460A38">
        <w:t>.</w:t>
      </w:r>
    </w:p>
    <w:p w:rsidR="001C7202" w:rsidRPr="00FA15F5" w:rsidRDefault="00A839FB" w:rsidP="007E1871">
      <w:r w:rsidRPr="00FA15F5">
        <w:t xml:space="preserve">Once </w:t>
      </w:r>
      <w:r w:rsidR="00D53C89" w:rsidRPr="00FA15F5">
        <w:t xml:space="preserve">a new set of </w:t>
      </w:r>
      <w:r w:rsidRPr="00FA15F5">
        <w:t>macroeconomic forecasts</w:t>
      </w:r>
      <w:r w:rsidR="00D53C89" w:rsidRPr="00FA15F5">
        <w:t xml:space="preserve"> have been received</w:t>
      </w:r>
      <w:r w:rsidRPr="00FA15F5">
        <w:t xml:space="preserve">, </w:t>
      </w:r>
      <w:r w:rsidR="004003D5" w:rsidRPr="00FA15F5">
        <w:t xml:space="preserve">revenue head </w:t>
      </w:r>
      <w:r w:rsidRPr="00FA15F5">
        <w:t>analysts prepare preliminary revenue forecasts on an accruals (income</w:t>
      </w:r>
      <w:r w:rsidR="00275D44">
        <w:noBreakHyphen/>
      </w:r>
      <w:r w:rsidRPr="00FA15F5">
        <w:t xml:space="preserve">year) basis by updating their models </w:t>
      </w:r>
      <w:r w:rsidR="0095036D" w:rsidRPr="00FA15F5">
        <w:t xml:space="preserve">for the </w:t>
      </w:r>
      <w:r w:rsidRPr="00FA15F5">
        <w:t xml:space="preserve">latest forecasts </w:t>
      </w:r>
      <w:r w:rsidR="0095036D" w:rsidRPr="00FA15F5">
        <w:t xml:space="preserve">of the </w:t>
      </w:r>
      <w:r w:rsidRPr="00FA15F5">
        <w:t>economic base. A</w:t>
      </w:r>
      <w:r w:rsidR="00033AF3" w:rsidRPr="00FA15F5">
        <w:t xml:space="preserve">djustments </w:t>
      </w:r>
      <w:r w:rsidRPr="00FA15F5">
        <w:t xml:space="preserve">may be made </w:t>
      </w:r>
      <w:r w:rsidR="00033AF3" w:rsidRPr="00FA15F5">
        <w:t xml:space="preserve">to individual components of the taxable base where additional information indicates that they are unlikely to grow in line with the </w:t>
      </w:r>
      <w:r w:rsidR="004003D5" w:rsidRPr="00FA15F5">
        <w:t xml:space="preserve">forecast of the </w:t>
      </w:r>
      <w:r w:rsidR="00033AF3" w:rsidRPr="00FA15F5">
        <w:t xml:space="preserve">economic </w:t>
      </w:r>
      <w:r w:rsidRPr="00FA15F5">
        <w:t>base</w:t>
      </w:r>
      <w:r w:rsidR="004003D5" w:rsidRPr="00FA15F5">
        <w:t xml:space="preserve"> provided by DED</w:t>
      </w:r>
      <w:r w:rsidR="00033AF3" w:rsidRPr="00FA15F5">
        <w:t xml:space="preserve">. </w:t>
      </w:r>
      <w:r w:rsidR="008E6F19" w:rsidRPr="00FA15F5">
        <w:t xml:space="preserve">The analyst </w:t>
      </w:r>
      <w:r w:rsidR="004003D5" w:rsidRPr="00FA15F5">
        <w:t xml:space="preserve">then adjusts accruals (income year) forecasts </w:t>
      </w:r>
      <w:r w:rsidR="00033AF3" w:rsidRPr="00FA15F5">
        <w:t xml:space="preserve">for timing issues, to generate </w:t>
      </w:r>
      <w:r w:rsidR="004003D5" w:rsidRPr="00FA15F5">
        <w:t xml:space="preserve">revenue </w:t>
      </w:r>
      <w:r w:rsidR="00033AF3" w:rsidRPr="00FA15F5">
        <w:t>forecasts on a cash basis.</w:t>
      </w:r>
      <w:r w:rsidR="00836710">
        <w:t xml:space="preserve"> </w:t>
      </w:r>
      <w:r w:rsidR="00597697" w:rsidRPr="00FA15F5">
        <w:t>As mentioned, f</w:t>
      </w:r>
      <w:r w:rsidR="001C7202" w:rsidRPr="00FA15F5">
        <w:t>urther adjustments are made to take into account any information on recent tax collections from the ATO.</w:t>
      </w:r>
    </w:p>
    <w:p w:rsidR="005F68EA" w:rsidRDefault="0095036D" w:rsidP="007E1871">
      <w:r w:rsidRPr="00FA15F5">
        <w:t xml:space="preserve">The </w:t>
      </w:r>
      <w:r w:rsidR="003302D6" w:rsidRPr="00FA15F5">
        <w:t xml:space="preserve">cash tax revenue forecasts are then adjusted for the </w:t>
      </w:r>
      <w:r w:rsidR="001C7202" w:rsidRPr="00FA15F5">
        <w:t xml:space="preserve">estimated impact of government policy decisions, court decisions and ATO compliance activity, to produce a forecast for each head of </w:t>
      </w:r>
      <w:r w:rsidR="00F27B62" w:rsidRPr="00FA15F5">
        <w:t>revenue</w:t>
      </w:r>
      <w:r w:rsidR="00F27B62">
        <w:t xml:space="preserve">. </w:t>
      </w:r>
    </w:p>
    <w:p w:rsidR="004614E3" w:rsidRDefault="00F27B62" w:rsidP="007E1871">
      <w:r>
        <w:t>The</w:t>
      </w:r>
      <w:r w:rsidR="00770F8B" w:rsidRPr="00FA15F5">
        <w:t xml:space="preserve"> analysts discuss their forecasts with their colleagues and management</w:t>
      </w:r>
      <w:r w:rsidR="005F68EA">
        <w:t xml:space="preserve">. The forecasts are also subject to </w:t>
      </w:r>
      <w:r w:rsidR="00770F8B" w:rsidRPr="00FA15F5">
        <w:t>f</w:t>
      </w:r>
      <w:r w:rsidR="004614E3">
        <w:t xml:space="preserve">ormal </w:t>
      </w:r>
      <w:r w:rsidR="00661DB9" w:rsidRPr="00FA15F5">
        <w:t xml:space="preserve">peer </w:t>
      </w:r>
      <w:r w:rsidR="00770F8B" w:rsidRPr="00FA15F5">
        <w:t>review at revenue conferences held with the ATO</w:t>
      </w:r>
      <w:r w:rsidR="004614E3">
        <w:t xml:space="preserve"> and Customs</w:t>
      </w:r>
      <w:r w:rsidR="00770F8B" w:rsidRPr="00FA15F5">
        <w:t>.</w:t>
      </w:r>
      <w:r w:rsidR="00E23A2F" w:rsidRPr="00E23A2F">
        <w:t xml:space="preserve"> </w:t>
      </w:r>
    </w:p>
    <w:p w:rsidR="001C7202" w:rsidRPr="00FA15F5" w:rsidRDefault="00770F8B" w:rsidP="007E1871">
      <w:r w:rsidRPr="00FA15F5">
        <w:t>Judgement is employed in Treasury</w:t>
      </w:r>
      <w:r w:rsidR="00832533">
        <w:t>’</w:t>
      </w:r>
      <w:r w:rsidRPr="00FA15F5">
        <w:t>s revenue forecasting process</w:t>
      </w:r>
      <w:r w:rsidR="00F64B1C" w:rsidRPr="00FA15F5">
        <w:t xml:space="preserve"> </w:t>
      </w:r>
      <w:r w:rsidRPr="00FA15F5">
        <w:t>generally to deal with issues where there are little data or historical precedent</w:t>
      </w:r>
      <w:r w:rsidR="003D34A5">
        <w:t xml:space="preserve"> — </w:t>
      </w:r>
      <w:r w:rsidRPr="00FA15F5">
        <w:t>for example, the likely profile of the recovery in capital gains tax receipts following the global financial crisis.</w:t>
      </w:r>
      <w:r w:rsidR="00836710">
        <w:t xml:space="preserve"> </w:t>
      </w:r>
      <w:r w:rsidRPr="00FA15F5">
        <w:t xml:space="preserve">The main reason for </w:t>
      </w:r>
      <w:r w:rsidR="000D623A" w:rsidRPr="00FA15F5">
        <w:t xml:space="preserve">this approach </w:t>
      </w:r>
      <w:r w:rsidRPr="00FA15F5">
        <w:t xml:space="preserve">is to prevent inconsistencies between the </w:t>
      </w:r>
      <w:r w:rsidR="008B1873">
        <w:t>macro</w:t>
      </w:r>
      <w:r w:rsidRPr="00FA15F5">
        <w:t>economic and</w:t>
      </w:r>
      <w:r w:rsidR="00A9785B" w:rsidRPr="00FA15F5">
        <w:t xml:space="preserve"> </w:t>
      </w:r>
      <w:r w:rsidRPr="00FA15F5">
        <w:t>revenue forecasts, which could result in the Budget presenting one view on the nominal economy and a conflicting view on taxation revenue.</w:t>
      </w:r>
      <w:r w:rsidR="00836710">
        <w:t xml:space="preserve"> </w:t>
      </w:r>
      <w:r w:rsidRPr="00FA15F5">
        <w:t>It would also reduce the transparency of the forecasting process.</w:t>
      </w:r>
      <w:r w:rsidR="001C7202" w:rsidRPr="00FA15F5">
        <w:t xml:space="preserve"> </w:t>
      </w:r>
    </w:p>
    <w:p w:rsidR="000A45FB" w:rsidRDefault="001C7202" w:rsidP="007E1871">
      <w:r w:rsidRPr="00FA15F5">
        <w:t xml:space="preserve">A stylised </w:t>
      </w:r>
      <w:r w:rsidR="00D77B55" w:rsidRPr="00FA15F5">
        <w:t>schematic</w:t>
      </w:r>
      <w:r w:rsidRPr="00FA15F5">
        <w:t xml:space="preserve"> of the revenue forecasting framework </w:t>
      </w:r>
      <w:r w:rsidR="00003633" w:rsidRPr="00FA15F5">
        <w:t xml:space="preserve">is provided in </w:t>
      </w:r>
      <w:r w:rsidR="001B44AC">
        <w:t>Figure</w:t>
      </w:r>
      <w:r w:rsidRPr="00FA15F5">
        <w:t xml:space="preserve"> </w:t>
      </w:r>
      <w:r w:rsidR="00DA3B96" w:rsidRPr="00FA15F5">
        <w:t>2</w:t>
      </w:r>
      <w:r w:rsidR="001B44AC">
        <w:t>.2</w:t>
      </w:r>
      <w:r w:rsidR="00DA3B96" w:rsidRPr="00FA15F5">
        <w:t>, below</w:t>
      </w:r>
      <w:r w:rsidR="00DD69C4" w:rsidRPr="00FA15F5">
        <w:t xml:space="preserve">. </w:t>
      </w:r>
      <w:r w:rsidRPr="00FA15F5">
        <w:t xml:space="preserve">It shows the external data inputs into the forecasting process (highlighted in </w:t>
      </w:r>
      <w:r w:rsidR="008B1873">
        <w:t>blue</w:t>
      </w:r>
      <w:r w:rsidRPr="00FA15F5">
        <w:t xml:space="preserve">), </w:t>
      </w:r>
      <w:r w:rsidR="00DD69C4" w:rsidRPr="00FA15F5">
        <w:t xml:space="preserve">the major categories of head of revenue mapping model (highlighted in </w:t>
      </w:r>
      <w:r w:rsidR="008B1873">
        <w:t>red</w:t>
      </w:r>
      <w:r w:rsidR="00DD69C4" w:rsidRPr="00FA15F5">
        <w:t xml:space="preserve">) and the forecast outputs (highlighted in </w:t>
      </w:r>
      <w:r w:rsidR="008B1873">
        <w:t>green</w:t>
      </w:r>
      <w:r w:rsidR="00DD69C4" w:rsidRPr="00FA15F5">
        <w:t>).</w:t>
      </w:r>
    </w:p>
    <w:p w:rsidR="00D63DD9" w:rsidRPr="00531A77" w:rsidRDefault="001B44AC" w:rsidP="00A552E5">
      <w:pPr>
        <w:pStyle w:val="ChartMainHeading"/>
        <w:spacing w:after="120"/>
      </w:pPr>
      <w:r>
        <w:lastRenderedPageBreak/>
        <w:t>Figure</w:t>
      </w:r>
      <w:r w:rsidR="00D63DD9" w:rsidRPr="00531A77">
        <w:t xml:space="preserve"> </w:t>
      </w:r>
      <w:r w:rsidR="00A552E5">
        <w:t>2.</w:t>
      </w:r>
      <w:r w:rsidR="003D310A" w:rsidRPr="00531A77">
        <w:t>2</w:t>
      </w:r>
      <w:r w:rsidR="00D63DD9" w:rsidRPr="00531A77">
        <w:t>:</w:t>
      </w:r>
      <w:r w:rsidR="00832533">
        <w:t xml:space="preserve"> </w:t>
      </w:r>
      <w:r w:rsidR="00D63DD9" w:rsidRPr="00531A77">
        <w:t>Revenue Forecasting Framework</w:t>
      </w:r>
    </w:p>
    <w:p w:rsidR="00D63DD9" w:rsidRPr="00531A77" w:rsidRDefault="0057024E" w:rsidP="007E1871">
      <w:pPr>
        <w:pStyle w:val="ChartGraphic"/>
      </w:pPr>
      <w:r w:rsidRPr="0057024E">
        <w:rPr>
          <w:noProof/>
        </w:rPr>
        <w:drawing>
          <wp:inline distT="0" distB="0" distL="0" distR="0" wp14:anchorId="3C41CCB4" wp14:editId="4356DB60">
            <wp:extent cx="5731510" cy="3873008"/>
            <wp:effectExtent l="0" t="0" r="2540" b="0"/>
            <wp:docPr id="3" name="Picture 3" descr="The figure shows a stylised flow chart of the revenue forecasting framework.  The first stage, forecasting inputs (parameters (from DED), Customs collection data, APRA superannuation and financial data, tax statistics, policy costings and information, ABS and RBA historical data, tax collections and DRET commodity forecasts) contribute to the second stage where taxes are mapped and judgement is applied, which are then combined in the third stage with the estimated taxable income base, statutory tax rates and timing before tax revenue forecasts are produced.&#10;" title="Figure 2.2: Revenue Forecast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73008"/>
                    </a:xfrm>
                    <a:prstGeom prst="rect">
                      <a:avLst/>
                    </a:prstGeom>
                    <a:noFill/>
                    <a:ln>
                      <a:noFill/>
                    </a:ln>
                  </pic:spPr>
                </pic:pic>
              </a:graphicData>
            </a:graphic>
          </wp:inline>
        </w:drawing>
      </w:r>
    </w:p>
    <w:p w:rsidR="00DA3B96" w:rsidRPr="00531A77" w:rsidRDefault="00DA3B96" w:rsidP="00226C99">
      <w:pPr>
        <w:spacing w:before="360"/>
      </w:pPr>
      <w:r w:rsidRPr="00531A77">
        <w:t>Data limitations are a constraint on the modelling techniques and tools that can be employed in revenue forecasting.</w:t>
      </w:r>
      <w:r w:rsidR="00836710">
        <w:t xml:space="preserve"> </w:t>
      </w:r>
      <w:r w:rsidRPr="00531A77">
        <w:t>They include:</w:t>
      </w:r>
    </w:p>
    <w:p w:rsidR="00DA3B96" w:rsidRPr="00531A77" w:rsidRDefault="001A4A6E" w:rsidP="007E1871">
      <w:pPr>
        <w:pStyle w:val="Bullet"/>
        <w:rPr>
          <w:b/>
        </w:rPr>
      </w:pPr>
      <w:r>
        <w:t>t</w:t>
      </w:r>
      <w:r w:rsidRPr="00531A77">
        <w:t xml:space="preserve">he </w:t>
      </w:r>
      <w:r w:rsidR="00DA3B96" w:rsidRPr="00531A77">
        <w:t xml:space="preserve">long lags in receiving detailed income tax return data (the main detailed publication, </w:t>
      </w:r>
      <w:r w:rsidR="00832533">
        <w:t>‘</w:t>
      </w:r>
      <w:r w:rsidR="00DA3B96" w:rsidRPr="00531A77">
        <w:t>Taxation Statistics</w:t>
      </w:r>
      <w:r w:rsidR="00832533">
        <w:t>’</w:t>
      </w:r>
      <w:r w:rsidR="00DA3B96" w:rsidRPr="00531A77">
        <w:t>, is published with a lag of close to two years</w:t>
      </w:r>
      <w:r w:rsidR="00FC2976">
        <w:t>, in order to allow</w:t>
      </w:r>
      <w:r w:rsidR="00DA3B96" w:rsidRPr="00531A77">
        <w:t xml:space="preserve"> the majority of taxpayers </w:t>
      </w:r>
      <w:r w:rsidR="00FC2976">
        <w:t>to</w:t>
      </w:r>
      <w:r w:rsidR="00DA3B96" w:rsidRPr="00531A77">
        <w:t xml:space="preserve"> be captured in the data); </w:t>
      </w:r>
    </w:p>
    <w:p w:rsidR="00DA3B96" w:rsidRPr="00531A77" w:rsidRDefault="001A4A6E" w:rsidP="007E1871">
      <w:pPr>
        <w:pStyle w:val="Bullet"/>
        <w:rPr>
          <w:b/>
        </w:rPr>
      </w:pPr>
      <w:r>
        <w:t>t</w:t>
      </w:r>
      <w:r w:rsidRPr="00531A77">
        <w:t xml:space="preserve">he </w:t>
      </w:r>
      <w:r w:rsidR="00DA3B96" w:rsidRPr="00531A77">
        <w:t>aggregated nature of items in tax returns, particularly for corporate tax payers, with the effect of reducing information on drivers of assessable income for revenue forecasting purposes</w:t>
      </w:r>
      <w:r w:rsidR="00F27B62">
        <w:t>; and</w:t>
      </w:r>
    </w:p>
    <w:p w:rsidR="00DA3B96" w:rsidRPr="00531A77" w:rsidRDefault="001A4A6E">
      <w:pPr>
        <w:pStyle w:val="Bullet"/>
        <w:rPr>
          <w:b/>
        </w:rPr>
      </w:pPr>
      <w:r>
        <w:t>d</w:t>
      </w:r>
      <w:r w:rsidRPr="00531A77">
        <w:t xml:space="preserve">ata </w:t>
      </w:r>
      <w:r w:rsidR="00DA3B96" w:rsidRPr="00531A77">
        <w:t>completeness issues</w:t>
      </w:r>
      <w:r w:rsidR="003D34A5">
        <w:t xml:space="preserve"> — </w:t>
      </w:r>
      <w:r w:rsidR="00DA3B96" w:rsidRPr="00531A77">
        <w:t>for example, each edition of Taxation Statistics is based on tax returns lodged up until a certain date, so the data needs to be scaled up to attempt to account for all eventual taxpayers (including those likely to lodge beyond that date).</w:t>
      </w:r>
    </w:p>
    <w:p w:rsidR="00DA3B96" w:rsidRPr="00531A77" w:rsidRDefault="00DA3B96">
      <w:r w:rsidRPr="00531A77">
        <w:t>To assist in overcoming these data limitations, Treasury utilises a variety of sources of unpublished partial data in the revenue forecasting process, including:</w:t>
      </w:r>
    </w:p>
    <w:p w:rsidR="00DA3B96" w:rsidRPr="007E1871" w:rsidRDefault="001A4A6E" w:rsidP="007E1871">
      <w:pPr>
        <w:pStyle w:val="Bullet"/>
      </w:pPr>
      <w:r>
        <w:t>m</w:t>
      </w:r>
      <w:r w:rsidRPr="00531A77">
        <w:t xml:space="preserve">onthly </w:t>
      </w:r>
      <w:r w:rsidR="00DA3B96" w:rsidRPr="00531A77">
        <w:t>tax c</w:t>
      </w:r>
      <w:r w:rsidR="00DA3B96" w:rsidRPr="007E1871">
        <w:t>ollection outcomes from the ATO;</w:t>
      </w:r>
    </w:p>
    <w:p w:rsidR="00DA3B96" w:rsidRPr="007E1871" w:rsidRDefault="001A4A6E" w:rsidP="007E1871">
      <w:pPr>
        <w:pStyle w:val="Bullet"/>
      </w:pPr>
      <w:r>
        <w:t>m</w:t>
      </w:r>
      <w:r w:rsidRPr="007E1871">
        <w:t xml:space="preserve">atched </w:t>
      </w:r>
      <w:r w:rsidR="00DA3B96" w:rsidRPr="007E1871">
        <w:t>tax return data (the ATO extrapolates tax revenue outcomes for the current year by comparing a sample of taxpayers who have already lodged against these taxpayer</w:t>
      </w:r>
      <w:r w:rsidR="00832533">
        <w:t>’</w:t>
      </w:r>
      <w:r w:rsidR="00DA3B96" w:rsidRPr="007E1871">
        <w:t>s returns from the previous year);</w:t>
      </w:r>
    </w:p>
    <w:p w:rsidR="00DA3B96" w:rsidRPr="007E1871" w:rsidRDefault="001A4A6E" w:rsidP="007E1871">
      <w:pPr>
        <w:pStyle w:val="Bullet"/>
      </w:pPr>
      <w:r>
        <w:t>a</w:t>
      </w:r>
      <w:r w:rsidRPr="007E1871">
        <w:t xml:space="preserve">dvanced </w:t>
      </w:r>
      <w:r w:rsidR="00DA3B96" w:rsidRPr="007E1871">
        <w:t>release of information from Taxation Statistics;</w:t>
      </w:r>
    </w:p>
    <w:p w:rsidR="00DA3B96" w:rsidRPr="007E1871" w:rsidRDefault="000B310B" w:rsidP="007E1871">
      <w:pPr>
        <w:pStyle w:val="Bullet"/>
      </w:pPr>
      <w:r>
        <w:t>B</w:t>
      </w:r>
      <w:r w:rsidR="001A4A6E" w:rsidRPr="007E1871">
        <w:t xml:space="preserve">usiness </w:t>
      </w:r>
      <w:r w:rsidR="00DA3B96" w:rsidRPr="007E1871">
        <w:t xml:space="preserve">Activity Statement data; </w:t>
      </w:r>
    </w:p>
    <w:p w:rsidR="007E3742" w:rsidRPr="007E1871" w:rsidRDefault="00DA3B96" w:rsidP="007E1871">
      <w:pPr>
        <w:pStyle w:val="Bullet"/>
      </w:pPr>
      <w:r w:rsidRPr="007E1871">
        <w:lastRenderedPageBreak/>
        <w:t>ATO business liaison information.</w:t>
      </w:r>
      <w:r w:rsidR="00836710" w:rsidRPr="007E1871">
        <w:t xml:space="preserve"> </w:t>
      </w:r>
      <w:r w:rsidRPr="007E1871">
        <w:t xml:space="preserve">The ATO advise Treasury of </w:t>
      </w:r>
      <w:r w:rsidR="00832533">
        <w:t>‘</w:t>
      </w:r>
      <w:r w:rsidRPr="007E1871">
        <w:t>one off</w:t>
      </w:r>
      <w:r w:rsidR="00832533">
        <w:t>’</w:t>
      </w:r>
      <w:r w:rsidRPr="007E1871">
        <w:t xml:space="preserve"> noteworthy information they receive from their business liaison teams.</w:t>
      </w:r>
      <w:r w:rsidR="00836710" w:rsidRPr="007E1871">
        <w:t xml:space="preserve"> </w:t>
      </w:r>
      <w:r w:rsidRPr="007E1871">
        <w:t>The advice is largely commercial</w:t>
      </w:r>
      <w:r w:rsidR="00275D44">
        <w:noBreakHyphen/>
      </w:r>
      <w:r w:rsidRPr="007E1871">
        <w:t>in</w:t>
      </w:r>
      <w:r w:rsidR="00275D44">
        <w:noBreakHyphen/>
      </w:r>
      <w:r w:rsidRPr="007E1871">
        <w:t>confidence in nature, relating to the expected timing and value of specific companies taxation liabilities;</w:t>
      </w:r>
      <w:r w:rsidR="007E3742" w:rsidRPr="007E1871">
        <w:t xml:space="preserve"> </w:t>
      </w:r>
      <w:r w:rsidR="001A4A6E">
        <w:t>and</w:t>
      </w:r>
    </w:p>
    <w:p w:rsidR="00DA3B96" w:rsidRPr="00531A77" w:rsidRDefault="00F27B62" w:rsidP="007E1871">
      <w:pPr>
        <w:pStyle w:val="Bullet"/>
        <w:rPr>
          <w:b/>
        </w:rPr>
      </w:pPr>
      <w:r w:rsidRPr="00226C99">
        <w:t>Australian Prudential Regulation Authority (APRA)</w:t>
      </w:r>
      <w:r w:rsidR="007E3742" w:rsidRPr="007E1871">
        <w:t xml:space="preserve"> data on</w:t>
      </w:r>
      <w:r w:rsidR="007E3742" w:rsidRPr="00531A77">
        <w:t xml:space="preserve"> superannuation funds; and Customs duty collection reports.</w:t>
      </w:r>
    </w:p>
    <w:p w:rsidR="007E3742" w:rsidRPr="008040B7" w:rsidRDefault="007E3742" w:rsidP="007E1871">
      <w:pPr>
        <w:rPr>
          <w:b/>
        </w:rPr>
      </w:pPr>
      <w:r w:rsidRPr="00460A38">
        <w:t xml:space="preserve">A more detailed description of the revenue forecasting process and governance is at Attachment </w:t>
      </w:r>
      <w:r w:rsidR="00D34CE5">
        <w:t>C</w:t>
      </w:r>
      <w:r w:rsidRPr="00460A38">
        <w:t>.</w:t>
      </w:r>
    </w:p>
    <w:p w:rsidR="00C5181D" w:rsidRPr="008040B7" w:rsidRDefault="00C5181D" w:rsidP="00836710">
      <w:pPr>
        <w:pStyle w:val="Heading3"/>
      </w:pPr>
      <w:r w:rsidRPr="008040B7">
        <w:t>2005 Forecasting Review</w:t>
      </w:r>
    </w:p>
    <w:p w:rsidR="00C5181D" w:rsidRPr="008040B7" w:rsidRDefault="00C5181D" w:rsidP="007E1871">
      <w:r w:rsidRPr="008040B7">
        <w:t>The most recent major internal review of Treasury</w:t>
      </w:r>
      <w:r w:rsidR="00832533">
        <w:t>’</w:t>
      </w:r>
      <w:r w:rsidRPr="008040B7">
        <w:t>s forecasting performance was the 2005 Review. It was commissioned in response to significant upward revisions to successive published forecasts of Australian Government taxation revenue over a number of years, which had drawn into question the quality of Treasury</w:t>
      </w:r>
      <w:r w:rsidR="00832533">
        <w:t>’</w:t>
      </w:r>
      <w:r w:rsidRPr="008040B7">
        <w:t xml:space="preserve">s forecasts at the time. </w:t>
      </w:r>
    </w:p>
    <w:p w:rsidR="00C24053" w:rsidRPr="008040B7" w:rsidRDefault="00C24053" w:rsidP="007E1871">
      <w:r w:rsidRPr="008040B7">
        <w:t xml:space="preserve">The major findings of the 2005 Review related to the revenue forecasts and </w:t>
      </w:r>
      <w:r w:rsidR="00F608A4" w:rsidRPr="008040B7">
        <w:t xml:space="preserve">revenue </w:t>
      </w:r>
      <w:r w:rsidRPr="008040B7">
        <w:t>forecasting methodology and included that:</w:t>
      </w:r>
    </w:p>
    <w:p w:rsidR="00C24053" w:rsidRPr="008040B7" w:rsidRDefault="00C24053" w:rsidP="007E1871">
      <w:pPr>
        <w:pStyle w:val="Bullet"/>
      </w:pPr>
      <w:r w:rsidRPr="008040B7">
        <w:t>the underestimation in the Treasury</w:t>
      </w:r>
      <w:r w:rsidR="00832533">
        <w:t>’</w:t>
      </w:r>
      <w:r w:rsidRPr="008040B7">
        <w:t xml:space="preserve">s revenue forecasts appeared to reflect a series of conservative biases in the revenue forecasting process, combined with technical assumptions that implied that forecast revenue growth was </w:t>
      </w:r>
      <w:r w:rsidR="00F22458" w:rsidRPr="008040B7">
        <w:t>insufficiently</w:t>
      </w:r>
      <w:r w:rsidRPr="008040B7">
        <w:t xml:space="preserve"> sensitive to nominal GDP growth;</w:t>
      </w:r>
    </w:p>
    <w:p w:rsidR="00C24053" w:rsidRPr="008040B7" w:rsidRDefault="00C24053" w:rsidP="007E1871">
      <w:pPr>
        <w:pStyle w:val="Bullet"/>
      </w:pPr>
      <w:r w:rsidRPr="008040B7">
        <w:t>Treasury had an inadequate understanding of the relationship between the nominal economy and taxation revenue; and</w:t>
      </w:r>
    </w:p>
    <w:p w:rsidR="00C24053" w:rsidRPr="008040B7" w:rsidRDefault="00C24053" w:rsidP="007E1871">
      <w:pPr>
        <w:pStyle w:val="Bullet"/>
      </w:pPr>
      <w:r w:rsidRPr="008040B7">
        <w:t>Treasury</w:t>
      </w:r>
      <w:r w:rsidR="00832533">
        <w:t>’</w:t>
      </w:r>
      <w:r w:rsidRPr="008040B7">
        <w:t>s capacity to undertake meaningful analysis of taxation revenue had been severely hampered by underinvestment in taxation revenue data.</w:t>
      </w:r>
    </w:p>
    <w:p w:rsidR="00404D9D" w:rsidRPr="008040B7" w:rsidRDefault="00C24053" w:rsidP="007E1871">
      <w:r w:rsidRPr="008040B7">
        <w:rPr>
          <w:rFonts w:eastAsiaTheme="minorHAnsi"/>
        </w:rPr>
        <w:t>In response to these findings, Treasury</w:t>
      </w:r>
      <w:r w:rsidR="00832533">
        <w:rPr>
          <w:rFonts w:eastAsiaTheme="minorHAnsi"/>
        </w:rPr>
        <w:t>’</w:t>
      </w:r>
      <w:r w:rsidRPr="008040B7">
        <w:rPr>
          <w:rFonts w:eastAsiaTheme="minorHAnsi"/>
        </w:rPr>
        <w:t xml:space="preserve">s Executive Board established a dedicated team to implement the recommendations of </w:t>
      </w:r>
      <w:r w:rsidR="00F3731D" w:rsidRPr="008040B7">
        <w:rPr>
          <w:rFonts w:eastAsiaTheme="minorHAnsi"/>
        </w:rPr>
        <w:t>the</w:t>
      </w:r>
      <w:r w:rsidRPr="008040B7">
        <w:rPr>
          <w:rFonts w:eastAsiaTheme="minorHAnsi"/>
        </w:rPr>
        <w:t xml:space="preserve"> Review that were designed to overhaul the data and methodology used to forecast taxation revenue. The team </w:t>
      </w:r>
      <w:r w:rsidR="00793438" w:rsidRPr="008040B7">
        <w:rPr>
          <w:rFonts w:eastAsiaTheme="minorHAnsi"/>
        </w:rPr>
        <w:t xml:space="preserve">subsequently </w:t>
      </w:r>
      <w:r w:rsidRPr="008040B7">
        <w:rPr>
          <w:rFonts w:eastAsiaTheme="minorHAnsi"/>
        </w:rPr>
        <w:t>made major investments in the quality of data sets and forecasting methodology over an eighteen month period</w:t>
      </w:r>
      <w:r w:rsidR="00A33CD2" w:rsidRPr="008040B7">
        <w:rPr>
          <w:rFonts w:eastAsiaTheme="minorHAnsi"/>
        </w:rPr>
        <w:t>, with the assistance of the ABS and the ATO</w:t>
      </w:r>
      <w:r w:rsidR="00793438" w:rsidRPr="008040B7">
        <w:rPr>
          <w:rFonts w:eastAsiaTheme="minorHAnsi"/>
        </w:rPr>
        <w:t xml:space="preserve">. This work </w:t>
      </w:r>
      <w:r w:rsidR="002D13C5" w:rsidRPr="008040B7">
        <w:rPr>
          <w:rFonts w:eastAsiaTheme="minorHAnsi"/>
        </w:rPr>
        <w:t>underpin</w:t>
      </w:r>
      <w:r w:rsidR="00A00EC6" w:rsidRPr="008040B7">
        <w:rPr>
          <w:rFonts w:eastAsiaTheme="minorHAnsi"/>
        </w:rPr>
        <w:t>ned</w:t>
      </w:r>
      <w:r w:rsidR="002D13C5" w:rsidRPr="008040B7">
        <w:rPr>
          <w:rFonts w:eastAsiaTheme="minorHAnsi"/>
        </w:rPr>
        <w:t xml:space="preserve"> the </w:t>
      </w:r>
      <w:r w:rsidR="002702D1" w:rsidRPr="008040B7">
        <w:rPr>
          <w:rFonts w:eastAsiaTheme="minorHAnsi"/>
        </w:rPr>
        <w:t xml:space="preserve">construction of the new </w:t>
      </w:r>
      <w:r w:rsidR="00A00EC6" w:rsidRPr="008040B7">
        <w:rPr>
          <w:rFonts w:eastAsiaTheme="minorHAnsi"/>
        </w:rPr>
        <w:t xml:space="preserve">income tax revenue head </w:t>
      </w:r>
      <w:r w:rsidR="002D13C5" w:rsidRPr="008040B7">
        <w:rPr>
          <w:rFonts w:eastAsiaTheme="minorHAnsi"/>
        </w:rPr>
        <w:t>mapping m</w:t>
      </w:r>
      <w:r w:rsidR="002702D1" w:rsidRPr="008040B7">
        <w:rPr>
          <w:rFonts w:eastAsiaTheme="minorHAnsi"/>
        </w:rPr>
        <w:t>odels</w:t>
      </w:r>
      <w:r w:rsidR="00A25F56" w:rsidRPr="008040B7">
        <w:rPr>
          <w:rFonts w:eastAsiaTheme="minorHAnsi"/>
        </w:rPr>
        <w:t xml:space="preserve">. </w:t>
      </w:r>
      <w:r w:rsidR="002702D1" w:rsidRPr="008040B7">
        <w:rPr>
          <w:rFonts w:eastAsiaTheme="minorHAnsi"/>
        </w:rPr>
        <w:t xml:space="preserve">This included constructing, and scaling, </w:t>
      </w:r>
      <w:r w:rsidR="00A25F56" w:rsidRPr="008040B7">
        <w:rPr>
          <w:rFonts w:eastAsiaTheme="minorHAnsi"/>
        </w:rPr>
        <w:t xml:space="preserve">time series of </w:t>
      </w:r>
      <w:r w:rsidR="00A00EC6" w:rsidRPr="008040B7">
        <w:rPr>
          <w:rFonts w:eastAsiaTheme="minorHAnsi"/>
        </w:rPr>
        <w:t xml:space="preserve">income </w:t>
      </w:r>
      <w:r w:rsidR="00A25F56" w:rsidRPr="008040B7">
        <w:rPr>
          <w:rFonts w:eastAsiaTheme="minorHAnsi"/>
        </w:rPr>
        <w:t xml:space="preserve">tax return data and </w:t>
      </w:r>
      <w:r w:rsidR="002D3FEE" w:rsidRPr="008040B7">
        <w:rPr>
          <w:rFonts w:eastAsiaTheme="minorHAnsi"/>
        </w:rPr>
        <w:t>preparing a</w:t>
      </w:r>
      <w:r w:rsidR="00A00EC6" w:rsidRPr="008040B7">
        <w:rPr>
          <w:rFonts w:eastAsiaTheme="minorHAnsi"/>
        </w:rPr>
        <w:t>n accounting</w:t>
      </w:r>
      <w:r w:rsidR="00A25F56" w:rsidRPr="008040B7">
        <w:rPr>
          <w:rFonts w:eastAsiaTheme="minorHAnsi"/>
        </w:rPr>
        <w:t xml:space="preserve"> mapping between </w:t>
      </w:r>
      <w:r w:rsidR="00404D9D" w:rsidRPr="008040B7">
        <w:rPr>
          <w:rFonts w:eastAsiaTheme="minorHAnsi"/>
        </w:rPr>
        <w:t xml:space="preserve">taxable </w:t>
      </w:r>
      <w:r w:rsidR="00882A07" w:rsidRPr="008040B7">
        <w:rPr>
          <w:rFonts w:eastAsiaTheme="minorHAnsi"/>
        </w:rPr>
        <w:t xml:space="preserve">income </w:t>
      </w:r>
      <w:r w:rsidR="00404D9D" w:rsidRPr="008040B7">
        <w:rPr>
          <w:rFonts w:eastAsiaTheme="minorHAnsi"/>
        </w:rPr>
        <w:t xml:space="preserve">and economic </w:t>
      </w:r>
      <w:r w:rsidR="00882A07" w:rsidRPr="008040B7">
        <w:rPr>
          <w:rFonts w:eastAsiaTheme="minorHAnsi"/>
        </w:rPr>
        <w:t xml:space="preserve">income </w:t>
      </w:r>
      <w:r w:rsidR="00404D9D" w:rsidRPr="008040B7">
        <w:rPr>
          <w:rFonts w:eastAsiaTheme="minorHAnsi"/>
        </w:rPr>
        <w:t>(</w:t>
      </w:r>
      <w:r w:rsidR="00882A07" w:rsidRPr="008040B7">
        <w:rPr>
          <w:rFonts w:eastAsiaTheme="minorHAnsi"/>
        </w:rPr>
        <w:t>in practice, between data published in Taxation Statistics and the National Accounts)</w:t>
      </w:r>
      <w:r w:rsidR="00242237" w:rsidRPr="008040B7">
        <w:rPr>
          <w:rFonts w:eastAsiaTheme="minorHAnsi"/>
        </w:rPr>
        <w:t xml:space="preserve">. </w:t>
      </w:r>
      <w:r w:rsidR="003E6631" w:rsidRPr="008040B7">
        <w:rPr>
          <w:rFonts w:eastAsiaTheme="minorHAnsi"/>
        </w:rPr>
        <w:t xml:space="preserve">The team also carefully prepared models of income tax payment arrangements. </w:t>
      </w:r>
    </w:p>
    <w:p w:rsidR="00C24053" w:rsidRPr="008040B7" w:rsidRDefault="00C24053" w:rsidP="007E1871">
      <w:r w:rsidRPr="008040B7">
        <w:t xml:space="preserve">The 2005 Review also made a number of </w:t>
      </w:r>
      <w:r w:rsidR="00B43319" w:rsidRPr="008040B7">
        <w:t xml:space="preserve">other </w:t>
      </w:r>
      <w:r w:rsidRPr="008040B7">
        <w:t>recommendations designed to improve</w:t>
      </w:r>
      <w:r w:rsidR="00C5181D" w:rsidRPr="008040B7">
        <w:t xml:space="preserve"> macroeconomic and revenue forecasting methodology. </w:t>
      </w:r>
      <w:r w:rsidR="00ED281A" w:rsidRPr="008040B7">
        <w:t xml:space="preserve">These recommendations are </w:t>
      </w:r>
      <w:r w:rsidR="00715392">
        <w:t>at Attachment A</w:t>
      </w:r>
      <w:r w:rsidR="00ED281A" w:rsidRPr="008040B7">
        <w:t>, together with an assessment of progress made towards their implementation.</w:t>
      </w:r>
      <w:r w:rsidRPr="008040B7">
        <w:t xml:space="preserve"> </w:t>
      </w:r>
    </w:p>
    <w:p w:rsidR="00C5181D" w:rsidRPr="008040B7" w:rsidRDefault="005720E9" w:rsidP="00836710">
      <w:pPr>
        <w:pStyle w:val="Heading3"/>
      </w:pPr>
      <w:r w:rsidRPr="008040B7">
        <w:t xml:space="preserve">Recent Improvements </w:t>
      </w:r>
      <w:r>
        <w:t>t</w:t>
      </w:r>
      <w:r w:rsidRPr="008040B7">
        <w:t>o Revenue Forecasting Methodology</w:t>
      </w:r>
    </w:p>
    <w:p w:rsidR="00882A07" w:rsidRPr="008040B7" w:rsidRDefault="00F608A4" w:rsidP="007E1871">
      <w:pPr>
        <w:rPr>
          <w:rFonts w:eastAsiaTheme="minorHAnsi"/>
          <w:i/>
          <w:iCs/>
        </w:rPr>
      </w:pPr>
      <w:r w:rsidRPr="008040B7">
        <w:rPr>
          <w:rFonts w:eastAsiaTheme="minorHAnsi"/>
        </w:rPr>
        <w:t xml:space="preserve">The work of the implementation team </w:t>
      </w:r>
      <w:r w:rsidR="00882A07" w:rsidRPr="008040B7">
        <w:rPr>
          <w:rFonts w:eastAsiaTheme="minorHAnsi"/>
        </w:rPr>
        <w:t>has been continued by RAU. The mapping models are now designed to mirror the tax payments system as closely as possible</w:t>
      </w:r>
      <w:r w:rsidR="003D34A5">
        <w:rPr>
          <w:rFonts w:eastAsiaTheme="minorHAnsi"/>
        </w:rPr>
        <w:t xml:space="preserve"> — </w:t>
      </w:r>
      <w:r w:rsidR="00882A07" w:rsidRPr="008040B7">
        <w:rPr>
          <w:rFonts w:eastAsiaTheme="minorHAnsi"/>
        </w:rPr>
        <w:t>for example, the personal income tax model includes each of the income and expense items (wages and salaries, dividends, interest income, work related expenses etc) that feed into the taxable income base.</w:t>
      </w:r>
      <w:r w:rsidR="00836710">
        <w:rPr>
          <w:rFonts w:eastAsiaTheme="minorHAnsi"/>
        </w:rPr>
        <w:t xml:space="preserve"> </w:t>
      </w:r>
    </w:p>
    <w:p w:rsidR="00B97414" w:rsidRPr="008040B7" w:rsidRDefault="00B43319" w:rsidP="007E1871">
      <w:r w:rsidRPr="008040B7">
        <w:t xml:space="preserve">Some </w:t>
      </w:r>
      <w:r w:rsidR="008D1D37" w:rsidRPr="008040B7">
        <w:t>recent</w:t>
      </w:r>
      <w:r w:rsidR="00B97414" w:rsidRPr="008040B7">
        <w:t xml:space="preserve"> improvements to the main mapping model</w:t>
      </w:r>
      <w:r w:rsidR="0083044A" w:rsidRPr="008040B7">
        <w:t>s</w:t>
      </w:r>
      <w:r w:rsidR="00B97414" w:rsidRPr="008040B7">
        <w:t xml:space="preserve"> are detailed below:</w:t>
      </w:r>
    </w:p>
    <w:p w:rsidR="00B97414" w:rsidRPr="00531A77" w:rsidRDefault="006A06ED" w:rsidP="007E1871">
      <w:pPr>
        <w:pStyle w:val="Heading4"/>
      </w:pPr>
      <w:r w:rsidRPr="00531A77">
        <w:lastRenderedPageBreak/>
        <w:t>Improving the mod</w:t>
      </w:r>
      <w:r w:rsidR="00B43319" w:rsidRPr="00531A77">
        <w:t>el alignment with the economic base</w:t>
      </w:r>
    </w:p>
    <w:p w:rsidR="00312302" w:rsidRDefault="00AF2368" w:rsidP="007E1871">
      <w:r w:rsidRPr="008040B7">
        <w:t xml:space="preserve">Examination of </w:t>
      </w:r>
      <w:r w:rsidR="0083044A" w:rsidRPr="008040B7">
        <w:t xml:space="preserve">some </w:t>
      </w:r>
      <w:r w:rsidRPr="008040B7">
        <w:t xml:space="preserve">revenue head models has found that </w:t>
      </w:r>
      <w:r w:rsidR="00B97414" w:rsidRPr="008040B7">
        <w:t>the</w:t>
      </w:r>
      <w:r w:rsidR="0083044A" w:rsidRPr="008040B7">
        <w:t xml:space="preserve"> data </w:t>
      </w:r>
      <w:r w:rsidR="00B97414" w:rsidRPr="008040B7">
        <w:t xml:space="preserve">was </w:t>
      </w:r>
      <w:r w:rsidR="0083044A" w:rsidRPr="008040B7">
        <w:t xml:space="preserve">of </w:t>
      </w:r>
      <w:r w:rsidR="00B97414" w:rsidRPr="008040B7">
        <w:t xml:space="preserve">insufficient </w:t>
      </w:r>
      <w:r w:rsidR="0083044A" w:rsidRPr="008040B7">
        <w:t xml:space="preserve">quality to </w:t>
      </w:r>
      <w:r w:rsidR="00B97414" w:rsidRPr="008040B7">
        <w:t xml:space="preserve">justify </w:t>
      </w:r>
      <w:r w:rsidR="0083044A" w:rsidRPr="008040B7">
        <w:t>the level of disaggregation.</w:t>
      </w:r>
      <w:r w:rsidR="00836710">
        <w:t xml:space="preserve"> </w:t>
      </w:r>
      <w:r w:rsidR="00B97414" w:rsidRPr="008040B7">
        <w:t>The general approach</w:t>
      </w:r>
      <w:r w:rsidRPr="008040B7">
        <w:t>,</w:t>
      </w:r>
      <w:r w:rsidR="00B97414" w:rsidRPr="008040B7">
        <w:t xml:space="preserve"> now taken</w:t>
      </w:r>
      <w:r w:rsidRPr="008040B7">
        <w:t>,</w:t>
      </w:r>
      <w:r w:rsidR="00B97414" w:rsidRPr="008040B7">
        <w:t xml:space="preserve"> is to </w:t>
      </w:r>
      <w:r w:rsidR="001004F2" w:rsidRPr="008040B7">
        <w:t xml:space="preserve">forecast at the level of the </w:t>
      </w:r>
      <w:r w:rsidR="00B97414" w:rsidRPr="008040B7">
        <w:t>broad head of revenue</w:t>
      </w:r>
      <w:r w:rsidR="00D72848" w:rsidRPr="008040B7">
        <w:t>,</w:t>
      </w:r>
      <w:r w:rsidR="00B97414" w:rsidRPr="008040B7">
        <w:t xml:space="preserve"> rather than </w:t>
      </w:r>
      <w:r w:rsidR="003F19F9" w:rsidRPr="008040B7">
        <w:t>at greater levels of disaggregation.</w:t>
      </w:r>
      <w:r w:rsidR="00836710">
        <w:t xml:space="preserve"> </w:t>
      </w:r>
      <w:r w:rsidR="00B43319" w:rsidRPr="008040B7">
        <w:t xml:space="preserve">This is guided by the principle that </w:t>
      </w:r>
      <w:r w:rsidR="00D72848" w:rsidRPr="008040B7">
        <w:t xml:space="preserve">the </w:t>
      </w:r>
      <w:r w:rsidR="004E198B" w:rsidRPr="008040B7">
        <w:t xml:space="preserve">forecast </w:t>
      </w:r>
      <w:r w:rsidR="00D72848" w:rsidRPr="008040B7">
        <w:t xml:space="preserve">accuracy of </w:t>
      </w:r>
      <w:r w:rsidR="001004F2" w:rsidRPr="008040B7">
        <w:t xml:space="preserve">total </w:t>
      </w:r>
      <w:r w:rsidR="00D72848" w:rsidRPr="008040B7">
        <w:t xml:space="preserve">revenue </w:t>
      </w:r>
      <w:r w:rsidR="00352DDF" w:rsidRPr="008040B7">
        <w:t xml:space="preserve">depends on the </w:t>
      </w:r>
      <w:r w:rsidR="004E198B" w:rsidRPr="008040B7">
        <w:t xml:space="preserve">forecast </w:t>
      </w:r>
      <w:r w:rsidR="001004F2" w:rsidRPr="008040B7">
        <w:t xml:space="preserve">accuracy of </w:t>
      </w:r>
      <w:r w:rsidR="00B43319" w:rsidRPr="008040B7">
        <w:t>the broad</w:t>
      </w:r>
      <w:r w:rsidR="00D72848" w:rsidRPr="008040B7">
        <w:t xml:space="preserve"> revenue heads</w:t>
      </w:r>
      <w:r w:rsidR="001004F2" w:rsidRPr="008040B7">
        <w:t>, not on the breakdown</w:t>
      </w:r>
      <w:r w:rsidR="00352DDF" w:rsidRPr="008040B7">
        <w:t xml:space="preserve"> </w:t>
      </w:r>
      <w:r w:rsidR="001004F2" w:rsidRPr="008040B7">
        <w:t xml:space="preserve">or </w:t>
      </w:r>
      <w:r w:rsidR="00832533">
        <w:t>‘</w:t>
      </w:r>
      <w:r w:rsidR="001004F2" w:rsidRPr="008040B7">
        <w:t>splits</w:t>
      </w:r>
      <w:r w:rsidR="00832533">
        <w:t>’</w:t>
      </w:r>
      <w:r w:rsidR="001004F2" w:rsidRPr="008040B7">
        <w:t xml:space="preserve"> </w:t>
      </w:r>
      <w:r w:rsidR="00352DDF" w:rsidRPr="008040B7">
        <w:t xml:space="preserve">of </w:t>
      </w:r>
      <w:r w:rsidR="001004F2" w:rsidRPr="008040B7">
        <w:t xml:space="preserve">particular </w:t>
      </w:r>
      <w:r w:rsidR="00352DDF" w:rsidRPr="008040B7">
        <w:t>revenue head</w:t>
      </w:r>
      <w:r w:rsidR="001004F2" w:rsidRPr="008040B7">
        <w:t>s</w:t>
      </w:r>
      <w:r w:rsidR="00352DDF" w:rsidRPr="008040B7">
        <w:t xml:space="preserve"> into </w:t>
      </w:r>
      <w:r w:rsidR="004E198B" w:rsidRPr="008040B7">
        <w:t xml:space="preserve">sub </w:t>
      </w:r>
      <w:r w:rsidR="00352DDF" w:rsidRPr="008040B7">
        <w:t>components</w:t>
      </w:r>
      <w:r w:rsidR="004E198B" w:rsidRPr="008040B7">
        <w:t xml:space="preserve"> of revenue, </w:t>
      </w:r>
      <w:r w:rsidR="001004F2" w:rsidRPr="008040B7">
        <w:t>which</w:t>
      </w:r>
      <w:r w:rsidR="00352DDF" w:rsidRPr="008040B7">
        <w:t xml:space="preserve"> </w:t>
      </w:r>
      <w:r w:rsidR="004E198B" w:rsidRPr="008040B7">
        <w:t>are</w:t>
      </w:r>
      <w:r w:rsidR="001004F2" w:rsidRPr="008040B7">
        <w:t xml:space="preserve"> </w:t>
      </w:r>
      <w:r w:rsidR="00352DDF" w:rsidRPr="008040B7">
        <w:t xml:space="preserve">of </w:t>
      </w:r>
      <w:r w:rsidR="004E198B" w:rsidRPr="008040B7">
        <w:t xml:space="preserve">only </w:t>
      </w:r>
      <w:r w:rsidR="00352DDF" w:rsidRPr="008040B7">
        <w:t xml:space="preserve">residual interest. </w:t>
      </w:r>
      <w:r w:rsidR="00D72848" w:rsidRPr="008040B7">
        <w:t xml:space="preserve">The </w:t>
      </w:r>
      <w:r w:rsidR="00B43319" w:rsidRPr="008040B7">
        <w:t>splits can then be estimated based on recent trends or other information</w:t>
      </w:r>
      <w:r w:rsidR="00352DDF" w:rsidRPr="008040B7">
        <w:t>.</w:t>
      </w:r>
      <w:r w:rsidR="00B43319" w:rsidRPr="008040B7">
        <w:t xml:space="preserve"> </w:t>
      </w:r>
    </w:p>
    <w:p w:rsidR="00B97414" w:rsidRPr="008040B7" w:rsidRDefault="00B97414" w:rsidP="007E1871">
      <w:r w:rsidRPr="008040B7">
        <w:t xml:space="preserve">For example, total alcohol excise is </w:t>
      </w:r>
      <w:r w:rsidR="004E198B" w:rsidRPr="008040B7">
        <w:t xml:space="preserve">now </w:t>
      </w:r>
      <w:r w:rsidRPr="008040B7">
        <w:t>modelled</w:t>
      </w:r>
      <w:r w:rsidR="00312302">
        <w:t>, with</w:t>
      </w:r>
      <w:r w:rsidRPr="008040B7">
        <w:t xml:space="preserve"> </w:t>
      </w:r>
      <w:r w:rsidR="00312302">
        <w:t xml:space="preserve">the </w:t>
      </w:r>
      <w:r w:rsidR="004E198B" w:rsidRPr="008040B7">
        <w:t>forecast</w:t>
      </w:r>
      <w:r w:rsidRPr="008040B7">
        <w:t xml:space="preserve"> </w:t>
      </w:r>
      <w:r w:rsidR="00312302">
        <w:t xml:space="preserve">then </w:t>
      </w:r>
      <w:r w:rsidRPr="008040B7">
        <w:t>split into the</w:t>
      </w:r>
      <w:r w:rsidR="001004F2" w:rsidRPr="008040B7">
        <w:t xml:space="preserve"> </w:t>
      </w:r>
      <w:r w:rsidR="004E198B" w:rsidRPr="008040B7">
        <w:t xml:space="preserve">sub </w:t>
      </w:r>
      <w:r w:rsidR="001004F2" w:rsidRPr="008040B7">
        <w:t>components of alcohol excise</w:t>
      </w:r>
      <w:r w:rsidRPr="008040B7">
        <w:t>, such as beer excise.</w:t>
      </w:r>
      <w:r w:rsidR="00836710">
        <w:t xml:space="preserve"> </w:t>
      </w:r>
      <w:r w:rsidR="00020143" w:rsidRPr="008040B7">
        <w:t xml:space="preserve">This </w:t>
      </w:r>
      <w:r w:rsidR="00352DDF" w:rsidRPr="008040B7">
        <w:t xml:space="preserve">approach </w:t>
      </w:r>
      <w:r w:rsidR="00020143" w:rsidRPr="008040B7">
        <w:t xml:space="preserve">has had the effect </w:t>
      </w:r>
      <w:r w:rsidR="00B43319" w:rsidRPr="008040B7">
        <w:t xml:space="preserve">of </w:t>
      </w:r>
      <w:r w:rsidR="00020143" w:rsidRPr="008040B7">
        <w:t>improv</w:t>
      </w:r>
      <w:r w:rsidR="00352DDF" w:rsidRPr="008040B7">
        <w:t>ing</w:t>
      </w:r>
      <w:r w:rsidR="00020143" w:rsidRPr="008040B7">
        <w:t xml:space="preserve"> the model alignment with the economic </w:t>
      </w:r>
      <w:r w:rsidR="00DA3B96" w:rsidRPr="008040B7">
        <w:t>base</w:t>
      </w:r>
      <w:r w:rsidR="00B43319" w:rsidRPr="008040B7">
        <w:t xml:space="preserve">. </w:t>
      </w:r>
      <w:r w:rsidRPr="008040B7">
        <w:t>For example, beer excise ha</w:t>
      </w:r>
      <w:r w:rsidR="00312302">
        <w:t>s</w:t>
      </w:r>
      <w:r w:rsidRPr="008040B7">
        <w:t xml:space="preserve"> no discernible historical relationship with total private consumption of alcohol</w:t>
      </w:r>
      <w:r w:rsidR="003D34A5">
        <w:t xml:space="preserve"> — </w:t>
      </w:r>
      <w:r w:rsidR="00640BE6" w:rsidRPr="008040B7">
        <w:t>the economic base forecast by DED</w:t>
      </w:r>
      <w:r w:rsidRPr="008040B7">
        <w:t>.</w:t>
      </w:r>
      <w:r w:rsidR="00836710">
        <w:t xml:space="preserve"> </w:t>
      </w:r>
      <w:r w:rsidRPr="008040B7">
        <w:t>A higher level of aggregation has also been applied to the modelling of tobacco excise.</w:t>
      </w:r>
      <w:r w:rsidR="007D7F6F" w:rsidRPr="008040B7">
        <w:t xml:space="preserve"> </w:t>
      </w:r>
    </w:p>
    <w:p w:rsidR="00B97414" w:rsidRPr="008040B7" w:rsidRDefault="00B97414" w:rsidP="007E1871">
      <w:r w:rsidRPr="008040B7">
        <w:t>The superannuation and capital gains tax models have also been rebuilt based on the balance sheet for the relevant tax entity, rather than a flow of income approach</w:t>
      </w:r>
      <w:r w:rsidR="00ED281A" w:rsidRPr="008040B7">
        <w:t xml:space="preserve">. This </w:t>
      </w:r>
      <w:r w:rsidRPr="008040B7">
        <w:t>more closely mirrors the process by which capital gains are generated.</w:t>
      </w:r>
      <w:r w:rsidR="00836710">
        <w:t xml:space="preserve"> </w:t>
      </w:r>
      <w:r w:rsidR="00AF2368" w:rsidRPr="008040B7">
        <w:t xml:space="preserve">It </w:t>
      </w:r>
      <w:r w:rsidRPr="008040B7">
        <w:t>allows for capital losses to be calculated separately and taken into account in calculating the taxable income base.</w:t>
      </w:r>
    </w:p>
    <w:p w:rsidR="00B97414" w:rsidRPr="00531A77" w:rsidRDefault="00B97414" w:rsidP="007E1871">
      <w:pPr>
        <w:pStyle w:val="Heading4"/>
      </w:pPr>
      <w:r w:rsidRPr="00531A77">
        <w:t>Improvements to data sources</w:t>
      </w:r>
    </w:p>
    <w:p w:rsidR="00B97414" w:rsidRPr="008040B7" w:rsidRDefault="00B97414" w:rsidP="007E1871">
      <w:r w:rsidRPr="008040B7">
        <w:t xml:space="preserve">Some of the head of revenue models have been improved </w:t>
      </w:r>
      <w:r w:rsidR="00ED281A" w:rsidRPr="008040B7">
        <w:t xml:space="preserve">through the </w:t>
      </w:r>
      <w:r w:rsidRPr="008040B7">
        <w:t xml:space="preserve">use </w:t>
      </w:r>
      <w:r w:rsidR="00ED281A" w:rsidRPr="008040B7">
        <w:t xml:space="preserve">of </w:t>
      </w:r>
      <w:r w:rsidRPr="008040B7">
        <w:t>data from additional or better sources.</w:t>
      </w:r>
      <w:r w:rsidR="00836710">
        <w:t xml:space="preserve"> </w:t>
      </w:r>
      <w:r w:rsidRPr="008040B7">
        <w:t xml:space="preserve">For example, the superannuation model has been </w:t>
      </w:r>
      <w:r w:rsidR="00715392">
        <w:t>enhanced</w:t>
      </w:r>
      <w:r w:rsidR="00715392" w:rsidRPr="008040B7">
        <w:t xml:space="preserve"> </w:t>
      </w:r>
      <w:r w:rsidRPr="008040B7">
        <w:t>us</w:t>
      </w:r>
      <w:r w:rsidR="00ED281A" w:rsidRPr="008040B7">
        <w:t>ing data</w:t>
      </w:r>
      <w:r w:rsidRPr="008040B7">
        <w:t xml:space="preserve"> from APRA, which cover around two</w:t>
      </w:r>
      <w:r w:rsidR="00275D44">
        <w:noBreakHyphen/>
      </w:r>
      <w:r w:rsidRPr="008040B7">
        <w:t>thirds of Australia</w:t>
      </w:r>
      <w:r w:rsidR="00832533">
        <w:t>’</w:t>
      </w:r>
      <w:r w:rsidRPr="008040B7">
        <w:t>s superannuation funds</w:t>
      </w:r>
      <w:r w:rsidR="00ED281A" w:rsidRPr="008040B7">
        <w:t>,</w:t>
      </w:r>
      <w:r w:rsidRPr="008040B7">
        <w:t xml:space="preserve"> and are timelier than Taxation Statistics (as at July 2012, APRA data are available for 2010</w:t>
      </w:r>
      <w:r w:rsidR="00275D44">
        <w:noBreakHyphen/>
      </w:r>
      <w:r w:rsidRPr="008040B7">
        <w:t>11, compared with 2009</w:t>
      </w:r>
      <w:r w:rsidR="00275D44">
        <w:noBreakHyphen/>
      </w:r>
      <w:r w:rsidRPr="008040B7">
        <w:t>10 for Taxation Statistics).</w:t>
      </w:r>
      <w:r w:rsidR="00836710">
        <w:t xml:space="preserve"> </w:t>
      </w:r>
      <w:r w:rsidRPr="008040B7">
        <w:t xml:space="preserve">In addition, the capital gains tax model has </w:t>
      </w:r>
      <w:r w:rsidR="00715392">
        <w:t xml:space="preserve">also </w:t>
      </w:r>
      <w:r w:rsidRPr="008040B7">
        <w:t xml:space="preserve">been </w:t>
      </w:r>
      <w:r w:rsidR="00715392">
        <w:t xml:space="preserve">enhanced by making </w:t>
      </w:r>
      <w:r w:rsidRPr="008040B7">
        <w:t>better use of asset price data from the RBA, the ABS and the ASX.</w:t>
      </w:r>
    </w:p>
    <w:p w:rsidR="007D7F6F" w:rsidRPr="00531A77" w:rsidRDefault="00912963" w:rsidP="00836710">
      <w:pPr>
        <w:pStyle w:val="Heading4"/>
      </w:pPr>
      <w:r w:rsidRPr="00531A77">
        <w:t>Use of micro</w:t>
      </w:r>
      <w:r w:rsidR="00EF78D3">
        <w:t xml:space="preserve"> </w:t>
      </w:r>
      <w:r w:rsidRPr="00531A77">
        <w:t>simulation techniques</w:t>
      </w:r>
    </w:p>
    <w:p w:rsidR="00460260" w:rsidRPr="008040B7" w:rsidRDefault="006A06ED" w:rsidP="007E1871">
      <w:pPr>
        <w:rPr>
          <w:b/>
        </w:rPr>
      </w:pPr>
      <w:r w:rsidRPr="008040B7">
        <w:t>RAU is currently exploring the use of micro</w:t>
      </w:r>
      <w:r w:rsidR="00275D44">
        <w:noBreakHyphen/>
      </w:r>
      <w:r w:rsidRPr="008040B7">
        <w:t>simulation techniques in personal income tax models.</w:t>
      </w:r>
      <w:r w:rsidR="00836710">
        <w:t xml:space="preserve"> </w:t>
      </w:r>
      <w:r w:rsidRPr="008040B7">
        <w:t>Whi</w:t>
      </w:r>
      <w:r w:rsidR="006A289A" w:rsidRPr="008040B7">
        <w:t>l</w:t>
      </w:r>
      <w:r w:rsidRPr="008040B7">
        <w:t>e data limitations had previously constrained the use of micro</w:t>
      </w:r>
      <w:r w:rsidR="00275D44">
        <w:noBreakHyphen/>
      </w:r>
      <w:r w:rsidRPr="008040B7">
        <w:t>simulation</w:t>
      </w:r>
      <w:r w:rsidR="006A289A" w:rsidRPr="008040B7">
        <w:t xml:space="preserve"> techniques</w:t>
      </w:r>
      <w:r w:rsidRPr="008040B7">
        <w:t>, arrangements have now been put in place to allow RAU to access detailed confidentialised personal income tax data from the ATO</w:t>
      </w:r>
      <w:r w:rsidR="00FC2976">
        <w:t>, with appropriate safeguards in place</w:t>
      </w:r>
      <w:r w:rsidRPr="008040B7">
        <w:t>.</w:t>
      </w:r>
      <w:r w:rsidR="00460260" w:rsidRPr="00460260">
        <w:t xml:space="preserve"> </w:t>
      </w:r>
      <w:r w:rsidR="00460260" w:rsidRPr="008040B7">
        <w:t>Some other countries, including the United States, employ micro</w:t>
      </w:r>
      <w:r w:rsidR="00275D44">
        <w:noBreakHyphen/>
      </w:r>
      <w:r w:rsidR="00460260" w:rsidRPr="008040B7">
        <w:t>simulation techniques in their personal income tax revenue forecasting.</w:t>
      </w:r>
      <w:r w:rsidR="00836710">
        <w:t xml:space="preserve"> </w:t>
      </w:r>
    </w:p>
    <w:p w:rsidR="00D66408" w:rsidRPr="008040B7" w:rsidRDefault="00D66408" w:rsidP="007E1871">
      <w:r w:rsidRPr="00E21772">
        <w:t>Micro</w:t>
      </w:r>
      <w:r w:rsidR="004C3123">
        <w:t xml:space="preserve"> </w:t>
      </w:r>
      <w:r w:rsidRPr="00E21772">
        <w:t>simulation models operate at the level of the individual behavioural entity, such as a person, family, or firm. Such models simulate large representative populations of these low</w:t>
      </w:r>
      <w:r w:rsidR="00275D44">
        <w:noBreakHyphen/>
      </w:r>
      <w:r w:rsidRPr="00E21772">
        <w:t>level entities in order to draw conclusions that apply to higher levels of aggregation such as an entire country. This type of model is distinct from aggregate models whose explanatory variables already represent collective properties. Certain types of mode</w:t>
      </w:r>
      <w:r w:rsidR="004C3123">
        <w:t>l</w:t>
      </w:r>
      <w:r w:rsidRPr="00E21772">
        <w:t>ling problems are best dealt with using micro</w:t>
      </w:r>
      <w:r w:rsidR="004C3123">
        <w:t xml:space="preserve"> </w:t>
      </w:r>
      <w:r w:rsidRPr="00E21772">
        <w:t>simulation</w:t>
      </w:r>
      <w:r>
        <w:t>,</w:t>
      </w:r>
      <w:r w:rsidRPr="00E21772">
        <w:t xml:space="preserve"> whereas for others an aggregate approach is more appropriate.</w:t>
      </w:r>
    </w:p>
    <w:p w:rsidR="00460260" w:rsidRPr="00531A77" w:rsidRDefault="00DE116E" w:rsidP="007E1871">
      <w:r>
        <w:t xml:space="preserve">In particular, the application of </w:t>
      </w:r>
      <w:r w:rsidR="00460260" w:rsidRPr="00531A77">
        <w:t>micro</w:t>
      </w:r>
      <w:r w:rsidR="00275D44">
        <w:noBreakHyphen/>
      </w:r>
      <w:r w:rsidR="00460260" w:rsidRPr="00531A77">
        <w:t xml:space="preserve">simulation techniques to personal income tax </w:t>
      </w:r>
      <w:r w:rsidR="004C3123">
        <w:t>may</w:t>
      </w:r>
      <w:r w:rsidR="00460260" w:rsidRPr="00531A77">
        <w:t xml:space="preserve"> improve the revenue forecasts by helping to identify </w:t>
      </w:r>
      <w:r w:rsidR="009D3094">
        <w:t xml:space="preserve">and forecast </w:t>
      </w:r>
      <w:r w:rsidR="00460260" w:rsidRPr="00531A77">
        <w:t>characteristics of the taxpayer population that are changing over time.</w:t>
      </w:r>
      <w:r w:rsidR="00836710">
        <w:t xml:space="preserve"> </w:t>
      </w:r>
      <w:r w:rsidR="00460260" w:rsidRPr="00531A77">
        <w:t xml:space="preserve">Some examples are </w:t>
      </w:r>
      <w:r w:rsidR="00BF1EC5">
        <w:t>provided</w:t>
      </w:r>
      <w:r w:rsidR="00460260" w:rsidRPr="00531A77">
        <w:t xml:space="preserve"> below.</w:t>
      </w:r>
    </w:p>
    <w:p w:rsidR="00460260" w:rsidRPr="00531A77" w:rsidRDefault="00460260" w:rsidP="007E1871">
      <w:pPr>
        <w:pStyle w:val="Bullet"/>
      </w:pPr>
      <w:r w:rsidRPr="00531A77">
        <w:t>The distribution of various forms of income varies markedly.</w:t>
      </w:r>
      <w:r w:rsidR="00836710">
        <w:t xml:space="preserve"> </w:t>
      </w:r>
      <w:r w:rsidRPr="00531A77">
        <w:t xml:space="preserve">For example, interest and dividend income is generally earned </w:t>
      </w:r>
      <w:r w:rsidR="004C3123">
        <w:t xml:space="preserve">by those facing </w:t>
      </w:r>
      <w:r w:rsidRPr="00531A77">
        <w:t xml:space="preserve">higher income </w:t>
      </w:r>
      <w:r w:rsidR="004C3123">
        <w:t xml:space="preserve">tax </w:t>
      </w:r>
      <w:r w:rsidRPr="00531A77">
        <w:t>scales</w:t>
      </w:r>
      <w:r w:rsidR="00DE116E">
        <w:t>,</w:t>
      </w:r>
      <w:r w:rsidRPr="00531A77">
        <w:t xml:space="preserve"> whereas pension income is </w:t>
      </w:r>
      <w:r w:rsidR="004C3123">
        <w:t xml:space="preserve">generally </w:t>
      </w:r>
      <w:r w:rsidRPr="00531A77">
        <w:t xml:space="preserve">earned </w:t>
      </w:r>
      <w:r w:rsidR="004C3123">
        <w:t xml:space="preserve">by those </w:t>
      </w:r>
      <w:r w:rsidRPr="00531A77">
        <w:t>at the lower end.</w:t>
      </w:r>
      <w:r w:rsidR="00836710">
        <w:t xml:space="preserve"> </w:t>
      </w:r>
      <w:r w:rsidRPr="00531A77">
        <w:t>Being able to apply different rates to different income items would provide more robust forecasts.</w:t>
      </w:r>
    </w:p>
    <w:p w:rsidR="00460260" w:rsidRPr="00531A77" w:rsidRDefault="00460260" w:rsidP="007E1871">
      <w:pPr>
        <w:pStyle w:val="Bullet"/>
      </w:pPr>
      <w:r w:rsidRPr="00531A77">
        <w:lastRenderedPageBreak/>
        <w:t>Dis</w:t>
      </w:r>
      <w:r w:rsidR="00275D44">
        <w:noBreakHyphen/>
      </w:r>
      <w:r w:rsidRPr="00531A77">
        <w:t>equiproportional growth in income distributions could be explicitly factored into the analysis and forecasts, rather than indirectly, via econometric techniques.</w:t>
      </w:r>
    </w:p>
    <w:p w:rsidR="001A4A6E" w:rsidRDefault="004C3123" w:rsidP="007E1871">
      <w:pPr>
        <w:pStyle w:val="Bullet"/>
      </w:pPr>
      <w:r>
        <w:t xml:space="preserve">The </w:t>
      </w:r>
      <w:r w:rsidR="00460260" w:rsidRPr="004C3123">
        <w:t>impact of population ageing on personal income tax revenue</w:t>
      </w:r>
      <w:r>
        <w:t xml:space="preserve"> could be better quantified</w:t>
      </w:r>
      <w:r w:rsidR="00460260" w:rsidRPr="004C3123">
        <w:t>.</w:t>
      </w:r>
    </w:p>
    <w:tbl>
      <w:tblPr>
        <w:tblW w:w="9072" w:type="dxa"/>
        <w:tblInd w:w="108" w:type="dxa"/>
        <w:shd w:val="clear" w:color="auto" w:fill="C6D9F1"/>
        <w:tblLook w:val="01E0" w:firstRow="1" w:lastRow="1" w:firstColumn="1" w:lastColumn="1" w:noHBand="0" w:noVBand="0"/>
      </w:tblPr>
      <w:tblGrid>
        <w:gridCol w:w="9072"/>
      </w:tblGrid>
      <w:tr w:rsidR="00876FF5" w:rsidTr="00876FF5">
        <w:tc>
          <w:tcPr>
            <w:tcW w:w="5000" w:type="pct"/>
            <w:shd w:val="clear" w:color="auto" w:fill="C6D9F1"/>
          </w:tcPr>
          <w:p w:rsidR="00876FF5" w:rsidRDefault="00876FF5" w:rsidP="0075508F">
            <w:pPr>
              <w:pStyle w:val="BoxHeading"/>
              <w:spacing w:before="180"/>
              <w:rPr>
                <w:bCs/>
              </w:rPr>
            </w:pPr>
            <w:r w:rsidRPr="00F42E03">
              <w:rPr>
                <w:u w:val="single"/>
              </w:rPr>
              <w:t>Recommendation </w:t>
            </w:r>
            <w:r>
              <w:rPr>
                <w:u w:val="single"/>
              </w:rPr>
              <w:t>3</w:t>
            </w:r>
            <w:r w:rsidRPr="00F42E03">
              <w:t>:</w:t>
            </w:r>
          </w:p>
          <w:p w:rsidR="00876FF5" w:rsidRPr="008950C5" w:rsidRDefault="00876FF5" w:rsidP="0075508F">
            <w:pPr>
              <w:pStyle w:val="BoxText"/>
              <w:spacing w:before="180" w:after="120"/>
              <w:rPr>
                <w:bCs w:val="0"/>
              </w:rPr>
            </w:pPr>
            <w:r w:rsidRPr="00F42E03">
              <w:t xml:space="preserve">Treasury should examine the feasibility of constructing a micro simulation model for </w:t>
            </w:r>
            <w:r>
              <w:t xml:space="preserve">forecasting </w:t>
            </w:r>
            <w:r w:rsidRPr="00F42E03">
              <w:t>personal income tax, as is the practice in the United States and United Kingdom.</w:t>
            </w:r>
          </w:p>
        </w:tc>
      </w:tr>
    </w:tbl>
    <w:p w:rsidR="00BF5B0B" w:rsidRPr="00F42E03" w:rsidRDefault="00FD7EA7" w:rsidP="00E04245">
      <w:pPr>
        <w:pStyle w:val="Heading2"/>
        <w:spacing w:before="320" w:after="200"/>
      </w:pPr>
      <w:r>
        <w:t xml:space="preserve">2.4: </w:t>
      </w:r>
      <w:r w:rsidR="00BF5B0B" w:rsidRPr="00F42E03">
        <w:t>Strengthening the Governance of Treasury’s Forecasting Processes</w:t>
      </w:r>
    </w:p>
    <w:p w:rsidR="00BF5B0B" w:rsidRPr="00F42E03" w:rsidRDefault="00BF5B0B" w:rsidP="00E04245">
      <w:pPr>
        <w:tabs>
          <w:tab w:val="left" w:pos="7372"/>
        </w:tabs>
        <w:spacing w:after="220"/>
      </w:pPr>
      <w:r w:rsidRPr="00F42E03">
        <w:t>Notwithstanding the generally robust nature of existing practices, the Review has made some recommendations that would strengthen existing governance arrangements in order to improve the credibility and transparency of Treasury’s forecasting processes. These recommendations would also bring these arrangements more in line with the practices of official agencies overseas.</w:t>
      </w:r>
    </w:p>
    <w:p w:rsidR="00BF5B0B" w:rsidRDefault="00BF5B0B" w:rsidP="00E04245">
      <w:pPr>
        <w:spacing w:after="220"/>
      </w:pPr>
      <w:r w:rsidRPr="00F42E03">
        <w:t>The importance of credible and transparent forecasts in supporting public confidence has</w:t>
      </w:r>
      <w:r>
        <w:t xml:space="preserve"> </w:t>
      </w:r>
      <w:r w:rsidRPr="00F42E03">
        <w:t>been highlighted by current global economic uncertainty.</w:t>
      </w:r>
      <w:r>
        <w:t xml:space="preserve"> </w:t>
      </w:r>
      <w:r w:rsidRPr="00F42E03">
        <w:t>Publishing forecasting models, data, and technical assumptions in order to open them up to external scrutiny provides greater transparency.</w:t>
      </w:r>
      <w:r>
        <w:t xml:space="preserve"> </w:t>
      </w:r>
      <w:r w:rsidRPr="00F42E03">
        <w:t xml:space="preserve">It also allows for feedback and testing of assumptions, leading to model improvements over time, as well as enhancing the credibility of the model’s forecasts. </w:t>
      </w:r>
    </w:p>
    <w:p w:rsidR="00BF5B0B" w:rsidRDefault="00BF5B0B" w:rsidP="00E04245">
      <w:pPr>
        <w:spacing w:after="220"/>
      </w:pPr>
      <w:r w:rsidRPr="00F42E03">
        <w:t>These considerations lead the Review to recommend:</w:t>
      </w:r>
    </w:p>
    <w:tbl>
      <w:tblPr>
        <w:tblW w:w="9072" w:type="dxa"/>
        <w:tblInd w:w="108" w:type="dxa"/>
        <w:shd w:val="clear" w:color="auto" w:fill="C6D9F1"/>
        <w:tblLook w:val="01E0" w:firstRow="1" w:lastRow="1" w:firstColumn="1" w:lastColumn="1" w:noHBand="0" w:noVBand="0"/>
      </w:tblPr>
      <w:tblGrid>
        <w:gridCol w:w="9072"/>
      </w:tblGrid>
      <w:tr w:rsidR="00D06BDB" w:rsidTr="007E4C58">
        <w:tc>
          <w:tcPr>
            <w:tcW w:w="5000" w:type="pct"/>
            <w:shd w:val="clear" w:color="auto" w:fill="C6D9F1"/>
          </w:tcPr>
          <w:p w:rsidR="00D06BDB" w:rsidRDefault="00D06BDB" w:rsidP="0075508F">
            <w:pPr>
              <w:pStyle w:val="BoxHeading"/>
              <w:spacing w:before="180"/>
              <w:rPr>
                <w:bCs/>
              </w:rPr>
            </w:pPr>
            <w:r w:rsidRPr="00F42E03">
              <w:rPr>
                <w:u w:val="single"/>
              </w:rPr>
              <w:t>Recommendation </w:t>
            </w:r>
            <w:r>
              <w:rPr>
                <w:u w:val="single"/>
              </w:rPr>
              <w:t>4:</w:t>
            </w:r>
          </w:p>
          <w:p w:rsidR="00D06BDB" w:rsidRPr="008950C5" w:rsidRDefault="00D06BDB" w:rsidP="0075508F">
            <w:pPr>
              <w:pStyle w:val="BoxText"/>
              <w:spacing w:before="180" w:after="120"/>
              <w:rPr>
                <w:bCs w:val="0"/>
              </w:rPr>
            </w:pPr>
            <w:r w:rsidRPr="00F42E03">
              <w:t>Treasury should publish technical documentation that describes the data and the conceptual and econometric basis of models used for economic and revenue forecasting.</w:t>
            </w:r>
            <w:r>
              <w:t xml:space="preserve"> </w:t>
            </w:r>
            <w:r w:rsidRPr="00F42E03">
              <w:t>A number of official agencies overseas have published technical documentation of their forecasting models.</w:t>
            </w:r>
          </w:p>
        </w:tc>
      </w:tr>
    </w:tbl>
    <w:p w:rsidR="00BF5B0B" w:rsidRDefault="00BF5B0B" w:rsidP="00E04245">
      <w:pPr>
        <w:spacing w:after="220"/>
      </w:pPr>
      <w:r w:rsidRPr="00F42E03">
        <w:t xml:space="preserve">Large forecasting errors can reduce the credibility of forecasts, particularly as they are viewed with the benefit of hindsight (which reveals information that was not available to the forecaster at the time the forecasts were prepared). In this regard the Review notes that forecasting is an inherently difficult exercise and, on occasion, large forecasting errors are inevitable, especially at times of economic volatility. Regular public reviews of forecasting performance can help to provide perspective on forecast errors. They can also improve the transparency of the forecasting process. </w:t>
      </w:r>
    </w:p>
    <w:p w:rsidR="00BF5B0B" w:rsidRDefault="00BF5B0B" w:rsidP="00E04245">
      <w:pPr>
        <w:spacing w:after="220"/>
      </w:pPr>
      <w:r w:rsidRPr="00F42E03">
        <w:t>These considerations lead the Review to recommend:</w:t>
      </w:r>
    </w:p>
    <w:tbl>
      <w:tblPr>
        <w:tblW w:w="9072" w:type="dxa"/>
        <w:tblInd w:w="108" w:type="dxa"/>
        <w:shd w:val="clear" w:color="auto" w:fill="C6D9F1"/>
        <w:tblLook w:val="01E0" w:firstRow="1" w:lastRow="1" w:firstColumn="1" w:lastColumn="1" w:noHBand="0" w:noVBand="0"/>
      </w:tblPr>
      <w:tblGrid>
        <w:gridCol w:w="9072"/>
      </w:tblGrid>
      <w:tr w:rsidR="00D06BDB" w:rsidTr="007E4C58">
        <w:tc>
          <w:tcPr>
            <w:tcW w:w="5000" w:type="pct"/>
            <w:shd w:val="clear" w:color="auto" w:fill="C6D9F1"/>
          </w:tcPr>
          <w:p w:rsidR="00D06BDB" w:rsidRDefault="00D06BDB" w:rsidP="0075508F">
            <w:pPr>
              <w:pStyle w:val="BoxHeading"/>
              <w:spacing w:before="180"/>
              <w:rPr>
                <w:bCs/>
              </w:rPr>
            </w:pPr>
            <w:r w:rsidRPr="00AD2F66">
              <w:rPr>
                <w:u w:val="single"/>
              </w:rPr>
              <w:t>Recommendation </w:t>
            </w:r>
            <w:r>
              <w:rPr>
                <w:u w:val="single"/>
              </w:rPr>
              <w:t>5</w:t>
            </w:r>
            <w:r w:rsidRPr="00F42E03">
              <w:t>:</w:t>
            </w:r>
          </w:p>
          <w:p w:rsidR="00D06BDB" w:rsidRPr="008950C5" w:rsidRDefault="00D06BDB" w:rsidP="0075508F">
            <w:pPr>
              <w:pStyle w:val="BoxText"/>
              <w:spacing w:before="180" w:after="120"/>
              <w:rPr>
                <w:bCs w:val="0"/>
              </w:rPr>
            </w:pPr>
            <w:r w:rsidRPr="00F42E03">
              <w:t>Treasury should include in the Budget papers a high level review of the economic forecast errors (nominal and real GDP) for the previous financial year, as a complement to the existing discussion of revenue forecasting errors.</w:t>
            </w:r>
          </w:p>
        </w:tc>
      </w:tr>
    </w:tbl>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Default="00E04245" w:rsidP="00E04245">
      <w:pPr>
        <w:spacing w:after="0" w:line="20" w:lineRule="exact"/>
        <w:rPr>
          <w:sz w:val="10"/>
          <w:szCs w:val="12"/>
        </w:rPr>
      </w:pPr>
    </w:p>
    <w:p w:rsidR="00E04245" w:rsidRPr="00E04245" w:rsidRDefault="00E04245" w:rsidP="00E04245">
      <w:pPr>
        <w:spacing w:after="0" w:line="20" w:lineRule="exact"/>
        <w:rPr>
          <w:sz w:val="10"/>
          <w:szCs w:val="12"/>
        </w:rPr>
      </w:pPr>
    </w:p>
    <w:tbl>
      <w:tblPr>
        <w:tblW w:w="9072" w:type="dxa"/>
        <w:tblInd w:w="108" w:type="dxa"/>
        <w:shd w:val="clear" w:color="auto" w:fill="C6D9F1"/>
        <w:tblLook w:val="01E0" w:firstRow="1" w:lastRow="1" w:firstColumn="1" w:lastColumn="1" w:noHBand="0" w:noVBand="0"/>
      </w:tblPr>
      <w:tblGrid>
        <w:gridCol w:w="9072"/>
      </w:tblGrid>
      <w:tr w:rsidR="0099399D" w:rsidRPr="0099399D" w:rsidTr="00D77AC7">
        <w:tc>
          <w:tcPr>
            <w:tcW w:w="5000" w:type="pct"/>
            <w:shd w:val="clear" w:color="auto" w:fill="C6D9F1"/>
          </w:tcPr>
          <w:p w:rsidR="0099399D" w:rsidRDefault="0099399D" w:rsidP="0075508F">
            <w:pPr>
              <w:pStyle w:val="BoxHeading"/>
              <w:spacing w:before="180"/>
              <w:rPr>
                <w:bCs/>
              </w:rPr>
            </w:pPr>
            <w:r w:rsidRPr="00AD2F66">
              <w:rPr>
                <w:u w:val="single"/>
              </w:rPr>
              <w:t>Recommendation </w:t>
            </w:r>
            <w:r>
              <w:rPr>
                <w:u w:val="single"/>
              </w:rPr>
              <w:t>6</w:t>
            </w:r>
            <w:r w:rsidRPr="00F42E03">
              <w:t>:</w:t>
            </w:r>
          </w:p>
          <w:p w:rsidR="0099399D" w:rsidRPr="008950C5" w:rsidRDefault="0099399D" w:rsidP="0075508F">
            <w:pPr>
              <w:spacing w:before="180" w:after="120"/>
            </w:pPr>
            <w:r w:rsidRPr="00F42E03">
              <w:t>Reviews of Treasury’s forecasting performance should be undertaken at least every five years to examine the causes of forecast errors and to help identify areas in which Treasury’s forecasting methodology could be improved. These Reviews should be overseen by an independent external reference group.</w:t>
            </w:r>
          </w:p>
        </w:tc>
      </w:tr>
    </w:tbl>
    <w:p w:rsidR="00E04245" w:rsidRPr="00E04245" w:rsidRDefault="00E04245" w:rsidP="0075508F">
      <w:pPr>
        <w:rPr>
          <w:sz w:val="2"/>
          <w:szCs w:val="2"/>
        </w:rPr>
        <w:sectPr w:rsidR="00E04245" w:rsidRPr="00E04245" w:rsidSect="0075508F">
          <w:headerReference w:type="even" r:id="rId11"/>
          <w:headerReference w:type="default" r:id="rId12"/>
          <w:footerReference w:type="even" r:id="rId13"/>
          <w:footerReference w:type="default" r:id="rId14"/>
          <w:footerReference w:type="first" r:id="rId15"/>
          <w:type w:val="oddPage"/>
          <w:pgSz w:w="11906" w:h="16838" w:code="9"/>
          <w:pgMar w:top="1440" w:right="1440" w:bottom="1440" w:left="1440" w:header="709" w:footer="709" w:gutter="0"/>
          <w:pgNumType w:start="7"/>
          <w:cols w:space="708"/>
          <w:titlePg/>
          <w:docGrid w:linePitch="360"/>
        </w:sectPr>
      </w:pPr>
    </w:p>
    <w:p w:rsidR="004D651B" w:rsidRPr="00E76DC6" w:rsidRDefault="004D651B" w:rsidP="0075508F"/>
    <w:sectPr w:rsidR="004D651B" w:rsidRPr="00E76DC6" w:rsidSect="00E04245">
      <w:footerReference w:type="first" r:id="rId16"/>
      <w:type w:val="evenPage"/>
      <w:pgSz w:w="11906" w:h="16838" w:code="9"/>
      <w:pgMar w:top="1440" w:right="1440" w:bottom="1440" w:left="1440"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C6" w:rsidRDefault="00E76DC6" w:rsidP="00B836FC">
      <w:pPr>
        <w:spacing w:after="0" w:line="240" w:lineRule="auto"/>
      </w:pPr>
      <w:r>
        <w:separator/>
      </w:r>
    </w:p>
  </w:endnote>
  <w:endnote w:type="continuationSeparator" w:id="0">
    <w:p w:rsidR="00E76DC6" w:rsidRDefault="00E76DC6" w:rsidP="00B8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749724"/>
      <w:docPartObj>
        <w:docPartGallery w:val="Page Numbers (Bottom of Page)"/>
        <w:docPartUnique/>
      </w:docPartObj>
    </w:sdtPr>
    <w:sdtEndPr>
      <w:rPr>
        <w:noProof/>
      </w:rPr>
    </w:sdtEndPr>
    <w:sdtContent>
      <w:p w:rsidR="0075508F" w:rsidRDefault="0075508F" w:rsidP="0075508F">
        <w:pPr>
          <w:pStyle w:val="FooterEven"/>
        </w:pPr>
        <w:r>
          <w:fldChar w:fldCharType="begin"/>
        </w:r>
        <w:r>
          <w:instrText xml:space="preserve"> PAGE   \* MERGEFORMAT </w:instrText>
        </w:r>
        <w:r>
          <w:fldChar w:fldCharType="separate"/>
        </w:r>
        <w:r w:rsidR="001C6B42">
          <w:rPr>
            <w:noProof/>
          </w:rPr>
          <w:t>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15683"/>
      <w:docPartObj>
        <w:docPartGallery w:val="Page Numbers (Bottom of Page)"/>
        <w:docPartUnique/>
      </w:docPartObj>
    </w:sdtPr>
    <w:sdtEndPr>
      <w:rPr>
        <w:noProof/>
      </w:rPr>
    </w:sdtEndPr>
    <w:sdtContent>
      <w:p w:rsidR="0075508F" w:rsidRDefault="0075508F" w:rsidP="0075508F">
        <w:pPr>
          <w:pStyle w:val="Footer"/>
          <w:jc w:val="right"/>
        </w:pPr>
        <w:r>
          <w:fldChar w:fldCharType="begin"/>
        </w:r>
        <w:r>
          <w:instrText xml:space="preserve"> PAGE   \* MERGEFORMAT </w:instrText>
        </w:r>
        <w:r>
          <w:fldChar w:fldCharType="separate"/>
        </w:r>
        <w:r w:rsidR="001C6B42">
          <w:rPr>
            <w:noProof/>
          </w:rPr>
          <w:t>23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12320"/>
      <w:docPartObj>
        <w:docPartGallery w:val="Page Numbers (Bottom of Page)"/>
        <w:docPartUnique/>
      </w:docPartObj>
    </w:sdtPr>
    <w:sdtEndPr>
      <w:rPr>
        <w:noProof/>
      </w:rPr>
    </w:sdtEndPr>
    <w:sdtContent>
      <w:p w:rsidR="0099399D" w:rsidRDefault="0075508F" w:rsidP="0075508F">
        <w:pPr>
          <w:pStyle w:val="Footer"/>
          <w:jc w:val="right"/>
        </w:pPr>
        <w:r>
          <w:fldChar w:fldCharType="begin"/>
        </w:r>
        <w:r>
          <w:instrText xml:space="preserve"> PAGE   \* MERGEFORMAT </w:instrText>
        </w:r>
        <w:r>
          <w:fldChar w:fldCharType="separate"/>
        </w:r>
        <w:r w:rsidR="001C6B42">
          <w:rPr>
            <w:noProof/>
          </w:rPr>
          <w:t>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45" w:rsidRDefault="00E04245" w:rsidP="0075508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C6" w:rsidRDefault="00E76DC6" w:rsidP="00B836FC">
      <w:pPr>
        <w:spacing w:after="0" w:line="240" w:lineRule="auto"/>
      </w:pPr>
      <w:r>
        <w:separator/>
      </w:r>
    </w:p>
  </w:footnote>
  <w:footnote w:type="continuationSeparator" w:id="0">
    <w:p w:rsidR="00E76DC6" w:rsidRDefault="00E76DC6" w:rsidP="00B836FC">
      <w:pPr>
        <w:spacing w:after="0" w:line="240" w:lineRule="auto"/>
      </w:pPr>
      <w:r>
        <w:continuationSeparator/>
      </w:r>
    </w:p>
  </w:footnote>
  <w:footnote w:id="1">
    <w:p w:rsidR="00E76DC6" w:rsidRPr="008E435B" w:rsidRDefault="00E76DC6" w:rsidP="00C5563B">
      <w:pPr>
        <w:pStyle w:val="FootnoteText"/>
        <w:rPr>
          <w:rFonts w:ascii="Times New Roman" w:hAnsi="Times New Roman"/>
        </w:rPr>
      </w:pPr>
      <w:r w:rsidRPr="003920FE">
        <w:rPr>
          <w:rStyle w:val="FootnoteReference"/>
          <w:rFonts w:ascii="Times New Roman" w:hAnsi="Times New Roman"/>
        </w:rPr>
        <w:footnoteRef/>
      </w:r>
      <w:r w:rsidRPr="003920FE">
        <w:rPr>
          <w:rFonts w:ascii="Times New Roman" w:hAnsi="Times New Roman"/>
        </w:rPr>
        <w:t xml:space="preserve"> OBR</w:t>
      </w:r>
      <w:r>
        <w:rPr>
          <w:rFonts w:ascii="Times New Roman" w:hAnsi="Times New Roman"/>
        </w:rPr>
        <w:t xml:space="preserve">, </w:t>
      </w:r>
      <w:r w:rsidRPr="003920FE">
        <w:rPr>
          <w:rFonts w:ascii="Times New Roman" w:hAnsi="Times New Roman"/>
        </w:rPr>
        <w:t>2011</w:t>
      </w:r>
      <w:r>
        <w:rPr>
          <w:rFonts w:ascii="Times New Roman" w:hAnsi="Times New Roman"/>
        </w:rPr>
        <w:t>,</w:t>
      </w:r>
      <w:r w:rsidRPr="003920FE">
        <w:rPr>
          <w:rFonts w:ascii="Times New Roman" w:hAnsi="Times New Roman"/>
        </w:rPr>
        <w:t xml:space="preserve"> </w:t>
      </w:r>
      <w:r>
        <w:rPr>
          <w:rFonts w:ascii="Times New Roman" w:hAnsi="Times New Roman"/>
        </w:rPr>
        <w:t>‘</w:t>
      </w:r>
      <w:r w:rsidRPr="00C4311A">
        <w:rPr>
          <w:rFonts w:ascii="Times New Roman" w:hAnsi="Times New Roman"/>
        </w:rPr>
        <w:t>Forecasting t</w:t>
      </w:r>
      <w:r w:rsidRPr="008E435B">
        <w:rPr>
          <w:rFonts w:ascii="Times New Roman" w:hAnsi="Times New Roman"/>
        </w:rPr>
        <w:t>he Economy</w:t>
      </w:r>
      <w:r>
        <w:rPr>
          <w:rFonts w:ascii="Times New Roman" w:hAnsi="Times New Roman"/>
        </w:rPr>
        <w:t>’</w:t>
      </w:r>
      <w:r w:rsidRPr="008E435B">
        <w:rPr>
          <w:rFonts w:ascii="Times New Roman" w:hAnsi="Times New Roman"/>
        </w:rPr>
        <w:t xml:space="preserve">, </w:t>
      </w:r>
      <w:r w:rsidRPr="00813ABA">
        <w:rPr>
          <w:rFonts w:ascii="Times New Roman" w:hAnsi="Times New Roman"/>
          <w:i/>
        </w:rPr>
        <w:t>Briefing Paper No. 3</w:t>
      </w:r>
      <w:r w:rsidRPr="008E435B">
        <w:rPr>
          <w:rFonts w:ascii="Times New Roman" w:hAnsi="Times New Roman"/>
        </w:rPr>
        <w:t>.</w:t>
      </w:r>
    </w:p>
  </w:footnote>
  <w:footnote w:id="2">
    <w:p w:rsidR="00E76DC6" w:rsidRPr="00C4311A" w:rsidRDefault="00E76DC6">
      <w:pPr>
        <w:pStyle w:val="FootnoteText"/>
        <w:rPr>
          <w:rFonts w:ascii="Times New Roman" w:hAnsi="Times New Roman"/>
        </w:rPr>
      </w:pPr>
      <w:r w:rsidRPr="008E435B">
        <w:rPr>
          <w:rStyle w:val="FootnoteReference"/>
          <w:rFonts w:ascii="Times New Roman" w:hAnsi="Times New Roman"/>
        </w:rPr>
        <w:footnoteRef/>
      </w:r>
      <w:r w:rsidRPr="004735DB">
        <w:rPr>
          <w:rFonts w:ascii="Times New Roman" w:hAnsi="Times New Roman"/>
        </w:rPr>
        <w:t xml:space="preserve"> Lowe</w:t>
      </w:r>
      <w:r w:rsidRPr="00813ABA">
        <w:rPr>
          <w:rFonts w:ascii="Times New Roman" w:hAnsi="Times New Roman"/>
        </w:rPr>
        <w:t>, P</w:t>
      </w:r>
      <w:r>
        <w:rPr>
          <w:rFonts w:ascii="Times New Roman" w:hAnsi="Times New Roman"/>
        </w:rPr>
        <w:t>.</w:t>
      </w:r>
      <w:r w:rsidRPr="00813ABA">
        <w:rPr>
          <w:rFonts w:ascii="Times New Roman" w:hAnsi="Times New Roman"/>
        </w:rPr>
        <w:t xml:space="preserve"> 2010, </w:t>
      </w:r>
      <w:r>
        <w:rPr>
          <w:rFonts w:ascii="Times New Roman" w:hAnsi="Times New Roman"/>
        </w:rPr>
        <w:t>‘</w:t>
      </w:r>
      <w:r w:rsidRPr="00813ABA">
        <w:rPr>
          <w:rFonts w:ascii="Times New Roman" w:hAnsi="Times New Roman"/>
        </w:rPr>
        <w:t>Forecasting in an Uncertain World</w:t>
      </w:r>
      <w:r>
        <w:rPr>
          <w:rFonts w:ascii="Times New Roman" w:hAnsi="Times New Roman"/>
        </w:rPr>
        <w:t>’</w:t>
      </w:r>
      <w:r w:rsidRPr="00813ABA">
        <w:rPr>
          <w:rFonts w:ascii="Times New Roman" w:hAnsi="Times New Roman"/>
        </w:rPr>
        <w:t xml:space="preserve">, </w:t>
      </w:r>
      <w:r w:rsidRPr="000603B6">
        <w:rPr>
          <w:rFonts w:ascii="Times New Roman" w:hAnsi="Times New Roman"/>
          <w:i/>
        </w:rPr>
        <w:t>Address to Australian Business Economists Annual Forecasting Conference Dinner</w:t>
      </w:r>
      <w:r w:rsidRPr="00813ABA">
        <w:rPr>
          <w:rFonts w:ascii="Times New Roman" w:hAnsi="Times New Roman"/>
        </w:rPr>
        <w:t xml:space="preserve">, </w:t>
      </w:r>
      <w:r>
        <w:rPr>
          <w:rFonts w:ascii="Times New Roman" w:hAnsi="Times New Roman"/>
        </w:rPr>
        <w:t xml:space="preserve">Sydney, </w:t>
      </w:r>
      <w:r w:rsidRPr="00813ABA">
        <w:rPr>
          <w:rFonts w:ascii="Times New Roman" w:hAnsi="Times New Roman"/>
        </w:rPr>
        <w:t>8 December.</w:t>
      </w:r>
    </w:p>
  </w:footnote>
  <w:footnote w:id="3">
    <w:p w:rsidR="00E76DC6" w:rsidRPr="00C4311A" w:rsidRDefault="00E76DC6">
      <w:pPr>
        <w:pStyle w:val="FootnoteText"/>
        <w:rPr>
          <w:rFonts w:ascii="Times New Roman" w:hAnsi="Times New Roman"/>
        </w:rPr>
      </w:pPr>
      <w:r w:rsidRPr="00C4311A">
        <w:rPr>
          <w:rStyle w:val="FootnoteReference"/>
          <w:rFonts w:ascii="Times New Roman" w:hAnsi="Times New Roman"/>
        </w:rPr>
        <w:footnoteRef/>
      </w:r>
      <w:r w:rsidRPr="00C4311A">
        <w:rPr>
          <w:rFonts w:ascii="Times New Roman" w:hAnsi="Times New Roman"/>
        </w:rPr>
        <w:t xml:space="preserve"> Pagan, A</w:t>
      </w:r>
      <w:r>
        <w:rPr>
          <w:rFonts w:ascii="Times New Roman" w:hAnsi="Times New Roman"/>
        </w:rPr>
        <w:t xml:space="preserve">. </w:t>
      </w:r>
      <w:r w:rsidRPr="00C4311A">
        <w:rPr>
          <w:rFonts w:ascii="Times New Roman" w:hAnsi="Times New Roman"/>
        </w:rPr>
        <w:t>and Robertson, J</w:t>
      </w:r>
      <w:r>
        <w:rPr>
          <w:rFonts w:ascii="Times New Roman" w:hAnsi="Times New Roman"/>
        </w:rPr>
        <w:t>.</w:t>
      </w:r>
      <w:r w:rsidRPr="00C4311A">
        <w:rPr>
          <w:rFonts w:ascii="Times New Roman" w:hAnsi="Times New Roman"/>
        </w:rPr>
        <w:t xml:space="preserve"> 2002</w:t>
      </w:r>
      <w:r>
        <w:rPr>
          <w:rFonts w:ascii="Times New Roman" w:hAnsi="Times New Roman"/>
        </w:rPr>
        <w:t xml:space="preserve">, ‘Forecasting for Policy’, </w:t>
      </w:r>
      <w:r w:rsidRPr="008E435B">
        <w:rPr>
          <w:rFonts w:ascii="Times New Roman" w:hAnsi="Times New Roman"/>
          <w:i/>
        </w:rPr>
        <w:t>A Companion to Economic Forecasting</w:t>
      </w:r>
      <w:r>
        <w:rPr>
          <w:rFonts w:ascii="Times New Roman" w:hAnsi="Times New Roman"/>
          <w:i/>
        </w:rPr>
        <w:t xml:space="preserve"> </w:t>
      </w:r>
      <w:r w:rsidRPr="008E435B">
        <w:rPr>
          <w:rFonts w:ascii="Times New Roman" w:hAnsi="Times New Roman"/>
        </w:rPr>
        <w:t>edited by Michael</w:t>
      </w:r>
      <w:r>
        <w:rPr>
          <w:rFonts w:ascii="Times New Roman" w:hAnsi="Times New Roman"/>
        </w:rPr>
        <w:t> </w:t>
      </w:r>
      <w:r w:rsidRPr="008E435B">
        <w:rPr>
          <w:rFonts w:ascii="Times New Roman" w:hAnsi="Times New Roman"/>
        </w:rPr>
        <w:t>P</w:t>
      </w:r>
      <w:r>
        <w:rPr>
          <w:rFonts w:ascii="Times New Roman" w:hAnsi="Times New Roman"/>
        </w:rPr>
        <w:t> </w:t>
      </w:r>
      <w:r w:rsidRPr="008E435B">
        <w:rPr>
          <w:rFonts w:ascii="Times New Roman" w:hAnsi="Times New Roman"/>
        </w:rPr>
        <w:t>Clements and David F. Hendry.</w:t>
      </w:r>
      <w:r>
        <w:rPr>
          <w:rFonts w:ascii="Times New Roman" w:hAnsi="Times New Roman"/>
          <w:i/>
        </w:rPr>
        <w:t xml:space="preserve"> </w:t>
      </w:r>
    </w:p>
  </w:footnote>
  <w:footnote w:id="4">
    <w:p w:rsidR="00E76DC6" w:rsidRPr="007A3618" w:rsidRDefault="00E76DC6">
      <w:pPr>
        <w:pStyle w:val="FootnoteText"/>
        <w:rPr>
          <w:rFonts w:ascii="Times New Roman" w:hAnsi="Times New Roman"/>
        </w:rPr>
      </w:pPr>
      <w:r w:rsidRPr="007A3618">
        <w:rPr>
          <w:rStyle w:val="FootnoteReference"/>
          <w:rFonts w:ascii="Times New Roman" w:hAnsi="Times New Roman"/>
        </w:rPr>
        <w:footnoteRef/>
      </w:r>
      <w:r w:rsidRPr="007A3618">
        <w:rPr>
          <w:rFonts w:ascii="Times New Roman" w:hAnsi="Times New Roman"/>
        </w:rPr>
        <w:t xml:space="preserve"> Pagan, A. 2003, </w:t>
      </w:r>
      <w:r w:rsidRPr="007A3618">
        <w:rPr>
          <w:rFonts w:ascii="Times New Roman" w:hAnsi="Times New Roman"/>
          <w:i/>
        </w:rPr>
        <w:t>Report on Modelling and Forecasting at the Bank of England</w:t>
      </w:r>
      <w:r w:rsidRPr="007A3618">
        <w:rPr>
          <w:rFonts w:ascii="Times New Roman" w:hAnsi="Times New Roman"/>
        </w:rPr>
        <w:t>, January.</w:t>
      </w:r>
    </w:p>
  </w:footnote>
  <w:footnote w:id="5">
    <w:p w:rsidR="00E76DC6" w:rsidRPr="007A3618" w:rsidRDefault="00E76DC6">
      <w:pPr>
        <w:pStyle w:val="FootnoteText"/>
        <w:rPr>
          <w:rFonts w:ascii="Times New Roman" w:hAnsi="Times New Roman"/>
        </w:rPr>
      </w:pPr>
      <w:r w:rsidRPr="007A3618">
        <w:rPr>
          <w:rStyle w:val="FootnoteReference"/>
          <w:rFonts w:ascii="Times New Roman" w:hAnsi="Times New Roman"/>
        </w:rPr>
        <w:footnoteRef/>
      </w:r>
      <w:r w:rsidRPr="007A3618">
        <w:rPr>
          <w:rFonts w:ascii="Times New Roman" w:hAnsi="Times New Roman"/>
        </w:rPr>
        <w:t xml:space="preserve"> Fukac, M. and Pagan</w:t>
      </w:r>
      <w:r w:rsidRPr="0097366B">
        <w:rPr>
          <w:rFonts w:ascii="Times New Roman" w:hAnsi="Times New Roman"/>
        </w:rPr>
        <w:t xml:space="preserve">, A. 2009, </w:t>
      </w:r>
      <w:r>
        <w:rPr>
          <w:rFonts w:ascii="Times New Roman" w:hAnsi="Times New Roman"/>
        </w:rPr>
        <w:t>‘</w:t>
      </w:r>
      <w:r w:rsidRPr="0097366B">
        <w:rPr>
          <w:rFonts w:ascii="Times New Roman" w:hAnsi="Times New Roman"/>
        </w:rPr>
        <w:t>Structural Macro-Econometric M</w:t>
      </w:r>
      <w:r w:rsidRPr="007A3618">
        <w:rPr>
          <w:rFonts w:ascii="Times New Roman" w:hAnsi="Times New Roman"/>
        </w:rPr>
        <w:t>odelling in a Policy Environment</w:t>
      </w:r>
      <w:r>
        <w:rPr>
          <w:rFonts w:ascii="Times New Roman" w:hAnsi="Times New Roman"/>
        </w:rPr>
        <w:t>’</w:t>
      </w:r>
      <w:r w:rsidRPr="007A3618">
        <w:rPr>
          <w:rFonts w:ascii="Times New Roman" w:hAnsi="Times New Roman"/>
        </w:rPr>
        <w:t xml:space="preserve">, </w:t>
      </w:r>
      <w:r w:rsidRPr="007A3618">
        <w:rPr>
          <w:rFonts w:ascii="Times New Roman" w:hAnsi="Times New Roman"/>
          <w:i/>
        </w:rPr>
        <w:t>Reserve Bank of New</w:t>
      </w:r>
      <w:r>
        <w:rPr>
          <w:rFonts w:ascii="Times New Roman" w:hAnsi="Times New Roman"/>
          <w:i/>
        </w:rPr>
        <w:t> </w:t>
      </w:r>
      <w:r w:rsidRPr="007A3618">
        <w:rPr>
          <w:rFonts w:ascii="Times New Roman" w:hAnsi="Times New Roman"/>
          <w:i/>
        </w:rPr>
        <w:t>Zealand Discussion Paper</w:t>
      </w:r>
      <w:r w:rsidRPr="007A3618">
        <w:rPr>
          <w:rFonts w:ascii="Times New Roman" w:hAnsi="Times New Roman"/>
        </w:rPr>
        <w:t xml:space="preserve">, 2009/16, December. </w:t>
      </w:r>
    </w:p>
  </w:footnote>
  <w:footnote w:id="6">
    <w:p w:rsidR="00E76DC6" w:rsidRDefault="00E76DC6">
      <w:pPr>
        <w:pStyle w:val="FootnoteText"/>
      </w:pPr>
      <w:r w:rsidRPr="007A3618">
        <w:rPr>
          <w:rStyle w:val="FootnoteReference"/>
          <w:rFonts w:ascii="Times New Roman" w:hAnsi="Times New Roman"/>
        </w:rPr>
        <w:footnoteRef/>
      </w:r>
      <w:r w:rsidRPr="007A3618">
        <w:rPr>
          <w:rFonts w:ascii="Times New Roman" w:hAnsi="Times New Roman"/>
        </w:rPr>
        <w:t xml:space="preserve"> OBR, 2011, op cit</w:t>
      </w:r>
      <w:r>
        <w:rPr>
          <w:rFonts w:ascii="Times New Roman" w:hAnsi="Times New Roman"/>
        </w:rPr>
        <w:t>.</w:t>
      </w:r>
    </w:p>
  </w:footnote>
  <w:footnote w:id="7">
    <w:p w:rsidR="00E76DC6" w:rsidRPr="00D42E33" w:rsidRDefault="00E76DC6">
      <w:pPr>
        <w:pStyle w:val="FootnoteText"/>
        <w:rPr>
          <w:rFonts w:ascii="Times New Roman" w:hAnsi="Times New Roman"/>
        </w:rPr>
      </w:pPr>
      <w:r w:rsidRPr="00D42E33">
        <w:rPr>
          <w:rStyle w:val="FootnoteReference"/>
          <w:rFonts w:ascii="Times New Roman" w:hAnsi="Times New Roman"/>
        </w:rPr>
        <w:footnoteRef/>
      </w:r>
      <w:r w:rsidRPr="00D42E33">
        <w:rPr>
          <w:rFonts w:ascii="Times New Roman" w:hAnsi="Times New Roman"/>
        </w:rPr>
        <w:t xml:space="preserve"> Onkal-Antay, D</w:t>
      </w:r>
      <w:r>
        <w:rPr>
          <w:rFonts w:ascii="Times New Roman" w:hAnsi="Times New Roman"/>
        </w:rPr>
        <w:t>.</w:t>
      </w:r>
      <w:r w:rsidRPr="00D42E33">
        <w:rPr>
          <w:rFonts w:ascii="Times New Roman" w:hAnsi="Times New Roman"/>
        </w:rPr>
        <w:t xml:space="preserve"> Thomson, M. and Pollock, A, </w:t>
      </w:r>
      <w:r w:rsidRPr="00D63DE5">
        <w:rPr>
          <w:rFonts w:ascii="Times New Roman" w:hAnsi="Times New Roman"/>
        </w:rPr>
        <w:t xml:space="preserve">2002, </w:t>
      </w:r>
      <w:r>
        <w:rPr>
          <w:rFonts w:ascii="Times New Roman" w:hAnsi="Times New Roman"/>
        </w:rPr>
        <w:t>‘</w:t>
      </w:r>
      <w:r w:rsidRPr="00D63DE5">
        <w:rPr>
          <w:rFonts w:ascii="Times New Roman" w:hAnsi="Times New Roman"/>
        </w:rPr>
        <w:t>J</w:t>
      </w:r>
      <w:r w:rsidRPr="0017476C">
        <w:rPr>
          <w:rFonts w:ascii="Times New Roman" w:hAnsi="Times New Roman"/>
        </w:rPr>
        <w:t>u</w:t>
      </w:r>
      <w:r w:rsidRPr="00EF78D3">
        <w:rPr>
          <w:rFonts w:ascii="Times New Roman" w:hAnsi="Times New Roman"/>
        </w:rPr>
        <w:t>dgemental Forecasting</w:t>
      </w:r>
      <w:r>
        <w:rPr>
          <w:rFonts w:ascii="Times New Roman" w:hAnsi="Times New Roman"/>
        </w:rPr>
        <w:t>’</w:t>
      </w:r>
      <w:r w:rsidRPr="00EF78D3">
        <w:rPr>
          <w:rFonts w:ascii="Times New Roman" w:hAnsi="Times New Roman"/>
        </w:rPr>
        <w:t xml:space="preserve">, </w:t>
      </w:r>
      <w:r w:rsidRPr="00EF78D3">
        <w:rPr>
          <w:rFonts w:ascii="Times New Roman" w:hAnsi="Times New Roman"/>
          <w:i/>
        </w:rPr>
        <w:t xml:space="preserve">A Companion to Economic Forecasting </w:t>
      </w:r>
      <w:r w:rsidRPr="00EF78D3">
        <w:rPr>
          <w:rFonts w:ascii="Times New Roman" w:hAnsi="Times New Roman"/>
        </w:rPr>
        <w:t>edited by Michael P Clements and David F. Hendry.</w:t>
      </w:r>
    </w:p>
  </w:footnote>
  <w:footnote w:id="8">
    <w:p w:rsidR="00E76DC6" w:rsidRPr="00531A77" w:rsidRDefault="00E76DC6" w:rsidP="00A70A41">
      <w:pPr>
        <w:pStyle w:val="FootnoteText"/>
        <w:rPr>
          <w:rFonts w:ascii="Times New Roman" w:hAnsi="Times New Roman"/>
        </w:rPr>
      </w:pPr>
      <w:r w:rsidRPr="00D42E33">
        <w:rPr>
          <w:rStyle w:val="FootnoteReference"/>
          <w:rFonts w:ascii="Times New Roman" w:hAnsi="Times New Roman"/>
        </w:rPr>
        <w:footnoteRef/>
      </w:r>
      <w:r w:rsidRPr="00D42E33">
        <w:rPr>
          <w:rFonts w:ascii="Times New Roman" w:hAnsi="Times New Roman"/>
        </w:rPr>
        <w:t xml:space="preserve"> </w:t>
      </w:r>
      <w:r w:rsidRPr="00D63DE5">
        <w:rPr>
          <w:rFonts w:ascii="Times New Roman" w:hAnsi="Times New Roman"/>
        </w:rPr>
        <w:t>OBR, 2011,</w:t>
      </w:r>
      <w:r>
        <w:rPr>
          <w:rFonts w:ascii="Times New Roman" w:hAnsi="Times New Roman"/>
        </w:rPr>
        <w:t xml:space="preserve"> op. cit</w:t>
      </w:r>
      <w:r w:rsidRPr="00D63DE5">
        <w:rPr>
          <w:rFonts w:ascii="Times New Roman" w:hAnsi="Times New Roman"/>
        </w:rPr>
        <w:t>.</w:t>
      </w:r>
      <w:hyperlink w:history="1"/>
    </w:p>
  </w:footnote>
  <w:footnote w:id="9">
    <w:p w:rsidR="00E76DC6" w:rsidRPr="00741FAB" w:rsidRDefault="00E76DC6">
      <w:pPr>
        <w:pStyle w:val="FootnoteText"/>
        <w:rPr>
          <w:rFonts w:ascii="Times New Roman" w:hAnsi="Times New Roman"/>
        </w:rPr>
      </w:pPr>
      <w:r w:rsidRPr="00741FAB">
        <w:rPr>
          <w:rStyle w:val="FootnoteReference"/>
          <w:rFonts w:ascii="Times New Roman" w:hAnsi="Times New Roman"/>
        </w:rPr>
        <w:footnoteRef/>
      </w:r>
      <w:r w:rsidRPr="00741FAB">
        <w:rPr>
          <w:rFonts w:ascii="Times New Roman" w:hAnsi="Times New Roman"/>
        </w:rPr>
        <w:t xml:space="preserve"> O</w:t>
      </w:r>
      <w:r>
        <w:rPr>
          <w:rFonts w:ascii="Times New Roman" w:hAnsi="Times New Roman"/>
        </w:rPr>
        <w:t>’</w:t>
      </w:r>
      <w:r w:rsidRPr="00741FAB">
        <w:rPr>
          <w:rFonts w:ascii="Times New Roman" w:hAnsi="Times New Roman"/>
        </w:rPr>
        <w:t>Neil</w:t>
      </w:r>
      <w:r>
        <w:rPr>
          <w:rFonts w:ascii="Times New Roman" w:hAnsi="Times New Roman"/>
        </w:rPr>
        <w:t xml:space="preserve">, </w:t>
      </w:r>
      <w:r w:rsidRPr="00741FAB">
        <w:rPr>
          <w:rFonts w:ascii="Times New Roman" w:hAnsi="Times New Roman"/>
        </w:rPr>
        <w:t>T</w:t>
      </w:r>
      <w:r>
        <w:rPr>
          <w:rFonts w:ascii="Times New Roman" w:hAnsi="Times New Roman"/>
        </w:rPr>
        <w:t xml:space="preserve">. </w:t>
      </w:r>
      <w:r w:rsidRPr="00741FAB">
        <w:rPr>
          <w:rFonts w:ascii="Times New Roman" w:hAnsi="Times New Roman"/>
          <w:i/>
        </w:rPr>
        <w:t>Review of Canadian Federal Fiscal Forecasting: Processes and Systems</w:t>
      </w:r>
      <w:r>
        <w:rPr>
          <w:rFonts w:ascii="Times New Roman" w:hAnsi="Times New Roman"/>
          <w:i/>
        </w:rPr>
        <w:t>,</w:t>
      </w:r>
      <w:r w:rsidRPr="00741FAB">
        <w:rPr>
          <w:rFonts w:ascii="Times New Roman" w:hAnsi="Times New Roman"/>
        </w:rPr>
        <w:t xml:space="preserve"> pg 40</w:t>
      </w:r>
      <w:hyperlink w:history="1"/>
      <w:r>
        <w:rPr>
          <w:rFonts w:ascii="Times New Roman" w:hAnsi="Times New Roman"/>
        </w:rPr>
        <w:t>.</w:t>
      </w:r>
    </w:p>
  </w:footnote>
  <w:footnote w:id="10">
    <w:p w:rsidR="00E76DC6" w:rsidRPr="00741FAB" w:rsidRDefault="00E76DC6">
      <w:pPr>
        <w:pStyle w:val="FootnoteText"/>
        <w:rPr>
          <w:rFonts w:ascii="Times New Roman" w:hAnsi="Times New Roman"/>
        </w:rPr>
      </w:pPr>
      <w:r w:rsidRPr="00741FAB">
        <w:rPr>
          <w:rStyle w:val="FootnoteReference"/>
          <w:rFonts w:ascii="Times New Roman" w:hAnsi="Times New Roman"/>
        </w:rPr>
        <w:footnoteRef/>
      </w:r>
      <w:r w:rsidRPr="00741FAB">
        <w:rPr>
          <w:rFonts w:ascii="Times New Roman" w:hAnsi="Times New Roman"/>
        </w:rPr>
        <w:t xml:space="preserve"> </w:t>
      </w:r>
      <w:r w:rsidRPr="00741FAB">
        <w:rPr>
          <w:rFonts w:ascii="Times New Roman" w:hAnsi="Times New Roman"/>
          <w:i/>
        </w:rPr>
        <w:t>Scottish Tax Forecasts</w:t>
      </w:r>
      <w:r>
        <w:rPr>
          <w:rFonts w:ascii="Times New Roman" w:hAnsi="Times New Roman"/>
          <w:i/>
        </w:rPr>
        <w:t xml:space="preserve">, </w:t>
      </w:r>
      <w:r w:rsidRPr="00B26ACF">
        <w:rPr>
          <w:rFonts w:ascii="Times New Roman" w:hAnsi="Times New Roman"/>
        </w:rPr>
        <w:t>March, 2012.</w:t>
      </w:r>
      <w:hyperlink w:history="1"/>
    </w:p>
  </w:footnote>
  <w:footnote w:id="11">
    <w:p w:rsidR="00E76DC6" w:rsidRPr="00741FAB" w:rsidRDefault="00E76DC6">
      <w:pPr>
        <w:pStyle w:val="FootnoteText"/>
        <w:rPr>
          <w:rFonts w:ascii="Times New Roman" w:hAnsi="Times New Roman"/>
        </w:rPr>
      </w:pPr>
      <w:r w:rsidRPr="00741FAB">
        <w:rPr>
          <w:rStyle w:val="FootnoteReference"/>
          <w:rFonts w:ascii="Times New Roman" w:hAnsi="Times New Roman"/>
        </w:rPr>
        <w:footnoteRef/>
      </w:r>
      <w:r w:rsidRPr="00741FAB">
        <w:rPr>
          <w:rFonts w:ascii="Times New Roman" w:hAnsi="Times New Roman"/>
        </w:rPr>
        <w:t xml:space="preserve"> OBR</w:t>
      </w:r>
      <w:r>
        <w:rPr>
          <w:rFonts w:ascii="Times New Roman" w:hAnsi="Times New Roman"/>
        </w:rPr>
        <w:t>,</w:t>
      </w:r>
      <w:r w:rsidRPr="00741FAB">
        <w:rPr>
          <w:rFonts w:ascii="Times New Roman" w:hAnsi="Times New Roman"/>
        </w:rPr>
        <w:t xml:space="preserve"> </w:t>
      </w:r>
      <w:r w:rsidRPr="00741FAB">
        <w:rPr>
          <w:rFonts w:ascii="Times New Roman" w:hAnsi="Times New Roman"/>
          <w:i/>
        </w:rPr>
        <w:t>Forecast Evaluation Report</w:t>
      </w:r>
      <w:r>
        <w:rPr>
          <w:rFonts w:ascii="Times New Roman" w:hAnsi="Times New Roman"/>
          <w:i/>
        </w:rPr>
        <w:t>,</w:t>
      </w:r>
      <w:r w:rsidRPr="00741FAB">
        <w:rPr>
          <w:rFonts w:ascii="Times New Roman" w:hAnsi="Times New Roman"/>
          <w:i/>
        </w:rPr>
        <w:t xml:space="preserve"> </w:t>
      </w:r>
      <w:r w:rsidRPr="00B26ACF">
        <w:rPr>
          <w:rFonts w:ascii="Times New Roman" w:hAnsi="Times New Roman"/>
        </w:rPr>
        <w:t>2011,</w:t>
      </w:r>
      <w:r w:rsidRPr="00741FAB">
        <w:rPr>
          <w:rFonts w:ascii="Times New Roman" w:hAnsi="Times New Roman"/>
        </w:rPr>
        <w:t xml:space="preserve"> pg 32</w:t>
      </w:r>
      <w:hyperlink w:history="1"/>
      <w:r>
        <w:rPr>
          <w:rFonts w:ascii="Times New Roman" w:hAnsi="Times New Roman"/>
        </w:rPr>
        <w:t>.</w:t>
      </w:r>
    </w:p>
  </w:footnote>
  <w:footnote w:id="12">
    <w:p w:rsidR="00E76DC6" w:rsidRPr="00741FAB" w:rsidRDefault="00E76DC6" w:rsidP="00E946DC">
      <w:pPr>
        <w:pStyle w:val="FootnoteText"/>
        <w:rPr>
          <w:rFonts w:ascii="Times New Roman" w:hAnsi="Times New Roman"/>
        </w:rPr>
      </w:pPr>
      <w:r w:rsidRPr="00741FAB">
        <w:rPr>
          <w:rStyle w:val="FootnoteReference"/>
          <w:rFonts w:ascii="Times New Roman" w:hAnsi="Times New Roman"/>
        </w:rPr>
        <w:footnoteRef/>
      </w:r>
      <w:r w:rsidRPr="00741FAB">
        <w:rPr>
          <w:rFonts w:ascii="Times New Roman" w:hAnsi="Times New Roman"/>
        </w:rPr>
        <w:t xml:space="preserve"> NZ Treasury,</w:t>
      </w:r>
      <w:r>
        <w:rPr>
          <w:rFonts w:ascii="Times New Roman" w:hAnsi="Times New Roman"/>
        </w:rPr>
        <w:t xml:space="preserve"> </w:t>
      </w:r>
      <w:r w:rsidRPr="00741FAB">
        <w:rPr>
          <w:rFonts w:ascii="Times New Roman" w:hAnsi="Times New Roman"/>
          <w:i/>
        </w:rPr>
        <w:t>Treasury</w:t>
      </w:r>
      <w:r>
        <w:rPr>
          <w:rFonts w:ascii="Times New Roman" w:hAnsi="Times New Roman"/>
          <w:i/>
        </w:rPr>
        <w:t>’</w:t>
      </w:r>
      <w:r w:rsidRPr="00741FAB">
        <w:rPr>
          <w:rFonts w:ascii="Times New Roman" w:hAnsi="Times New Roman"/>
          <w:i/>
        </w:rPr>
        <w:t>s Forecasting Performance 2011 Report</w:t>
      </w:r>
      <w:r w:rsidR="00B26ACF">
        <w:rPr>
          <w:rFonts w:ascii="Times New Roman" w:hAnsi="Times New Roman"/>
          <w:i/>
        </w:rPr>
        <w:t>,</w:t>
      </w:r>
      <w:r>
        <w:rPr>
          <w:rFonts w:ascii="Times New Roman" w:hAnsi="Times New Roman"/>
        </w:rPr>
        <w:t xml:space="preserve"> pg 2.</w:t>
      </w:r>
    </w:p>
  </w:footnote>
  <w:footnote w:id="13">
    <w:p w:rsidR="00E76DC6" w:rsidRPr="00531A77" w:rsidRDefault="00E76DC6" w:rsidP="00F62B40">
      <w:pPr>
        <w:pStyle w:val="FootnoteText"/>
        <w:rPr>
          <w:rFonts w:ascii="Times New Roman" w:hAnsi="Times New Roman"/>
        </w:rPr>
      </w:pPr>
      <w:r w:rsidRPr="00741FAB">
        <w:rPr>
          <w:rStyle w:val="FootnoteReference"/>
          <w:rFonts w:ascii="Times New Roman" w:hAnsi="Times New Roman"/>
        </w:rPr>
        <w:footnoteRef/>
      </w:r>
      <w:r w:rsidRPr="00741FAB">
        <w:rPr>
          <w:rFonts w:ascii="Times New Roman" w:hAnsi="Times New Roman"/>
        </w:rPr>
        <w:t xml:space="preserve"> NZ Treasury, </w:t>
      </w:r>
      <w:r>
        <w:rPr>
          <w:rFonts w:ascii="Times New Roman" w:hAnsi="Times New Roman"/>
        </w:rPr>
        <w:t>‘</w:t>
      </w:r>
      <w:r w:rsidRPr="00741FAB">
        <w:rPr>
          <w:rFonts w:ascii="Times New Roman" w:hAnsi="Times New Roman"/>
        </w:rPr>
        <w:t>An Analysis of Tax Revenue Forecasting Errors</w:t>
      </w:r>
      <w:r>
        <w:rPr>
          <w:rFonts w:ascii="Times New Roman" w:hAnsi="Times New Roman"/>
          <w:i/>
        </w:rPr>
        <w:t>’</w:t>
      </w:r>
      <w:r w:rsidRPr="00741FAB">
        <w:rPr>
          <w:rFonts w:ascii="Times New Roman" w:hAnsi="Times New Roman"/>
          <w:i/>
        </w:rPr>
        <w:t>,</w:t>
      </w:r>
      <w:r w:rsidRPr="00741FAB">
        <w:rPr>
          <w:rFonts w:ascii="Times New Roman" w:hAnsi="Times New Roman"/>
        </w:rPr>
        <w:t xml:space="preserve"> </w:t>
      </w:r>
      <w:r w:rsidRPr="00741FAB">
        <w:rPr>
          <w:rFonts w:ascii="Times New Roman" w:hAnsi="Times New Roman"/>
          <w:i/>
        </w:rPr>
        <w:t>Working Paper,</w:t>
      </w:r>
      <w:r w:rsidRPr="00741FAB">
        <w:rPr>
          <w:rFonts w:ascii="Times New Roman" w:hAnsi="Times New Roman"/>
        </w:rPr>
        <w:t xml:space="preserve"> 07/02, pg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08F" w:rsidRDefault="0075508F" w:rsidP="0075508F">
    <w:pPr>
      <w:pStyle w:val="HeaderEven"/>
    </w:pPr>
    <w:r w:rsidRPr="0075508F">
      <w:t>Review of Treasury Macroeconomic and Revenue Forecasting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08F" w:rsidRDefault="0075508F" w:rsidP="0075508F">
    <w:pPr>
      <w:pStyle w:val="HeaderOdd"/>
    </w:pPr>
    <w:r w:rsidRPr="0075508F">
      <w:t>Section 2: Appropriateness of Forecasting Methodology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62A50A"/>
    <w:lvl w:ilvl="0">
      <w:start w:val="1"/>
      <w:numFmt w:val="decimal"/>
      <w:lvlText w:val="%1."/>
      <w:lvlJc w:val="left"/>
      <w:pPr>
        <w:tabs>
          <w:tab w:val="num" w:pos="1492"/>
        </w:tabs>
        <w:ind w:left="1492" w:hanging="360"/>
      </w:pPr>
    </w:lvl>
  </w:abstractNum>
  <w:abstractNum w:abstractNumId="1">
    <w:nsid w:val="FFFFFF7D"/>
    <w:multiLevelType w:val="singleLevel"/>
    <w:tmpl w:val="C8D896DC"/>
    <w:lvl w:ilvl="0">
      <w:start w:val="1"/>
      <w:numFmt w:val="decimal"/>
      <w:lvlText w:val="%1."/>
      <w:lvlJc w:val="left"/>
      <w:pPr>
        <w:tabs>
          <w:tab w:val="num" w:pos="1209"/>
        </w:tabs>
        <w:ind w:left="1209" w:hanging="360"/>
      </w:pPr>
    </w:lvl>
  </w:abstractNum>
  <w:abstractNum w:abstractNumId="2">
    <w:nsid w:val="FFFFFF7E"/>
    <w:multiLevelType w:val="singleLevel"/>
    <w:tmpl w:val="0062EC76"/>
    <w:lvl w:ilvl="0">
      <w:start w:val="1"/>
      <w:numFmt w:val="decimal"/>
      <w:lvlText w:val="%1."/>
      <w:lvlJc w:val="left"/>
      <w:pPr>
        <w:tabs>
          <w:tab w:val="num" w:pos="926"/>
        </w:tabs>
        <w:ind w:left="926" w:hanging="360"/>
      </w:pPr>
    </w:lvl>
  </w:abstractNum>
  <w:abstractNum w:abstractNumId="3">
    <w:nsid w:val="FFFFFF7F"/>
    <w:multiLevelType w:val="singleLevel"/>
    <w:tmpl w:val="22706A24"/>
    <w:lvl w:ilvl="0">
      <w:start w:val="1"/>
      <w:numFmt w:val="decimal"/>
      <w:lvlText w:val="%1."/>
      <w:lvlJc w:val="left"/>
      <w:pPr>
        <w:tabs>
          <w:tab w:val="num" w:pos="643"/>
        </w:tabs>
        <w:ind w:left="643" w:hanging="360"/>
      </w:pPr>
    </w:lvl>
  </w:abstractNum>
  <w:abstractNum w:abstractNumId="4">
    <w:nsid w:val="FFFFFF80"/>
    <w:multiLevelType w:val="singleLevel"/>
    <w:tmpl w:val="8EFE4C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9A6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FEAB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724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A013E4"/>
    <w:lvl w:ilvl="0">
      <w:start w:val="1"/>
      <w:numFmt w:val="decimal"/>
      <w:lvlText w:val="%1."/>
      <w:lvlJc w:val="left"/>
      <w:pPr>
        <w:tabs>
          <w:tab w:val="num" w:pos="360"/>
        </w:tabs>
        <w:ind w:left="360" w:hanging="360"/>
      </w:pPr>
    </w:lvl>
  </w:abstractNum>
  <w:abstractNum w:abstractNumId="9">
    <w:nsid w:val="FFFFFF89"/>
    <w:multiLevelType w:val="singleLevel"/>
    <w:tmpl w:val="C0B8D3AC"/>
    <w:lvl w:ilvl="0">
      <w:start w:val="1"/>
      <w:numFmt w:val="bullet"/>
      <w:lvlText w:val=""/>
      <w:lvlJc w:val="left"/>
      <w:pPr>
        <w:tabs>
          <w:tab w:val="num" w:pos="360"/>
        </w:tabs>
        <w:ind w:left="360" w:hanging="360"/>
      </w:pPr>
      <w:rPr>
        <w:rFonts w:ascii="Symbol" w:hAnsi="Symbol" w:hint="default"/>
      </w:rPr>
    </w:lvl>
  </w:abstractNum>
  <w:abstractNum w:abstractNumId="1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ED3FC7"/>
    <w:multiLevelType w:val="multilevel"/>
    <w:tmpl w:val="38CE910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6672495"/>
    <w:multiLevelType w:val="hybridMultilevel"/>
    <w:tmpl w:val="33106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6CC4E5D"/>
    <w:multiLevelType w:val="multilevel"/>
    <w:tmpl w:val="D10E9CF6"/>
    <w:numStyleLink w:val="OneLevelList"/>
  </w:abstractNum>
  <w:abstractNum w:abstractNumId="16">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8">
    <w:nsid w:val="1B6A79CA"/>
    <w:multiLevelType w:val="multilevel"/>
    <w:tmpl w:val="435E040A"/>
    <w:name w:val="StandardNumberedList"/>
    <w:lvl w:ilvl="0">
      <w:start w:val="1"/>
      <w:numFmt w:val="decimal"/>
      <w:lvlText w:val="%1."/>
      <w:lvlJc w:val="left"/>
      <w:pPr>
        <w:tabs>
          <w:tab w:val="num" w:pos="661"/>
        </w:tabs>
        <w:ind w:left="661" w:hanging="661"/>
      </w:pPr>
    </w:lvl>
    <w:lvl w:ilvl="1">
      <w:start w:val="1"/>
      <w:numFmt w:val="decimal"/>
      <w:lvlText w:val="%1.%2."/>
      <w:lvlJc w:val="left"/>
      <w:pPr>
        <w:tabs>
          <w:tab w:val="num" w:pos="1322"/>
        </w:tabs>
        <w:ind w:left="1322" w:hanging="661"/>
      </w:pPr>
    </w:lvl>
    <w:lvl w:ilvl="2">
      <w:start w:val="1"/>
      <w:numFmt w:val="decimal"/>
      <w:lvlText w:val="%1.%2.%3."/>
      <w:lvlJc w:val="left"/>
      <w:pPr>
        <w:tabs>
          <w:tab w:val="num" w:pos="1983"/>
        </w:tabs>
        <w:ind w:left="1983" w:hanging="66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332216"/>
    <w:multiLevelType w:val="multilevel"/>
    <w:tmpl w:val="DDD6E14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25">
    <w:nsid w:val="2E3321DD"/>
    <w:multiLevelType w:val="multilevel"/>
    <w:tmpl w:val="AF783B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08C2710"/>
    <w:multiLevelType w:val="multilevel"/>
    <w:tmpl w:val="09A2073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28">
    <w:nsid w:val="3238442C"/>
    <w:multiLevelType w:val="multilevel"/>
    <w:tmpl w:val="4DAA0B3E"/>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E50388C"/>
    <w:multiLevelType w:val="multilevel"/>
    <w:tmpl w:val="42761B6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45B0A7E"/>
    <w:multiLevelType w:val="multilevel"/>
    <w:tmpl w:val="EDEE4FB6"/>
    <w:numStyleLink w:val="RecommendationBulletList"/>
  </w:abstractNum>
  <w:abstractNum w:abstractNumId="32">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4">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10D2021"/>
    <w:multiLevelType w:val="multilevel"/>
    <w:tmpl w:val="72F8140E"/>
    <w:numStyleLink w:val="OutlineList"/>
  </w:abstractNum>
  <w:abstractNum w:abstractNumId="36">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5F73129"/>
    <w:multiLevelType w:val="multilevel"/>
    <w:tmpl w:val="D9A8A212"/>
    <w:numStyleLink w:val="RomanNumeralList"/>
  </w:abstractNum>
  <w:abstractNum w:abstractNumId="38">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ECA6F13"/>
    <w:multiLevelType w:val="hybridMultilevel"/>
    <w:tmpl w:val="F7308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0"/>
  </w:num>
  <w:num w:numId="2">
    <w:abstractNumId w:val="20"/>
  </w:num>
  <w:num w:numId="3">
    <w:abstractNumId w:val="18"/>
  </w:num>
  <w:num w:numId="4">
    <w:abstractNumId w:val="30"/>
  </w:num>
  <w:num w:numId="5">
    <w:abstractNumId w:val="20"/>
  </w:num>
  <w:num w:numId="6">
    <w:abstractNumId w:val="25"/>
  </w:num>
  <w:num w:numId="7">
    <w:abstractNumId w:val="14"/>
  </w:num>
  <w:num w:numId="8">
    <w:abstractNumId w:val="44"/>
  </w:num>
  <w:num w:numId="9">
    <w:abstractNumId w:val="34"/>
  </w:num>
  <w:num w:numId="10">
    <w:abstractNumId w:val="24"/>
  </w:num>
  <w:num w:numId="11">
    <w:abstractNumId w:val="38"/>
  </w:num>
  <w:num w:numId="12">
    <w:abstractNumId w:val="33"/>
  </w:num>
  <w:num w:numId="13">
    <w:abstractNumId w:val="22"/>
  </w:num>
  <w:num w:numId="14">
    <w:abstractNumId w:val="41"/>
  </w:num>
  <w:num w:numId="15">
    <w:abstractNumId w:val="17"/>
  </w:num>
  <w:num w:numId="16">
    <w:abstractNumId w:val="27"/>
  </w:num>
  <w:num w:numId="17">
    <w:abstractNumId w:val="39"/>
  </w:num>
  <w:num w:numId="18">
    <w:abstractNumId w:val="23"/>
  </w:num>
  <w:num w:numId="19">
    <w:abstractNumId w:val="42"/>
  </w:num>
  <w:num w:numId="20">
    <w:abstractNumId w:val="40"/>
  </w:num>
  <w:num w:numId="21">
    <w:abstractNumId w:val="26"/>
  </w:num>
  <w:num w:numId="22">
    <w:abstractNumId w:val="11"/>
  </w:num>
  <w:num w:numId="23">
    <w:abstractNumId w:val="16"/>
  </w:num>
  <w:num w:numId="24">
    <w:abstractNumId w:val="32"/>
  </w:num>
  <w:num w:numId="25">
    <w:abstractNumId w:val="10"/>
  </w:num>
  <w:num w:numId="26">
    <w:abstractNumId w:val="29"/>
  </w:num>
  <w:num w:numId="27">
    <w:abstractNumId w:val="13"/>
  </w:num>
  <w:num w:numId="28">
    <w:abstractNumId w:val="19"/>
  </w:num>
  <w:num w:numId="29">
    <w:abstractNumId w:val="12"/>
  </w:num>
  <w:num w:numId="30">
    <w:abstractNumId w:val="15"/>
  </w:num>
  <w:num w:numId="31">
    <w:abstractNumId w:val="35"/>
  </w:num>
  <w:num w:numId="32">
    <w:abstractNumId w:val="31"/>
  </w:num>
  <w:num w:numId="33">
    <w:abstractNumId w:val="37"/>
  </w:num>
  <w:num w:numId="34">
    <w:abstractNumId w:val="28"/>
  </w:num>
  <w:num w:numId="35">
    <w:abstractNumId w:val="36"/>
  </w:num>
  <w:num w:numId="36">
    <w:abstractNumId w:val="2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CC0AFE"/>
    <w:rsid w:val="00000076"/>
    <w:rsid w:val="00000639"/>
    <w:rsid w:val="0000231B"/>
    <w:rsid w:val="00003633"/>
    <w:rsid w:val="00013637"/>
    <w:rsid w:val="00015A4B"/>
    <w:rsid w:val="00020143"/>
    <w:rsid w:val="00030AB1"/>
    <w:rsid w:val="00030CB8"/>
    <w:rsid w:val="00030DCD"/>
    <w:rsid w:val="000310DF"/>
    <w:rsid w:val="00033AF3"/>
    <w:rsid w:val="00033D14"/>
    <w:rsid w:val="00033D6A"/>
    <w:rsid w:val="0003414D"/>
    <w:rsid w:val="00034E76"/>
    <w:rsid w:val="00040290"/>
    <w:rsid w:val="00043958"/>
    <w:rsid w:val="00044869"/>
    <w:rsid w:val="0005023E"/>
    <w:rsid w:val="00050E15"/>
    <w:rsid w:val="00051E5F"/>
    <w:rsid w:val="000523B5"/>
    <w:rsid w:val="00054196"/>
    <w:rsid w:val="000603B6"/>
    <w:rsid w:val="0006463A"/>
    <w:rsid w:val="000705F2"/>
    <w:rsid w:val="00070F57"/>
    <w:rsid w:val="0007437F"/>
    <w:rsid w:val="00074588"/>
    <w:rsid w:val="000752C9"/>
    <w:rsid w:val="00076D3E"/>
    <w:rsid w:val="00076D96"/>
    <w:rsid w:val="00077CC9"/>
    <w:rsid w:val="00080C78"/>
    <w:rsid w:val="00083510"/>
    <w:rsid w:val="00083936"/>
    <w:rsid w:val="00083FA8"/>
    <w:rsid w:val="00084F16"/>
    <w:rsid w:val="000869FD"/>
    <w:rsid w:val="00087B96"/>
    <w:rsid w:val="000905C0"/>
    <w:rsid w:val="0009242A"/>
    <w:rsid w:val="000937C7"/>
    <w:rsid w:val="00093B7A"/>
    <w:rsid w:val="00093CCA"/>
    <w:rsid w:val="00094716"/>
    <w:rsid w:val="00094899"/>
    <w:rsid w:val="00096E2E"/>
    <w:rsid w:val="00097CB4"/>
    <w:rsid w:val="000A04F8"/>
    <w:rsid w:val="000A0621"/>
    <w:rsid w:val="000A0983"/>
    <w:rsid w:val="000A3286"/>
    <w:rsid w:val="000A45FB"/>
    <w:rsid w:val="000A54F8"/>
    <w:rsid w:val="000B0DD6"/>
    <w:rsid w:val="000B1463"/>
    <w:rsid w:val="000B2E7F"/>
    <w:rsid w:val="000B310B"/>
    <w:rsid w:val="000B4C83"/>
    <w:rsid w:val="000B57C8"/>
    <w:rsid w:val="000B6D4D"/>
    <w:rsid w:val="000C2704"/>
    <w:rsid w:val="000C275E"/>
    <w:rsid w:val="000C2FED"/>
    <w:rsid w:val="000C4F8C"/>
    <w:rsid w:val="000C6C28"/>
    <w:rsid w:val="000D0176"/>
    <w:rsid w:val="000D44E5"/>
    <w:rsid w:val="000D623A"/>
    <w:rsid w:val="000E174B"/>
    <w:rsid w:val="000E227B"/>
    <w:rsid w:val="000E58E6"/>
    <w:rsid w:val="000E5E41"/>
    <w:rsid w:val="000E692D"/>
    <w:rsid w:val="000F27A2"/>
    <w:rsid w:val="000F3E91"/>
    <w:rsid w:val="001004F2"/>
    <w:rsid w:val="0010085E"/>
    <w:rsid w:val="00102616"/>
    <w:rsid w:val="001035C5"/>
    <w:rsid w:val="001037D1"/>
    <w:rsid w:val="00104E37"/>
    <w:rsid w:val="00106912"/>
    <w:rsid w:val="00106FEE"/>
    <w:rsid w:val="00110D97"/>
    <w:rsid w:val="00110EF7"/>
    <w:rsid w:val="001121BD"/>
    <w:rsid w:val="001126BC"/>
    <w:rsid w:val="0011383E"/>
    <w:rsid w:val="00114BC3"/>
    <w:rsid w:val="00117622"/>
    <w:rsid w:val="00117A78"/>
    <w:rsid w:val="00122021"/>
    <w:rsid w:val="0012355E"/>
    <w:rsid w:val="0012447A"/>
    <w:rsid w:val="00125041"/>
    <w:rsid w:val="00125126"/>
    <w:rsid w:val="001253E7"/>
    <w:rsid w:val="0012565C"/>
    <w:rsid w:val="00125B1A"/>
    <w:rsid w:val="00125F99"/>
    <w:rsid w:val="00133FCD"/>
    <w:rsid w:val="00141379"/>
    <w:rsid w:val="00144E26"/>
    <w:rsid w:val="001478C5"/>
    <w:rsid w:val="00147C54"/>
    <w:rsid w:val="00150115"/>
    <w:rsid w:val="00150B10"/>
    <w:rsid w:val="001521F3"/>
    <w:rsid w:val="001545EE"/>
    <w:rsid w:val="00157BB3"/>
    <w:rsid w:val="00157CE9"/>
    <w:rsid w:val="00161B54"/>
    <w:rsid w:val="00163CD8"/>
    <w:rsid w:val="001649EF"/>
    <w:rsid w:val="001722C4"/>
    <w:rsid w:val="0017476C"/>
    <w:rsid w:val="00176B5F"/>
    <w:rsid w:val="00176DDE"/>
    <w:rsid w:val="00177017"/>
    <w:rsid w:val="00177030"/>
    <w:rsid w:val="0018297C"/>
    <w:rsid w:val="00182A75"/>
    <w:rsid w:val="001901DF"/>
    <w:rsid w:val="00192B2B"/>
    <w:rsid w:val="00194198"/>
    <w:rsid w:val="00195499"/>
    <w:rsid w:val="001972E6"/>
    <w:rsid w:val="001A4A6E"/>
    <w:rsid w:val="001A5A10"/>
    <w:rsid w:val="001A5B9E"/>
    <w:rsid w:val="001A6A61"/>
    <w:rsid w:val="001B44AC"/>
    <w:rsid w:val="001B5C26"/>
    <w:rsid w:val="001B62A9"/>
    <w:rsid w:val="001C0C6F"/>
    <w:rsid w:val="001C50CD"/>
    <w:rsid w:val="001C6617"/>
    <w:rsid w:val="001C6B42"/>
    <w:rsid w:val="001C7202"/>
    <w:rsid w:val="001D08A7"/>
    <w:rsid w:val="001D132E"/>
    <w:rsid w:val="001D2802"/>
    <w:rsid w:val="001E2489"/>
    <w:rsid w:val="001E4FBC"/>
    <w:rsid w:val="001E557E"/>
    <w:rsid w:val="001E7231"/>
    <w:rsid w:val="001F21BE"/>
    <w:rsid w:val="001F26F1"/>
    <w:rsid w:val="001F6A8D"/>
    <w:rsid w:val="001F6DCB"/>
    <w:rsid w:val="00202C01"/>
    <w:rsid w:val="00204128"/>
    <w:rsid w:val="002043BD"/>
    <w:rsid w:val="0020537C"/>
    <w:rsid w:val="00206195"/>
    <w:rsid w:val="002068F6"/>
    <w:rsid w:val="00210C9A"/>
    <w:rsid w:val="0021385A"/>
    <w:rsid w:val="002160DA"/>
    <w:rsid w:val="00216191"/>
    <w:rsid w:val="002204D7"/>
    <w:rsid w:val="002222DF"/>
    <w:rsid w:val="00222A20"/>
    <w:rsid w:val="00226C99"/>
    <w:rsid w:val="002332E8"/>
    <w:rsid w:val="00234220"/>
    <w:rsid w:val="00234246"/>
    <w:rsid w:val="0023428F"/>
    <w:rsid w:val="00237F35"/>
    <w:rsid w:val="00241220"/>
    <w:rsid w:val="00242237"/>
    <w:rsid w:val="00242779"/>
    <w:rsid w:val="00243D09"/>
    <w:rsid w:val="0024407F"/>
    <w:rsid w:val="00246A2B"/>
    <w:rsid w:val="00250750"/>
    <w:rsid w:val="0025191B"/>
    <w:rsid w:val="00254802"/>
    <w:rsid w:val="00255F1E"/>
    <w:rsid w:val="00257277"/>
    <w:rsid w:val="002611D1"/>
    <w:rsid w:val="002620CE"/>
    <w:rsid w:val="00262363"/>
    <w:rsid w:val="00263781"/>
    <w:rsid w:val="002646C1"/>
    <w:rsid w:val="002660C1"/>
    <w:rsid w:val="002661D4"/>
    <w:rsid w:val="00266782"/>
    <w:rsid w:val="00266CCA"/>
    <w:rsid w:val="002702D1"/>
    <w:rsid w:val="0027366A"/>
    <w:rsid w:val="00273C5E"/>
    <w:rsid w:val="00273ED8"/>
    <w:rsid w:val="0027547C"/>
    <w:rsid w:val="00275D44"/>
    <w:rsid w:val="00277666"/>
    <w:rsid w:val="002834B3"/>
    <w:rsid w:val="00287A76"/>
    <w:rsid w:val="00287F57"/>
    <w:rsid w:val="002906A5"/>
    <w:rsid w:val="00291A77"/>
    <w:rsid w:val="00292210"/>
    <w:rsid w:val="0029343F"/>
    <w:rsid w:val="00293F77"/>
    <w:rsid w:val="0029466C"/>
    <w:rsid w:val="002A3122"/>
    <w:rsid w:val="002A386E"/>
    <w:rsid w:val="002A4F58"/>
    <w:rsid w:val="002B08AE"/>
    <w:rsid w:val="002B2A59"/>
    <w:rsid w:val="002B47AE"/>
    <w:rsid w:val="002B6B8D"/>
    <w:rsid w:val="002C0C16"/>
    <w:rsid w:val="002C1241"/>
    <w:rsid w:val="002C5C88"/>
    <w:rsid w:val="002C5E9D"/>
    <w:rsid w:val="002C7081"/>
    <w:rsid w:val="002D13C5"/>
    <w:rsid w:val="002D3FEE"/>
    <w:rsid w:val="002D61CE"/>
    <w:rsid w:val="002D6842"/>
    <w:rsid w:val="002E18B7"/>
    <w:rsid w:val="002E35EB"/>
    <w:rsid w:val="002E58C9"/>
    <w:rsid w:val="002E5BBC"/>
    <w:rsid w:val="002F317D"/>
    <w:rsid w:val="002F32D3"/>
    <w:rsid w:val="002F3AB7"/>
    <w:rsid w:val="00307627"/>
    <w:rsid w:val="003101CF"/>
    <w:rsid w:val="0031032D"/>
    <w:rsid w:val="00312302"/>
    <w:rsid w:val="003124F2"/>
    <w:rsid w:val="003129A3"/>
    <w:rsid w:val="00313236"/>
    <w:rsid w:val="003133CE"/>
    <w:rsid w:val="0032002A"/>
    <w:rsid w:val="00320117"/>
    <w:rsid w:val="00321279"/>
    <w:rsid w:val="003236DE"/>
    <w:rsid w:val="003240AC"/>
    <w:rsid w:val="003257F6"/>
    <w:rsid w:val="003302D6"/>
    <w:rsid w:val="00332CCE"/>
    <w:rsid w:val="003333AB"/>
    <w:rsid w:val="00335D9F"/>
    <w:rsid w:val="00335FA1"/>
    <w:rsid w:val="003364AE"/>
    <w:rsid w:val="00344191"/>
    <w:rsid w:val="00344EA3"/>
    <w:rsid w:val="003473DC"/>
    <w:rsid w:val="0034795D"/>
    <w:rsid w:val="003500DC"/>
    <w:rsid w:val="00350C6C"/>
    <w:rsid w:val="00351B2B"/>
    <w:rsid w:val="003521E1"/>
    <w:rsid w:val="00352DDF"/>
    <w:rsid w:val="0036382C"/>
    <w:rsid w:val="00363EA5"/>
    <w:rsid w:val="00364CD4"/>
    <w:rsid w:val="00373E2D"/>
    <w:rsid w:val="00375ABC"/>
    <w:rsid w:val="0038219E"/>
    <w:rsid w:val="00383F07"/>
    <w:rsid w:val="00384591"/>
    <w:rsid w:val="003845E3"/>
    <w:rsid w:val="00387DE5"/>
    <w:rsid w:val="00387E6D"/>
    <w:rsid w:val="00390105"/>
    <w:rsid w:val="003920FE"/>
    <w:rsid w:val="00395E10"/>
    <w:rsid w:val="00396907"/>
    <w:rsid w:val="003A0793"/>
    <w:rsid w:val="003A0A31"/>
    <w:rsid w:val="003A2E68"/>
    <w:rsid w:val="003A4C33"/>
    <w:rsid w:val="003A5203"/>
    <w:rsid w:val="003A65FA"/>
    <w:rsid w:val="003B3DE8"/>
    <w:rsid w:val="003B533F"/>
    <w:rsid w:val="003B5548"/>
    <w:rsid w:val="003B607C"/>
    <w:rsid w:val="003C02F5"/>
    <w:rsid w:val="003C0BA9"/>
    <w:rsid w:val="003C1D49"/>
    <w:rsid w:val="003C1EA6"/>
    <w:rsid w:val="003D0E79"/>
    <w:rsid w:val="003D139F"/>
    <w:rsid w:val="003D1BF1"/>
    <w:rsid w:val="003D310A"/>
    <w:rsid w:val="003D3474"/>
    <w:rsid w:val="003D34A5"/>
    <w:rsid w:val="003D66DF"/>
    <w:rsid w:val="003D79A0"/>
    <w:rsid w:val="003E255A"/>
    <w:rsid w:val="003E2DBD"/>
    <w:rsid w:val="003E51DF"/>
    <w:rsid w:val="003E57B6"/>
    <w:rsid w:val="003E5EE5"/>
    <w:rsid w:val="003E6631"/>
    <w:rsid w:val="003E6F46"/>
    <w:rsid w:val="003F19F9"/>
    <w:rsid w:val="003F28AF"/>
    <w:rsid w:val="003F6CBD"/>
    <w:rsid w:val="004003D5"/>
    <w:rsid w:val="00400CC0"/>
    <w:rsid w:val="004022AE"/>
    <w:rsid w:val="00404ADC"/>
    <w:rsid w:val="00404D9D"/>
    <w:rsid w:val="00407A1E"/>
    <w:rsid w:val="004104FF"/>
    <w:rsid w:val="00415282"/>
    <w:rsid w:val="00420EFB"/>
    <w:rsid w:val="00420F7A"/>
    <w:rsid w:val="00421747"/>
    <w:rsid w:val="004227F4"/>
    <w:rsid w:val="00426EB6"/>
    <w:rsid w:val="00430639"/>
    <w:rsid w:val="00431C45"/>
    <w:rsid w:val="004320C1"/>
    <w:rsid w:val="0043545A"/>
    <w:rsid w:val="00436B5B"/>
    <w:rsid w:val="00440AF1"/>
    <w:rsid w:val="004425CE"/>
    <w:rsid w:val="00443370"/>
    <w:rsid w:val="00446B70"/>
    <w:rsid w:val="004476F4"/>
    <w:rsid w:val="004533A2"/>
    <w:rsid w:val="004542F1"/>
    <w:rsid w:val="00460174"/>
    <w:rsid w:val="004601E8"/>
    <w:rsid w:val="00460260"/>
    <w:rsid w:val="00460512"/>
    <w:rsid w:val="0046071D"/>
    <w:rsid w:val="00460A38"/>
    <w:rsid w:val="00460C77"/>
    <w:rsid w:val="004614E3"/>
    <w:rsid w:val="00461DE6"/>
    <w:rsid w:val="004663C6"/>
    <w:rsid w:val="004674C0"/>
    <w:rsid w:val="00467A69"/>
    <w:rsid w:val="00471F20"/>
    <w:rsid w:val="00472A92"/>
    <w:rsid w:val="00472C0E"/>
    <w:rsid w:val="004735DB"/>
    <w:rsid w:val="00473600"/>
    <w:rsid w:val="00476FB2"/>
    <w:rsid w:val="00480979"/>
    <w:rsid w:val="00482597"/>
    <w:rsid w:val="0048294F"/>
    <w:rsid w:val="00483619"/>
    <w:rsid w:val="004841DE"/>
    <w:rsid w:val="00485043"/>
    <w:rsid w:val="00487580"/>
    <w:rsid w:val="0049146B"/>
    <w:rsid w:val="00492C81"/>
    <w:rsid w:val="0049326B"/>
    <w:rsid w:val="00494A49"/>
    <w:rsid w:val="00497663"/>
    <w:rsid w:val="004A0B18"/>
    <w:rsid w:val="004A104A"/>
    <w:rsid w:val="004A5402"/>
    <w:rsid w:val="004A66A8"/>
    <w:rsid w:val="004B2A0D"/>
    <w:rsid w:val="004B5550"/>
    <w:rsid w:val="004B6013"/>
    <w:rsid w:val="004C2EEE"/>
    <w:rsid w:val="004C3123"/>
    <w:rsid w:val="004C4ABA"/>
    <w:rsid w:val="004C4CDB"/>
    <w:rsid w:val="004C67A2"/>
    <w:rsid w:val="004D03DF"/>
    <w:rsid w:val="004D2545"/>
    <w:rsid w:val="004D4414"/>
    <w:rsid w:val="004D52D3"/>
    <w:rsid w:val="004D55D5"/>
    <w:rsid w:val="004D5679"/>
    <w:rsid w:val="004D651B"/>
    <w:rsid w:val="004D7746"/>
    <w:rsid w:val="004D7ED1"/>
    <w:rsid w:val="004E198B"/>
    <w:rsid w:val="004E394F"/>
    <w:rsid w:val="004E39B7"/>
    <w:rsid w:val="004E48E5"/>
    <w:rsid w:val="004E4A26"/>
    <w:rsid w:val="004E712C"/>
    <w:rsid w:val="004F16D9"/>
    <w:rsid w:val="004F2C27"/>
    <w:rsid w:val="004F3F89"/>
    <w:rsid w:val="004F410E"/>
    <w:rsid w:val="004F5CF3"/>
    <w:rsid w:val="004F764B"/>
    <w:rsid w:val="005002E1"/>
    <w:rsid w:val="0050063C"/>
    <w:rsid w:val="00506394"/>
    <w:rsid w:val="00510EA9"/>
    <w:rsid w:val="005117FF"/>
    <w:rsid w:val="00512A59"/>
    <w:rsid w:val="00514BDE"/>
    <w:rsid w:val="00516D90"/>
    <w:rsid w:val="00520DCC"/>
    <w:rsid w:val="005216A2"/>
    <w:rsid w:val="00522FE1"/>
    <w:rsid w:val="005248D0"/>
    <w:rsid w:val="00527766"/>
    <w:rsid w:val="00531A77"/>
    <w:rsid w:val="0053285B"/>
    <w:rsid w:val="00534380"/>
    <w:rsid w:val="005402A7"/>
    <w:rsid w:val="0054270E"/>
    <w:rsid w:val="00545155"/>
    <w:rsid w:val="0054621B"/>
    <w:rsid w:val="00557656"/>
    <w:rsid w:val="0057024E"/>
    <w:rsid w:val="005720E9"/>
    <w:rsid w:val="00572309"/>
    <w:rsid w:val="00577FFB"/>
    <w:rsid w:val="00580999"/>
    <w:rsid w:val="00582B7B"/>
    <w:rsid w:val="00582FC9"/>
    <w:rsid w:val="00584C5A"/>
    <w:rsid w:val="0058768A"/>
    <w:rsid w:val="00592BB2"/>
    <w:rsid w:val="00593588"/>
    <w:rsid w:val="00594DD6"/>
    <w:rsid w:val="00595588"/>
    <w:rsid w:val="0059673F"/>
    <w:rsid w:val="00597697"/>
    <w:rsid w:val="005978B9"/>
    <w:rsid w:val="00597949"/>
    <w:rsid w:val="00597C8E"/>
    <w:rsid w:val="00597F4E"/>
    <w:rsid w:val="005A0137"/>
    <w:rsid w:val="005A192F"/>
    <w:rsid w:val="005A23A2"/>
    <w:rsid w:val="005A4AC7"/>
    <w:rsid w:val="005A62AA"/>
    <w:rsid w:val="005B0800"/>
    <w:rsid w:val="005B1602"/>
    <w:rsid w:val="005B19DB"/>
    <w:rsid w:val="005B2A34"/>
    <w:rsid w:val="005B30E4"/>
    <w:rsid w:val="005B6A01"/>
    <w:rsid w:val="005C213D"/>
    <w:rsid w:val="005C2A36"/>
    <w:rsid w:val="005C3881"/>
    <w:rsid w:val="005C3DFD"/>
    <w:rsid w:val="005C6313"/>
    <w:rsid w:val="005C6922"/>
    <w:rsid w:val="005D078B"/>
    <w:rsid w:val="005D4BBA"/>
    <w:rsid w:val="005D7251"/>
    <w:rsid w:val="005D7C47"/>
    <w:rsid w:val="005E02F9"/>
    <w:rsid w:val="005E5E3E"/>
    <w:rsid w:val="005E6894"/>
    <w:rsid w:val="005F3B7F"/>
    <w:rsid w:val="005F5154"/>
    <w:rsid w:val="005F68EA"/>
    <w:rsid w:val="005F6FC3"/>
    <w:rsid w:val="005F7827"/>
    <w:rsid w:val="006007C6"/>
    <w:rsid w:val="0060189F"/>
    <w:rsid w:val="00603806"/>
    <w:rsid w:val="00604E17"/>
    <w:rsid w:val="00605AAA"/>
    <w:rsid w:val="006065F1"/>
    <w:rsid w:val="00612BA2"/>
    <w:rsid w:val="006142D5"/>
    <w:rsid w:val="006228D5"/>
    <w:rsid w:val="00623A3B"/>
    <w:rsid w:val="00625358"/>
    <w:rsid w:val="00630BA8"/>
    <w:rsid w:val="00633208"/>
    <w:rsid w:val="006336E0"/>
    <w:rsid w:val="00633A65"/>
    <w:rsid w:val="00636B42"/>
    <w:rsid w:val="00637B3F"/>
    <w:rsid w:val="00640BE6"/>
    <w:rsid w:val="00645DC9"/>
    <w:rsid w:val="00645EE5"/>
    <w:rsid w:val="00646819"/>
    <w:rsid w:val="00647EDB"/>
    <w:rsid w:val="0065271D"/>
    <w:rsid w:val="0065390A"/>
    <w:rsid w:val="00653C86"/>
    <w:rsid w:val="00654794"/>
    <w:rsid w:val="00655895"/>
    <w:rsid w:val="00656A20"/>
    <w:rsid w:val="006577ED"/>
    <w:rsid w:val="006610FF"/>
    <w:rsid w:val="006618BB"/>
    <w:rsid w:val="00661DB9"/>
    <w:rsid w:val="00665461"/>
    <w:rsid w:val="00665659"/>
    <w:rsid w:val="006670F7"/>
    <w:rsid w:val="006707D1"/>
    <w:rsid w:val="00671777"/>
    <w:rsid w:val="00673C92"/>
    <w:rsid w:val="006752B9"/>
    <w:rsid w:val="00675CB2"/>
    <w:rsid w:val="00676F91"/>
    <w:rsid w:val="006777E6"/>
    <w:rsid w:val="00683ACF"/>
    <w:rsid w:val="00684AA6"/>
    <w:rsid w:val="006907FF"/>
    <w:rsid w:val="00692F04"/>
    <w:rsid w:val="00695FE4"/>
    <w:rsid w:val="00697723"/>
    <w:rsid w:val="006A06ED"/>
    <w:rsid w:val="006A0E04"/>
    <w:rsid w:val="006A289A"/>
    <w:rsid w:val="006A4791"/>
    <w:rsid w:val="006A6B8D"/>
    <w:rsid w:val="006A730A"/>
    <w:rsid w:val="006B0DBC"/>
    <w:rsid w:val="006B378D"/>
    <w:rsid w:val="006B3B3D"/>
    <w:rsid w:val="006B5052"/>
    <w:rsid w:val="006B7A5D"/>
    <w:rsid w:val="006C2D28"/>
    <w:rsid w:val="006C40BA"/>
    <w:rsid w:val="006C5616"/>
    <w:rsid w:val="006D0087"/>
    <w:rsid w:val="006D12A5"/>
    <w:rsid w:val="006D1539"/>
    <w:rsid w:val="006D2490"/>
    <w:rsid w:val="006D5346"/>
    <w:rsid w:val="006D62F9"/>
    <w:rsid w:val="006E3BD4"/>
    <w:rsid w:val="006E4281"/>
    <w:rsid w:val="006E52A9"/>
    <w:rsid w:val="006E6B8D"/>
    <w:rsid w:val="006F085E"/>
    <w:rsid w:val="006F0D11"/>
    <w:rsid w:val="006F136C"/>
    <w:rsid w:val="006F7E7E"/>
    <w:rsid w:val="0070244C"/>
    <w:rsid w:val="007027E3"/>
    <w:rsid w:val="0070283E"/>
    <w:rsid w:val="00706470"/>
    <w:rsid w:val="00715392"/>
    <w:rsid w:val="00715C95"/>
    <w:rsid w:val="00716A04"/>
    <w:rsid w:val="00717453"/>
    <w:rsid w:val="007217F9"/>
    <w:rsid w:val="00722200"/>
    <w:rsid w:val="0072675E"/>
    <w:rsid w:val="00726C48"/>
    <w:rsid w:val="00730F0A"/>
    <w:rsid w:val="00731BF2"/>
    <w:rsid w:val="00734319"/>
    <w:rsid w:val="0073763D"/>
    <w:rsid w:val="00741FAB"/>
    <w:rsid w:val="00744B99"/>
    <w:rsid w:val="00744F44"/>
    <w:rsid w:val="0075220D"/>
    <w:rsid w:val="00752A22"/>
    <w:rsid w:val="007530EB"/>
    <w:rsid w:val="0075508F"/>
    <w:rsid w:val="00756138"/>
    <w:rsid w:val="00756502"/>
    <w:rsid w:val="00757678"/>
    <w:rsid w:val="00757FAF"/>
    <w:rsid w:val="007613EF"/>
    <w:rsid w:val="007670D4"/>
    <w:rsid w:val="0077046E"/>
    <w:rsid w:val="00770E66"/>
    <w:rsid w:val="00770F8B"/>
    <w:rsid w:val="00771D43"/>
    <w:rsid w:val="00774A77"/>
    <w:rsid w:val="00774F7E"/>
    <w:rsid w:val="0078039F"/>
    <w:rsid w:val="007806B1"/>
    <w:rsid w:val="007811F2"/>
    <w:rsid w:val="00786A12"/>
    <w:rsid w:val="00790964"/>
    <w:rsid w:val="00793438"/>
    <w:rsid w:val="00795C41"/>
    <w:rsid w:val="00796813"/>
    <w:rsid w:val="007A0142"/>
    <w:rsid w:val="007A3618"/>
    <w:rsid w:val="007A389C"/>
    <w:rsid w:val="007A4FCF"/>
    <w:rsid w:val="007A5F64"/>
    <w:rsid w:val="007B091A"/>
    <w:rsid w:val="007B0B49"/>
    <w:rsid w:val="007B0C60"/>
    <w:rsid w:val="007B129B"/>
    <w:rsid w:val="007B328C"/>
    <w:rsid w:val="007B4176"/>
    <w:rsid w:val="007B5135"/>
    <w:rsid w:val="007B6400"/>
    <w:rsid w:val="007B7666"/>
    <w:rsid w:val="007C0D21"/>
    <w:rsid w:val="007C1123"/>
    <w:rsid w:val="007C2643"/>
    <w:rsid w:val="007C5BCA"/>
    <w:rsid w:val="007C6EF2"/>
    <w:rsid w:val="007C6F4A"/>
    <w:rsid w:val="007D06EE"/>
    <w:rsid w:val="007D1F31"/>
    <w:rsid w:val="007D301E"/>
    <w:rsid w:val="007D56D5"/>
    <w:rsid w:val="007D5890"/>
    <w:rsid w:val="007D7C93"/>
    <w:rsid w:val="007D7F6F"/>
    <w:rsid w:val="007E1871"/>
    <w:rsid w:val="007E3742"/>
    <w:rsid w:val="007E37D3"/>
    <w:rsid w:val="007E3B02"/>
    <w:rsid w:val="007E4C58"/>
    <w:rsid w:val="007E5B15"/>
    <w:rsid w:val="007E7327"/>
    <w:rsid w:val="007E7C1F"/>
    <w:rsid w:val="007E7D8A"/>
    <w:rsid w:val="007F027E"/>
    <w:rsid w:val="007F474F"/>
    <w:rsid w:val="007F6453"/>
    <w:rsid w:val="007F6AAA"/>
    <w:rsid w:val="008040B7"/>
    <w:rsid w:val="0080541A"/>
    <w:rsid w:val="0080545D"/>
    <w:rsid w:val="0080587F"/>
    <w:rsid w:val="00806AE0"/>
    <w:rsid w:val="00811331"/>
    <w:rsid w:val="00813ABA"/>
    <w:rsid w:val="008152EB"/>
    <w:rsid w:val="00816A3D"/>
    <w:rsid w:val="008232DD"/>
    <w:rsid w:val="00823408"/>
    <w:rsid w:val="00823CC2"/>
    <w:rsid w:val="00825970"/>
    <w:rsid w:val="0083044A"/>
    <w:rsid w:val="0083133A"/>
    <w:rsid w:val="008316F0"/>
    <w:rsid w:val="00832533"/>
    <w:rsid w:val="0083395B"/>
    <w:rsid w:val="00836710"/>
    <w:rsid w:val="00845776"/>
    <w:rsid w:val="00850710"/>
    <w:rsid w:val="00852836"/>
    <w:rsid w:val="00854533"/>
    <w:rsid w:val="00854D93"/>
    <w:rsid w:val="00857768"/>
    <w:rsid w:val="008579F7"/>
    <w:rsid w:val="008624B3"/>
    <w:rsid w:val="00862639"/>
    <w:rsid w:val="008633CE"/>
    <w:rsid w:val="008637BB"/>
    <w:rsid w:val="00863D45"/>
    <w:rsid w:val="00863E21"/>
    <w:rsid w:val="00864CB3"/>
    <w:rsid w:val="00873E0B"/>
    <w:rsid w:val="00874969"/>
    <w:rsid w:val="00876FF5"/>
    <w:rsid w:val="00877FF7"/>
    <w:rsid w:val="00880152"/>
    <w:rsid w:val="00882639"/>
    <w:rsid w:val="00882A07"/>
    <w:rsid w:val="0088464D"/>
    <w:rsid w:val="008901E2"/>
    <w:rsid w:val="00892D38"/>
    <w:rsid w:val="00892DC7"/>
    <w:rsid w:val="0089394F"/>
    <w:rsid w:val="00896487"/>
    <w:rsid w:val="008971D7"/>
    <w:rsid w:val="00897858"/>
    <w:rsid w:val="008A15FB"/>
    <w:rsid w:val="008A4B00"/>
    <w:rsid w:val="008A5E38"/>
    <w:rsid w:val="008A64A5"/>
    <w:rsid w:val="008B1873"/>
    <w:rsid w:val="008B3AF7"/>
    <w:rsid w:val="008B4A4D"/>
    <w:rsid w:val="008B6830"/>
    <w:rsid w:val="008C32A9"/>
    <w:rsid w:val="008C366B"/>
    <w:rsid w:val="008C627C"/>
    <w:rsid w:val="008C687C"/>
    <w:rsid w:val="008C740A"/>
    <w:rsid w:val="008D0A8A"/>
    <w:rsid w:val="008D1057"/>
    <w:rsid w:val="008D1D37"/>
    <w:rsid w:val="008D29FD"/>
    <w:rsid w:val="008D3C43"/>
    <w:rsid w:val="008D4F39"/>
    <w:rsid w:val="008D608D"/>
    <w:rsid w:val="008D7B28"/>
    <w:rsid w:val="008E1C8D"/>
    <w:rsid w:val="008E3CE0"/>
    <w:rsid w:val="008E435B"/>
    <w:rsid w:val="008E6332"/>
    <w:rsid w:val="008E6AB3"/>
    <w:rsid w:val="008E6F19"/>
    <w:rsid w:val="008E707E"/>
    <w:rsid w:val="008E7C47"/>
    <w:rsid w:val="008F29FB"/>
    <w:rsid w:val="008F371F"/>
    <w:rsid w:val="008F54F6"/>
    <w:rsid w:val="008F6086"/>
    <w:rsid w:val="008F68B2"/>
    <w:rsid w:val="008F711A"/>
    <w:rsid w:val="008F7398"/>
    <w:rsid w:val="00900538"/>
    <w:rsid w:val="00901344"/>
    <w:rsid w:val="009013FD"/>
    <w:rsid w:val="0090178B"/>
    <w:rsid w:val="00901D54"/>
    <w:rsid w:val="00905D79"/>
    <w:rsid w:val="0090633E"/>
    <w:rsid w:val="00912963"/>
    <w:rsid w:val="00912DD7"/>
    <w:rsid w:val="00916E9B"/>
    <w:rsid w:val="00917C13"/>
    <w:rsid w:val="00922042"/>
    <w:rsid w:val="0092255D"/>
    <w:rsid w:val="00922767"/>
    <w:rsid w:val="00923F24"/>
    <w:rsid w:val="009326DD"/>
    <w:rsid w:val="00934FE9"/>
    <w:rsid w:val="009353F2"/>
    <w:rsid w:val="00935438"/>
    <w:rsid w:val="0094091D"/>
    <w:rsid w:val="0094109B"/>
    <w:rsid w:val="00942FD5"/>
    <w:rsid w:val="00942FE9"/>
    <w:rsid w:val="009478C3"/>
    <w:rsid w:val="0095036D"/>
    <w:rsid w:val="00951021"/>
    <w:rsid w:val="00951935"/>
    <w:rsid w:val="0095619E"/>
    <w:rsid w:val="009569C2"/>
    <w:rsid w:val="00961AFC"/>
    <w:rsid w:val="009632DD"/>
    <w:rsid w:val="00964C77"/>
    <w:rsid w:val="00971077"/>
    <w:rsid w:val="0097366B"/>
    <w:rsid w:val="00973BB5"/>
    <w:rsid w:val="00974872"/>
    <w:rsid w:val="00974F14"/>
    <w:rsid w:val="00975BBC"/>
    <w:rsid w:val="00984189"/>
    <w:rsid w:val="00984715"/>
    <w:rsid w:val="009858B4"/>
    <w:rsid w:val="00986840"/>
    <w:rsid w:val="00991E73"/>
    <w:rsid w:val="0099399D"/>
    <w:rsid w:val="009940D0"/>
    <w:rsid w:val="009952A5"/>
    <w:rsid w:val="009969A8"/>
    <w:rsid w:val="00996B55"/>
    <w:rsid w:val="009A15A3"/>
    <w:rsid w:val="009A3041"/>
    <w:rsid w:val="009A47F6"/>
    <w:rsid w:val="009A49ED"/>
    <w:rsid w:val="009A5D35"/>
    <w:rsid w:val="009A69E8"/>
    <w:rsid w:val="009A72D5"/>
    <w:rsid w:val="009B6476"/>
    <w:rsid w:val="009C0C50"/>
    <w:rsid w:val="009C5003"/>
    <w:rsid w:val="009D0103"/>
    <w:rsid w:val="009D0696"/>
    <w:rsid w:val="009D06CD"/>
    <w:rsid w:val="009D1E65"/>
    <w:rsid w:val="009D2324"/>
    <w:rsid w:val="009D26C3"/>
    <w:rsid w:val="009D3094"/>
    <w:rsid w:val="009D31FB"/>
    <w:rsid w:val="009D50B3"/>
    <w:rsid w:val="009D7490"/>
    <w:rsid w:val="009D7E54"/>
    <w:rsid w:val="009E1090"/>
    <w:rsid w:val="009E5368"/>
    <w:rsid w:val="009E53B3"/>
    <w:rsid w:val="009F0BB4"/>
    <w:rsid w:val="00A00EC6"/>
    <w:rsid w:val="00A0325D"/>
    <w:rsid w:val="00A07780"/>
    <w:rsid w:val="00A123CA"/>
    <w:rsid w:val="00A13388"/>
    <w:rsid w:val="00A13A14"/>
    <w:rsid w:val="00A143E3"/>
    <w:rsid w:val="00A17343"/>
    <w:rsid w:val="00A20293"/>
    <w:rsid w:val="00A22D16"/>
    <w:rsid w:val="00A25F56"/>
    <w:rsid w:val="00A3247D"/>
    <w:rsid w:val="00A326B7"/>
    <w:rsid w:val="00A33CD2"/>
    <w:rsid w:val="00A343DB"/>
    <w:rsid w:val="00A37470"/>
    <w:rsid w:val="00A40818"/>
    <w:rsid w:val="00A40A4B"/>
    <w:rsid w:val="00A43619"/>
    <w:rsid w:val="00A436DF"/>
    <w:rsid w:val="00A44986"/>
    <w:rsid w:val="00A46DCA"/>
    <w:rsid w:val="00A47146"/>
    <w:rsid w:val="00A525CD"/>
    <w:rsid w:val="00A527A6"/>
    <w:rsid w:val="00A54031"/>
    <w:rsid w:val="00A552E5"/>
    <w:rsid w:val="00A563B3"/>
    <w:rsid w:val="00A57B65"/>
    <w:rsid w:val="00A60215"/>
    <w:rsid w:val="00A6138A"/>
    <w:rsid w:val="00A70410"/>
    <w:rsid w:val="00A70A41"/>
    <w:rsid w:val="00A71EC4"/>
    <w:rsid w:val="00A7210C"/>
    <w:rsid w:val="00A72AD9"/>
    <w:rsid w:val="00A7701E"/>
    <w:rsid w:val="00A779F7"/>
    <w:rsid w:val="00A77BD1"/>
    <w:rsid w:val="00A80EFC"/>
    <w:rsid w:val="00A81919"/>
    <w:rsid w:val="00A81E39"/>
    <w:rsid w:val="00A822F7"/>
    <w:rsid w:val="00A839FB"/>
    <w:rsid w:val="00A86807"/>
    <w:rsid w:val="00A87FAE"/>
    <w:rsid w:val="00A91447"/>
    <w:rsid w:val="00A91740"/>
    <w:rsid w:val="00A931F8"/>
    <w:rsid w:val="00A9785B"/>
    <w:rsid w:val="00AA0A77"/>
    <w:rsid w:val="00AA0F48"/>
    <w:rsid w:val="00AA1553"/>
    <w:rsid w:val="00AA3502"/>
    <w:rsid w:val="00AA4A51"/>
    <w:rsid w:val="00AA54E1"/>
    <w:rsid w:val="00AA56E4"/>
    <w:rsid w:val="00AA6287"/>
    <w:rsid w:val="00AA6337"/>
    <w:rsid w:val="00AA6701"/>
    <w:rsid w:val="00AA67C6"/>
    <w:rsid w:val="00AA695E"/>
    <w:rsid w:val="00AB0987"/>
    <w:rsid w:val="00AB1DF9"/>
    <w:rsid w:val="00AB24F3"/>
    <w:rsid w:val="00AB294E"/>
    <w:rsid w:val="00AB4074"/>
    <w:rsid w:val="00AB4924"/>
    <w:rsid w:val="00AB6728"/>
    <w:rsid w:val="00AC014F"/>
    <w:rsid w:val="00AC26C0"/>
    <w:rsid w:val="00AC3676"/>
    <w:rsid w:val="00AC4CAF"/>
    <w:rsid w:val="00AC4F96"/>
    <w:rsid w:val="00AD2598"/>
    <w:rsid w:val="00AD2D35"/>
    <w:rsid w:val="00AD36C6"/>
    <w:rsid w:val="00AD47FF"/>
    <w:rsid w:val="00AD4B4D"/>
    <w:rsid w:val="00AD4CD6"/>
    <w:rsid w:val="00AE1651"/>
    <w:rsid w:val="00AE277F"/>
    <w:rsid w:val="00AE2A0D"/>
    <w:rsid w:val="00AE375C"/>
    <w:rsid w:val="00AE44C1"/>
    <w:rsid w:val="00AF2368"/>
    <w:rsid w:val="00AF3AB5"/>
    <w:rsid w:val="00AF4E4C"/>
    <w:rsid w:val="00AF6B17"/>
    <w:rsid w:val="00AF7B0F"/>
    <w:rsid w:val="00AF7EE8"/>
    <w:rsid w:val="00B00F9B"/>
    <w:rsid w:val="00B01D91"/>
    <w:rsid w:val="00B151C4"/>
    <w:rsid w:val="00B176FC"/>
    <w:rsid w:val="00B177AF"/>
    <w:rsid w:val="00B17C6F"/>
    <w:rsid w:val="00B22DC4"/>
    <w:rsid w:val="00B249EE"/>
    <w:rsid w:val="00B26726"/>
    <w:rsid w:val="00B26ACF"/>
    <w:rsid w:val="00B26B2E"/>
    <w:rsid w:val="00B27A29"/>
    <w:rsid w:val="00B27DE6"/>
    <w:rsid w:val="00B3101E"/>
    <w:rsid w:val="00B355E6"/>
    <w:rsid w:val="00B42016"/>
    <w:rsid w:val="00B42A51"/>
    <w:rsid w:val="00B43085"/>
    <w:rsid w:val="00B43319"/>
    <w:rsid w:val="00B43CDA"/>
    <w:rsid w:val="00B43EC6"/>
    <w:rsid w:val="00B5115C"/>
    <w:rsid w:val="00B55D6C"/>
    <w:rsid w:val="00B62F47"/>
    <w:rsid w:val="00B653A6"/>
    <w:rsid w:val="00B660A7"/>
    <w:rsid w:val="00B672A3"/>
    <w:rsid w:val="00B757C8"/>
    <w:rsid w:val="00B77F2E"/>
    <w:rsid w:val="00B80B8F"/>
    <w:rsid w:val="00B813ED"/>
    <w:rsid w:val="00B836FC"/>
    <w:rsid w:val="00B83B2B"/>
    <w:rsid w:val="00B84219"/>
    <w:rsid w:val="00B84F83"/>
    <w:rsid w:val="00B8622F"/>
    <w:rsid w:val="00B87A4C"/>
    <w:rsid w:val="00B93CF8"/>
    <w:rsid w:val="00B97404"/>
    <w:rsid w:val="00B97414"/>
    <w:rsid w:val="00BA0D70"/>
    <w:rsid w:val="00BA2596"/>
    <w:rsid w:val="00BA52CA"/>
    <w:rsid w:val="00BA79AB"/>
    <w:rsid w:val="00BB3162"/>
    <w:rsid w:val="00BB5902"/>
    <w:rsid w:val="00BB5D2D"/>
    <w:rsid w:val="00BB6CDF"/>
    <w:rsid w:val="00BB7C8F"/>
    <w:rsid w:val="00BC09C0"/>
    <w:rsid w:val="00BC12DB"/>
    <w:rsid w:val="00BC2709"/>
    <w:rsid w:val="00BC28E2"/>
    <w:rsid w:val="00BC33D7"/>
    <w:rsid w:val="00BC3C9B"/>
    <w:rsid w:val="00BD0BF1"/>
    <w:rsid w:val="00BD359A"/>
    <w:rsid w:val="00BD3A01"/>
    <w:rsid w:val="00BD742D"/>
    <w:rsid w:val="00BD7A5C"/>
    <w:rsid w:val="00BD7B43"/>
    <w:rsid w:val="00BE0FE2"/>
    <w:rsid w:val="00BE22F0"/>
    <w:rsid w:val="00BE4A27"/>
    <w:rsid w:val="00BE4CBE"/>
    <w:rsid w:val="00BE62F7"/>
    <w:rsid w:val="00BE6436"/>
    <w:rsid w:val="00BE704A"/>
    <w:rsid w:val="00BE7836"/>
    <w:rsid w:val="00BE7E15"/>
    <w:rsid w:val="00BF1EC5"/>
    <w:rsid w:val="00BF251A"/>
    <w:rsid w:val="00BF359F"/>
    <w:rsid w:val="00BF5A2D"/>
    <w:rsid w:val="00BF5B0B"/>
    <w:rsid w:val="00BF607C"/>
    <w:rsid w:val="00C001C1"/>
    <w:rsid w:val="00C01CCD"/>
    <w:rsid w:val="00C04C31"/>
    <w:rsid w:val="00C05459"/>
    <w:rsid w:val="00C06B12"/>
    <w:rsid w:val="00C1092D"/>
    <w:rsid w:val="00C11E9E"/>
    <w:rsid w:val="00C162B8"/>
    <w:rsid w:val="00C172DC"/>
    <w:rsid w:val="00C21579"/>
    <w:rsid w:val="00C22A2D"/>
    <w:rsid w:val="00C233DF"/>
    <w:rsid w:val="00C24053"/>
    <w:rsid w:val="00C24C21"/>
    <w:rsid w:val="00C25ABA"/>
    <w:rsid w:val="00C26D52"/>
    <w:rsid w:val="00C30CD1"/>
    <w:rsid w:val="00C319B4"/>
    <w:rsid w:val="00C4311A"/>
    <w:rsid w:val="00C445EA"/>
    <w:rsid w:val="00C44BBE"/>
    <w:rsid w:val="00C502D1"/>
    <w:rsid w:val="00C5073E"/>
    <w:rsid w:val="00C5181D"/>
    <w:rsid w:val="00C527BA"/>
    <w:rsid w:val="00C54214"/>
    <w:rsid w:val="00C55280"/>
    <w:rsid w:val="00C5563B"/>
    <w:rsid w:val="00C55CC2"/>
    <w:rsid w:val="00C57869"/>
    <w:rsid w:val="00C62919"/>
    <w:rsid w:val="00C63530"/>
    <w:rsid w:val="00C65DA8"/>
    <w:rsid w:val="00C671FC"/>
    <w:rsid w:val="00C674E8"/>
    <w:rsid w:val="00C67863"/>
    <w:rsid w:val="00C758FB"/>
    <w:rsid w:val="00C769D1"/>
    <w:rsid w:val="00C77D66"/>
    <w:rsid w:val="00C80A7C"/>
    <w:rsid w:val="00C81969"/>
    <w:rsid w:val="00C824BC"/>
    <w:rsid w:val="00C87217"/>
    <w:rsid w:val="00C87339"/>
    <w:rsid w:val="00C87636"/>
    <w:rsid w:val="00C90AA0"/>
    <w:rsid w:val="00C949E0"/>
    <w:rsid w:val="00CA1CE1"/>
    <w:rsid w:val="00CA2BDD"/>
    <w:rsid w:val="00CA3119"/>
    <w:rsid w:val="00CA7570"/>
    <w:rsid w:val="00CB299F"/>
    <w:rsid w:val="00CB3737"/>
    <w:rsid w:val="00CB6E11"/>
    <w:rsid w:val="00CB78B9"/>
    <w:rsid w:val="00CC0AFE"/>
    <w:rsid w:val="00CC3045"/>
    <w:rsid w:val="00CC312B"/>
    <w:rsid w:val="00CC37AC"/>
    <w:rsid w:val="00CC6FB2"/>
    <w:rsid w:val="00CC7F19"/>
    <w:rsid w:val="00CD0050"/>
    <w:rsid w:val="00CD17C4"/>
    <w:rsid w:val="00CD21B3"/>
    <w:rsid w:val="00CD64CA"/>
    <w:rsid w:val="00CD711C"/>
    <w:rsid w:val="00CE1C31"/>
    <w:rsid w:val="00CE380F"/>
    <w:rsid w:val="00CE4D6C"/>
    <w:rsid w:val="00CE7631"/>
    <w:rsid w:val="00CF5B3E"/>
    <w:rsid w:val="00CF7141"/>
    <w:rsid w:val="00CF747D"/>
    <w:rsid w:val="00D013A9"/>
    <w:rsid w:val="00D01A82"/>
    <w:rsid w:val="00D02541"/>
    <w:rsid w:val="00D05FD7"/>
    <w:rsid w:val="00D06BDB"/>
    <w:rsid w:val="00D06D08"/>
    <w:rsid w:val="00D10DDD"/>
    <w:rsid w:val="00D17837"/>
    <w:rsid w:val="00D178B2"/>
    <w:rsid w:val="00D17EB1"/>
    <w:rsid w:val="00D269E4"/>
    <w:rsid w:val="00D31563"/>
    <w:rsid w:val="00D325AD"/>
    <w:rsid w:val="00D34CE5"/>
    <w:rsid w:val="00D3694B"/>
    <w:rsid w:val="00D36A18"/>
    <w:rsid w:val="00D36BE3"/>
    <w:rsid w:val="00D42E33"/>
    <w:rsid w:val="00D442D7"/>
    <w:rsid w:val="00D458D5"/>
    <w:rsid w:val="00D45FEE"/>
    <w:rsid w:val="00D47E5D"/>
    <w:rsid w:val="00D50894"/>
    <w:rsid w:val="00D52162"/>
    <w:rsid w:val="00D53C89"/>
    <w:rsid w:val="00D53F3D"/>
    <w:rsid w:val="00D547B2"/>
    <w:rsid w:val="00D63BF1"/>
    <w:rsid w:val="00D63DD9"/>
    <w:rsid w:val="00D63DE5"/>
    <w:rsid w:val="00D6535B"/>
    <w:rsid w:val="00D66408"/>
    <w:rsid w:val="00D71D54"/>
    <w:rsid w:val="00D72848"/>
    <w:rsid w:val="00D73BCF"/>
    <w:rsid w:val="00D750B0"/>
    <w:rsid w:val="00D7747D"/>
    <w:rsid w:val="00D77B55"/>
    <w:rsid w:val="00D830D3"/>
    <w:rsid w:val="00D84681"/>
    <w:rsid w:val="00D85773"/>
    <w:rsid w:val="00D8594D"/>
    <w:rsid w:val="00D86CB5"/>
    <w:rsid w:val="00D870F9"/>
    <w:rsid w:val="00D926BC"/>
    <w:rsid w:val="00D93B67"/>
    <w:rsid w:val="00D96B32"/>
    <w:rsid w:val="00D96DD2"/>
    <w:rsid w:val="00DA1586"/>
    <w:rsid w:val="00DA3B96"/>
    <w:rsid w:val="00DA467B"/>
    <w:rsid w:val="00DA4CA8"/>
    <w:rsid w:val="00DA5151"/>
    <w:rsid w:val="00DA5B59"/>
    <w:rsid w:val="00DA7356"/>
    <w:rsid w:val="00DA77D8"/>
    <w:rsid w:val="00DB2798"/>
    <w:rsid w:val="00DB3A2E"/>
    <w:rsid w:val="00DB3D77"/>
    <w:rsid w:val="00DB7B1C"/>
    <w:rsid w:val="00DB7C6E"/>
    <w:rsid w:val="00DC1020"/>
    <w:rsid w:val="00DC28AC"/>
    <w:rsid w:val="00DC581E"/>
    <w:rsid w:val="00DC6893"/>
    <w:rsid w:val="00DD06B7"/>
    <w:rsid w:val="00DD3A20"/>
    <w:rsid w:val="00DD4453"/>
    <w:rsid w:val="00DD69C4"/>
    <w:rsid w:val="00DD7193"/>
    <w:rsid w:val="00DE116E"/>
    <w:rsid w:val="00DE1275"/>
    <w:rsid w:val="00DE15E0"/>
    <w:rsid w:val="00DE4902"/>
    <w:rsid w:val="00DE4B20"/>
    <w:rsid w:val="00DE5D31"/>
    <w:rsid w:val="00DE60CF"/>
    <w:rsid w:val="00DE6703"/>
    <w:rsid w:val="00DE6F9A"/>
    <w:rsid w:val="00DE74BF"/>
    <w:rsid w:val="00DF130C"/>
    <w:rsid w:val="00DF1D72"/>
    <w:rsid w:val="00DF5204"/>
    <w:rsid w:val="00DF7A6A"/>
    <w:rsid w:val="00E0371E"/>
    <w:rsid w:val="00E04245"/>
    <w:rsid w:val="00E048BB"/>
    <w:rsid w:val="00E0778C"/>
    <w:rsid w:val="00E10605"/>
    <w:rsid w:val="00E1194F"/>
    <w:rsid w:val="00E1239A"/>
    <w:rsid w:val="00E12935"/>
    <w:rsid w:val="00E15964"/>
    <w:rsid w:val="00E15EED"/>
    <w:rsid w:val="00E161AB"/>
    <w:rsid w:val="00E16ADA"/>
    <w:rsid w:val="00E16FBC"/>
    <w:rsid w:val="00E17025"/>
    <w:rsid w:val="00E170B6"/>
    <w:rsid w:val="00E177B9"/>
    <w:rsid w:val="00E218AC"/>
    <w:rsid w:val="00E22129"/>
    <w:rsid w:val="00E23A2F"/>
    <w:rsid w:val="00E2721B"/>
    <w:rsid w:val="00E27B99"/>
    <w:rsid w:val="00E33798"/>
    <w:rsid w:val="00E44049"/>
    <w:rsid w:val="00E45FCC"/>
    <w:rsid w:val="00E47BB9"/>
    <w:rsid w:val="00E56411"/>
    <w:rsid w:val="00E57B9F"/>
    <w:rsid w:val="00E57E78"/>
    <w:rsid w:val="00E600A1"/>
    <w:rsid w:val="00E6164F"/>
    <w:rsid w:val="00E62C71"/>
    <w:rsid w:val="00E62D59"/>
    <w:rsid w:val="00E65CA9"/>
    <w:rsid w:val="00E66CB7"/>
    <w:rsid w:val="00E7128D"/>
    <w:rsid w:val="00E75867"/>
    <w:rsid w:val="00E76DC6"/>
    <w:rsid w:val="00E77317"/>
    <w:rsid w:val="00E77DAD"/>
    <w:rsid w:val="00E80E23"/>
    <w:rsid w:val="00E8111D"/>
    <w:rsid w:val="00E81DA9"/>
    <w:rsid w:val="00E8283E"/>
    <w:rsid w:val="00E8465D"/>
    <w:rsid w:val="00E94477"/>
    <w:rsid w:val="00E946DC"/>
    <w:rsid w:val="00EA0D5C"/>
    <w:rsid w:val="00EA2697"/>
    <w:rsid w:val="00EA54FF"/>
    <w:rsid w:val="00EA7CB7"/>
    <w:rsid w:val="00EB1BC5"/>
    <w:rsid w:val="00EB7A79"/>
    <w:rsid w:val="00EC0F05"/>
    <w:rsid w:val="00EC0FC6"/>
    <w:rsid w:val="00EC3FA9"/>
    <w:rsid w:val="00EC456A"/>
    <w:rsid w:val="00EC6D73"/>
    <w:rsid w:val="00EC7712"/>
    <w:rsid w:val="00EC7A53"/>
    <w:rsid w:val="00ED05AB"/>
    <w:rsid w:val="00ED0945"/>
    <w:rsid w:val="00ED24E3"/>
    <w:rsid w:val="00ED281A"/>
    <w:rsid w:val="00ED5350"/>
    <w:rsid w:val="00EE1D6C"/>
    <w:rsid w:val="00EE4F34"/>
    <w:rsid w:val="00EE5E90"/>
    <w:rsid w:val="00EF02FD"/>
    <w:rsid w:val="00EF4B05"/>
    <w:rsid w:val="00EF6325"/>
    <w:rsid w:val="00EF78D3"/>
    <w:rsid w:val="00F006E2"/>
    <w:rsid w:val="00F01748"/>
    <w:rsid w:val="00F0219E"/>
    <w:rsid w:val="00F03496"/>
    <w:rsid w:val="00F03ECF"/>
    <w:rsid w:val="00F072F5"/>
    <w:rsid w:val="00F07366"/>
    <w:rsid w:val="00F153D4"/>
    <w:rsid w:val="00F15D3D"/>
    <w:rsid w:val="00F16B5E"/>
    <w:rsid w:val="00F221DA"/>
    <w:rsid w:val="00F22458"/>
    <w:rsid w:val="00F264CD"/>
    <w:rsid w:val="00F27674"/>
    <w:rsid w:val="00F27B62"/>
    <w:rsid w:val="00F32B4E"/>
    <w:rsid w:val="00F3417E"/>
    <w:rsid w:val="00F35654"/>
    <w:rsid w:val="00F36EA0"/>
    <w:rsid w:val="00F37093"/>
    <w:rsid w:val="00F3731D"/>
    <w:rsid w:val="00F37B5E"/>
    <w:rsid w:val="00F37BFE"/>
    <w:rsid w:val="00F43BCD"/>
    <w:rsid w:val="00F4739A"/>
    <w:rsid w:val="00F506C6"/>
    <w:rsid w:val="00F514DF"/>
    <w:rsid w:val="00F51D5C"/>
    <w:rsid w:val="00F5224E"/>
    <w:rsid w:val="00F53E8B"/>
    <w:rsid w:val="00F54977"/>
    <w:rsid w:val="00F603CC"/>
    <w:rsid w:val="00F608A4"/>
    <w:rsid w:val="00F62B40"/>
    <w:rsid w:val="00F64814"/>
    <w:rsid w:val="00F64B1C"/>
    <w:rsid w:val="00F66107"/>
    <w:rsid w:val="00F67F3E"/>
    <w:rsid w:val="00F73646"/>
    <w:rsid w:val="00F761CC"/>
    <w:rsid w:val="00F80698"/>
    <w:rsid w:val="00F8146D"/>
    <w:rsid w:val="00F818A2"/>
    <w:rsid w:val="00F826B4"/>
    <w:rsid w:val="00F82814"/>
    <w:rsid w:val="00F8681A"/>
    <w:rsid w:val="00F86C48"/>
    <w:rsid w:val="00F87AA6"/>
    <w:rsid w:val="00F9007F"/>
    <w:rsid w:val="00F90DE3"/>
    <w:rsid w:val="00F921A4"/>
    <w:rsid w:val="00F93168"/>
    <w:rsid w:val="00F942AC"/>
    <w:rsid w:val="00FA15F5"/>
    <w:rsid w:val="00FA2C2B"/>
    <w:rsid w:val="00FA55DC"/>
    <w:rsid w:val="00FA595B"/>
    <w:rsid w:val="00FA6B6F"/>
    <w:rsid w:val="00FA77A5"/>
    <w:rsid w:val="00FB0D12"/>
    <w:rsid w:val="00FB1375"/>
    <w:rsid w:val="00FB5110"/>
    <w:rsid w:val="00FB585F"/>
    <w:rsid w:val="00FC2976"/>
    <w:rsid w:val="00FD0322"/>
    <w:rsid w:val="00FD0FDB"/>
    <w:rsid w:val="00FD15A2"/>
    <w:rsid w:val="00FD4B72"/>
    <w:rsid w:val="00FD5E1F"/>
    <w:rsid w:val="00FD7EA7"/>
    <w:rsid w:val="00FE1DFC"/>
    <w:rsid w:val="00FE207E"/>
    <w:rsid w:val="00FE375F"/>
    <w:rsid w:val="00FE39C2"/>
    <w:rsid w:val="00FE6C53"/>
    <w:rsid w:val="00FF57FF"/>
    <w:rsid w:val="00FF5DBC"/>
    <w:rsid w:val="00FF6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10"/>
    <w:pPr>
      <w:spacing w:after="240" w:line="260" w:lineRule="exact"/>
      <w:jc w:val="both"/>
    </w:pPr>
    <w:rPr>
      <w:rFonts w:ascii="Times New Roman" w:eastAsia="Times New Roman" w:hAnsi="Times New Roman" w:cs="Times New Roman"/>
      <w:bCs/>
      <w:szCs w:val="20"/>
      <w:lang w:eastAsia="en-AU"/>
    </w:rPr>
  </w:style>
  <w:style w:type="paragraph" w:styleId="Heading1">
    <w:name w:val="heading 1"/>
    <w:basedOn w:val="HeadingBase"/>
    <w:next w:val="Normal"/>
    <w:link w:val="Heading1Char"/>
    <w:qFormat/>
    <w:rsid w:val="00836710"/>
    <w:pPr>
      <w:spacing w:after="360"/>
      <w:outlineLvl w:val="0"/>
    </w:pPr>
    <w:rPr>
      <w:b/>
      <w:bCs/>
      <w:kern w:val="32"/>
      <w:sz w:val="24"/>
      <w:szCs w:val="24"/>
    </w:rPr>
  </w:style>
  <w:style w:type="paragraph" w:styleId="Heading2">
    <w:name w:val="heading 2"/>
    <w:basedOn w:val="HeadingBase"/>
    <w:next w:val="Normal"/>
    <w:link w:val="Heading2Char"/>
    <w:qFormat/>
    <w:rsid w:val="00836710"/>
    <w:pPr>
      <w:spacing w:after="240"/>
      <w:outlineLvl w:val="1"/>
    </w:pPr>
    <w:rPr>
      <w:b/>
      <w:bCs/>
      <w:iCs/>
      <w:sz w:val="24"/>
      <w:szCs w:val="24"/>
    </w:rPr>
  </w:style>
  <w:style w:type="paragraph" w:styleId="Heading3">
    <w:name w:val="heading 3"/>
    <w:basedOn w:val="HeadingBase"/>
    <w:next w:val="Normal"/>
    <w:link w:val="Heading3Char"/>
    <w:qFormat/>
    <w:rsid w:val="00836710"/>
    <w:pPr>
      <w:spacing w:after="240"/>
      <w:outlineLvl w:val="2"/>
    </w:pPr>
    <w:rPr>
      <w:b/>
      <w:bCs/>
      <w:sz w:val="22"/>
      <w:szCs w:val="22"/>
    </w:rPr>
  </w:style>
  <w:style w:type="paragraph" w:styleId="Heading4">
    <w:name w:val="heading 4"/>
    <w:basedOn w:val="HeadingBase"/>
    <w:next w:val="Normal"/>
    <w:link w:val="Heading4Char"/>
    <w:qFormat/>
    <w:rsid w:val="00836710"/>
    <w:pPr>
      <w:spacing w:after="120"/>
      <w:outlineLvl w:val="3"/>
    </w:pPr>
    <w:rPr>
      <w:bCs/>
      <w:sz w:val="22"/>
      <w:szCs w:val="22"/>
    </w:rPr>
  </w:style>
  <w:style w:type="paragraph" w:styleId="Heading5">
    <w:name w:val="heading 5"/>
    <w:basedOn w:val="HeadingBase"/>
    <w:next w:val="Normal"/>
    <w:link w:val="Heading5Char"/>
    <w:qFormat/>
    <w:rsid w:val="00836710"/>
    <w:pPr>
      <w:spacing w:after="120"/>
      <w:outlineLvl w:val="4"/>
    </w:pPr>
    <w:rPr>
      <w:b/>
      <w:bCs/>
      <w:iCs/>
    </w:rPr>
  </w:style>
  <w:style w:type="paragraph" w:styleId="Heading6">
    <w:name w:val="heading 6"/>
    <w:basedOn w:val="HeadingBase"/>
    <w:next w:val="Normal"/>
    <w:link w:val="Heading6Char"/>
    <w:qFormat/>
    <w:rsid w:val="00836710"/>
    <w:pPr>
      <w:spacing w:after="120"/>
      <w:outlineLvl w:val="5"/>
    </w:pPr>
    <w:rPr>
      <w:bCs/>
      <w:szCs w:val="22"/>
    </w:rPr>
  </w:style>
  <w:style w:type="paragraph" w:styleId="Heading7">
    <w:name w:val="heading 7"/>
    <w:basedOn w:val="HeadingBase"/>
    <w:next w:val="Normal"/>
    <w:link w:val="Heading7Char"/>
    <w:qFormat/>
    <w:rsid w:val="00836710"/>
    <w:pPr>
      <w:spacing w:after="120"/>
      <w:outlineLvl w:val="6"/>
    </w:pPr>
    <w:rPr>
      <w:szCs w:val="24"/>
    </w:rPr>
  </w:style>
  <w:style w:type="paragraph" w:styleId="Heading8">
    <w:name w:val="heading 8"/>
    <w:basedOn w:val="HeadingBase"/>
    <w:next w:val="Normal"/>
    <w:link w:val="Heading8Char"/>
    <w:qFormat/>
    <w:rsid w:val="00836710"/>
    <w:pPr>
      <w:spacing w:after="120"/>
      <w:outlineLvl w:val="7"/>
    </w:pPr>
    <w:rPr>
      <w:iCs/>
      <w:szCs w:val="24"/>
    </w:rPr>
  </w:style>
  <w:style w:type="paragraph" w:styleId="Heading9">
    <w:name w:val="heading 9"/>
    <w:basedOn w:val="HeadingBase"/>
    <w:next w:val="Normal"/>
    <w:link w:val="Heading9Char"/>
    <w:qFormat/>
    <w:rsid w:val="00836710"/>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836710"/>
    <w:pPr>
      <w:numPr>
        <w:numId w:val="21"/>
      </w:numPr>
      <w:tabs>
        <w:tab w:val="clear" w:pos="283"/>
        <w:tab w:val="num" w:pos="567"/>
      </w:tabs>
      <w:ind w:left="567" w:hanging="567"/>
    </w:pPr>
  </w:style>
  <w:style w:type="character" w:customStyle="1" w:styleId="BulletChar">
    <w:name w:val="Bullet Char"/>
    <w:basedOn w:val="DefaultParagraphFont"/>
    <w:link w:val="Bullet"/>
    <w:rsid w:val="00E81DA9"/>
    <w:rPr>
      <w:rFonts w:ascii="Times New Roman" w:eastAsia="Times New Roman" w:hAnsi="Times New Roman" w:cs="Times New Roman"/>
      <w:bCs/>
      <w:szCs w:val="20"/>
      <w:lang w:eastAsia="en-AU"/>
    </w:rPr>
  </w:style>
  <w:style w:type="paragraph" w:customStyle="1" w:styleId="Dash">
    <w:name w:val="Dash"/>
    <w:basedOn w:val="Normal"/>
    <w:link w:val="DashChar"/>
    <w:rsid w:val="00836710"/>
    <w:pPr>
      <w:numPr>
        <w:ilvl w:val="1"/>
        <w:numId w:val="21"/>
      </w:numPr>
    </w:pPr>
  </w:style>
  <w:style w:type="character" w:customStyle="1" w:styleId="DashChar">
    <w:name w:val="Dash Char"/>
    <w:basedOn w:val="DefaultParagraphFont"/>
    <w:link w:val="Dash"/>
    <w:rsid w:val="00E81DA9"/>
    <w:rPr>
      <w:rFonts w:ascii="Times New Roman" w:eastAsia="Times New Roman" w:hAnsi="Times New Roman" w:cs="Times New Roman"/>
      <w:bCs/>
      <w:szCs w:val="20"/>
      <w:lang w:eastAsia="en-AU"/>
    </w:rPr>
  </w:style>
  <w:style w:type="paragraph" w:customStyle="1" w:styleId="DoubleDot">
    <w:name w:val="Double Dot"/>
    <w:basedOn w:val="Normal"/>
    <w:rsid w:val="00836710"/>
    <w:pPr>
      <w:numPr>
        <w:ilvl w:val="2"/>
        <w:numId w:val="21"/>
      </w:numPr>
    </w:pPr>
  </w:style>
  <w:style w:type="paragraph" w:styleId="BalloonText">
    <w:name w:val="Balloon Text"/>
    <w:basedOn w:val="Normal"/>
    <w:link w:val="BalloonTextChar"/>
    <w:semiHidden/>
    <w:rsid w:val="00836710"/>
    <w:rPr>
      <w:rFonts w:ascii="Tahoma" w:hAnsi="Tahoma" w:cs="Tahoma"/>
      <w:sz w:val="16"/>
      <w:szCs w:val="16"/>
    </w:rPr>
  </w:style>
  <w:style w:type="character" w:customStyle="1" w:styleId="BalloonTextChar">
    <w:name w:val="Balloon Text Char"/>
    <w:basedOn w:val="DefaultParagraphFont"/>
    <w:link w:val="BalloonText"/>
    <w:semiHidden/>
    <w:rsid w:val="00836710"/>
    <w:rPr>
      <w:rFonts w:ascii="Tahoma" w:eastAsia="Times New Roman" w:hAnsi="Tahoma" w:cs="Tahoma"/>
      <w:bCs/>
      <w:sz w:val="16"/>
      <w:szCs w:val="16"/>
      <w:lang w:eastAsia="en-AU"/>
    </w:rPr>
  </w:style>
  <w:style w:type="character" w:customStyle="1" w:styleId="Heading3Char">
    <w:name w:val="Heading 3 Char"/>
    <w:basedOn w:val="DefaultParagraphFont"/>
    <w:link w:val="Heading3"/>
    <w:rsid w:val="00836710"/>
    <w:rPr>
      <w:rFonts w:ascii="Times New Roman" w:eastAsia="Times New Roman" w:hAnsi="Times New Roman" w:cs="Times New Roman"/>
      <w:b/>
      <w:bCs/>
      <w:color w:val="0000FF"/>
      <w:lang w:eastAsia="en-AU"/>
    </w:rPr>
  </w:style>
  <w:style w:type="paragraph" w:styleId="FootnoteText">
    <w:name w:val="footnote text"/>
    <w:basedOn w:val="Normal"/>
    <w:link w:val="FootnoteTextChar"/>
    <w:rsid w:val="00836710"/>
    <w:pPr>
      <w:spacing w:after="0" w:line="240" w:lineRule="auto"/>
    </w:pPr>
    <w:rPr>
      <w:rFonts w:ascii="Calibri" w:hAnsi="Calibri"/>
      <w:color w:val="000000" w:themeColor="text1"/>
      <w:sz w:val="18"/>
      <w:szCs w:val="18"/>
    </w:rPr>
  </w:style>
  <w:style w:type="character" w:customStyle="1" w:styleId="FootnoteTextChar">
    <w:name w:val="Footnote Text Char"/>
    <w:basedOn w:val="DefaultParagraphFont"/>
    <w:link w:val="FootnoteText"/>
    <w:rsid w:val="00836710"/>
    <w:rPr>
      <w:rFonts w:ascii="Calibri" w:eastAsia="Times New Roman" w:hAnsi="Calibri" w:cs="Times New Roman"/>
      <w:bCs/>
      <w:color w:val="000000" w:themeColor="text1"/>
      <w:sz w:val="18"/>
      <w:szCs w:val="18"/>
      <w:lang w:eastAsia="en-AU"/>
    </w:rPr>
  </w:style>
  <w:style w:type="character" w:styleId="FootnoteReference">
    <w:name w:val="footnote reference"/>
    <w:basedOn w:val="DefaultParagraphFont"/>
    <w:rsid w:val="00836710"/>
    <w:rPr>
      <w:vertAlign w:val="superscript"/>
    </w:rPr>
  </w:style>
  <w:style w:type="paragraph" w:styleId="NormalWeb">
    <w:name w:val="Normal (Web)"/>
    <w:basedOn w:val="Normal"/>
    <w:rsid w:val="00836710"/>
    <w:pPr>
      <w:spacing w:line="312" w:lineRule="atLeast"/>
    </w:pPr>
    <w:rPr>
      <w:sz w:val="24"/>
      <w:szCs w:val="24"/>
    </w:rPr>
  </w:style>
  <w:style w:type="character" w:styleId="Hyperlink">
    <w:name w:val="Hyperlink"/>
    <w:basedOn w:val="DefaultParagraphFont"/>
    <w:rsid w:val="00836710"/>
    <w:rPr>
      <w:color w:val="auto"/>
      <w:u w:val="none"/>
    </w:rPr>
  </w:style>
  <w:style w:type="paragraph" w:styleId="Header">
    <w:name w:val="header"/>
    <w:basedOn w:val="HeadingBase"/>
    <w:link w:val="HeaderChar"/>
    <w:rsid w:val="00836710"/>
    <w:pPr>
      <w:jc w:val="right"/>
    </w:pPr>
    <w:rPr>
      <w:color w:val="000000" w:themeColor="text1"/>
      <w:sz w:val="18"/>
    </w:rPr>
  </w:style>
  <w:style w:type="character" w:customStyle="1" w:styleId="HeaderChar">
    <w:name w:val="Header Char"/>
    <w:basedOn w:val="DefaultParagraphFont"/>
    <w:link w:val="Header"/>
    <w:rsid w:val="00836710"/>
    <w:rPr>
      <w:rFonts w:ascii="Times New Roman" w:eastAsia="Times New Roman" w:hAnsi="Times New Roman" w:cs="Times New Roman"/>
      <w:color w:val="000000" w:themeColor="text1"/>
      <w:sz w:val="18"/>
      <w:szCs w:val="20"/>
      <w:lang w:eastAsia="en-AU"/>
    </w:rPr>
  </w:style>
  <w:style w:type="paragraph" w:styleId="Footer">
    <w:name w:val="footer"/>
    <w:basedOn w:val="HeadingBase"/>
    <w:link w:val="FooterChar"/>
    <w:uiPriority w:val="99"/>
    <w:rsid w:val="00836710"/>
    <w:rPr>
      <w:color w:val="auto"/>
      <w:sz w:val="18"/>
    </w:rPr>
  </w:style>
  <w:style w:type="character" w:customStyle="1" w:styleId="FooterChar">
    <w:name w:val="Footer Char"/>
    <w:basedOn w:val="DefaultParagraphFont"/>
    <w:link w:val="Footer"/>
    <w:uiPriority w:val="99"/>
    <w:rsid w:val="00836710"/>
    <w:rPr>
      <w:rFonts w:ascii="Times New Roman" w:eastAsia="Times New Roman" w:hAnsi="Times New Roman" w:cs="Times New Roman"/>
      <w:sz w:val="18"/>
      <w:szCs w:val="20"/>
      <w:lang w:eastAsia="en-AU"/>
    </w:rPr>
  </w:style>
  <w:style w:type="character" w:styleId="FollowedHyperlink">
    <w:name w:val="FollowedHyperlink"/>
    <w:basedOn w:val="DefaultParagraphFont"/>
    <w:rsid w:val="00836710"/>
    <w:rPr>
      <w:color w:val="auto"/>
      <w:u w:val="none"/>
    </w:rPr>
  </w:style>
  <w:style w:type="character" w:customStyle="1" w:styleId="Heading4Char">
    <w:name w:val="Heading 4 Char"/>
    <w:basedOn w:val="DefaultParagraphFont"/>
    <w:link w:val="Heading4"/>
    <w:rsid w:val="00836710"/>
    <w:rPr>
      <w:rFonts w:ascii="Times New Roman" w:eastAsia="Times New Roman" w:hAnsi="Times New Roman" w:cs="Times New Roman"/>
      <w:bCs/>
      <w:color w:val="0000FF"/>
      <w:lang w:eastAsia="en-AU"/>
    </w:rPr>
  </w:style>
  <w:style w:type="paragraph" w:customStyle="1" w:styleId="SecurityClassificationHeader">
    <w:name w:val="Security Classification Header"/>
    <w:link w:val="SecurityClassificationHeaderChar"/>
    <w:rsid w:val="00273C5E"/>
    <w:pPr>
      <w:spacing w:after="240"/>
      <w:jc w:val="center"/>
    </w:pPr>
    <w:rPr>
      <w:rFonts w:ascii="Times New Roman" w:hAnsi="Times New Roman" w:cs="Times New Roman"/>
      <w:b/>
      <w:caps/>
      <w:sz w:val="24"/>
    </w:rPr>
  </w:style>
  <w:style w:type="character" w:customStyle="1" w:styleId="SecurityClassificationHeaderChar">
    <w:name w:val="Security Classification Header Char"/>
    <w:basedOn w:val="HeaderChar"/>
    <w:link w:val="SecurityClassificationHeader"/>
    <w:rsid w:val="00273C5E"/>
    <w:rPr>
      <w:rFonts w:ascii="Times New Roman" w:eastAsia="Times New Roman" w:hAnsi="Times New Roman" w:cs="Times New Roman"/>
      <w:b/>
      <w:caps/>
      <w:color w:val="000000" w:themeColor="text1"/>
      <w:sz w:val="24"/>
      <w:szCs w:val="20"/>
      <w:lang w:eastAsia="en-AU"/>
    </w:rPr>
  </w:style>
  <w:style w:type="paragraph" w:customStyle="1" w:styleId="SecurityClassificationFooter">
    <w:name w:val="Security Classification Footer"/>
    <w:link w:val="SecurityClassificationFooterChar"/>
    <w:rsid w:val="00273C5E"/>
    <w:pPr>
      <w:spacing w:before="240"/>
      <w:jc w:val="center"/>
    </w:pPr>
    <w:rPr>
      <w:rFonts w:ascii="Times New Roman" w:hAnsi="Times New Roman" w:cs="Times New Roman"/>
      <w:b/>
      <w:caps/>
      <w:sz w:val="24"/>
    </w:rPr>
  </w:style>
  <w:style w:type="character" w:customStyle="1" w:styleId="SecurityClassificationFooterChar">
    <w:name w:val="Security Classification Footer Char"/>
    <w:basedOn w:val="HeaderChar"/>
    <w:link w:val="SecurityClassificationFooter"/>
    <w:rsid w:val="00273C5E"/>
    <w:rPr>
      <w:rFonts w:ascii="Times New Roman" w:eastAsia="Times New Roman" w:hAnsi="Times New Roman" w:cs="Times New Roman"/>
      <w:b/>
      <w:caps/>
      <w:color w:val="000000" w:themeColor="text1"/>
      <w:sz w:val="24"/>
      <w:szCs w:val="20"/>
      <w:lang w:eastAsia="en-AU"/>
    </w:rPr>
  </w:style>
  <w:style w:type="paragraph" w:styleId="Revision">
    <w:name w:val="Revision"/>
    <w:hidden/>
    <w:uiPriority w:val="99"/>
    <w:semiHidden/>
    <w:rsid w:val="00B83B2B"/>
    <w:pPr>
      <w:spacing w:after="0" w:line="240" w:lineRule="auto"/>
    </w:pPr>
  </w:style>
  <w:style w:type="paragraph" w:customStyle="1" w:styleId="OutlineNumbered1">
    <w:name w:val="Outline Numbered 1"/>
    <w:basedOn w:val="Normal"/>
    <w:link w:val="OutlineNumbered1Char"/>
    <w:rsid w:val="00836710"/>
    <w:pPr>
      <w:numPr>
        <w:numId w:val="31"/>
      </w:numPr>
    </w:pPr>
  </w:style>
  <w:style w:type="character" w:customStyle="1" w:styleId="OutlineNumbered1Char">
    <w:name w:val="Outline Numbered 1 Char"/>
    <w:basedOn w:val="Heading3Char"/>
    <w:link w:val="OutlineNumbered1"/>
    <w:rsid w:val="00D547B2"/>
    <w:rPr>
      <w:rFonts w:ascii="Times New Roman" w:eastAsia="Times New Roman" w:hAnsi="Times New Roman" w:cs="Times New Roman"/>
      <w:b w:val="0"/>
      <w:bCs/>
      <w:color w:val="0000FF"/>
      <w:szCs w:val="20"/>
      <w:lang w:eastAsia="en-AU"/>
    </w:rPr>
  </w:style>
  <w:style w:type="paragraph" w:customStyle="1" w:styleId="OutlineNumbered2">
    <w:name w:val="Outline Numbered 2"/>
    <w:basedOn w:val="Normal"/>
    <w:link w:val="OutlineNumbered2Char"/>
    <w:rsid w:val="00836710"/>
    <w:pPr>
      <w:numPr>
        <w:ilvl w:val="1"/>
        <w:numId w:val="31"/>
      </w:numPr>
    </w:pPr>
  </w:style>
  <w:style w:type="character" w:customStyle="1" w:styleId="OutlineNumbered2Char">
    <w:name w:val="Outline Numbered 2 Char"/>
    <w:basedOn w:val="Heading3Char"/>
    <w:link w:val="OutlineNumbered2"/>
    <w:rsid w:val="00D547B2"/>
    <w:rPr>
      <w:rFonts w:ascii="Times New Roman" w:eastAsia="Times New Roman" w:hAnsi="Times New Roman" w:cs="Times New Roman"/>
      <w:b w:val="0"/>
      <w:bCs/>
      <w:color w:val="0000FF"/>
      <w:szCs w:val="20"/>
      <w:lang w:eastAsia="en-AU"/>
    </w:rPr>
  </w:style>
  <w:style w:type="paragraph" w:customStyle="1" w:styleId="OutlineNumbered3">
    <w:name w:val="Outline Numbered 3"/>
    <w:basedOn w:val="Normal"/>
    <w:link w:val="OutlineNumbered3Char"/>
    <w:rsid w:val="00836710"/>
    <w:pPr>
      <w:numPr>
        <w:ilvl w:val="2"/>
        <w:numId w:val="31"/>
      </w:numPr>
    </w:pPr>
  </w:style>
  <w:style w:type="character" w:customStyle="1" w:styleId="OutlineNumbered3Char">
    <w:name w:val="Outline Numbered 3 Char"/>
    <w:basedOn w:val="Heading3Char"/>
    <w:link w:val="OutlineNumbered3"/>
    <w:rsid w:val="00D547B2"/>
    <w:rPr>
      <w:rFonts w:ascii="Times New Roman" w:eastAsia="Times New Roman" w:hAnsi="Times New Roman" w:cs="Times New Roman"/>
      <w:b w:val="0"/>
      <w:bCs/>
      <w:color w:val="0000FF"/>
      <w:szCs w:val="20"/>
      <w:lang w:eastAsia="en-AU"/>
    </w:rPr>
  </w:style>
  <w:style w:type="paragraph" w:styleId="EndnoteText">
    <w:name w:val="endnote text"/>
    <w:basedOn w:val="Normal"/>
    <w:link w:val="EndnoteTextChar"/>
    <w:rsid w:val="00836710"/>
  </w:style>
  <w:style w:type="character" w:customStyle="1" w:styleId="EndnoteTextChar">
    <w:name w:val="Endnote Text Char"/>
    <w:basedOn w:val="DefaultParagraphFont"/>
    <w:link w:val="EndnoteText"/>
    <w:rsid w:val="00836710"/>
    <w:rPr>
      <w:rFonts w:ascii="Times New Roman" w:eastAsia="Times New Roman" w:hAnsi="Times New Roman" w:cs="Times New Roman"/>
      <w:bCs/>
      <w:szCs w:val="20"/>
      <w:lang w:eastAsia="en-AU"/>
    </w:rPr>
  </w:style>
  <w:style w:type="character" w:styleId="EndnoteReference">
    <w:name w:val="endnote reference"/>
    <w:basedOn w:val="DefaultParagraphFont"/>
    <w:semiHidden/>
    <w:rsid w:val="00836710"/>
    <w:rPr>
      <w:vertAlign w:val="superscript"/>
    </w:rPr>
  </w:style>
  <w:style w:type="character" w:styleId="CommentReference">
    <w:name w:val="annotation reference"/>
    <w:basedOn w:val="DefaultParagraphFont"/>
    <w:semiHidden/>
    <w:rsid w:val="00836710"/>
    <w:rPr>
      <w:sz w:val="16"/>
      <w:szCs w:val="16"/>
    </w:rPr>
  </w:style>
  <w:style w:type="paragraph" w:styleId="CommentText">
    <w:name w:val="annotation text"/>
    <w:basedOn w:val="Normal"/>
    <w:link w:val="CommentTextChar"/>
    <w:semiHidden/>
    <w:rsid w:val="00836710"/>
  </w:style>
  <w:style w:type="character" w:customStyle="1" w:styleId="CommentTextChar">
    <w:name w:val="Comment Text Char"/>
    <w:basedOn w:val="DefaultParagraphFont"/>
    <w:link w:val="CommentText"/>
    <w:semiHidden/>
    <w:rsid w:val="00836710"/>
    <w:rPr>
      <w:rFonts w:ascii="Times New Roman" w:eastAsia="Times New Roman" w:hAnsi="Times New Roman" w:cs="Times New Roman"/>
      <w:bCs/>
      <w:szCs w:val="20"/>
      <w:lang w:eastAsia="en-AU"/>
    </w:rPr>
  </w:style>
  <w:style w:type="paragraph" w:styleId="CommentSubject">
    <w:name w:val="annotation subject"/>
    <w:basedOn w:val="CommentText"/>
    <w:next w:val="CommentText"/>
    <w:link w:val="CommentSubjectChar"/>
    <w:semiHidden/>
    <w:rsid w:val="00836710"/>
    <w:rPr>
      <w:b/>
      <w:bCs w:val="0"/>
    </w:rPr>
  </w:style>
  <w:style w:type="character" w:customStyle="1" w:styleId="CommentSubjectChar">
    <w:name w:val="Comment Subject Char"/>
    <w:basedOn w:val="CommentTextChar"/>
    <w:link w:val="CommentSubject"/>
    <w:semiHidden/>
    <w:rsid w:val="00836710"/>
    <w:rPr>
      <w:rFonts w:ascii="Times New Roman" w:eastAsia="Times New Roman" w:hAnsi="Times New Roman" w:cs="Times New Roman"/>
      <w:b/>
      <w:bCs w:val="0"/>
      <w:szCs w:val="20"/>
      <w:lang w:eastAsia="en-AU"/>
    </w:rPr>
  </w:style>
  <w:style w:type="character" w:customStyle="1" w:styleId="Heading5Char">
    <w:name w:val="Heading 5 Char"/>
    <w:basedOn w:val="DefaultParagraphFont"/>
    <w:link w:val="Heading5"/>
    <w:rsid w:val="00836710"/>
    <w:rPr>
      <w:rFonts w:ascii="Times New Roman" w:eastAsia="Times New Roman" w:hAnsi="Times New Roman" w:cs="Times New Roman"/>
      <w:b/>
      <w:bCs/>
      <w:iCs/>
      <w:color w:val="0000FF"/>
      <w:sz w:val="20"/>
      <w:szCs w:val="20"/>
      <w:lang w:eastAsia="en-AU"/>
    </w:rPr>
  </w:style>
  <w:style w:type="character" w:customStyle="1" w:styleId="Heading6Char">
    <w:name w:val="Heading 6 Char"/>
    <w:basedOn w:val="DefaultParagraphFont"/>
    <w:link w:val="Heading6"/>
    <w:rsid w:val="00836710"/>
    <w:rPr>
      <w:rFonts w:ascii="Times New Roman" w:eastAsia="Times New Roman" w:hAnsi="Times New Roman" w:cs="Times New Roman"/>
      <w:bCs/>
      <w:color w:val="0000FF"/>
      <w:sz w:val="20"/>
      <w:lang w:eastAsia="en-AU"/>
    </w:rPr>
  </w:style>
  <w:style w:type="paragraph" w:styleId="ListParagraph">
    <w:name w:val="List Paragraph"/>
    <w:basedOn w:val="Normal"/>
    <w:uiPriority w:val="34"/>
    <w:qFormat/>
    <w:rsid w:val="00836710"/>
    <w:pPr>
      <w:spacing w:after="0" w:line="240" w:lineRule="auto"/>
      <w:ind w:left="720"/>
    </w:pPr>
    <w:rPr>
      <w:rFonts w:ascii="Calibri" w:eastAsiaTheme="minorHAnsi" w:hAnsi="Calibri" w:cs="Calibri"/>
      <w:szCs w:val="22"/>
      <w:lang w:eastAsia="en-US"/>
    </w:rPr>
  </w:style>
  <w:style w:type="character" w:styleId="Strong">
    <w:name w:val="Strong"/>
    <w:basedOn w:val="DefaultParagraphFont"/>
    <w:uiPriority w:val="22"/>
    <w:qFormat/>
    <w:rsid w:val="004C4ABA"/>
    <w:rPr>
      <w:b/>
      <w:bCs/>
    </w:rPr>
  </w:style>
  <w:style w:type="character" w:customStyle="1" w:styleId="Heading2Char">
    <w:name w:val="Heading 2 Char"/>
    <w:basedOn w:val="DefaultParagraphFont"/>
    <w:link w:val="Heading2"/>
    <w:rsid w:val="00836710"/>
    <w:rPr>
      <w:rFonts w:ascii="Times New Roman" w:eastAsia="Times New Roman" w:hAnsi="Times New Roman" w:cs="Times New Roman"/>
      <w:b/>
      <w:bCs/>
      <w:iCs/>
      <w:color w:val="0000FF"/>
      <w:sz w:val="24"/>
      <w:szCs w:val="24"/>
      <w:lang w:eastAsia="en-AU"/>
    </w:rPr>
  </w:style>
  <w:style w:type="character" w:customStyle="1" w:styleId="Heading1Char">
    <w:name w:val="Heading 1 Char"/>
    <w:basedOn w:val="DefaultParagraphFont"/>
    <w:link w:val="Heading1"/>
    <w:rsid w:val="00836710"/>
    <w:rPr>
      <w:rFonts w:ascii="Times New Roman" w:eastAsia="Times New Roman" w:hAnsi="Times New Roman" w:cs="Times New Roman"/>
      <w:b/>
      <w:bCs/>
      <w:color w:val="0000FF"/>
      <w:kern w:val="32"/>
      <w:sz w:val="24"/>
      <w:szCs w:val="24"/>
      <w:lang w:eastAsia="en-AU"/>
    </w:rPr>
  </w:style>
  <w:style w:type="character" w:customStyle="1" w:styleId="Heading7Char">
    <w:name w:val="Heading 7 Char"/>
    <w:basedOn w:val="DefaultParagraphFont"/>
    <w:link w:val="Heading7"/>
    <w:rsid w:val="00836710"/>
    <w:rPr>
      <w:rFonts w:ascii="Times New Roman" w:eastAsia="Times New Roman" w:hAnsi="Times New Roman" w:cs="Times New Roman"/>
      <w:color w:val="0000FF"/>
      <w:sz w:val="20"/>
      <w:szCs w:val="24"/>
      <w:lang w:eastAsia="en-AU"/>
    </w:rPr>
  </w:style>
  <w:style w:type="character" w:customStyle="1" w:styleId="Heading8Char">
    <w:name w:val="Heading 8 Char"/>
    <w:basedOn w:val="DefaultParagraphFont"/>
    <w:link w:val="Heading8"/>
    <w:rsid w:val="00836710"/>
    <w:rPr>
      <w:rFonts w:ascii="Times New Roman" w:eastAsia="Times New Roman" w:hAnsi="Times New Roman" w:cs="Times New Roman"/>
      <w:iCs/>
      <w:color w:val="0000FF"/>
      <w:sz w:val="20"/>
      <w:szCs w:val="24"/>
      <w:lang w:eastAsia="en-AU"/>
    </w:rPr>
  </w:style>
  <w:style w:type="character" w:customStyle="1" w:styleId="Heading9Char">
    <w:name w:val="Heading 9 Char"/>
    <w:basedOn w:val="DefaultParagraphFont"/>
    <w:link w:val="Heading9"/>
    <w:rsid w:val="00836710"/>
    <w:rPr>
      <w:rFonts w:ascii="Times New Roman" w:eastAsia="Times New Roman" w:hAnsi="Times New Roman" w:cs="Arial"/>
      <w:color w:val="0000FF"/>
      <w:sz w:val="20"/>
      <w:lang w:eastAsia="en-AU"/>
    </w:rPr>
  </w:style>
  <w:style w:type="paragraph" w:customStyle="1" w:styleId="HeadingBase">
    <w:name w:val="Heading Base"/>
    <w:next w:val="Normal"/>
    <w:rsid w:val="00836710"/>
    <w:pPr>
      <w:keepNext/>
      <w:spacing w:after="0" w:line="240" w:lineRule="auto"/>
    </w:pPr>
    <w:rPr>
      <w:rFonts w:ascii="Times New Roman" w:eastAsia="Times New Roman" w:hAnsi="Times New Roman" w:cs="Times New Roman"/>
      <w:color w:val="0000FF"/>
      <w:sz w:val="20"/>
      <w:szCs w:val="20"/>
      <w:lang w:eastAsia="en-AU"/>
    </w:rPr>
  </w:style>
  <w:style w:type="paragraph" w:customStyle="1" w:styleId="ChartGraphic">
    <w:name w:val="Chart Graphic"/>
    <w:basedOn w:val="HeadingBase"/>
    <w:next w:val="Normal"/>
    <w:rsid w:val="00836710"/>
    <w:pPr>
      <w:jc w:val="center"/>
    </w:pPr>
  </w:style>
  <w:style w:type="paragraph" w:customStyle="1" w:styleId="TableGraphic">
    <w:name w:val="Table Graphic"/>
    <w:basedOn w:val="HeadingBase"/>
    <w:next w:val="Normal"/>
    <w:rsid w:val="00836710"/>
  </w:style>
  <w:style w:type="paragraph" w:customStyle="1" w:styleId="BoxTextBase">
    <w:name w:val="Box Text Base"/>
    <w:basedOn w:val="Normal"/>
    <w:rsid w:val="00836710"/>
  </w:style>
  <w:style w:type="paragraph" w:customStyle="1" w:styleId="BoxBullet">
    <w:name w:val="Box Bullet"/>
    <w:basedOn w:val="BoxTextBase"/>
    <w:rsid w:val="00836710"/>
    <w:pPr>
      <w:numPr>
        <w:numId w:val="22"/>
      </w:numPr>
      <w:ind w:left="284" w:hanging="284"/>
    </w:pPr>
  </w:style>
  <w:style w:type="paragraph" w:customStyle="1" w:styleId="BoxDash">
    <w:name w:val="Box Dash"/>
    <w:basedOn w:val="Normal"/>
    <w:rsid w:val="00836710"/>
    <w:pPr>
      <w:numPr>
        <w:ilvl w:val="1"/>
        <w:numId w:val="22"/>
      </w:numPr>
    </w:pPr>
  </w:style>
  <w:style w:type="paragraph" w:customStyle="1" w:styleId="BoxDoubleDot">
    <w:name w:val="Box Double Dot"/>
    <w:basedOn w:val="BoxTextBase"/>
    <w:rsid w:val="00836710"/>
    <w:pPr>
      <w:numPr>
        <w:ilvl w:val="2"/>
        <w:numId w:val="22"/>
      </w:numPr>
    </w:pPr>
  </w:style>
  <w:style w:type="paragraph" w:customStyle="1" w:styleId="BoxHeading">
    <w:name w:val="Box Heading"/>
    <w:basedOn w:val="HeadingBase"/>
    <w:next w:val="Normal"/>
    <w:rsid w:val="00836710"/>
    <w:pPr>
      <w:spacing w:before="240" w:after="120"/>
    </w:pPr>
    <w:rPr>
      <w:b/>
      <w:sz w:val="22"/>
    </w:rPr>
  </w:style>
  <w:style w:type="paragraph" w:customStyle="1" w:styleId="BoxText">
    <w:name w:val="Box Text"/>
    <w:basedOn w:val="BoxTextBase"/>
    <w:rsid w:val="00836710"/>
  </w:style>
  <w:style w:type="paragraph" w:styleId="NormalIndent">
    <w:name w:val="Normal Indent"/>
    <w:basedOn w:val="Normal"/>
    <w:rsid w:val="00836710"/>
    <w:pPr>
      <w:ind w:left="567"/>
    </w:pPr>
  </w:style>
  <w:style w:type="paragraph" w:customStyle="1" w:styleId="ChartandTableFootnoteAlpha">
    <w:name w:val="Chart and Table Footnote Alpha"/>
    <w:basedOn w:val="ChartorTableNote"/>
    <w:rsid w:val="00836710"/>
  </w:style>
  <w:style w:type="paragraph" w:customStyle="1" w:styleId="ChartMainHeading">
    <w:name w:val="Chart Main Heading"/>
    <w:basedOn w:val="Normal"/>
    <w:next w:val="ChartGraphic"/>
    <w:rsid w:val="00836710"/>
    <w:pPr>
      <w:keepNext/>
      <w:jc w:val="center"/>
    </w:pPr>
    <w:rPr>
      <w:b/>
      <w:bCs w:val="0"/>
      <w:color w:val="0000FF"/>
    </w:rPr>
  </w:style>
  <w:style w:type="paragraph" w:customStyle="1" w:styleId="ChartorTableNote">
    <w:name w:val="Chart or Table Note"/>
    <w:basedOn w:val="FootnoteText"/>
    <w:next w:val="Normal"/>
    <w:rsid w:val="00836710"/>
    <w:rPr>
      <w:rFonts w:ascii="Times New Roman" w:hAnsi="Times New Roman"/>
    </w:rPr>
  </w:style>
  <w:style w:type="paragraph" w:customStyle="1" w:styleId="ChartSecondHeading">
    <w:name w:val="Chart Second Heading"/>
    <w:basedOn w:val="HeadingBase"/>
    <w:next w:val="ChartGraphic"/>
    <w:rsid w:val="00836710"/>
    <w:pPr>
      <w:spacing w:after="20"/>
      <w:jc w:val="center"/>
    </w:pPr>
  </w:style>
  <w:style w:type="paragraph" w:customStyle="1" w:styleId="Classification">
    <w:name w:val="Classification"/>
    <w:basedOn w:val="HeadingBase"/>
    <w:next w:val="Footer"/>
    <w:rsid w:val="00836710"/>
    <w:pPr>
      <w:spacing w:after="120"/>
      <w:jc w:val="center"/>
    </w:pPr>
    <w:rPr>
      <w:b/>
      <w:smallCaps/>
    </w:rPr>
  </w:style>
  <w:style w:type="paragraph" w:customStyle="1" w:styleId="ContentsHeading">
    <w:name w:val="Contents Heading"/>
    <w:basedOn w:val="HeadingBase"/>
    <w:next w:val="Normal"/>
    <w:rsid w:val="00836710"/>
    <w:pPr>
      <w:spacing w:after="360"/>
    </w:pPr>
    <w:rPr>
      <w:sz w:val="36"/>
      <w:szCs w:val="36"/>
    </w:rPr>
  </w:style>
  <w:style w:type="paragraph" w:customStyle="1" w:styleId="CoverTitleSub">
    <w:name w:val="Cover Title Sub"/>
    <w:basedOn w:val="HeadingBase"/>
    <w:rsid w:val="00836710"/>
    <w:pPr>
      <w:spacing w:after="360"/>
      <w:jc w:val="center"/>
    </w:pPr>
    <w:rPr>
      <w:sz w:val="36"/>
    </w:rPr>
  </w:style>
  <w:style w:type="paragraph" w:customStyle="1" w:styleId="Covertitlelevel3">
    <w:name w:val="Cover title level 3"/>
    <w:basedOn w:val="CoverTitleSub"/>
    <w:rsid w:val="00836710"/>
  </w:style>
  <w:style w:type="paragraph" w:customStyle="1" w:styleId="CoverTitleMain">
    <w:name w:val="Cover Title Main"/>
    <w:basedOn w:val="HeadingBase"/>
    <w:next w:val="Normal"/>
    <w:rsid w:val="00836710"/>
    <w:pPr>
      <w:spacing w:after="480"/>
      <w:jc w:val="center"/>
    </w:pPr>
    <w:rPr>
      <w:b/>
      <w:sz w:val="48"/>
    </w:rPr>
  </w:style>
  <w:style w:type="paragraph" w:customStyle="1" w:styleId="Figuregraphic">
    <w:name w:val="Figure graphic"/>
    <w:basedOn w:val="Normal"/>
    <w:rsid w:val="00836710"/>
    <w:pPr>
      <w:spacing w:line="240" w:lineRule="auto"/>
      <w:jc w:val="center"/>
    </w:pPr>
  </w:style>
  <w:style w:type="paragraph" w:customStyle="1" w:styleId="FigureHeading">
    <w:name w:val="Figure Heading"/>
    <w:basedOn w:val="HeadingBase"/>
    <w:next w:val="Figuregraphic"/>
    <w:rsid w:val="00836710"/>
    <w:pPr>
      <w:spacing w:after="20"/>
      <w:jc w:val="center"/>
    </w:pPr>
    <w:rPr>
      <w:b/>
      <w:sz w:val="22"/>
      <w:szCs w:val="22"/>
    </w:rPr>
  </w:style>
  <w:style w:type="paragraph" w:customStyle="1" w:styleId="FigureSecondHeading">
    <w:name w:val="Figure Second Heading"/>
    <w:basedOn w:val="HeadingBase"/>
    <w:next w:val="Figuregraphic"/>
    <w:rsid w:val="00836710"/>
    <w:pPr>
      <w:spacing w:after="20"/>
      <w:jc w:val="center"/>
    </w:pPr>
  </w:style>
  <w:style w:type="paragraph" w:customStyle="1" w:styleId="TableMainHeading">
    <w:name w:val="Table Main Heading"/>
    <w:basedOn w:val="Normal"/>
    <w:next w:val="TableGraphic"/>
    <w:rsid w:val="00836710"/>
    <w:rPr>
      <w:b/>
      <w:bCs w:val="0"/>
    </w:rPr>
  </w:style>
  <w:style w:type="paragraph" w:customStyle="1" w:styleId="FooterCentered">
    <w:name w:val="Footer Centered"/>
    <w:basedOn w:val="FooterOdd"/>
    <w:rsid w:val="00836710"/>
    <w:pPr>
      <w:jc w:val="center"/>
    </w:pPr>
    <w:rPr>
      <w:szCs w:val="18"/>
    </w:rPr>
  </w:style>
  <w:style w:type="paragraph" w:customStyle="1" w:styleId="FooterEven">
    <w:name w:val="Footer Even"/>
    <w:basedOn w:val="FooterCentered"/>
    <w:rsid w:val="00836710"/>
    <w:pPr>
      <w:jc w:val="left"/>
    </w:pPr>
  </w:style>
  <w:style w:type="paragraph" w:customStyle="1" w:styleId="FooterOdd">
    <w:name w:val="Footer Odd"/>
    <w:basedOn w:val="Footer"/>
    <w:rsid w:val="00836710"/>
  </w:style>
  <w:style w:type="character" w:customStyle="1" w:styleId="FramedFooter">
    <w:name w:val="Framed Footer"/>
    <w:rsid w:val="00836710"/>
    <w:rPr>
      <w:rFonts w:ascii="Calibri" w:hAnsi="Calibri"/>
      <w:sz w:val="18"/>
    </w:rPr>
  </w:style>
  <w:style w:type="character" w:customStyle="1" w:styleId="FramedHeader">
    <w:name w:val="Framed Header"/>
    <w:basedOn w:val="DefaultParagraphFont"/>
    <w:rsid w:val="00836710"/>
    <w:rPr>
      <w:rFonts w:ascii="Times New Roman" w:hAnsi="Times New Roman"/>
      <w:dstrike w:val="0"/>
      <w:color w:val="auto"/>
      <w:sz w:val="18"/>
      <w:vertAlign w:val="baseline"/>
    </w:rPr>
  </w:style>
  <w:style w:type="paragraph" w:customStyle="1" w:styleId="HeaderEven">
    <w:name w:val="Header Even"/>
    <w:basedOn w:val="Header"/>
    <w:rsid w:val="00E76DC6"/>
    <w:pPr>
      <w:tabs>
        <w:tab w:val="left" w:pos="2337"/>
      </w:tabs>
      <w:spacing w:before="120"/>
      <w:jc w:val="left"/>
    </w:pPr>
    <w:rPr>
      <w:szCs w:val="18"/>
    </w:rPr>
  </w:style>
  <w:style w:type="paragraph" w:customStyle="1" w:styleId="HeaderOdd">
    <w:name w:val="Header Odd"/>
    <w:basedOn w:val="Header"/>
    <w:rsid w:val="00E76DC6"/>
    <w:pPr>
      <w:spacing w:before="120"/>
    </w:pPr>
    <w:rPr>
      <w:szCs w:val="18"/>
    </w:rPr>
  </w:style>
  <w:style w:type="character" w:customStyle="1" w:styleId="italic">
    <w:name w:val="italic"/>
    <w:basedOn w:val="DefaultParagraphFont"/>
    <w:rsid w:val="00836710"/>
    <w:rPr>
      <w:i/>
    </w:rPr>
  </w:style>
  <w:style w:type="paragraph" w:customStyle="1" w:styleId="NormalIndentItalics">
    <w:name w:val="Normal Indent Italics"/>
    <w:basedOn w:val="NormalIndent"/>
    <w:rsid w:val="00836710"/>
    <w:rPr>
      <w:i/>
    </w:rPr>
  </w:style>
  <w:style w:type="paragraph" w:customStyle="1" w:styleId="OneLevelNumberedParagraph">
    <w:name w:val="One Level Numbered Paragraph"/>
    <w:basedOn w:val="Normal"/>
    <w:rsid w:val="00836710"/>
    <w:pPr>
      <w:numPr>
        <w:numId w:val="30"/>
      </w:numPr>
    </w:pPr>
  </w:style>
  <w:style w:type="character" w:styleId="PageNumber">
    <w:name w:val="page number"/>
    <w:basedOn w:val="DefaultParagraphFont"/>
    <w:rsid w:val="00836710"/>
  </w:style>
  <w:style w:type="paragraph" w:customStyle="1" w:styleId="Principle">
    <w:name w:val="Principle"/>
    <w:basedOn w:val="Normal"/>
    <w:rsid w:val="00836710"/>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836710"/>
    <w:rPr>
      <w:i/>
    </w:rPr>
  </w:style>
  <w:style w:type="paragraph" w:customStyle="1" w:styleId="RecommendationBullet">
    <w:name w:val="Recommendation Bullet"/>
    <w:basedOn w:val="RecommendationTextBase"/>
    <w:rsid w:val="00836710"/>
    <w:pPr>
      <w:numPr>
        <w:numId w:val="32"/>
      </w:numPr>
    </w:pPr>
  </w:style>
  <w:style w:type="paragraph" w:customStyle="1" w:styleId="RecommendationDash">
    <w:name w:val="Recommendation Dash"/>
    <w:basedOn w:val="RecommendationTextBase"/>
    <w:rsid w:val="00836710"/>
    <w:pPr>
      <w:numPr>
        <w:ilvl w:val="1"/>
        <w:numId w:val="32"/>
      </w:numPr>
    </w:pPr>
  </w:style>
  <w:style w:type="paragraph" w:customStyle="1" w:styleId="RecommendationDoubleDot">
    <w:name w:val="Recommendation Double Dot"/>
    <w:basedOn w:val="RecommendationTextBase"/>
    <w:rsid w:val="00836710"/>
    <w:pPr>
      <w:numPr>
        <w:ilvl w:val="2"/>
        <w:numId w:val="32"/>
      </w:numPr>
    </w:pPr>
  </w:style>
  <w:style w:type="paragraph" w:customStyle="1" w:styleId="RecommendationHeading">
    <w:name w:val="Recommendation Heading"/>
    <w:basedOn w:val="HeadingBase"/>
    <w:next w:val="Normal"/>
    <w:rsid w:val="00836710"/>
    <w:pPr>
      <w:spacing w:before="120" w:after="240"/>
    </w:pPr>
    <w:rPr>
      <w:b/>
      <w:sz w:val="22"/>
    </w:rPr>
  </w:style>
  <w:style w:type="paragraph" w:customStyle="1" w:styleId="RecommendationText">
    <w:name w:val="Recommendation Text"/>
    <w:basedOn w:val="RecommendationTextBase"/>
    <w:rsid w:val="00836710"/>
  </w:style>
  <w:style w:type="paragraph" w:customStyle="1" w:styleId="Romannumeral">
    <w:name w:val="Roman numeral"/>
    <w:basedOn w:val="Normal"/>
    <w:rsid w:val="00836710"/>
    <w:pPr>
      <w:numPr>
        <w:numId w:val="33"/>
      </w:numPr>
    </w:pPr>
  </w:style>
  <w:style w:type="paragraph" w:customStyle="1" w:styleId="SingleParagraph">
    <w:name w:val="Single Paragraph"/>
    <w:basedOn w:val="Normal"/>
    <w:rsid w:val="00836710"/>
    <w:pPr>
      <w:spacing w:after="0"/>
    </w:pPr>
  </w:style>
  <w:style w:type="paragraph" w:customStyle="1" w:styleId="SingleParagraphIndent">
    <w:name w:val="Single Paragraph Indent"/>
    <w:basedOn w:val="SingleParagraph"/>
    <w:rsid w:val="00836710"/>
    <w:pPr>
      <w:ind w:left="567"/>
    </w:pPr>
  </w:style>
  <w:style w:type="paragraph" w:customStyle="1" w:styleId="TableSecondHeading">
    <w:name w:val="Table Second Heading"/>
    <w:basedOn w:val="HeadingBase"/>
    <w:next w:val="TableGraphic"/>
    <w:rsid w:val="00836710"/>
    <w:pPr>
      <w:spacing w:after="20"/>
    </w:pPr>
  </w:style>
  <w:style w:type="paragraph" w:customStyle="1" w:styleId="TableTextBase">
    <w:name w:val="Table Text Base"/>
    <w:rsid w:val="00836710"/>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ColumnHeadingBase"/>
    <w:rsid w:val="00836710"/>
    <w:pPr>
      <w:jc w:val="center"/>
    </w:pPr>
  </w:style>
  <w:style w:type="paragraph" w:customStyle="1" w:styleId="TableColumnHeadingBase">
    <w:name w:val="Table Column Heading Base"/>
    <w:basedOn w:val="Normal"/>
    <w:rsid w:val="00836710"/>
    <w:pPr>
      <w:spacing w:before="40" w:after="40" w:line="240" w:lineRule="auto"/>
    </w:pPr>
    <w:rPr>
      <w:rFonts w:ascii="Arial" w:hAnsi="Arial"/>
      <w:b/>
      <w:sz w:val="16"/>
    </w:rPr>
  </w:style>
  <w:style w:type="paragraph" w:customStyle="1" w:styleId="TableColumnHeadingLeft">
    <w:name w:val="Table Column Heading Left"/>
    <w:basedOn w:val="TableColumnHeadingBase"/>
    <w:rsid w:val="00836710"/>
    <w:rPr>
      <w:rFonts w:ascii="Calibri" w:hAnsi="Calibri"/>
      <w:sz w:val="18"/>
    </w:rPr>
  </w:style>
  <w:style w:type="paragraph" w:customStyle="1" w:styleId="TableColumnHeadingRight">
    <w:name w:val="Table Column Heading Right"/>
    <w:basedOn w:val="TableColumnHeadingBase"/>
    <w:rsid w:val="00836710"/>
    <w:pPr>
      <w:jc w:val="right"/>
    </w:pPr>
  </w:style>
  <w:style w:type="table" w:styleId="TableGrid">
    <w:name w:val="Table Grid"/>
    <w:basedOn w:val="TableNormal"/>
    <w:rsid w:val="00836710"/>
    <w:pPr>
      <w:spacing w:after="240" w:line="260" w:lineRule="exact"/>
      <w:jc w:val="both"/>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clear" w:color="auto" w:fill="E6E6E6"/>
    </w:tcPr>
  </w:style>
  <w:style w:type="paragraph" w:customStyle="1" w:styleId="TableMainHeadingContd">
    <w:name w:val="Table Main Heading Contd"/>
    <w:basedOn w:val="HeadingBase"/>
    <w:next w:val="TableGraphic"/>
    <w:rsid w:val="00836710"/>
    <w:pPr>
      <w:pageBreakBefore/>
      <w:spacing w:after="20"/>
    </w:pPr>
    <w:rPr>
      <w:b/>
      <w:sz w:val="22"/>
    </w:rPr>
  </w:style>
  <w:style w:type="paragraph" w:customStyle="1" w:styleId="TableTextCentered">
    <w:name w:val="Table Text Centered"/>
    <w:basedOn w:val="TableTextBase"/>
    <w:rsid w:val="00836710"/>
    <w:pPr>
      <w:jc w:val="center"/>
    </w:pPr>
  </w:style>
  <w:style w:type="paragraph" w:customStyle="1" w:styleId="TableTextIndented">
    <w:name w:val="Table Text Indented"/>
    <w:basedOn w:val="TableTextBase"/>
    <w:rsid w:val="00836710"/>
    <w:pPr>
      <w:ind w:left="284"/>
    </w:pPr>
  </w:style>
  <w:style w:type="paragraph" w:customStyle="1" w:styleId="TableTextLeft">
    <w:name w:val="Table Text Left"/>
    <w:basedOn w:val="TableTextBase"/>
    <w:rsid w:val="00836710"/>
  </w:style>
  <w:style w:type="paragraph" w:customStyle="1" w:styleId="TableTextRight">
    <w:name w:val="Table Text Right"/>
    <w:basedOn w:val="TableTextBase"/>
    <w:rsid w:val="00836710"/>
    <w:pPr>
      <w:jc w:val="right"/>
    </w:pPr>
  </w:style>
  <w:style w:type="paragraph" w:styleId="TOC1">
    <w:name w:val="toc 1"/>
    <w:basedOn w:val="HeadingBase"/>
    <w:next w:val="Normal"/>
    <w:rsid w:val="00836710"/>
    <w:pPr>
      <w:tabs>
        <w:tab w:val="right" w:leader="dot" w:pos="9072"/>
      </w:tabs>
      <w:spacing w:before="180"/>
      <w:ind w:right="851"/>
    </w:pPr>
    <w:rPr>
      <w:b/>
      <w:sz w:val="22"/>
      <w:szCs w:val="22"/>
    </w:rPr>
  </w:style>
  <w:style w:type="paragraph" w:styleId="TOC2">
    <w:name w:val="toc 2"/>
    <w:basedOn w:val="HeadingBase"/>
    <w:next w:val="Normal"/>
    <w:rsid w:val="00836710"/>
    <w:pPr>
      <w:tabs>
        <w:tab w:val="right" w:leader="dot" w:pos="9072"/>
      </w:tabs>
      <w:spacing w:before="40" w:after="20"/>
      <w:ind w:right="851"/>
    </w:pPr>
    <w:rPr>
      <w:sz w:val="22"/>
    </w:rPr>
  </w:style>
  <w:style w:type="paragraph" w:styleId="TOC3">
    <w:name w:val="toc 3"/>
    <w:basedOn w:val="Normal"/>
    <w:next w:val="Normal"/>
    <w:rsid w:val="00836710"/>
    <w:pPr>
      <w:tabs>
        <w:tab w:val="right" w:leader="dot" w:pos="9072"/>
      </w:tabs>
      <w:spacing w:before="20" w:after="0" w:line="240" w:lineRule="auto"/>
      <w:ind w:left="284" w:right="851"/>
    </w:pPr>
  </w:style>
  <w:style w:type="paragraph" w:styleId="TOC4">
    <w:name w:val="toc 4"/>
    <w:basedOn w:val="Normal"/>
    <w:next w:val="Normal"/>
    <w:rsid w:val="00836710"/>
    <w:pPr>
      <w:tabs>
        <w:tab w:val="right" w:leader="dot" w:pos="9072"/>
      </w:tabs>
      <w:spacing w:after="0" w:line="240" w:lineRule="auto"/>
      <w:ind w:left="284" w:right="851"/>
    </w:pPr>
  </w:style>
  <w:style w:type="paragraph" w:styleId="BodyTextIndent2">
    <w:name w:val="Body Text Indent 2"/>
    <w:basedOn w:val="Normal"/>
    <w:link w:val="BodyTextIndent2Char"/>
    <w:rsid w:val="00836710"/>
    <w:pPr>
      <w:spacing w:line="480" w:lineRule="auto"/>
      <w:ind w:left="283"/>
    </w:pPr>
  </w:style>
  <w:style w:type="character" w:customStyle="1" w:styleId="BodyTextIndent2Char">
    <w:name w:val="Body Text Indent 2 Char"/>
    <w:basedOn w:val="DefaultParagraphFont"/>
    <w:link w:val="BodyTextIndent2"/>
    <w:rsid w:val="00836710"/>
    <w:rPr>
      <w:rFonts w:ascii="Times New Roman" w:eastAsia="Times New Roman" w:hAnsi="Times New Roman" w:cs="Times New Roman"/>
      <w:bCs/>
      <w:szCs w:val="20"/>
      <w:lang w:eastAsia="en-AU"/>
    </w:rPr>
  </w:style>
  <w:style w:type="paragraph" w:styleId="Caption">
    <w:name w:val="caption"/>
    <w:basedOn w:val="Normal"/>
    <w:next w:val="Normal"/>
    <w:qFormat/>
    <w:rsid w:val="00836710"/>
    <w:rPr>
      <w:b/>
      <w:bCs w:val="0"/>
    </w:rPr>
  </w:style>
  <w:style w:type="paragraph" w:styleId="DocumentMap">
    <w:name w:val="Document Map"/>
    <w:basedOn w:val="Normal"/>
    <w:link w:val="DocumentMapChar"/>
    <w:semiHidden/>
    <w:rsid w:val="00836710"/>
    <w:pPr>
      <w:shd w:val="clear" w:color="auto" w:fill="00CCFF"/>
    </w:pPr>
    <w:rPr>
      <w:rFonts w:ascii="Tahoma" w:hAnsi="Tahoma" w:cs="Tahoma"/>
    </w:rPr>
  </w:style>
  <w:style w:type="character" w:customStyle="1" w:styleId="DocumentMapChar">
    <w:name w:val="Document Map Char"/>
    <w:basedOn w:val="DefaultParagraphFont"/>
    <w:link w:val="DocumentMap"/>
    <w:semiHidden/>
    <w:rsid w:val="00836710"/>
    <w:rPr>
      <w:rFonts w:ascii="Tahoma" w:eastAsia="Times New Roman" w:hAnsi="Tahoma" w:cs="Tahoma"/>
      <w:bCs/>
      <w:szCs w:val="20"/>
      <w:shd w:val="clear" w:color="auto" w:fill="00CCFF"/>
      <w:lang w:eastAsia="en-AU"/>
    </w:rPr>
  </w:style>
  <w:style w:type="paragraph" w:styleId="Index1">
    <w:name w:val="index 1"/>
    <w:basedOn w:val="Normal"/>
    <w:next w:val="Normal"/>
    <w:autoRedefine/>
    <w:semiHidden/>
    <w:rsid w:val="00836710"/>
    <w:pPr>
      <w:ind w:left="200" w:hanging="200"/>
    </w:pPr>
  </w:style>
  <w:style w:type="paragraph" w:styleId="Index2">
    <w:name w:val="index 2"/>
    <w:basedOn w:val="Normal"/>
    <w:next w:val="Normal"/>
    <w:autoRedefine/>
    <w:semiHidden/>
    <w:rsid w:val="00836710"/>
    <w:pPr>
      <w:ind w:left="400" w:hanging="200"/>
    </w:pPr>
  </w:style>
  <w:style w:type="paragraph" w:styleId="Index3">
    <w:name w:val="index 3"/>
    <w:basedOn w:val="Normal"/>
    <w:next w:val="Normal"/>
    <w:autoRedefine/>
    <w:semiHidden/>
    <w:rsid w:val="00836710"/>
    <w:pPr>
      <w:ind w:left="600" w:hanging="200"/>
    </w:pPr>
  </w:style>
  <w:style w:type="paragraph" w:styleId="Index4">
    <w:name w:val="index 4"/>
    <w:basedOn w:val="Normal"/>
    <w:next w:val="Normal"/>
    <w:autoRedefine/>
    <w:semiHidden/>
    <w:rsid w:val="00836710"/>
    <w:pPr>
      <w:ind w:left="800" w:hanging="200"/>
    </w:pPr>
  </w:style>
  <w:style w:type="paragraph" w:styleId="Index5">
    <w:name w:val="index 5"/>
    <w:basedOn w:val="Normal"/>
    <w:next w:val="Normal"/>
    <w:autoRedefine/>
    <w:semiHidden/>
    <w:rsid w:val="00836710"/>
    <w:pPr>
      <w:ind w:left="1000" w:hanging="200"/>
    </w:pPr>
  </w:style>
  <w:style w:type="paragraph" w:styleId="Index6">
    <w:name w:val="index 6"/>
    <w:basedOn w:val="Normal"/>
    <w:next w:val="Normal"/>
    <w:autoRedefine/>
    <w:semiHidden/>
    <w:rsid w:val="00836710"/>
    <w:pPr>
      <w:ind w:left="1200" w:hanging="200"/>
    </w:pPr>
  </w:style>
  <w:style w:type="paragraph" w:styleId="Index7">
    <w:name w:val="index 7"/>
    <w:basedOn w:val="Normal"/>
    <w:next w:val="Normal"/>
    <w:autoRedefine/>
    <w:semiHidden/>
    <w:rsid w:val="00836710"/>
    <w:pPr>
      <w:ind w:left="1400" w:hanging="200"/>
    </w:pPr>
  </w:style>
  <w:style w:type="paragraph" w:styleId="Index8">
    <w:name w:val="index 8"/>
    <w:basedOn w:val="Normal"/>
    <w:next w:val="Normal"/>
    <w:autoRedefine/>
    <w:semiHidden/>
    <w:rsid w:val="00836710"/>
    <w:pPr>
      <w:ind w:left="1600" w:hanging="200"/>
    </w:pPr>
  </w:style>
  <w:style w:type="paragraph" w:styleId="Index9">
    <w:name w:val="index 9"/>
    <w:basedOn w:val="Normal"/>
    <w:next w:val="Normal"/>
    <w:autoRedefine/>
    <w:semiHidden/>
    <w:rsid w:val="00836710"/>
    <w:pPr>
      <w:ind w:left="1800" w:hanging="200"/>
    </w:pPr>
  </w:style>
  <w:style w:type="paragraph" w:styleId="IndexHeading">
    <w:name w:val="index heading"/>
    <w:basedOn w:val="Normal"/>
    <w:next w:val="Index1"/>
    <w:semiHidden/>
    <w:rsid w:val="00836710"/>
    <w:rPr>
      <w:rFonts w:ascii="Arial" w:hAnsi="Arial" w:cs="Arial"/>
      <w:b/>
      <w:bCs w:val="0"/>
    </w:rPr>
  </w:style>
  <w:style w:type="paragraph" w:styleId="MacroText">
    <w:name w:val="macro"/>
    <w:link w:val="MacroTextChar"/>
    <w:semiHidden/>
    <w:rsid w:val="0083671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836710"/>
    <w:rPr>
      <w:rFonts w:ascii="Courier New" w:eastAsia="Times New Roman" w:hAnsi="Courier New" w:cs="Courier New"/>
      <w:color w:val="000000"/>
      <w:sz w:val="20"/>
      <w:szCs w:val="20"/>
      <w:lang w:eastAsia="en-AU"/>
    </w:rPr>
  </w:style>
  <w:style w:type="numbering" w:customStyle="1" w:styleId="OutlineList">
    <w:name w:val="OutlineList"/>
    <w:uiPriority w:val="99"/>
    <w:rsid w:val="00836710"/>
    <w:pPr>
      <w:numPr>
        <w:numId w:val="27"/>
      </w:numPr>
    </w:pPr>
  </w:style>
  <w:style w:type="paragraph" w:customStyle="1" w:styleId="PictureCentred">
    <w:name w:val="Picture Centred"/>
    <w:basedOn w:val="Normal"/>
    <w:rsid w:val="00836710"/>
    <w:pPr>
      <w:spacing w:line="240" w:lineRule="atLeast"/>
      <w:jc w:val="center"/>
    </w:pPr>
  </w:style>
  <w:style w:type="paragraph" w:customStyle="1" w:styleId="PictureLeft">
    <w:name w:val="Picture Left"/>
    <w:basedOn w:val="PictureCentred"/>
    <w:rsid w:val="00836710"/>
    <w:pPr>
      <w:jc w:val="left"/>
    </w:pPr>
  </w:style>
  <w:style w:type="paragraph" w:customStyle="1" w:styleId="PictureIndent">
    <w:name w:val="Picture Indent"/>
    <w:basedOn w:val="PictureLeft"/>
    <w:rsid w:val="00836710"/>
    <w:pPr>
      <w:ind w:left="284"/>
    </w:pPr>
  </w:style>
  <w:style w:type="paragraph" w:styleId="TableofAuthorities">
    <w:name w:val="table of authorities"/>
    <w:basedOn w:val="Normal"/>
    <w:next w:val="Normal"/>
    <w:rsid w:val="00836710"/>
    <w:pPr>
      <w:ind w:left="200" w:hanging="200"/>
    </w:pPr>
  </w:style>
  <w:style w:type="paragraph" w:styleId="TableofFigures">
    <w:name w:val="table of figures"/>
    <w:basedOn w:val="Normal"/>
    <w:next w:val="Normal"/>
    <w:rsid w:val="00836710"/>
  </w:style>
  <w:style w:type="paragraph" w:styleId="TOAHeading">
    <w:name w:val="toa heading"/>
    <w:basedOn w:val="Normal"/>
    <w:next w:val="Normal"/>
    <w:semiHidden/>
    <w:rsid w:val="00836710"/>
    <w:rPr>
      <w:rFonts w:ascii="Arial" w:hAnsi="Arial" w:cs="Arial"/>
      <w:b/>
      <w:bCs w:val="0"/>
      <w:sz w:val="24"/>
      <w:szCs w:val="24"/>
    </w:rPr>
  </w:style>
  <w:style w:type="paragraph" w:styleId="TOC5">
    <w:name w:val="toc 5"/>
    <w:basedOn w:val="Normal"/>
    <w:next w:val="Normal"/>
    <w:autoRedefine/>
    <w:semiHidden/>
    <w:rsid w:val="00836710"/>
    <w:pPr>
      <w:ind w:left="800"/>
    </w:pPr>
  </w:style>
  <w:style w:type="paragraph" w:styleId="TOC6">
    <w:name w:val="toc 6"/>
    <w:basedOn w:val="Normal"/>
    <w:next w:val="Normal"/>
    <w:autoRedefine/>
    <w:semiHidden/>
    <w:rsid w:val="00836710"/>
    <w:pPr>
      <w:ind w:left="1000"/>
    </w:pPr>
  </w:style>
  <w:style w:type="paragraph" w:styleId="TOC7">
    <w:name w:val="toc 7"/>
    <w:basedOn w:val="Normal"/>
    <w:next w:val="Normal"/>
    <w:autoRedefine/>
    <w:semiHidden/>
    <w:rsid w:val="00836710"/>
    <w:pPr>
      <w:ind w:left="1200"/>
    </w:pPr>
  </w:style>
  <w:style w:type="paragraph" w:styleId="TOC8">
    <w:name w:val="toc 8"/>
    <w:basedOn w:val="Normal"/>
    <w:next w:val="Normal"/>
    <w:autoRedefine/>
    <w:semiHidden/>
    <w:rsid w:val="00836710"/>
    <w:pPr>
      <w:ind w:left="1400"/>
    </w:pPr>
  </w:style>
  <w:style w:type="paragraph" w:styleId="TOC9">
    <w:name w:val="toc 9"/>
    <w:basedOn w:val="Normal"/>
    <w:next w:val="Normal"/>
    <w:autoRedefine/>
    <w:semiHidden/>
    <w:rsid w:val="00836710"/>
    <w:pPr>
      <w:ind w:left="1600"/>
    </w:pPr>
  </w:style>
  <w:style w:type="numbering" w:customStyle="1" w:styleId="BulletedList">
    <w:name w:val="Bulleted List"/>
    <w:uiPriority w:val="99"/>
    <w:rsid w:val="00836710"/>
    <w:pPr>
      <w:numPr>
        <w:numId w:val="21"/>
      </w:numPr>
    </w:pPr>
  </w:style>
  <w:style w:type="numbering" w:customStyle="1" w:styleId="BoxBulletedList">
    <w:name w:val="Box Bulleted List"/>
    <w:uiPriority w:val="99"/>
    <w:rsid w:val="00836710"/>
    <w:pPr>
      <w:numPr>
        <w:numId w:val="22"/>
      </w:numPr>
    </w:pPr>
  </w:style>
  <w:style w:type="numbering" w:customStyle="1" w:styleId="AlphaParagraphList">
    <w:name w:val="Alpha Paragraph List"/>
    <w:uiPriority w:val="99"/>
    <w:rsid w:val="00836710"/>
    <w:pPr>
      <w:numPr>
        <w:numId w:val="24"/>
      </w:numPr>
    </w:pPr>
  </w:style>
  <w:style w:type="numbering" w:customStyle="1" w:styleId="OneLevelList">
    <w:name w:val="OneLevelList"/>
    <w:uiPriority w:val="99"/>
    <w:rsid w:val="00836710"/>
    <w:pPr>
      <w:numPr>
        <w:numId w:val="26"/>
      </w:numPr>
    </w:pPr>
  </w:style>
  <w:style w:type="numbering" w:customStyle="1" w:styleId="RecommendationBulletList">
    <w:name w:val="RecommendationBulletList"/>
    <w:uiPriority w:val="99"/>
    <w:rsid w:val="00836710"/>
    <w:pPr>
      <w:numPr>
        <w:numId w:val="28"/>
      </w:numPr>
    </w:pPr>
  </w:style>
  <w:style w:type="numbering" w:customStyle="1" w:styleId="RomanNumeralList">
    <w:name w:val="RomanNumeralList"/>
    <w:uiPriority w:val="99"/>
    <w:rsid w:val="00836710"/>
    <w:pPr>
      <w:numPr>
        <w:numId w:val="29"/>
      </w:numPr>
    </w:pPr>
  </w:style>
  <w:style w:type="numbering" w:customStyle="1" w:styleId="ChartandTableFootnoteAlphaList">
    <w:name w:val="ChartandTableFootnoteAlphaList"/>
    <w:uiPriority w:val="99"/>
    <w:rsid w:val="00836710"/>
    <w:pPr>
      <w:numPr>
        <w:numId w:val="34"/>
      </w:numPr>
    </w:pPr>
  </w:style>
  <w:style w:type="paragraph" w:customStyle="1" w:styleId="TableTextBullet">
    <w:name w:val="Table Text Bullet"/>
    <w:basedOn w:val="TableTextBase"/>
    <w:rsid w:val="00836710"/>
    <w:pPr>
      <w:numPr>
        <w:numId w:val="36"/>
      </w:numPr>
    </w:pPr>
  </w:style>
  <w:style w:type="numbering" w:customStyle="1" w:styleId="TableTestBulletList">
    <w:name w:val="Table Test Bullet List"/>
    <w:uiPriority w:val="99"/>
    <w:rsid w:val="00836710"/>
    <w:pPr>
      <w:numPr>
        <w:numId w:val="35"/>
      </w:numPr>
    </w:pPr>
  </w:style>
  <w:style w:type="numbering" w:customStyle="1" w:styleId="TableTextBulletList">
    <w:name w:val="Table Text Bullet List"/>
    <w:uiPriority w:val="99"/>
    <w:rsid w:val="00836710"/>
    <w:pPr>
      <w:numPr>
        <w:numId w:val="36"/>
      </w:numPr>
    </w:pPr>
  </w:style>
  <w:style w:type="paragraph" w:customStyle="1" w:styleId="StyleTableTextBulletLinespacingExactly13pt">
    <w:name w:val="Style Table Text Bullet + Line spacing:  Exactly 13 pt"/>
    <w:basedOn w:val="TableTextBullet"/>
    <w:rsid w:val="00836710"/>
    <w:pPr>
      <w:numPr>
        <w:numId w:val="0"/>
      </w:numPr>
      <w:spacing w:after="80" w:line="260" w:lineRule="exact"/>
    </w:pPr>
  </w:style>
  <w:style w:type="paragraph" w:customStyle="1" w:styleId="Reference">
    <w:name w:val="Reference"/>
    <w:basedOn w:val="Normal"/>
    <w:qFormat/>
    <w:rsid w:val="00836710"/>
    <w:rPr>
      <w:sz w:val="20"/>
    </w:rPr>
  </w:style>
  <w:style w:type="paragraph" w:customStyle="1" w:styleId="rightFooter">
    <w:name w:val="right Footer"/>
    <w:basedOn w:val="Footer"/>
    <w:rsid w:val="00836710"/>
  </w:style>
  <w:style w:type="paragraph" w:customStyle="1" w:styleId="Footerright">
    <w:name w:val="Footer right"/>
    <w:basedOn w:val="FooterCentered"/>
    <w:rsid w:val="00836710"/>
    <w:pPr>
      <w:jc w:val="right"/>
    </w:pPr>
  </w:style>
  <w:style w:type="paragraph" w:customStyle="1" w:styleId="Chaptertitle">
    <w:name w:val="Chapter title"/>
    <w:basedOn w:val="Heading1"/>
    <w:rsid w:val="00836710"/>
    <w:pPr>
      <w:spacing w:before="5000"/>
    </w:pPr>
  </w:style>
  <w:style w:type="character" w:customStyle="1" w:styleId="st1">
    <w:name w:val="st1"/>
    <w:basedOn w:val="DefaultParagraphFont"/>
    <w:rsid w:val="00F27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10"/>
    <w:pPr>
      <w:spacing w:after="240" w:line="260" w:lineRule="exact"/>
      <w:jc w:val="both"/>
    </w:pPr>
    <w:rPr>
      <w:rFonts w:ascii="Times New Roman" w:eastAsia="Times New Roman" w:hAnsi="Times New Roman" w:cs="Times New Roman"/>
      <w:bCs/>
      <w:szCs w:val="20"/>
      <w:lang w:eastAsia="en-AU"/>
    </w:rPr>
  </w:style>
  <w:style w:type="paragraph" w:styleId="Heading1">
    <w:name w:val="heading 1"/>
    <w:basedOn w:val="HeadingBase"/>
    <w:next w:val="Normal"/>
    <w:link w:val="Heading1Char"/>
    <w:qFormat/>
    <w:rsid w:val="00836710"/>
    <w:pPr>
      <w:spacing w:after="360"/>
      <w:outlineLvl w:val="0"/>
    </w:pPr>
    <w:rPr>
      <w:b/>
      <w:bCs/>
      <w:kern w:val="32"/>
      <w:sz w:val="24"/>
      <w:szCs w:val="24"/>
    </w:rPr>
  </w:style>
  <w:style w:type="paragraph" w:styleId="Heading2">
    <w:name w:val="heading 2"/>
    <w:basedOn w:val="HeadingBase"/>
    <w:next w:val="Normal"/>
    <w:link w:val="Heading2Char"/>
    <w:qFormat/>
    <w:rsid w:val="00836710"/>
    <w:pPr>
      <w:spacing w:after="240"/>
      <w:outlineLvl w:val="1"/>
    </w:pPr>
    <w:rPr>
      <w:b/>
      <w:bCs/>
      <w:iCs/>
      <w:sz w:val="24"/>
      <w:szCs w:val="24"/>
    </w:rPr>
  </w:style>
  <w:style w:type="paragraph" w:styleId="Heading3">
    <w:name w:val="heading 3"/>
    <w:basedOn w:val="HeadingBase"/>
    <w:next w:val="Normal"/>
    <w:link w:val="Heading3Char"/>
    <w:qFormat/>
    <w:rsid w:val="00836710"/>
    <w:pPr>
      <w:spacing w:after="240"/>
      <w:outlineLvl w:val="2"/>
    </w:pPr>
    <w:rPr>
      <w:b/>
      <w:bCs/>
      <w:sz w:val="22"/>
      <w:szCs w:val="22"/>
    </w:rPr>
  </w:style>
  <w:style w:type="paragraph" w:styleId="Heading4">
    <w:name w:val="heading 4"/>
    <w:basedOn w:val="HeadingBase"/>
    <w:next w:val="Normal"/>
    <w:link w:val="Heading4Char"/>
    <w:qFormat/>
    <w:rsid w:val="00836710"/>
    <w:pPr>
      <w:spacing w:after="120"/>
      <w:outlineLvl w:val="3"/>
    </w:pPr>
    <w:rPr>
      <w:bCs/>
      <w:sz w:val="22"/>
      <w:szCs w:val="22"/>
    </w:rPr>
  </w:style>
  <w:style w:type="paragraph" w:styleId="Heading5">
    <w:name w:val="heading 5"/>
    <w:basedOn w:val="HeadingBase"/>
    <w:next w:val="Normal"/>
    <w:link w:val="Heading5Char"/>
    <w:qFormat/>
    <w:rsid w:val="00836710"/>
    <w:pPr>
      <w:spacing w:after="120"/>
      <w:outlineLvl w:val="4"/>
    </w:pPr>
    <w:rPr>
      <w:b/>
      <w:bCs/>
      <w:iCs/>
    </w:rPr>
  </w:style>
  <w:style w:type="paragraph" w:styleId="Heading6">
    <w:name w:val="heading 6"/>
    <w:basedOn w:val="HeadingBase"/>
    <w:next w:val="Normal"/>
    <w:link w:val="Heading6Char"/>
    <w:qFormat/>
    <w:rsid w:val="00836710"/>
    <w:pPr>
      <w:spacing w:after="120"/>
      <w:outlineLvl w:val="5"/>
    </w:pPr>
    <w:rPr>
      <w:bCs/>
      <w:szCs w:val="22"/>
    </w:rPr>
  </w:style>
  <w:style w:type="paragraph" w:styleId="Heading7">
    <w:name w:val="heading 7"/>
    <w:basedOn w:val="HeadingBase"/>
    <w:next w:val="Normal"/>
    <w:link w:val="Heading7Char"/>
    <w:qFormat/>
    <w:rsid w:val="00836710"/>
    <w:pPr>
      <w:spacing w:after="120"/>
      <w:outlineLvl w:val="6"/>
    </w:pPr>
    <w:rPr>
      <w:szCs w:val="24"/>
    </w:rPr>
  </w:style>
  <w:style w:type="paragraph" w:styleId="Heading8">
    <w:name w:val="heading 8"/>
    <w:basedOn w:val="HeadingBase"/>
    <w:next w:val="Normal"/>
    <w:link w:val="Heading8Char"/>
    <w:qFormat/>
    <w:rsid w:val="00836710"/>
    <w:pPr>
      <w:spacing w:after="120"/>
      <w:outlineLvl w:val="7"/>
    </w:pPr>
    <w:rPr>
      <w:iCs/>
      <w:szCs w:val="24"/>
    </w:rPr>
  </w:style>
  <w:style w:type="paragraph" w:styleId="Heading9">
    <w:name w:val="heading 9"/>
    <w:basedOn w:val="HeadingBase"/>
    <w:next w:val="Normal"/>
    <w:link w:val="Heading9Char"/>
    <w:qFormat/>
    <w:rsid w:val="00836710"/>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836710"/>
    <w:pPr>
      <w:numPr>
        <w:numId w:val="21"/>
      </w:numPr>
      <w:tabs>
        <w:tab w:val="clear" w:pos="283"/>
        <w:tab w:val="num" w:pos="567"/>
      </w:tabs>
      <w:ind w:left="567" w:hanging="567"/>
    </w:pPr>
  </w:style>
  <w:style w:type="character" w:customStyle="1" w:styleId="BulletChar">
    <w:name w:val="Bullet Char"/>
    <w:basedOn w:val="DefaultParagraphFont"/>
    <w:link w:val="Bullet"/>
    <w:rsid w:val="00E81DA9"/>
    <w:rPr>
      <w:rFonts w:ascii="Times New Roman" w:eastAsia="Times New Roman" w:hAnsi="Times New Roman" w:cs="Times New Roman"/>
      <w:bCs/>
      <w:szCs w:val="20"/>
      <w:lang w:eastAsia="en-AU"/>
    </w:rPr>
  </w:style>
  <w:style w:type="paragraph" w:customStyle="1" w:styleId="Dash">
    <w:name w:val="Dash"/>
    <w:basedOn w:val="Normal"/>
    <w:link w:val="DashChar"/>
    <w:rsid w:val="00836710"/>
    <w:pPr>
      <w:numPr>
        <w:ilvl w:val="1"/>
        <w:numId w:val="21"/>
      </w:numPr>
    </w:pPr>
  </w:style>
  <w:style w:type="character" w:customStyle="1" w:styleId="DashChar">
    <w:name w:val="Dash Char"/>
    <w:basedOn w:val="DefaultParagraphFont"/>
    <w:link w:val="Dash"/>
    <w:rsid w:val="00E81DA9"/>
    <w:rPr>
      <w:rFonts w:ascii="Times New Roman" w:eastAsia="Times New Roman" w:hAnsi="Times New Roman" w:cs="Times New Roman"/>
      <w:bCs/>
      <w:szCs w:val="20"/>
      <w:lang w:eastAsia="en-AU"/>
    </w:rPr>
  </w:style>
  <w:style w:type="paragraph" w:customStyle="1" w:styleId="DoubleDot">
    <w:name w:val="Double Dot"/>
    <w:basedOn w:val="Normal"/>
    <w:rsid w:val="00836710"/>
    <w:pPr>
      <w:numPr>
        <w:ilvl w:val="2"/>
        <w:numId w:val="21"/>
      </w:numPr>
    </w:pPr>
  </w:style>
  <w:style w:type="paragraph" w:styleId="BalloonText">
    <w:name w:val="Balloon Text"/>
    <w:basedOn w:val="Normal"/>
    <w:link w:val="BalloonTextChar"/>
    <w:semiHidden/>
    <w:rsid w:val="00836710"/>
    <w:rPr>
      <w:rFonts w:ascii="Tahoma" w:hAnsi="Tahoma" w:cs="Tahoma"/>
      <w:sz w:val="16"/>
      <w:szCs w:val="16"/>
    </w:rPr>
  </w:style>
  <w:style w:type="character" w:customStyle="1" w:styleId="BalloonTextChar">
    <w:name w:val="Balloon Text Char"/>
    <w:basedOn w:val="DefaultParagraphFont"/>
    <w:link w:val="BalloonText"/>
    <w:semiHidden/>
    <w:rsid w:val="00836710"/>
    <w:rPr>
      <w:rFonts w:ascii="Tahoma" w:eastAsia="Times New Roman" w:hAnsi="Tahoma" w:cs="Tahoma"/>
      <w:bCs/>
      <w:sz w:val="16"/>
      <w:szCs w:val="16"/>
      <w:lang w:eastAsia="en-AU"/>
    </w:rPr>
  </w:style>
  <w:style w:type="character" w:customStyle="1" w:styleId="Heading3Char">
    <w:name w:val="Heading 3 Char"/>
    <w:basedOn w:val="DefaultParagraphFont"/>
    <w:link w:val="Heading3"/>
    <w:rsid w:val="00836710"/>
    <w:rPr>
      <w:rFonts w:ascii="Times New Roman" w:eastAsia="Times New Roman" w:hAnsi="Times New Roman" w:cs="Times New Roman"/>
      <w:b/>
      <w:bCs/>
      <w:color w:val="0000FF"/>
      <w:lang w:eastAsia="en-AU"/>
    </w:rPr>
  </w:style>
  <w:style w:type="paragraph" w:styleId="FootnoteText">
    <w:name w:val="footnote text"/>
    <w:basedOn w:val="Normal"/>
    <w:link w:val="FootnoteTextChar"/>
    <w:rsid w:val="00836710"/>
    <w:pPr>
      <w:spacing w:after="0" w:line="240" w:lineRule="auto"/>
    </w:pPr>
    <w:rPr>
      <w:rFonts w:ascii="Calibri" w:hAnsi="Calibri"/>
      <w:color w:val="000000" w:themeColor="text1"/>
      <w:sz w:val="18"/>
      <w:szCs w:val="18"/>
    </w:rPr>
  </w:style>
  <w:style w:type="character" w:customStyle="1" w:styleId="FootnoteTextChar">
    <w:name w:val="Footnote Text Char"/>
    <w:basedOn w:val="DefaultParagraphFont"/>
    <w:link w:val="FootnoteText"/>
    <w:rsid w:val="00836710"/>
    <w:rPr>
      <w:rFonts w:ascii="Calibri" w:eastAsia="Times New Roman" w:hAnsi="Calibri" w:cs="Times New Roman"/>
      <w:bCs/>
      <w:color w:val="000000" w:themeColor="text1"/>
      <w:sz w:val="18"/>
      <w:szCs w:val="18"/>
      <w:lang w:eastAsia="en-AU"/>
    </w:rPr>
  </w:style>
  <w:style w:type="character" w:styleId="FootnoteReference">
    <w:name w:val="footnote reference"/>
    <w:basedOn w:val="DefaultParagraphFont"/>
    <w:rsid w:val="00836710"/>
    <w:rPr>
      <w:vertAlign w:val="superscript"/>
    </w:rPr>
  </w:style>
  <w:style w:type="paragraph" w:styleId="NormalWeb">
    <w:name w:val="Normal (Web)"/>
    <w:basedOn w:val="Normal"/>
    <w:rsid w:val="00836710"/>
    <w:pPr>
      <w:spacing w:line="312" w:lineRule="atLeast"/>
    </w:pPr>
    <w:rPr>
      <w:sz w:val="24"/>
      <w:szCs w:val="24"/>
    </w:rPr>
  </w:style>
  <w:style w:type="character" w:styleId="Hyperlink">
    <w:name w:val="Hyperlink"/>
    <w:basedOn w:val="DefaultParagraphFont"/>
    <w:rsid w:val="00836710"/>
    <w:rPr>
      <w:color w:val="auto"/>
      <w:u w:val="none"/>
    </w:rPr>
  </w:style>
  <w:style w:type="paragraph" w:styleId="Header">
    <w:name w:val="header"/>
    <w:basedOn w:val="HeadingBase"/>
    <w:link w:val="HeaderChar"/>
    <w:rsid w:val="00836710"/>
    <w:pPr>
      <w:jc w:val="right"/>
    </w:pPr>
    <w:rPr>
      <w:color w:val="000000" w:themeColor="text1"/>
      <w:sz w:val="18"/>
    </w:rPr>
  </w:style>
  <w:style w:type="character" w:customStyle="1" w:styleId="HeaderChar">
    <w:name w:val="Header Char"/>
    <w:basedOn w:val="DefaultParagraphFont"/>
    <w:link w:val="Header"/>
    <w:rsid w:val="00836710"/>
    <w:rPr>
      <w:rFonts w:ascii="Times New Roman" w:eastAsia="Times New Roman" w:hAnsi="Times New Roman" w:cs="Times New Roman"/>
      <w:color w:val="000000" w:themeColor="text1"/>
      <w:sz w:val="18"/>
      <w:szCs w:val="20"/>
      <w:lang w:eastAsia="en-AU"/>
    </w:rPr>
  </w:style>
  <w:style w:type="paragraph" w:styleId="Footer">
    <w:name w:val="footer"/>
    <w:basedOn w:val="HeadingBase"/>
    <w:link w:val="FooterChar"/>
    <w:uiPriority w:val="99"/>
    <w:rsid w:val="00836710"/>
    <w:rPr>
      <w:color w:val="auto"/>
      <w:sz w:val="18"/>
    </w:rPr>
  </w:style>
  <w:style w:type="character" w:customStyle="1" w:styleId="FooterChar">
    <w:name w:val="Footer Char"/>
    <w:basedOn w:val="DefaultParagraphFont"/>
    <w:link w:val="Footer"/>
    <w:uiPriority w:val="99"/>
    <w:rsid w:val="00836710"/>
    <w:rPr>
      <w:rFonts w:ascii="Times New Roman" w:eastAsia="Times New Roman" w:hAnsi="Times New Roman" w:cs="Times New Roman"/>
      <w:sz w:val="18"/>
      <w:szCs w:val="20"/>
      <w:lang w:eastAsia="en-AU"/>
    </w:rPr>
  </w:style>
  <w:style w:type="character" w:styleId="FollowedHyperlink">
    <w:name w:val="FollowedHyperlink"/>
    <w:basedOn w:val="DefaultParagraphFont"/>
    <w:rsid w:val="00836710"/>
    <w:rPr>
      <w:color w:val="auto"/>
      <w:u w:val="none"/>
    </w:rPr>
  </w:style>
  <w:style w:type="character" w:customStyle="1" w:styleId="Heading4Char">
    <w:name w:val="Heading 4 Char"/>
    <w:basedOn w:val="DefaultParagraphFont"/>
    <w:link w:val="Heading4"/>
    <w:rsid w:val="00836710"/>
    <w:rPr>
      <w:rFonts w:ascii="Times New Roman" w:eastAsia="Times New Roman" w:hAnsi="Times New Roman" w:cs="Times New Roman"/>
      <w:bCs/>
      <w:color w:val="0000FF"/>
      <w:lang w:eastAsia="en-AU"/>
    </w:rPr>
  </w:style>
  <w:style w:type="paragraph" w:customStyle="1" w:styleId="SecurityClassificationHeader">
    <w:name w:val="Security Classification Header"/>
    <w:link w:val="SecurityClassificationHeaderChar"/>
    <w:rsid w:val="00273C5E"/>
    <w:pPr>
      <w:spacing w:after="240"/>
      <w:jc w:val="center"/>
    </w:pPr>
    <w:rPr>
      <w:rFonts w:ascii="Times New Roman" w:hAnsi="Times New Roman" w:cs="Times New Roman"/>
      <w:b/>
      <w:caps/>
      <w:sz w:val="24"/>
    </w:rPr>
  </w:style>
  <w:style w:type="character" w:customStyle="1" w:styleId="SecurityClassificationHeaderChar">
    <w:name w:val="Security Classification Header Char"/>
    <w:basedOn w:val="HeaderChar"/>
    <w:link w:val="SecurityClassificationHeader"/>
    <w:rsid w:val="00273C5E"/>
    <w:rPr>
      <w:rFonts w:ascii="Times New Roman" w:eastAsia="Times New Roman" w:hAnsi="Times New Roman" w:cs="Times New Roman"/>
      <w:b/>
      <w:caps/>
      <w:color w:val="000000" w:themeColor="text1"/>
      <w:sz w:val="24"/>
      <w:szCs w:val="20"/>
      <w:lang w:eastAsia="en-AU"/>
    </w:rPr>
  </w:style>
  <w:style w:type="paragraph" w:customStyle="1" w:styleId="SecurityClassificationFooter">
    <w:name w:val="Security Classification Footer"/>
    <w:link w:val="SecurityClassificationFooterChar"/>
    <w:rsid w:val="00273C5E"/>
    <w:pPr>
      <w:spacing w:before="240"/>
      <w:jc w:val="center"/>
    </w:pPr>
    <w:rPr>
      <w:rFonts w:ascii="Times New Roman" w:hAnsi="Times New Roman" w:cs="Times New Roman"/>
      <w:b/>
      <w:caps/>
      <w:sz w:val="24"/>
    </w:rPr>
  </w:style>
  <w:style w:type="character" w:customStyle="1" w:styleId="SecurityClassificationFooterChar">
    <w:name w:val="Security Classification Footer Char"/>
    <w:basedOn w:val="HeaderChar"/>
    <w:link w:val="SecurityClassificationFooter"/>
    <w:rsid w:val="00273C5E"/>
    <w:rPr>
      <w:rFonts w:ascii="Times New Roman" w:eastAsia="Times New Roman" w:hAnsi="Times New Roman" w:cs="Times New Roman"/>
      <w:b/>
      <w:caps/>
      <w:color w:val="000000" w:themeColor="text1"/>
      <w:sz w:val="24"/>
      <w:szCs w:val="20"/>
      <w:lang w:eastAsia="en-AU"/>
    </w:rPr>
  </w:style>
  <w:style w:type="paragraph" w:styleId="Revision">
    <w:name w:val="Revision"/>
    <w:hidden/>
    <w:uiPriority w:val="99"/>
    <w:semiHidden/>
    <w:rsid w:val="00B83B2B"/>
    <w:pPr>
      <w:spacing w:after="0" w:line="240" w:lineRule="auto"/>
    </w:pPr>
  </w:style>
  <w:style w:type="paragraph" w:customStyle="1" w:styleId="OutlineNumbered1">
    <w:name w:val="Outline Numbered 1"/>
    <w:basedOn w:val="Normal"/>
    <w:link w:val="OutlineNumbered1Char"/>
    <w:rsid w:val="00836710"/>
    <w:pPr>
      <w:numPr>
        <w:numId w:val="31"/>
      </w:numPr>
    </w:pPr>
  </w:style>
  <w:style w:type="character" w:customStyle="1" w:styleId="OutlineNumbered1Char">
    <w:name w:val="Outline Numbered 1 Char"/>
    <w:basedOn w:val="Heading3Char"/>
    <w:link w:val="OutlineNumbered1"/>
    <w:rsid w:val="00D547B2"/>
    <w:rPr>
      <w:rFonts w:ascii="Times New Roman" w:eastAsia="Times New Roman" w:hAnsi="Times New Roman" w:cs="Times New Roman"/>
      <w:b w:val="0"/>
      <w:bCs/>
      <w:color w:val="0000FF"/>
      <w:szCs w:val="20"/>
      <w:lang w:eastAsia="en-AU"/>
    </w:rPr>
  </w:style>
  <w:style w:type="paragraph" w:customStyle="1" w:styleId="OutlineNumbered2">
    <w:name w:val="Outline Numbered 2"/>
    <w:basedOn w:val="Normal"/>
    <w:link w:val="OutlineNumbered2Char"/>
    <w:rsid w:val="00836710"/>
    <w:pPr>
      <w:numPr>
        <w:ilvl w:val="1"/>
        <w:numId w:val="31"/>
      </w:numPr>
    </w:pPr>
  </w:style>
  <w:style w:type="character" w:customStyle="1" w:styleId="OutlineNumbered2Char">
    <w:name w:val="Outline Numbered 2 Char"/>
    <w:basedOn w:val="Heading3Char"/>
    <w:link w:val="OutlineNumbered2"/>
    <w:rsid w:val="00D547B2"/>
    <w:rPr>
      <w:rFonts w:ascii="Times New Roman" w:eastAsia="Times New Roman" w:hAnsi="Times New Roman" w:cs="Times New Roman"/>
      <w:b w:val="0"/>
      <w:bCs/>
      <w:color w:val="0000FF"/>
      <w:szCs w:val="20"/>
      <w:lang w:eastAsia="en-AU"/>
    </w:rPr>
  </w:style>
  <w:style w:type="paragraph" w:customStyle="1" w:styleId="OutlineNumbered3">
    <w:name w:val="Outline Numbered 3"/>
    <w:basedOn w:val="Normal"/>
    <w:link w:val="OutlineNumbered3Char"/>
    <w:rsid w:val="00836710"/>
    <w:pPr>
      <w:numPr>
        <w:ilvl w:val="2"/>
        <w:numId w:val="31"/>
      </w:numPr>
    </w:pPr>
  </w:style>
  <w:style w:type="character" w:customStyle="1" w:styleId="OutlineNumbered3Char">
    <w:name w:val="Outline Numbered 3 Char"/>
    <w:basedOn w:val="Heading3Char"/>
    <w:link w:val="OutlineNumbered3"/>
    <w:rsid w:val="00D547B2"/>
    <w:rPr>
      <w:rFonts w:ascii="Times New Roman" w:eastAsia="Times New Roman" w:hAnsi="Times New Roman" w:cs="Times New Roman"/>
      <w:b w:val="0"/>
      <w:bCs/>
      <w:color w:val="0000FF"/>
      <w:szCs w:val="20"/>
      <w:lang w:eastAsia="en-AU"/>
    </w:rPr>
  </w:style>
  <w:style w:type="paragraph" w:styleId="EndnoteText">
    <w:name w:val="endnote text"/>
    <w:basedOn w:val="Normal"/>
    <w:link w:val="EndnoteTextChar"/>
    <w:rsid w:val="00836710"/>
  </w:style>
  <w:style w:type="character" w:customStyle="1" w:styleId="EndnoteTextChar">
    <w:name w:val="Endnote Text Char"/>
    <w:basedOn w:val="DefaultParagraphFont"/>
    <w:link w:val="EndnoteText"/>
    <w:rsid w:val="00836710"/>
    <w:rPr>
      <w:rFonts w:ascii="Times New Roman" w:eastAsia="Times New Roman" w:hAnsi="Times New Roman" w:cs="Times New Roman"/>
      <w:bCs/>
      <w:szCs w:val="20"/>
      <w:lang w:eastAsia="en-AU"/>
    </w:rPr>
  </w:style>
  <w:style w:type="character" w:styleId="EndnoteReference">
    <w:name w:val="endnote reference"/>
    <w:basedOn w:val="DefaultParagraphFont"/>
    <w:semiHidden/>
    <w:rsid w:val="00836710"/>
    <w:rPr>
      <w:vertAlign w:val="superscript"/>
    </w:rPr>
  </w:style>
  <w:style w:type="character" w:styleId="CommentReference">
    <w:name w:val="annotation reference"/>
    <w:basedOn w:val="DefaultParagraphFont"/>
    <w:semiHidden/>
    <w:rsid w:val="00836710"/>
    <w:rPr>
      <w:sz w:val="16"/>
      <w:szCs w:val="16"/>
    </w:rPr>
  </w:style>
  <w:style w:type="paragraph" w:styleId="CommentText">
    <w:name w:val="annotation text"/>
    <w:basedOn w:val="Normal"/>
    <w:link w:val="CommentTextChar"/>
    <w:semiHidden/>
    <w:rsid w:val="00836710"/>
  </w:style>
  <w:style w:type="character" w:customStyle="1" w:styleId="CommentTextChar">
    <w:name w:val="Comment Text Char"/>
    <w:basedOn w:val="DefaultParagraphFont"/>
    <w:link w:val="CommentText"/>
    <w:semiHidden/>
    <w:rsid w:val="00836710"/>
    <w:rPr>
      <w:rFonts w:ascii="Times New Roman" w:eastAsia="Times New Roman" w:hAnsi="Times New Roman" w:cs="Times New Roman"/>
      <w:bCs/>
      <w:szCs w:val="20"/>
      <w:lang w:eastAsia="en-AU"/>
    </w:rPr>
  </w:style>
  <w:style w:type="paragraph" w:styleId="CommentSubject">
    <w:name w:val="annotation subject"/>
    <w:basedOn w:val="CommentText"/>
    <w:next w:val="CommentText"/>
    <w:link w:val="CommentSubjectChar"/>
    <w:semiHidden/>
    <w:rsid w:val="00836710"/>
    <w:rPr>
      <w:b/>
      <w:bCs w:val="0"/>
    </w:rPr>
  </w:style>
  <w:style w:type="character" w:customStyle="1" w:styleId="CommentSubjectChar">
    <w:name w:val="Comment Subject Char"/>
    <w:basedOn w:val="CommentTextChar"/>
    <w:link w:val="CommentSubject"/>
    <w:semiHidden/>
    <w:rsid w:val="00836710"/>
    <w:rPr>
      <w:rFonts w:ascii="Times New Roman" w:eastAsia="Times New Roman" w:hAnsi="Times New Roman" w:cs="Times New Roman"/>
      <w:b/>
      <w:bCs w:val="0"/>
      <w:szCs w:val="20"/>
      <w:lang w:eastAsia="en-AU"/>
    </w:rPr>
  </w:style>
  <w:style w:type="character" w:customStyle="1" w:styleId="Heading5Char">
    <w:name w:val="Heading 5 Char"/>
    <w:basedOn w:val="DefaultParagraphFont"/>
    <w:link w:val="Heading5"/>
    <w:rsid w:val="00836710"/>
    <w:rPr>
      <w:rFonts w:ascii="Times New Roman" w:eastAsia="Times New Roman" w:hAnsi="Times New Roman" w:cs="Times New Roman"/>
      <w:b/>
      <w:bCs/>
      <w:iCs/>
      <w:color w:val="0000FF"/>
      <w:sz w:val="20"/>
      <w:szCs w:val="20"/>
      <w:lang w:eastAsia="en-AU"/>
    </w:rPr>
  </w:style>
  <w:style w:type="character" w:customStyle="1" w:styleId="Heading6Char">
    <w:name w:val="Heading 6 Char"/>
    <w:basedOn w:val="DefaultParagraphFont"/>
    <w:link w:val="Heading6"/>
    <w:rsid w:val="00836710"/>
    <w:rPr>
      <w:rFonts w:ascii="Times New Roman" w:eastAsia="Times New Roman" w:hAnsi="Times New Roman" w:cs="Times New Roman"/>
      <w:bCs/>
      <w:color w:val="0000FF"/>
      <w:sz w:val="20"/>
      <w:lang w:eastAsia="en-AU"/>
    </w:rPr>
  </w:style>
  <w:style w:type="paragraph" w:styleId="ListParagraph">
    <w:name w:val="List Paragraph"/>
    <w:basedOn w:val="Normal"/>
    <w:uiPriority w:val="34"/>
    <w:qFormat/>
    <w:rsid w:val="00836710"/>
    <w:pPr>
      <w:spacing w:after="0" w:line="240" w:lineRule="auto"/>
      <w:ind w:left="720"/>
    </w:pPr>
    <w:rPr>
      <w:rFonts w:ascii="Calibri" w:eastAsiaTheme="minorHAnsi" w:hAnsi="Calibri" w:cs="Calibri"/>
      <w:szCs w:val="22"/>
      <w:lang w:eastAsia="en-US"/>
    </w:rPr>
  </w:style>
  <w:style w:type="character" w:styleId="Strong">
    <w:name w:val="Strong"/>
    <w:basedOn w:val="DefaultParagraphFont"/>
    <w:uiPriority w:val="22"/>
    <w:qFormat/>
    <w:rsid w:val="004C4ABA"/>
    <w:rPr>
      <w:b/>
      <w:bCs/>
    </w:rPr>
  </w:style>
  <w:style w:type="character" w:customStyle="1" w:styleId="Heading2Char">
    <w:name w:val="Heading 2 Char"/>
    <w:basedOn w:val="DefaultParagraphFont"/>
    <w:link w:val="Heading2"/>
    <w:rsid w:val="00836710"/>
    <w:rPr>
      <w:rFonts w:ascii="Times New Roman" w:eastAsia="Times New Roman" w:hAnsi="Times New Roman" w:cs="Times New Roman"/>
      <w:b/>
      <w:bCs/>
      <w:iCs/>
      <w:color w:val="0000FF"/>
      <w:sz w:val="24"/>
      <w:szCs w:val="24"/>
      <w:lang w:eastAsia="en-AU"/>
    </w:rPr>
  </w:style>
  <w:style w:type="character" w:customStyle="1" w:styleId="Heading1Char">
    <w:name w:val="Heading 1 Char"/>
    <w:basedOn w:val="DefaultParagraphFont"/>
    <w:link w:val="Heading1"/>
    <w:rsid w:val="00836710"/>
    <w:rPr>
      <w:rFonts w:ascii="Times New Roman" w:eastAsia="Times New Roman" w:hAnsi="Times New Roman" w:cs="Times New Roman"/>
      <w:b/>
      <w:bCs/>
      <w:color w:val="0000FF"/>
      <w:kern w:val="32"/>
      <w:sz w:val="24"/>
      <w:szCs w:val="24"/>
      <w:lang w:eastAsia="en-AU"/>
    </w:rPr>
  </w:style>
  <w:style w:type="character" w:customStyle="1" w:styleId="Heading7Char">
    <w:name w:val="Heading 7 Char"/>
    <w:basedOn w:val="DefaultParagraphFont"/>
    <w:link w:val="Heading7"/>
    <w:rsid w:val="00836710"/>
    <w:rPr>
      <w:rFonts w:ascii="Times New Roman" w:eastAsia="Times New Roman" w:hAnsi="Times New Roman" w:cs="Times New Roman"/>
      <w:color w:val="0000FF"/>
      <w:sz w:val="20"/>
      <w:szCs w:val="24"/>
      <w:lang w:eastAsia="en-AU"/>
    </w:rPr>
  </w:style>
  <w:style w:type="character" w:customStyle="1" w:styleId="Heading8Char">
    <w:name w:val="Heading 8 Char"/>
    <w:basedOn w:val="DefaultParagraphFont"/>
    <w:link w:val="Heading8"/>
    <w:rsid w:val="00836710"/>
    <w:rPr>
      <w:rFonts w:ascii="Times New Roman" w:eastAsia="Times New Roman" w:hAnsi="Times New Roman" w:cs="Times New Roman"/>
      <w:iCs/>
      <w:color w:val="0000FF"/>
      <w:sz w:val="20"/>
      <w:szCs w:val="24"/>
      <w:lang w:eastAsia="en-AU"/>
    </w:rPr>
  </w:style>
  <w:style w:type="character" w:customStyle="1" w:styleId="Heading9Char">
    <w:name w:val="Heading 9 Char"/>
    <w:basedOn w:val="DefaultParagraphFont"/>
    <w:link w:val="Heading9"/>
    <w:rsid w:val="00836710"/>
    <w:rPr>
      <w:rFonts w:ascii="Times New Roman" w:eastAsia="Times New Roman" w:hAnsi="Times New Roman" w:cs="Arial"/>
      <w:color w:val="0000FF"/>
      <w:sz w:val="20"/>
      <w:lang w:eastAsia="en-AU"/>
    </w:rPr>
  </w:style>
  <w:style w:type="paragraph" w:customStyle="1" w:styleId="HeadingBase">
    <w:name w:val="Heading Base"/>
    <w:next w:val="Normal"/>
    <w:rsid w:val="00836710"/>
    <w:pPr>
      <w:keepNext/>
      <w:spacing w:after="0" w:line="240" w:lineRule="auto"/>
    </w:pPr>
    <w:rPr>
      <w:rFonts w:ascii="Times New Roman" w:eastAsia="Times New Roman" w:hAnsi="Times New Roman" w:cs="Times New Roman"/>
      <w:color w:val="0000FF"/>
      <w:sz w:val="20"/>
      <w:szCs w:val="20"/>
      <w:lang w:eastAsia="en-AU"/>
    </w:rPr>
  </w:style>
  <w:style w:type="paragraph" w:customStyle="1" w:styleId="ChartGraphic">
    <w:name w:val="Chart Graphic"/>
    <w:basedOn w:val="HeadingBase"/>
    <w:next w:val="Normal"/>
    <w:rsid w:val="00836710"/>
    <w:pPr>
      <w:jc w:val="center"/>
    </w:pPr>
  </w:style>
  <w:style w:type="paragraph" w:customStyle="1" w:styleId="TableGraphic">
    <w:name w:val="Table Graphic"/>
    <w:basedOn w:val="HeadingBase"/>
    <w:next w:val="Normal"/>
    <w:rsid w:val="00836710"/>
  </w:style>
  <w:style w:type="paragraph" w:customStyle="1" w:styleId="BoxTextBase">
    <w:name w:val="Box Text Base"/>
    <w:basedOn w:val="Normal"/>
    <w:rsid w:val="00836710"/>
  </w:style>
  <w:style w:type="paragraph" w:customStyle="1" w:styleId="BoxBullet">
    <w:name w:val="Box Bullet"/>
    <w:basedOn w:val="BoxTextBase"/>
    <w:rsid w:val="00836710"/>
    <w:pPr>
      <w:numPr>
        <w:numId w:val="22"/>
      </w:numPr>
      <w:ind w:left="284" w:hanging="284"/>
    </w:pPr>
  </w:style>
  <w:style w:type="paragraph" w:customStyle="1" w:styleId="BoxDash">
    <w:name w:val="Box Dash"/>
    <w:basedOn w:val="Normal"/>
    <w:rsid w:val="00836710"/>
    <w:pPr>
      <w:numPr>
        <w:ilvl w:val="1"/>
        <w:numId w:val="22"/>
      </w:numPr>
    </w:pPr>
  </w:style>
  <w:style w:type="paragraph" w:customStyle="1" w:styleId="BoxDoubleDot">
    <w:name w:val="Box Double Dot"/>
    <w:basedOn w:val="BoxTextBase"/>
    <w:rsid w:val="00836710"/>
    <w:pPr>
      <w:numPr>
        <w:ilvl w:val="2"/>
        <w:numId w:val="22"/>
      </w:numPr>
    </w:pPr>
  </w:style>
  <w:style w:type="paragraph" w:customStyle="1" w:styleId="BoxHeading">
    <w:name w:val="Box Heading"/>
    <w:basedOn w:val="HeadingBase"/>
    <w:next w:val="Normal"/>
    <w:rsid w:val="00836710"/>
    <w:pPr>
      <w:spacing w:before="240" w:after="120"/>
    </w:pPr>
    <w:rPr>
      <w:b/>
      <w:sz w:val="22"/>
    </w:rPr>
  </w:style>
  <w:style w:type="paragraph" w:customStyle="1" w:styleId="BoxText">
    <w:name w:val="Box Text"/>
    <w:basedOn w:val="BoxTextBase"/>
    <w:rsid w:val="00836710"/>
  </w:style>
  <w:style w:type="paragraph" w:styleId="NormalIndent">
    <w:name w:val="Normal Indent"/>
    <w:basedOn w:val="Normal"/>
    <w:rsid w:val="00836710"/>
    <w:pPr>
      <w:ind w:left="567"/>
    </w:pPr>
  </w:style>
  <w:style w:type="paragraph" w:customStyle="1" w:styleId="ChartandTableFootnoteAlpha">
    <w:name w:val="Chart and Table Footnote Alpha"/>
    <w:basedOn w:val="ChartorTableNote"/>
    <w:rsid w:val="00836710"/>
  </w:style>
  <w:style w:type="paragraph" w:customStyle="1" w:styleId="ChartMainHeading">
    <w:name w:val="Chart Main Heading"/>
    <w:basedOn w:val="Normal"/>
    <w:next w:val="ChartGraphic"/>
    <w:rsid w:val="00836710"/>
    <w:pPr>
      <w:keepNext/>
      <w:jc w:val="center"/>
    </w:pPr>
    <w:rPr>
      <w:b/>
      <w:bCs w:val="0"/>
      <w:color w:val="0000FF"/>
    </w:rPr>
  </w:style>
  <w:style w:type="paragraph" w:customStyle="1" w:styleId="ChartorTableNote">
    <w:name w:val="Chart or Table Note"/>
    <w:basedOn w:val="FootnoteText"/>
    <w:next w:val="Normal"/>
    <w:rsid w:val="00836710"/>
    <w:rPr>
      <w:rFonts w:ascii="Times New Roman" w:hAnsi="Times New Roman"/>
    </w:rPr>
  </w:style>
  <w:style w:type="paragraph" w:customStyle="1" w:styleId="ChartSecondHeading">
    <w:name w:val="Chart Second Heading"/>
    <w:basedOn w:val="HeadingBase"/>
    <w:next w:val="ChartGraphic"/>
    <w:rsid w:val="00836710"/>
    <w:pPr>
      <w:spacing w:after="20"/>
      <w:jc w:val="center"/>
    </w:pPr>
  </w:style>
  <w:style w:type="paragraph" w:customStyle="1" w:styleId="Classification">
    <w:name w:val="Classification"/>
    <w:basedOn w:val="HeadingBase"/>
    <w:next w:val="Footer"/>
    <w:rsid w:val="00836710"/>
    <w:pPr>
      <w:spacing w:after="120"/>
      <w:jc w:val="center"/>
    </w:pPr>
    <w:rPr>
      <w:b/>
      <w:smallCaps/>
    </w:rPr>
  </w:style>
  <w:style w:type="paragraph" w:customStyle="1" w:styleId="ContentsHeading">
    <w:name w:val="Contents Heading"/>
    <w:basedOn w:val="HeadingBase"/>
    <w:next w:val="Normal"/>
    <w:rsid w:val="00836710"/>
    <w:pPr>
      <w:spacing w:after="360"/>
    </w:pPr>
    <w:rPr>
      <w:sz w:val="36"/>
      <w:szCs w:val="36"/>
    </w:rPr>
  </w:style>
  <w:style w:type="paragraph" w:customStyle="1" w:styleId="CoverTitleSub">
    <w:name w:val="Cover Title Sub"/>
    <w:basedOn w:val="HeadingBase"/>
    <w:rsid w:val="00836710"/>
    <w:pPr>
      <w:spacing w:after="360"/>
      <w:jc w:val="center"/>
    </w:pPr>
    <w:rPr>
      <w:sz w:val="36"/>
    </w:rPr>
  </w:style>
  <w:style w:type="paragraph" w:customStyle="1" w:styleId="Covertitlelevel3">
    <w:name w:val="Cover title level 3"/>
    <w:basedOn w:val="CoverTitleSub"/>
    <w:rsid w:val="00836710"/>
  </w:style>
  <w:style w:type="paragraph" w:customStyle="1" w:styleId="CoverTitleMain">
    <w:name w:val="Cover Title Main"/>
    <w:basedOn w:val="HeadingBase"/>
    <w:next w:val="Normal"/>
    <w:rsid w:val="00836710"/>
    <w:pPr>
      <w:spacing w:after="480"/>
      <w:jc w:val="center"/>
    </w:pPr>
    <w:rPr>
      <w:b/>
      <w:sz w:val="48"/>
    </w:rPr>
  </w:style>
  <w:style w:type="paragraph" w:customStyle="1" w:styleId="Figuregraphic">
    <w:name w:val="Figure graphic"/>
    <w:basedOn w:val="Normal"/>
    <w:rsid w:val="00836710"/>
    <w:pPr>
      <w:spacing w:line="240" w:lineRule="auto"/>
      <w:jc w:val="center"/>
    </w:pPr>
  </w:style>
  <w:style w:type="paragraph" w:customStyle="1" w:styleId="FigureHeading">
    <w:name w:val="Figure Heading"/>
    <w:basedOn w:val="HeadingBase"/>
    <w:next w:val="Figuregraphic"/>
    <w:rsid w:val="00836710"/>
    <w:pPr>
      <w:spacing w:after="20"/>
      <w:jc w:val="center"/>
    </w:pPr>
    <w:rPr>
      <w:b/>
      <w:sz w:val="22"/>
      <w:szCs w:val="22"/>
    </w:rPr>
  </w:style>
  <w:style w:type="paragraph" w:customStyle="1" w:styleId="FigureSecondHeading">
    <w:name w:val="Figure Second Heading"/>
    <w:basedOn w:val="HeadingBase"/>
    <w:next w:val="Figuregraphic"/>
    <w:rsid w:val="00836710"/>
    <w:pPr>
      <w:spacing w:after="20"/>
      <w:jc w:val="center"/>
    </w:pPr>
  </w:style>
  <w:style w:type="paragraph" w:customStyle="1" w:styleId="TableMainHeading">
    <w:name w:val="Table Main Heading"/>
    <w:basedOn w:val="Normal"/>
    <w:next w:val="TableGraphic"/>
    <w:rsid w:val="00836710"/>
    <w:rPr>
      <w:b/>
      <w:bCs w:val="0"/>
    </w:rPr>
  </w:style>
  <w:style w:type="paragraph" w:customStyle="1" w:styleId="FooterCentered">
    <w:name w:val="Footer Centered"/>
    <w:basedOn w:val="FooterOdd"/>
    <w:rsid w:val="00836710"/>
    <w:pPr>
      <w:jc w:val="center"/>
    </w:pPr>
    <w:rPr>
      <w:szCs w:val="18"/>
    </w:rPr>
  </w:style>
  <w:style w:type="paragraph" w:customStyle="1" w:styleId="FooterEven">
    <w:name w:val="Footer Even"/>
    <w:basedOn w:val="FooterCentered"/>
    <w:rsid w:val="00836710"/>
    <w:pPr>
      <w:jc w:val="left"/>
    </w:pPr>
  </w:style>
  <w:style w:type="paragraph" w:customStyle="1" w:styleId="FooterOdd">
    <w:name w:val="Footer Odd"/>
    <w:basedOn w:val="Footer"/>
    <w:rsid w:val="00836710"/>
  </w:style>
  <w:style w:type="character" w:customStyle="1" w:styleId="FramedFooter">
    <w:name w:val="Framed Footer"/>
    <w:rsid w:val="00836710"/>
    <w:rPr>
      <w:rFonts w:ascii="Calibri" w:hAnsi="Calibri"/>
      <w:sz w:val="18"/>
    </w:rPr>
  </w:style>
  <w:style w:type="character" w:customStyle="1" w:styleId="FramedHeader">
    <w:name w:val="Framed Header"/>
    <w:basedOn w:val="DefaultParagraphFont"/>
    <w:rsid w:val="00836710"/>
    <w:rPr>
      <w:rFonts w:ascii="Times New Roman" w:hAnsi="Times New Roman"/>
      <w:dstrike w:val="0"/>
      <w:color w:val="auto"/>
      <w:sz w:val="18"/>
      <w:vertAlign w:val="baseline"/>
    </w:rPr>
  </w:style>
  <w:style w:type="paragraph" w:customStyle="1" w:styleId="HeaderEven">
    <w:name w:val="Header Even"/>
    <w:basedOn w:val="Header"/>
    <w:rsid w:val="00E76DC6"/>
    <w:pPr>
      <w:tabs>
        <w:tab w:val="left" w:pos="2337"/>
      </w:tabs>
      <w:spacing w:before="120"/>
      <w:jc w:val="left"/>
    </w:pPr>
    <w:rPr>
      <w:szCs w:val="18"/>
    </w:rPr>
  </w:style>
  <w:style w:type="paragraph" w:customStyle="1" w:styleId="HeaderOdd">
    <w:name w:val="Header Odd"/>
    <w:basedOn w:val="Header"/>
    <w:rsid w:val="00E76DC6"/>
    <w:pPr>
      <w:spacing w:before="120"/>
    </w:pPr>
    <w:rPr>
      <w:szCs w:val="18"/>
    </w:rPr>
  </w:style>
  <w:style w:type="character" w:customStyle="1" w:styleId="italic">
    <w:name w:val="italic"/>
    <w:basedOn w:val="DefaultParagraphFont"/>
    <w:rsid w:val="00836710"/>
    <w:rPr>
      <w:i/>
    </w:rPr>
  </w:style>
  <w:style w:type="paragraph" w:customStyle="1" w:styleId="NormalIndentItalics">
    <w:name w:val="Normal Indent Italics"/>
    <w:basedOn w:val="NormalIndent"/>
    <w:rsid w:val="00836710"/>
    <w:rPr>
      <w:i/>
    </w:rPr>
  </w:style>
  <w:style w:type="paragraph" w:customStyle="1" w:styleId="OneLevelNumberedParagraph">
    <w:name w:val="One Level Numbered Paragraph"/>
    <w:basedOn w:val="Normal"/>
    <w:rsid w:val="00836710"/>
    <w:pPr>
      <w:numPr>
        <w:numId w:val="30"/>
      </w:numPr>
    </w:pPr>
  </w:style>
  <w:style w:type="character" w:styleId="PageNumber">
    <w:name w:val="page number"/>
    <w:basedOn w:val="DefaultParagraphFont"/>
    <w:rsid w:val="00836710"/>
  </w:style>
  <w:style w:type="paragraph" w:customStyle="1" w:styleId="Principle">
    <w:name w:val="Principle"/>
    <w:basedOn w:val="Normal"/>
    <w:rsid w:val="00836710"/>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836710"/>
    <w:rPr>
      <w:i/>
    </w:rPr>
  </w:style>
  <w:style w:type="paragraph" w:customStyle="1" w:styleId="RecommendationBullet">
    <w:name w:val="Recommendation Bullet"/>
    <w:basedOn w:val="RecommendationTextBase"/>
    <w:rsid w:val="00836710"/>
    <w:pPr>
      <w:numPr>
        <w:numId w:val="32"/>
      </w:numPr>
    </w:pPr>
  </w:style>
  <w:style w:type="paragraph" w:customStyle="1" w:styleId="RecommendationDash">
    <w:name w:val="Recommendation Dash"/>
    <w:basedOn w:val="RecommendationTextBase"/>
    <w:rsid w:val="00836710"/>
    <w:pPr>
      <w:numPr>
        <w:ilvl w:val="1"/>
        <w:numId w:val="32"/>
      </w:numPr>
    </w:pPr>
  </w:style>
  <w:style w:type="paragraph" w:customStyle="1" w:styleId="RecommendationDoubleDot">
    <w:name w:val="Recommendation Double Dot"/>
    <w:basedOn w:val="RecommendationTextBase"/>
    <w:rsid w:val="00836710"/>
    <w:pPr>
      <w:numPr>
        <w:ilvl w:val="2"/>
        <w:numId w:val="32"/>
      </w:numPr>
    </w:pPr>
  </w:style>
  <w:style w:type="paragraph" w:customStyle="1" w:styleId="RecommendationHeading">
    <w:name w:val="Recommendation Heading"/>
    <w:basedOn w:val="HeadingBase"/>
    <w:next w:val="Normal"/>
    <w:rsid w:val="00836710"/>
    <w:pPr>
      <w:spacing w:before="120" w:after="240"/>
    </w:pPr>
    <w:rPr>
      <w:b/>
      <w:sz w:val="22"/>
    </w:rPr>
  </w:style>
  <w:style w:type="paragraph" w:customStyle="1" w:styleId="RecommendationText">
    <w:name w:val="Recommendation Text"/>
    <w:basedOn w:val="RecommendationTextBase"/>
    <w:rsid w:val="00836710"/>
  </w:style>
  <w:style w:type="paragraph" w:customStyle="1" w:styleId="Romannumeral">
    <w:name w:val="Roman numeral"/>
    <w:basedOn w:val="Normal"/>
    <w:rsid w:val="00836710"/>
    <w:pPr>
      <w:numPr>
        <w:numId w:val="33"/>
      </w:numPr>
    </w:pPr>
  </w:style>
  <w:style w:type="paragraph" w:customStyle="1" w:styleId="SingleParagraph">
    <w:name w:val="Single Paragraph"/>
    <w:basedOn w:val="Normal"/>
    <w:rsid w:val="00836710"/>
    <w:pPr>
      <w:spacing w:after="0"/>
    </w:pPr>
  </w:style>
  <w:style w:type="paragraph" w:customStyle="1" w:styleId="SingleParagraphIndent">
    <w:name w:val="Single Paragraph Indent"/>
    <w:basedOn w:val="SingleParagraph"/>
    <w:rsid w:val="00836710"/>
    <w:pPr>
      <w:ind w:left="567"/>
    </w:pPr>
  </w:style>
  <w:style w:type="paragraph" w:customStyle="1" w:styleId="TableSecondHeading">
    <w:name w:val="Table Second Heading"/>
    <w:basedOn w:val="HeadingBase"/>
    <w:next w:val="TableGraphic"/>
    <w:rsid w:val="00836710"/>
    <w:pPr>
      <w:spacing w:after="20"/>
    </w:pPr>
  </w:style>
  <w:style w:type="paragraph" w:customStyle="1" w:styleId="TableTextBase">
    <w:name w:val="Table Text Base"/>
    <w:rsid w:val="00836710"/>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ColumnHeadingBase"/>
    <w:rsid w:val="00836710"/>
    <w:pPr>
      <w:jc w:val="center"/>
    </w:pPr>
  </w:style>
  <w:style w:type="paragraph" w:customStyle="1" w:styleId="TableColumnHeadingBase">
    <w:name w:val="Table Column Heading Base"/>
    <w:basedOn w:val="Normal"/>
    <w:rsid w:val="00836710"/>
    <w:pPr>
      <w:spacing w:before="40" w:after="40" w:line="240" w:lineRule="auto"/>
    </w:pPr>
    <w:rPr>
      <w:rFonts w:ascii="Arial" w:hAnsi="Arial"/>
      <w:b/>
      <w:sz w:val="16"/>
    </w:rPr>
  </w:style>
  <w:style w:type="paragraph" w:customStyle="1" w:styleId="TableColumnHeadingLeft">
    <w:name w:val="Table Column Heading Left"/>
    <w:basedOn w:val="TableColumnHeadingBase"/>
    <w:rsid w:val="00836710"/>
    <w:rPr>
      <w:rFonts w:ascii="Calibri" w:hAnsi="Calibri"/>
      <w:sz w:val="18"/>
    </w:rPr>
  </w:style>
  <w:style w:type="paragraph" w:customStyle="1" w:styleId="TableColumnHeadingRight">
    <w:name w:val="Table Column Heading Right"/>
    <w:basedOn w:val="TableColumnHeadingBase"/>
    <w:rsid w:val="00836710"/>
    <w:pPr>
      <w:jc w:val="right"/>
    </w:pPr>
  </w:style>
  <w:style w:type="table" w:styleId="TableGrid">
    <w:name w:val="Table Grid"/>
    <w:basedOn w:val="TableNormal"/>
    <w:rsid w:val="00836710"/>
    <w:pPr>
      <w:spacing w:after="240" w:line="260" w:lineRule="exact"/>
      <w:jc w:val="both"/>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clear" w:color="auto" w:fill="E6E6E6"/>
    </w:tcPr>
  </w:style>
  <w:style w:type="paragraph" w:customStyle="1" w:styleId="TableMainHeadingContd">
    <w:name w:val="Table Main Heading Contd"/>
    <w:basedOn w:val="HeadingBase"/>
    <w:next w:val="TableGraphic"/>
    <w:rsid w:val="00836710"/>
    <w:pPr>
      <w:pageBreakBefore/>
      <w:spacing w:after="20"/>
    </w:pPr>
    <w:rPr>
      <w:b/>
      <w:sz w:val="22"/>
    </w:rPr>
  </w:style>
  <w:style w:type="paragraph" w:customStyle="1" w:styleId="TableTextCentered">
    <w:name w:val="Table Text Centered"/>
    <w:basedOn w:val="TableTextBase"/>
    <w:rsid w:val="00836710"/>
    <w:pPr>
      <w:jc w:val="center"/>
    </w:pPr>
  </w:style>
  <w:style w:type="paragraph" w:customStyle="1" w:styleId="TableTextIndented">
    <w:name w:val="Table Text Indented"/>
    <w:basedOn w:val="TableTextBase"/>
    <w:rsid w:val="00836710"/>
    <w:pPr>
      <w:ind w:left="284"/>
    </w:pPr>
  </w:style>
  <w:style w:type="paragraph" w:customStyle="1" w:styleId="TableTextLeft">
    <w:name w:val="Table Text Left"/>
    <w:basedOn w:val="TableTextBase"/>
    <w:rsid w:val="00836710"/>
  </w:style>
  <w:style w:type="paragraph" w:customStyle="1" w:styleId="TableTextRight">
    <w:name w:val="Table Text Right"/>
    <w:basedOn w:val="TableTextBase"/>
    <w:rsid w:val="00836710"/>
    <w:pPr>
      <w:jc w:val="right"/>
    </w:pPr>
  </w:style>
  <w:style w:type="paragraph" w:styleId="TOC1">
    <w:name w:val="toc 1"/>
    <w:basedOn w:val="HeadingBase"/>
    <w:next w:val="Normal"/>
    <w:rsid w:val="00836710"/>
    <w:pPr>
      <w:tabs>
        <w:tab w:val="right" w:leader="dot" w:pos="9072"/>
      </w:tabs>
      <w:spacing w:before="180"/>
      <w:ind w:right="851"/>
    </w:pPr>
    <w:rPr>
      <w:b/>
      <w:sz w:val="22"/>
      <w:szCs w:val="22"/>
    </w:rPr>
  </w:style>
  <w:style w:type="paragraph" w:styleId="TOC2">
    <w:name w:val="toc 2"/>
    <w:basedOn w:val="HeadingBase"/>
    <w:next w:val="Normal"/>
    <w:rsid w:val="00836710"/>
    <w:pPr>
      <w:tabs>
        <w:tab w:val="right" w:leader="dot" w:pos="9072"/>
      </w:tabs>
      <w:spacing w:before="40" w:after="20"/>
      <w:ind w:right="851"/>
    </w:pPr>
    <w:rPr>
      <w:sz w:val="22"/>
    </w:rPr>
  </w:style>
  <w:style w:type="paragraph" w:styleId="TOC3">
    <w:name w:val="toc 3"/>
    <w:basedOn w:val="Normal"/>
    <w:next w:val="Normal"/>
    <w:rsid w:val="00836710"/>
    <w:pPr>
      <w:tabs>
        <w:tab w:val="right" w:leader="dot" w:pos="9072"/>
      </w:tabs>
      <w:spacing w:before="20" w:after="0" w:line="240" w:lineRule="auto"/>
      <w:ind w:left="284" w:right="851"/>
    </w:pPr>
  </w:style>
  <w:style w:type="paragraph" w:styleId="TOC4">
    <w:name w:val="toc 4"/>
    <w:basedOn w:val="Normal"/>
    <w:next w:val="Normal"/>
    <w:rsid w:val="00836710"/>
    <w:pPr>
      <w:tabs>
        <w:tab w:val="right" w:leader="dot" w:pos="9072"/>
      </w:tabs>
      <w:spacing w:after="0" w:line="240" w:lineRule="auto"/>
      <w:ind w:left="284" w:right="851"/>
    </w:pPr>
  </w:style>
  <w:style w:type="paragraph" w:styleId="BodyTextIndent2">
    <w:name w:val="Body Text Indent 2"/>
    <w:basedOn w:val="Normal"/>
    <w:link w:val="BodyTextIndent2Char"/>
    <w:rsid w:val="00836710"/>
    <w:pPr>
      <w:spacing w:line="480" w:lineRule="auto"/>
      <w:ind w:left="283"/>
    </w:pPr>
  </w:style>
  <w:style w:type="character" w:customStyle="1" w:styleId="BodyTextIndent2Char">
    <w:name w:val="Body Text Indent 2 Char"/>
    <w:basedOn w:val="DefaultParagraphFont"/>
    <w:link w:val="BodyTextIndent2"/>
    <w:rsid w:val="00836710"/>
    <w:rPr>
      <w:rFonts w:ascii="Times New Roman" w:eastAsia="Times New Roman" w:hAnsi="Times New Roman" w:cs="Times New Roman"/>
      <w:bCs/>
      <w:szCs w:val="20"/>
      <w:lang w:eastAsia="en-AU"/>
    </w:rPr>
  </w:style>
  <w:style w:type="paragraph" w:styleId="Caption">
    <w:name w:val="caption"/>
    <w:basedOn w:val="Normal"/>
    <w:next w:val="Normal"/>
    <w:qFormat/>
    <w:rsid w:val="00836710"/>
    <w:rPr>
      <w:b/>
      <w:bCs w:val="0"/>
    </w:rPr>
  </w:style>
  <w:style w:type="paragraph" w:styleId="DocumentMap">
    <w:name w:val="Document Map"/>
    <w:basedOn w:val="Normal"/>
    <w:link w:val="DocumentMapChar"/>
    <w:semiHidden/>
    <w:rsid w:val="00836710"/>
    <w:pPr>
      <w:shd w:val="clear" w:color="auto" w:fill="00CCFF"/>
    </w:pPr>
    <w:rPr>
      <w:rFonts w:ascii="Tahoma" w:hAnsi="Tahoma" w:cs="Tahoma"/>
    </w:rPr>
  </w:style>
  <w:style w:type="character" w:customStyle="1" w:styleId="DocumentMapChar">
    <w:name w:val="Document Map Char"/>
    <w:basedOn w:val="DefaultParagraphFont"/>
    <w:link w:val="DocumentMap"/>
    <w:semiHidden/>
    <w:rsid w:val="00836710"/>
    <w:rPr>
      <w:rFonts w:ascii="Tahoma" w:eastAsia="Times New Roman" w:hAnsi="Tahoma" w:cs="Tahoma"/>
      <w:bCs/>
      <w:szCs w:val="20"/>
      <w:shd w:val="clear" w:color="auto" w:fill="00CCFF"/>
      <w:lang w:eastAsia="en-AU"/>
    </w:rPr>
  </w:style>
  <w:style w:type="paragraph" w:styleId="Index1">
    <w:name w:val="index 1"/>
    <w:basedOn w:val="Normal"/>
    <w:next w:val="Normal"/>
    <w:autoRedefine/>
    <w:semiHidden/>
    <w:rsid w:val="00836710"/>
    <w:pPr>
      <w:ind w:left="200" w:hanging="200"/>
    </w:pPr>
  </w:style>
  <w:style w:type="paragraph" w:styleId="Index2">
    <w:name w:val="index 2"/>
    <w:basedOn w:val="Normal"/>
    <w:next w:val="Normal"/>
    <w:autoRedefine/>
    <w:semiHidden/>
    <w:rsid w:val="00836710"/>
    <w:pPr>
      <w:ind w:left="400" w:hanging="200"/>
    </w:pPr>
  </w:style>
  <w:style w:type="paragraph" w:styleId="Index3">
    <w:name w:val="index 3"/>
    <w:basedOn w:val="Normal"/>
    <w:next w:val="Normal"/>
    <w:autoRedefine/>
    <w:semiHidden/>
    <w:rsid w:val="00836710"/>
    <w:pPr>
      <w:ind w:left="600" w:hanging="200"/>
    </w:pPr>
  </w:style>
  <w:style w:type="paragraph" w:styleId="Index4">
    <w:name w:val="index 4"/>
    <w:basedOn w:val="Normal"/>
    <w:next w:val="Normal"/>
    <w:autoRedefine/>
    <w:semiHidden/>
    <w:rsid w:val="00836710"/>
    <w:pPr>
      <w:ind w:left="800" w:hanging="200"/>
    </w:pPr>
  </w:style>
  <w:style w:type="paragraph" w:styleId="Index5">
    <w:name w:val="index 5"/>
    <w:basedOn w:val="Normal"/>
    <w:next w:val="Normal"/>
    <w:autoRedefine/>
    <w:semiHidden/>
    <w:rsid w:val="00836710"/>
    <w:pPr>
      <w:ind w:left="1000" w:hanging="200"/>
    </w:pPr>
  </w:style>
  <w:style w:type="paragraph" w:styleId="Index6">
    <w:name w:val="index 6"/>
    <w:basedOn w:val="Normal"/>
    <w:next w:val="Normal"/>
    <w:autoRedefine/>
    <w:semiHidden/>
    <w:rsid w:val="00836710"/>
    <w:pPr>
      <w:ind w:left="1200" w:hanging="200"/>
    </w:pPr>
  </w:style>
  <w:style w:type="paragraph" w:styleId="Index7">
    <w:name w:val="index 7"/>
    <w:basedOn w:val="Normal"/>
    <w:next w:val="Normal"/>
    <w:autoRedefine/>
    <w:semiHidden/>
    <w:rsid w:val="00836710"/>
    <w:pPr>
      <w:ind w:left="1400" w:hanging="200"/>
    </w:pPr>
  </w:style>
  <w:style w:type="paragraph" w:styleId="Index8">
    <w:name w:val="index 8"/>
    <w:basedOn w:val="Normal"/>
    <w:next w:val="Normal"/>
    <w:autoRedefine/>
    <w:semiHidden/>
    <w:rsid w:val="00836710"/>
    <w:pPr>
      <w:ind w:left="1600" w:hanging="200"/>
    </w:pPr>
  </w:style>
  <w:style w:type="paragraph" w:styleId="Index9">
    <w:name w:val="index 9"/>
    <w:basedOn w:val="Normal"/>
    <w:next w:val="Normal"/>
    <w:autoRedefine/>
    <w:semiHidden/>
    <w:rsid w:val="00836710"/>
    <w:pPr>
      <w:ind w:left="1800" w:hanging="200"/>
    </w:pPr>
  </w:style>
  <w:style w:type="paragraph" w:styleId="IndexHeading">
    <w:name w:val="index heading"/>
    <w:basedOn w:val="Normal"/>
    <w:next w:val="Index1"/>
    <w:semiHidden/>
    <w:rsid w:val="00836710"/>
    <w:rPr>
      <w:rFonts w:ascii="Arial" w:hAnsi="Arial" w:cs="Arial"/>
      <w:b/>
      <w:bCs w:val="0"/>
    </w:rPr>
  </w:style>
  <w:style w:type="paragraph" w:styleId="MacroText">
    <w:name w:val="macro"/>
    <w:link w:val="MacroTextChar"/>
    <w:semiHidden/>
    <w:rsid w:val="0083671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836710"/>
    <w:rPr>
      <w:rFonts w:ascii="Courier New" w:eastAsia="Times New Roman" w:hAnsi="Courier New" w:cs="Courier New"/>
      <w:color w:val="000000"/>
      <w:sz w:val="20"/>
      <w:szCs w:val="20"/>
      <w:lang w:eastAsia="en-AU"/>
    </w:rPr>
  </w:style>
  <w:style w:type="numbering" w:customStyle="1" w:styleId="OutlineList">
    <w:name w:val="OutlineList"/>
    <w:uiPriority w:val="99"/>
    <w:rsid w:val="00836710"/>
    <w:pPr>
      <w:numPr>
        <w:numId w:val="27"/>
      </w:numPr>
    </w:pPr>
  </w:style>
  <w:style w:type="paragraph" w:customStyle="1" w:styleId="PictureCentred">
    <w:name w:val="Picture Centred"/>
    <w:basedOn w:val="Normal"/>
    <w:rsid w:val="00836710"/>
    <w:pPr>
      <w:spacing w:line="240" w:lineRule="atLeast"/>
      <w:jc w:val="center"/>
    </w:pPr>
  </w:style>
  <w:style w:type="paragraph" w:customStyle="1" w:styleId="PictureLeft">
    <w:name w:val="Picture Left"/>
    <w:basedOn w:val="PictureCentred"/>
    <w:rsid w:val="00836710"/>
    <w:pPr>
      <w:jc w:val="left"/>
    </w:pPr>
  </w:style>
  <w:style w:type="paragraph" w:customStyle="1" w:styleId="PictureIndent">
    <w:name w:val="Picture Indent"/>
    <w:basedOn w:val="PictureLeft"/>
    <w:rsid w:val="00836710"/>
    <w:pPr>
      <w:ind w:left="284"/>
    </w:pPr>
  </w:style>
  <w:style w:type="paragraph" w:styleId="TableofAuthorities">
    <w:name w:val="table of authorities"/>
    <w:basedOn w:val="Normal"/>
    <w:next w:val="Normal"/>
    <w:rsid w:val="00836710"/>
    <w:pPr>
      <w:ind w:left="200" w:hanging="200"/>
    </w:pPr>
  </w:style>
  <w:style w:type="paragraph" w:styleId="TableofFigures">
    <w:name w:val="table of figures"/>
    <w:basedOn w:val="Normal"/>
    <w:next w:val="Normal"/>
    <w:rsid w:val="00836710"/>
  </w:style>
  <w:style w:type="paragraph" w:styleId="TOAHeading">
    <w:name w:val="toa heading"/>
    <w:basedOn w:val="Normal"/>
    <w:next w:val="Normal"/>
    <w:semiHidden/>
    <w:rsid w:val="00836710"/>
    <w:rPr>
      <w:rFonts w:ascii="Arial" w:hAnsi="Arial" w:cs="Arial"/>
      <w:b/>
      <w:bCs w:val="0"/>
      <w:sz w:val="24"/>
      <w:szCs w:val="24"/>
    </w:rPr>
  </w:style>
  <w:style w:type="paragraph" w:styleId="TOC5">
    <w:name w:val="toc 5"/>
    <w:basedOn w:val="Normal"/>
    <w:next w:val="Normal"/>
    <w:autoRedefine/>
    <w:semiHidden/>
    <w:rsid w:val="00836710"/>
    <w:pPr>
      <w:ind w:left="800"/>
    </w:pPr>
  </w:style>
  <w:style w:type="paragraph" w:styleId="TOC6">
    <w:name w:val="toc 6"/>
    <w:basedOn w:val="Normal"/>
    <w:next w:val="Normal"/>
    <w:autoRedefine/>
    <w:semiHidden/>
    <w:rsid w:val="00836710"/>
    <w:pPr>
      <w:ind w:left="1000"/>
    </w:pPr>
  </w:style>
  <w:style w:type="paragraph" w:styleId="TOC7">
    <w:name w:val="toc 7"/>
    <w:basedOn w:val="Normal"/>
    <w:next w:val="Normal"/>
    <w:autoRedefine/>
    <w:semiHidden/>
    <w:rsid w:val="00836710"/>
    <w:pPr>
      <w:ind w:left="1200"/>
    </w:pPr>
  </w:style>
  <w:style w:type="paragraph" w:styleId="TOC8">
    <w:name w:val="toc 8"/>
    <w:basedOn w:val="Normal"/>
    <w:next w:val="Normal"/>
    <w:autoRedefine/>
    <w:semiHidden/>
    <w:rsid w:val="00836710"/>
    <w:pPr>
      <w:ind w:left="1400"/>
    </w:pPr>
  </w:style>
  <w:style w:type="paragraph" w:styleId="TOC9">
    <w:name w:val="toc 9"/>
    <w:basedOn w:val="Normal"/>
    <w:next w:val="Normal"/>
    <w:autoRedefine/>
    <w:semiHidden/>
    <w:rsid w:val="00836710"/>
    <w:pPr>
      <w:ind w:left="1600"/>
    </w:pPr>
  </w:style>
  <w:style w:type="numbering" w:customStyle="1" w:styleId="BulletedList">
    <w:name w:val="Bulleted List"/>
    <w:uiPriority w:val="99"/>
    <w:rsid w:val="00836710"/>
    <w:pPr>
      <w:numPr>
        <w:numId w:val="21"/>
      </w:numPr>
    </w:pPr>
  </w:style>
  <w:style w:type="numbering" w:customStyle="1" w:styleId="BoxBulletedList">
    <w:name w:val="Box Bulleted List"/>
    <w:uiPriority w:val="99"/>
    <w:rsid w:val="00836710"/>
    <w:pPr>
      <w:numPr>
        <w:numId w:val="22"/>
      </w:numPr>
    </w:pPr>
  </w:style>
  <w:style w:type="numbering" w:customStyle="1" w:styleId="AlphaParagraphList">
    <w:name w:val="Alpha Paragraph List"/>
    <w:uiPriority w:val="99"/>
    <w:rsid w:val="00836710"/>
    <w:pPr>
      <w:numPr>
        <w:numId w:val="24"/>
      </w:numPr>
    </w:pPr>
  </w:style>
  <w:style w:type="numbering" w:customStyle="1" w:styleId="OneLevelList">
    <w:name w:val="OneLevelList"/>
    <w:uiPriority w:val="99"/>
    <w:rsid w:val="00836710"/>
    <w:pPr>
      <w:numPr>
        <w:numId w:val="26"/>
      </w:numPr>
    </w:pPr>
  </w:style>
  <w:style w:type="numbering" w:customStyle="1" w:styleId="RecommendationBulletList">
    <w:name w:val="RecommendationBulletList"/>
    <w:uiPriority w:val="99"/>
    <w:rsid w:val="00836710"/>
    <w:pPr>
      <w:numPr>
        <w:numId w:val="28"/>
      </w:numPr>
    </w:pPr>
  </w:style>
  <w:style w:type="numbering" w:customStyle="1" w:styleId="RomanNumeralList">
    <w:name w:val="RomanNumeralList"/>
    <w:uiPriority w:val="99"/>
    <w:rsid w:val="00836710"/>
    <w:pPr>
      <w:numPr>
        <w:numId w:val="29"/>
      </w:numPr>
    </w:pPr>
  </w:style>
  <w:style w:type="numbering" w:customStyle="1" w:styleId="ChartandTableFootnoteAlphaList">
    <w:name w:val="ChartandTableFootnoteAlphaList"/>
    <w:uiPriority w:val="99"/>
    <w:rsid w:val="00836710"/>
    <w:pPr>
      <w:numPr>
        <w:numId w:val="34"/>
      </w:numPr>
    </w:pPr>
  </w:style>
  <w:style w:type="paragraph" w:customStyle="1" w:styleId="TableTextBullet">
    <w:name w:val="Table Text Bullet"/>
    <w:basedOn w:val="TableTextBase"/>
    <w:rsid w:val="00836710"/>
    <w:pPr>
      <w:numPr>
        <w:numId w:val="36"/>
      </w:numPr>
    </w:pPr>
  </w:style>
  <w:style w:type="numbering" w:customStyle="1" w:styleId="TableTestBulletList">
    <w:name w:val="Table Test Bullet List"/>
    <w:uiPriority w:val="99"/>
    <w:rsid w:val="00836710"/>
    <w:pPr>
      <w:numPr>
        <w:numId w:val="35"/>
      </w:numPr>
    </w:pPr>
  </w:style>
  <w:style w:type="numbering" w:customStyle="1" w:styleId="TableTextBulletList">
    <w:name w:val="Table Text Bullet List"/>
    <w:uiPriority w:val="99"/>
    <w:rsid w:val="00836710"/>
    <w:pPr>
      <w:numPr>
        <w:numId w:val="36"/>
      </w:numPr>
    </w:pPr>
  </w:style>
  <w:style w:type="paragraph" w:customStyle="1" w:styleId="StyleTableTextBulletLinespacingExactly13pt">
    <w:name w:val="Style Table Text Bullet + Line spacing:  Exactly 13 pt"/>
    <w:basedOn w:val="TableTextBullet"/>
    <w:rsid w:val="00836710"/>
    <w:pPr>
      <w:numPr>
        <w:numId w:val="0"/>
      </w:numPr>
      <w:spacing w:after="80" w:line="260" w:lineRule="exact"/>
    </w:pPr>
  </w:style>
  <w:style w:type="paragraph" w:customStyle="1" w:styleId="Reference">
    <w:name w:val="Reference"/>
    <w:basedOn w:val="Normal"/>
    <w:qFormat/>
    <w:rsid w:val="00836710"/>
    <w:rPr>
      <w:sz w:val="20"/>
    </w:rPr>
  </w:style>
  <w:style w:type="paragraph" w:customStyle="1" w:styleId="rightFooter">
    <w:name w:val="right Footer"/>
    <w:basedOn w:val="Footer"/>
    <w:rsid w:val="00836710"/>
  </w:style>
  <w:style w:type="paragraph" w:customStyle="1" w:styleId="Footerright">
    <w:name w:val="Footer right"/>
    <w:basedOn w:val="FooterCentered"/>
    <w:rsid w:val="00836710"/>
    <w:pPr>
      <w:jc w:val="right"/>
    </w:pPr>
  </w:style>
  <w:style w:type="paragraph" w:customStyle="1" w:styleId="Chaptertitle">
    <w:name w:val="Chapter title"/>
    <w:basedOn w:val="Heading1"/>
    <w:rsid w:val="00836710"/>
    <w:pPr>
      <w:spacing w:before="5000"/>
    </w:pPr>
  </w:style>
  <w:style w:type="character" w:customStyle="1" w:styleId="st1">
    <w:name w:val="st1"/>
    <w:basedOn w:val="DefaultParagraphFont"/>
    <w:rsid w:val="00F2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837">
      <w:bodyDiv w:val="1"/>
      <w:marLeft w:val="0"/>
      <w:marRight w:val="0"/>
      <w:marTop w:val="0"/>
      <w:marBottom w:val="0"/>
      <w:divBdr>
        <w:top w:val="none" w:sz="0" w:space="0" w:color="auto"/>
        <w:left w:val="none" w:sz="0" w:space="0" w:color="auto"/>
        <w:bottom w:val="none" w:sz="0" w:space="0" w:color="auto"/>
        <w:right w:val="none" w:sz="0" w:space="0" w:color="auto"/>
      </w:divBdr>
    </w:div>
    <w:div w:id="346176900">
      <w:bodyDiv w:val="1"/>
      <w:marLeft w:val="0"/>
      <w:marRight w:val="0"/>
      <w:marTop w:val="0"/>
      <w:marBottom w:val="0"/>
      <w:divBdr>
        <w:top w:val="none" w:sz="0" w:space="0" w:color="auto"/>
        <w:left w:val="none" w:sz="0" w:space="0" w:color="auto"/>
        <w:bottom w:val="none" w:sz="0" w:space="0" w:color="auto"/>
        <w:right w:val="none" w:sz="0" w:space="0" w:color="auto"/>
      </w:divBdr>
      <w:divsChild>
        <w:div w:id="596790601">
          <w:marLeft w:val="0"/>
          <w:marRight w:val="0"/>
          <w:marTop w:val="0"/>
          <w:marBottom w:val="0"/>
          <w:divBdr>
            <w:top w:val="none" w:sz="0" w:space="0" w:color="auto"/>
            <w:left w:val="none" w:sz="0" w:space="0" w:color="auto"/>
            <w:bottom w:val="none" w:sz="0" w:space="0" w:color="auto"/>
            <w:right w:val="none" w:sz="0" w:space="0" w:color="auto"/>
          </w:divBdr>
          <w:divsChild>
            <w:div w:id="350762539">
              <w:marLeft w:val="0"/>
              <w:marRight w:val="0"/>
              <w:marTop w:val="0"/>
              <w:marBottom w:val="0"/>
              <w:divBdr>
                <w:top w:val="none" w:sz="0" w:space="0" w:color="auto"/>
                <w:left w:val="none" w:sz="0" w:space="0" w:color="auto"/>
                <w:bottom w:val="none" w:sz="0" w:space="0" w:color="auto"/>
                <w:right w:val="none" w:sz="0" w:space="0" w:color="auto"/>
              </w:divBdr>
              <w:divsChild>
                <w:div w:id="1775247743">
                  <w:marLeft w:val="0"/>
                  <w:marRight w:val="0"/>
                  <w:marTop w:val="0"/>
                  <w:marBottom w:val="0"/>
                  <w:divBdr>
                    <w:top w:val="none" w:sz="0" w:space="0" w:color="auto"/>
                    <w:left w:val="none" w:sz="0" w:space="0" w:color="auto"/>
                    <w:bottom w:val="none" w:sz="0" w:space="0" w:color="auto"/>
                    <w:right w:val="none" w:sz="0" w:space="0" w:color="auto"/>
                  </w:divBdr>
                  <w:divsChild>
                    <w:div w:id="155537993">
                      <w:marLeft w:val="0"/>
                      <w:marRight w:val="0"/>
                      <w:marTop w:val="0"/>
                      <w:marBottom w:val="0"/>
                      <w:divBdr>
                        <w:top w:val="none" w:sz="0" w:space="0" w:color="auto"/>
                        <w:left w:val="none" w:sz="0" w:space="0" w:color="auto"/>
                        <w:bottom w:val="none" w:sz="0" w:space="0" w:color="auto"/>
                        <w:right w:val="none" w:sz="0" w:space="0" w:color="auto"/>
                      </w:divBdr>
                      <w:divsChild>
                        <w:div w:id="978151011">
                          <w:marLeft w:val="0"/>
                          <w:marRight w:val="0"/>
                          <w:marTop w:val="0"/>
                          <w:marBottom w:val="0"/>
                          <w:divBdr>
                            <w:top w:val="none" w:sz="0" w:space="0" w:color="auto"/>
                            <w:left w:val="none" w:sz="0" w:space="0" w:color="auto"/>
                            <w:bottom w:val="none" w:sz="0" w:space="0" w:color="auto"/>
                            <w:right w:val="none" w:sz="0" w:space="0" w:color="auto"/>
                          </w:divBdr>
                          <w:divsChild>
                            <w:div w:id="10894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4324">
      <w:bodyDiv w:val="1"/>
      <w:marLeft w:val="0"/>
      <w:marRight w:val="0"/>
      <w:marTop w:val="0"/>
      <w:marBottom w:val="0"/>
      <w:divBdr>
        <w:top w:val="none" w:sz="0" w:space="0" w:color="auto"/>
        <w:left w:val="none" w:sz="0" w:space="0" w:color="auto"/>
        <w:bottom w:val="none" w:sz="0" w:space="0" w:color="auto"/>
        <w:right w:val="none" w:sz="0" w:space="0" w:color="auto"/>
      </w:divBdr>
      <w:divsChild>
        <w:div w:id="429668621">
          <w:marLeft w:val="0"/>
          <w:marRight w:val="0"/>
          <w:marTop w:val="0"/>
          <w:marBottom w:val="0"/>
          <w:divBdr>
            <w:top w:val="none" w:sz="0" w:space="0" w:color="auto"/>
            <w:left w:val="none" w:sz="0" w:space="0" w:color="auto"/>
            <w:bottom w:val="none" w:sz="0" w:space="0" w:color="auto"/>
            <w:right w:val="none" w:sz="0" w:space="0" w:color="auto"/>
          </w:divBdr>
          <w:divsChild>
            <w:div w:id="637493652">
              <w:marLeft w:val="0"/>
              <w:marRight w:val="0"/>
              <w:marTop w:val="0"/>
              <w:marBottom w:val="0"/>
              <w:divBdr>
                <w:top w:val="none" w:sz="0" w:space="0" w:color="auto"/>
                <w:left w:val="none" w:sz="0" w:space="0" w:color="auto"/>
                <w:bottom w:val="none" w:sz="0" w:space="0" w:color="auto"/>
                <w:right w:val="none" w:sz="0" w:space="0" w:color="auto"/>
              </w:divBdr>
              <w:divsChild>
                <w:div w:id="1726101012">
                  <w:marLeft w:val="0"/>
                  <w:marRight w:val="0"/>
                  <w:marTop w:val="0"/>
                  <w:marBottom w:val="0"/>
                  <w:divBdr>
                    <w:top w:val="none" w:sz="0" w:space="0" w:color="auto"/>
                    <w:left w:val="none" w:sz="0" w:space="0" w:color="auto"/>
                    <w:bottom w:val="none" w:sz="0" w:space="0" w:color="auto"/>
                    <w:right w:val="none" w:sz="0" w:space="0" w:color="auto"/>
                  </w:divBdr>
                  <w:divsChild>
                    <w:div w:id="709258273">
                      <w:marLeft w:val="0"/>
                      <w:marRight w:val="0"/>
                      <w:marTop w:val="0"/>
                      <w:marBottom w:val="0"/>
                      <w:divBdr>
                        <w:top w:val="none" w:sz="0" w:space="0" w:color="auto"/>
                        <w:left w:val="none" w:sz="0" w:space="0" w:color="auto"/>
                        <w:bottom w:val="none" w:sz="0" w:space="0" w:color="auto"/>
                        <w:right w:val="none" w:sz="0" w:space="0" w:color="auto"/>
                      </w:divBdr>
                      <w:divsChild>
                        <w:div w:id="926616931">
                          <w:marLeft w:val="0"/>
                          <w:marRight w:val="0"/>
                          <w:marTop w:val="0"/>
                          <w:marBottom w:val="0"/>
                          <w:divBdr>
                            <w:top w:val="none" w:sz="0" w:space="0" w:color="auto"/>
                            <w:left w:val="none" w:sz="0" w:space="0" w:color="auto"/>
                            <w:bottom w:val="none" w:sz="0" w:space="0" w:color="auto"/>
                            <w:right w:val="none" w:sz="0" w:space="0" w:color="auto"/>
                          </w:divBdr>
                          <w:divsChild>
                            <w:div w:id="20517804">
                              <w:marLeft w:val="0"/>
                              <w:marRight w:val="0"/>
                              <w:marTop w:val="0"/>
                              <w:marBottom w:val="0"/>
                              <w:divBdr>
                                <w:top w:val="none" w:sz="0" w:space="0" w:color="auto"/>
                                <w:left w:val="none" w:sz="0" w:space="0" w:color="auto"/>
                                <w:bottom w:val="none" w:sz="0" w:space="0" w:color="auto"/>
                                <w:right w:val="none" w:sz="0" w:space="0" w:color="auto"/>
                              </w:divBdr>
                              <w:divsChild>
                                <w:div w:id="206331938">
                                  <w:marLeft w:val="0"/>
                                  <w:marRight w:val="0"/>
                                  <w:marTop w:val="0"/>
                                  <w:marBottom w:val="0"/>
                                  <w:divBdr>
                                    <w:top w:val="none" w:sz="0" w:space="0" w:color="auto"/>
                                    <w:left w:val="none" w:sz="0" w:space="0" w:color="auto"/>
                                    <w:bottom w:val="none" w:sz="0" w:space="0" w:color="auto"/>
                                    <w:right w:val="none" w:sz="0" w:space="0" w:color="auto"/>
                                  </w:divBdr>
                                </w:div>
                                <w:div w:id="2135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27255">
      <w:bodyDiv w:val="1"/>
      <w:marLeft w:val="0"/>
      <w:marRight w:val="0"/>
      <w:marTop w:val="0"/>
      <w:marBottom w:val="0"/>
      <w:divBdr>
        <w:top w:val="none" w:sz="0" w:space="0" w:color="auto"/>
        <w:left w:val="none" w:sz="0" w:space="0" w:color="auto"/>
        <w:bottom w:val="none" w:sz="0" w:space="0" w:color="auto"/>
        <w:right w:val="none" w:sz="0" w:space="0" w:color="auto"/>
      </w:divBdr>
      <w:divsChild>
        <w:div w:id="370034799">
          <w:marLeft w:val="0"/>
          <w:marRight w:val="0"/>
          <w:marTop w:val="0"/>
          <w:marBottom w:val="0"/>
          <w:divBdr>
            <w:top w:val="none" w:sz="0" w:space="0" w:color="auto"/>
            <w:left w:val="none" w:sz="0" w:space="0" w:color="auto"/>
            <w:bottom w:val="none" w:sz="0" w:space="0" w:color="auto"/>
            <w:right w:val="none" w:sz="0" w:space="0" w:color="auto"/>
          </w:divBdr>
          <w:divsChild>
            <w:div w:id="1470128395">
              <w:marLeft w:val="0"/>
              <w:marRight w:val="0"/>
              <w:marTop w:val="0"/>
              <w:marBottom w:val="0"/>
              <w:divBdr>
                <w:top w:val="none" w:sz="0" w:space="0" w:color="auto"/>
                <w:left w:val="none" w:sz="0" w:space="0" w:color="auto"/>
                <w:bottom w:val="none" w:sz="0" w:space="0" w:color="auto"/>
                <w:right w:val="none" w:sz="0" w:space="0" w:color="auto"/>
              </w:divBdr>
              <w:divsChild>
                <w:div w:id="1664625042">
                  <w:marLeft w:val="0"/>
                  <w:marRight w:val="0"/>
                  <w:marTop w:val="0"/>
                  <w:marBottom w:val="0"/>
                  <w:divBdr>
                    <w:top w:val="none" w:sz="0" w:space="0" w:color="auto"/>
                    <w:left w:val="none" w:sz="0" w:space="0" w:color="auto"/>
                    <w:bottom w:val="none" w:sz="0" w:space="0" w:color="auto"/>
                    <w:right w:val="none" w:sz="0" w:space="0" w:color="auto"/>
                  </w:divBdr>
                  <w:divsChild>
                    <w:div w:id="1344094272">
                      <w:marLeft w:val="0"/>
                      <w:marRight w:val="0"/>
                      <w:marTop w:val="0"/>
                      <w:marBottom w:val="0"/>
                      <w:divBdr>
                        <w:top w:val="none" w:sz="0" w:space="0" w:color="auto"/>
                        <w:left w:val="none" w:sz="0" w:space="0" w:color="auto"/>
                        <w:bottom w:val="none" w:sz="0" w:space="0" w:color="auto"/>
                        <w:right w:val="none" w:sz="0" w:space="0" w:color="auto"/>
                      </w:divBdr>
                      <w:divsChild>
                        <w:div w:id="808405630">
                          <w:marLeft w:val="0"/>
                          <w:marRight w:val="0"/>
                          <w:marTop w:val="0"/>
                          <w:marBottom w:val="0"/>
                          <w:divBdr>
                            <w:top w:val="none" w:sz="0" w:space="0" w:color="auto"/>
                            <w:left w:val="none" w:sz="0" w:space="0" w:color="auto"/>
                            <w:bottom w:val="none" w:sz="0" w:space="0" w:color="auto"/>
                            <w:right w:val="none" w:sz="0" w:space="0" w:color="auto"/>
                          </w:divBdr>
                          <w:divsChild>
                            <w:div w:id="1105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AAB7-AD9B-4FDD-863B-45651FB2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4441</TotalTime>
  <Pages>18</Pages>
  <Words>7909</Words>
  <Characters>46054</Characters>
  <Application>Microsoft Office Word</Application>
  <DocSecurity>0</DocSecurity>
  <Lines>663</Lines>
  <Paragraphs>187</Paragraphs>
  <ScaleCrop>false</ScaleCrop>
  <HeadingPairs>
    <vt:vector size="2" baseType="variant">
      <vt:variant>
        <vt:lpstr>Title</vt:lpstr>
      </vt:variant>
      <vt:variant>
        <vt:i4>1</vt:i4>
      </vt:variant>
    </vt:vector>
  </HeadingPairs>
  <TitlesOfParts>
    <vt:vector size="1" baseType="lpstr">
      <vt:lpstr>Review of Treasury Macroeconomic and Revenue Forecasting</vt:lpstr>
    </vt:vector>
  </TitlesOfParts>
  <Company>Australian Government - The Treasury</Company>
  <LinksUpToDate>false</LinksUpToDate>
  <CharactersWithSpaces>53875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Treasury Macroeconomic and Revenue Forecasting</dc:title>
  <dc:subject/>
  <dc:creator/>
  <cp:keywords/>
  <dc:description/>
  <cp:lastModifiedBy>Schumann, Vicky</cp:lastModifiedBy>
  <cp:revision>919</cp:revision>
  <cp:lastPrinted>2012-12-07T05:43:00Z</cp:lastPrinted>
  <dcterms:created xsi:type="dcterms:W3CDTF">2012-07-26T05:00:00Z</dcterms:created>
  <dcterms:modified xsi:type="dcterms:W3CDTF">2013-02-21T02:19:00Z</dcterms:modified>
</cp:coreProperties>
</file>