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8D" w:rsidRPr="004258FD" w:rsidRDefault="004B13F8" w:rsidP="009D7C2C">
      <w:pPr>
        <w:pStyle w:val="Heading1"/>
      </w:pPr>
      <w:bookmarkStart w:id="0" w:name="_GoBack"/>
      <w:bookmarkEnd w:id="0"/>
      <w:r w:rsidRPr="00F87E2C">
        <w:t>SECTION 3:</w:t>
      </w:r>
      <w:r w:rsidR="004F0077">
        <w:t xml:space="preserve"> </w:t>
      </w:r>
      <w:r w:rsidRPr="00F87E2C">
        <w:t>QUALITY AND A</w:t>
      </w:r>
      <w:r w:rsidR="004F0077">
        <w:t>CCURACY OF FORECAST PERFORMANCE</w:t>
      </w:r>
    </w:p>
    <w:p w:rsidR="003627ED" w:rsidRPr="004258FD" w:rsidRDefault="009406AA" w:rsidP="009D7C2C">
      <w:pPr>
        <w:pStyle w:val="Heading2"/>
      </w:pPr>
      <w:r w:rsidRPr="004258FD">
        <w:t>3.1</w:t>
      </w:r>
      <w:r w:rsidR="00123CC5">
        <w:t>:</w:t>
      </w:r>
      <w:r w:rsidR="00230FEF">
        <w:t xml:space="preserve"> </w:t>
      </w:r>
      <w:r w:rsidRPr="004258FD">
        <w:t>Approach to Forecasting Assessment</w:t>
      </w:r>
    </w:p>
    <w:p w:rsidR="003D3E4E" w:rsidRPr="004258FD" w:rsidRDefault="00883ED3" w:rsidP="009D7C2C">
      <w:pPr>
        <w:pStyle w:val="Heading3"/>
      </w:pPr>
      <w:r w:rsidRPr="004258FD">
        <w:t>Summary</w:t>
      </w:r>
    </w:p>
    <w:p w:rsidR="00C240C8" w:rsidRPr="00B558B7" w:rsidRDefault="00C240C8" w:rsidP="00B558B7">
      <w:pPr>
        <w:pStyle w:val="Bullet"/>
      </w:pPr>
      <w:r w:rsidRPr="004258FD">
        <w:t xml:space="preserve">The </w:t>
      </w:r>
      <w:r w:rsidR="00885759">
        <w:t>R</w:t>
      </w:r>
      <w:r w:rsidRPr="004258FD">
        <w:t xml:space="preserve">eview </w:t>
      </w:r>
      <w:r w:rsidR="000A0C82">
        <w:t xml:space="preserve">has </w:t>
      </w:r>
      <w:r w:rsidRPr="004258FD">
        <w:t>asses</w:t>
      </w:r>
      <w:r w:rsidR="002C3BBE" w:rsidRPr="004258FD">
        <w:t>s</w:t>
      </w:r>
      <w:r w:rsidR="00675DF3" w:rsidRPr="004258FD">
        <w:t>e</w:t>
      </w:r>
      <w:r w:rsidR="000A0C82">
        <w:t>d</w:t>
      </w:r>
      <w:r w:rsidR="002C3BBE" w:rsidRPr="004258FD">
        <w:t xml:space="preserve"> </w:t>
      </w:r>
      <w:r w:rsidRPr="004258FD">
        <w:t>Treasury</w:t>
      </w:r>
      <w:r w:rsidR="004F0077">
        <w:t>’</w:t>
      </w:r>
      <w:r w:rsidRPr="004258FD">
        <w:t xml:space="preserve">s forecast performance </w:t>
      </w:r>
      <w:r w:rsidR="002C3BBE" w:rsidRPr="004258FD">
        <w:t>against</w:t>
      </w:r>
      <w:r w:rsidRPr="004258FD">
        <w:t xml:space="preserve"> two desirable properties of forecasts. First, the forecasts should be unbiased</w:t>
      </w:r>
      <w:r w:rsidR="00B53AB7" w:rsidRPr="004258FD">
        <w:t>, that is the expected forecast error should be zero</w:t>
      </w:r>
      <w:r w:rsidRPr="004258FD">
        <w:t xml:space="preserve">. </w:t>
      </w:r>
      <w:r w:rsidR="002C3BBE" w:rsidRPr="004258FD">
        <w:t>And,</w:t>
      </w:r>
      <w:r w:rsidR="002C3BBE" w:rsidRPr="00B558B7">
        <w:t xml:space="preserve"> s</w:t>
      </w:r>
      <w:r w:rsidRPr="00B558B7">
        <w:t>econd, the</w:t>
      </w:r>
      <w:r w:rsidR="00B53AB7" w:rsidRPr="00B558B7">
        <w:t xml:space="preserve"> forecast</w:t>
      </w:r>
      <w:r w:rsidR="00F87E2C" w:rsidRPr="00B558B7">
        <w:t>s</w:t>
      </w:r>
      <w:r w:rsidRPr="00B558B7">
        <w:t xml:space="preserve"> should be accurate</w:t>
      </w:r>
      <w:r w:rsidR="009A2688" w:rsidRPr="00B558B7">
        <w:t xml:space="preserve">, </w:t>
      </w:r>
      <w:r w:rsidR="005F5F59" w:rsidRPr="00B558B7">
        <w:t xml:space="preserve">that is </w:t>
      </w:r>
      <w:r w:rsidR="009A2688" w:rsidRPr="00B558B7">
        <w:t>the actual forecast errors should be minimised to the extent possible</w:t>
      </w:r>
      <w:r w:rsidRPr="00B558B7">
        <w:t>.</w:t>
      </w:r>
    </w:p>
    <w:p w:rsidR="00C240C8" w:rsidRPr="004258FD" w:rsidRDefault="00C240C8" w:rsidP="00B558B7">
      <w:pPr>
        <w:pStyle w:val="Bullet"/>
      </w:pPr>
      <w:r w:rsidRPr="00B558B7">
        <w:t>To provide a benchmark agains</w:t>
      </w:r>
      <w:r w:rsidRPr="004258FD">
        <w:t>t which to assess accuracy, Treasury</w:t>
      </w:r>
      <w:r w:rsidR="004F0077">
        <w:t>’</w:t>
      </w:r>
      <w:r w:rsidRPr="004258FD">
        <w:t>s forecast</w:t>
      </w:r>
      <w:r w:rsidR="00EF1686" w:rsidRPr="004258FD">
        <w:t xml:space="preserve"> </w:t>
      </w:r>
      <w:r w:rsidR="00001675" w:rsidRPr="004258FD">
        <w:t>performance</w:t>
      </w:r>
      <w:r w:rsidRPr="004258FD">
        <w:t xml:space="preserve"> </w:t>
      </w:r>
      <w:r w:rsidR="00675DF3" w:rsidRPr="004258FD">
        <w:t>is</w:t>
      </w:r>
      <w:r w:rsidRPr="004258FD">
        <w:t xml:space="preserve"> compared to th</w:t>
      </w:r>
      <w:r w:rsidR="00161951" w:rsidRPr="004258FD">
        <w:t xml:space="preserve">at </w:t>
      </w:r>
      <w:r w:rsidRPr="004258FD">
        <w:t xml:space="preserve">of </w:t>
      </w:r>
      <w:r w:rsidR="00354162">
        <w:t xml:space="preserve">other </w:t>
      </w:r>
      <w:r w:rsidR="00885759">
        <w:t xml:space="preserve">domestic </w:t>
      </w:r>
      <w:r w:rsidRPr="004258FD">
        <w:t xml:space="preserve">forecasters and </w:t>
      </w:r>
      <w:r w:rsidR="0040300E">
        <w:t xml:space="preserve">official agencies </w:t>
      </w:r>
      <w:r w:rsidRPr="004258FD">
        <w:t>overseas and also to</w:t>
      </w:r>
      <w:r w:rsidR="00001675" w:rsidRPr="004258FD">
        <w:t xml:space="preserve"> the performance of </w:t>
      </w:r>
      <w:r w:rsidRPr="004258FD">
        <w:t>naive forecasting rule</w:t>
      </w:r>
      <w:r w:rsidR="00675DF3" w:rsidRPr="004258FD">
        <w:t>s</w:t>
      </w:r>
      <w:r w:rsidRPr="004258FD">
        <w:t xml:space="preserve">, based on the past trend behaviour of the </w:t>
      </w:r>
      <w:r w:rsidR="00E46E21">
        <w:t xml:space="preserve">forecast </w:t>
      </w:r>
      <w:r w:rsidRPr="004258FD">
        <w:t>series.</w:t>
      </w:r>
    </w:p>
    <w:p w:rsidR="009402A2" w:rsidRPr="004258FD" w:rsidRDefault="00883ED3" w:rsidP="009D7C2C">
      <w:pPr>
        <w:pStyle w:val="Heading3"/>
      </w:pPr>
      <w:r w:rsidRPr="004258FD">
        <w:t>Description</w:t>
      </w:r>
      <w:r w:rsidR="009402A2" w:rsidRPr="004258FD">
        <w:t xml:space="preserve"> of the data</w:t>
      </w:r>
    </w:p>
    <w:p w:rsidR="009402A2" w:rsidRPr="004258FD" w:rsidRDefault="00EE5764" w:rsidP="00946BF4">
      <w:r w:rsidRPr="005F5F59">
        <w:t>T</w:t>
      </w:r>
      <w:r w:rsidR="00C757AF" w:rsidRPr="005F5F59">
        <w:t>h</w:t>
      </w:r>
      <w:r w:rsidR="006D37D8" w:rsidRPr="005F5F59">
        <w:t>e</w:t>
      </w:r>
      <w:r w:rsidR="00C757AF" w:rsidRPr="005F5F59">
        <w:t xml:space="preserve"> </w:t>
      </w:r>
      <w:r w:rsidR="0040300E" w:rsidRPr="005F5F59">
        <w:t>R</w:t>
      </w:r>
      <w:r w:rsidR="00C757AF" w:rsidRPr="005F5F59">
        <w:t xml:space="preserve">eview </w:t>
      </w:r>
      <w:r w:rsidR="000A0C82" w:rsidRPr="005F5F59">
        <w:t xml:space="preserve">has </w:t>
      </w:r>
      <w:r w:rsidR="00C757AF" w:rsidRPr="005F5F59">
        <w:t>focus</w:t>
      </w:r>
      <w:r w:rsidR="00675DF3" w:rsidRPr="005F5F59">
        <w:t>e</w:t>
      </w:r>
      <w:r w:rsidR="000A0C82" w:rsidRPr="005F5F59">
        <w:t>d</w:t>
      </w:r>
      <w:r w:rsidR="00C757AF" w:rsidRPr="005F5F59">
        <w:t xml:space="preserve"> </w:t>
      </w:r>
      <w:r w:rsidR="00AA07F6" w:rsidRPr="005F5F59">
        <w:t xml:space="preserve">its assessment of </w:t>
      </w:r>
      <w:r w:rsidR="00E63072" w:rsidRPr="005F5F59">
        <w:t>Treasury</w:t>
      </w:r>
      <w:r w:rsidR="004F0077">
        <w:t>’</w:t>
      </w:r>
      <w:r w:rsidR="00E63072" w:rsidRPr="005F5F59">
        <w:t xml:space="preserve">s </w:t>
      </w:r>
      <w:r w:rsidR="00AA07F6" w:rsidRPr="005F5F59">
        <w:t>macroeconomic forecast</w:t>
      </w:r>
      <w:r w:rsidR="00C240C8" w:rsidRPr="005F5F59">
        <w:t>s on</w:t>
      </w:r>
      <w:r w:rsidR="00C757AF" w:rsidRPr="005F5F59">
        <w:t xml:space="preserve"> t</w:t>
      </w:r>
      <w:r w:rsidR="009402A2" w:rsidRPr="005F5F59">
        <w:t>h</w:t>
      </w:r>
      <w:r w:rsidR="005557F3" w:rsidRPr="005F5F59">
        <w:t>os</w:t>
      </w:r>
      <w:r w:rsidR="009402A2" w:rsidRPr="005F5F59">
        <w:t xml:space="preserve">e </w:t>
      </w:r>
      <w:r w:rsidR="002B0BEF" w:rsidRPr="005F5F59">
        <w:t>series</w:t>
      </w:r>
      <w:r w:rsidR="009402A2" w:rsidRPr="005F5F59">
        <w:t xml:space="preserve"> which are most important for revenue forecasting</w:t>
      </w:r>
      <w:r w:rsidR="000F1203" w:rsidRPr="005F5F59">
        <w:t>. Th</w:t>
      </w:r>
      <w:r w:rsidR="00ED7262" w:rsidRPr="005F5F59">
        <w:t>e</w:t>
      </w:r>
      <w:r w:rsidR="00A9393E" w:rsidRPr="005F5F59">
        <w:t>se series</w:t>
      </w:r>
      <w:r w:rsidR="005557F3" w:rsidRPr="005F5F59">
        <w:t xml:space="preserve"> include </w:t>
      </w:r>
      <w:r w:rsidR="009402A2" w:rsidRPr="005F5F59">
        <w:t xml:space="preserve">nominal GDP and </w:t>
      </w:r>
      <w:r w:rsidR="00231FC8" w:rsidRPr="005F5F59">
        <w:t>the</w:t>
      </w:r>
      <w:r w:rsidR="009402A2" w:rsidRPr="005F5F59">
        <w:t xml:space="preserve"> major components</w:t>
      </w:r>
      <w:r w:rsidR="00231FC8" w:rsidRPr="005F5F59">
        <w:t xml:space="preserve"> of the income </w:t>
      </w:r>
      <w:r w:rsidR="005557F3" w:rsidRPr="005F5F59">
        <w:t>measure of</w:t>
      </w:r>
      <w:r w:rsidR="00231FC8" w:rsidRPr="005F5F59">
        <w:t xml:space="preserve"> nominal GDP</w:t>
      </w:r>
      <w:r w:rsidR="00ED7262" w:rsidRPr="005F5F59">
        <w:t xml:space="preserve">, in particular </w:t>
      </w:r>
      <w:r w:rsidR="009402A2" w:rsidRPr="005F5F59">
        <w:t>compensation of employees and gross operating surplus.</w:t>
      </w:r>
      <w:r w:rsidR="00230FEF">
        <w:t xml:space="preserve"> </w:t>
      </w:r>
      <w:r w:rsidR="000F1203" w:rsidRPr="005F5F59">
        <w:t xml:space="preserve">The </w:t>
      </w:r>
      <w:r w:rsidR="009402A2" w:rsidRPr="005F5F59">
        <w:t xml:space="preserve">nominal GDP forecasts are </w:t>
      </w:r>
      <w:r w:rsidR="00ED7262" w:rsidRPr="005F5F59">
        <w:t xml:space="preserve">constructed </w:t>
      </w:r>
      <w:r w:rsidR="009402A2" w:rsidRPr="005F5F59">
        <w:t xml:space="preserve">from </w:t>
      </w:r>
      <w:r w:rsidR="006D37D8" w:rsidRPr="005F5F59">
        <w:t xml:space="preserve">the </w:t>
      </w:r>
      <w:r w:rsidR="009402A2" w:rsidRPr="005F5F59">
        <w:t>real GDP and GDP deflator forecasts</w:t>
      </w:r>
      <w:r w:rsidR="00231FC8" w:rsidRPr="005F5F59">
        <w:t>,</w:t>
      </w:r>
      <w:r w:rsidR="009402A2" w:rsidRPr="005F5F59">
        <w:t xml:space="preserve"> </w:t>
      </w:r>
      <w:r w:rsidR="000F1203" w:rsidRPr="005F5F59">
        <w:t xml:space="preserve">and therefore </w:t>
      </w:r>
      <w:r w:rsidR="009402A2" w:rsidRPr="005F5F59">
        <w:t xml:space="preserve">these </w:t>
      </w:r>
      <w:r w:rsidR="000F1203" w:rsidRPr="005F5F59">
        <w:t>series</w:t>
      </w:r>
      <w:r w:rsidR="005B3B8D" w:rsidRPr="005F5F59">
        <w:t>, and the terms of trade</w:t>
      </w:r>
      <w:r w:rsidR="008719B3">
        <w:t>,</w:t>
      </w:r>
      <w:r w:rsidR="000142D4">
        <w:t xml:space="preserve"> </w:t>
      </w:r>
      <w:r w:rsidR="009402A2" w:rsidRPr="005F5F59">
        <w:t>are also assessed.</w:t>
      </w:r>
      <w:r w:rsidR="00D35F81" w:rsidRPr="005F5F59">
        <w:t xml:space="preserve"> </w:t>
      </w:r>
      <w:r w:rsidR="005557F3" w:rsidRPr="005F5F59">
        <w:t xml:space="preserve">In terms of </w:t>
      </w:r>
      <w:r w:rsidR="00ED7262" w:rsidRPr="005F5F59">
        <w:t>Treasury</w:t>
      </w:r>
      <w:r w:rsidR="004F0077">
        <w:t>’</w:t>
      </w:r>
      <w:r w:rsidR="00ED7262" w:rsidRPr="005F5F59">
        <w:t xml:space="preserve">s </w:t>
      </w:r>
      <w:r w:rsidR="005557F3" w:rsidRPr="005F5F59">
        <w:t>revenue</w:t>
      </w:r>
      <w:r w:rsidR="00ED7262" w:rsidRPr="005F5F59">
        <w:t xml:space="preserve"> forecasts</w:t>
      </w:r>
      <w:r w:rsidR="005557F3" w:rsidRPr="005F5F59">
        <w:t>, t</w:t>
      </w:r>
      <w:r w:rsidR="00D35F81" w:rsidRPr="005F5F59">
        <w:t xml:space="preserve">he </w:t>
      </w:r>
      <w:r w:rsidR="0040300E" w:rsidRPr="005F5F59">
        <w:t>R</w:t>
      </w:r>
      <w:r w:rsidR="005557F3" w:rsidRPr="005F5F59">
        <w:t xml:space="preserve">eview </w:t>
      </w:r>
      <w:r w:rsidR="000A0C82" w:rsidRPr="005F5F59">
        <w:t xml:space="preserve">has </w:t>
      </w:r>
      <w:r w:rsidR="005E24C6" w:rsidRPr="005F5F59">
        <w:t>assess</w:t>
      </w:r>
      <w:r w:rsidR="00675DF3" w:rsidRPr="005F5F59">
        <w:t>e</w:t>
      </w:r>
      <w:r w:rsidR="000A0C82" w:rsidRPr="005F5F59">
        <w:t>d</w:t>
      </w:r>
      <w:r w:rsidR="005557F3" w:rsidRPr="005F5F59">
        <w:t xml:space="preserve"> the </w:t>
      </w:r>
      <w:r w:rsidR="00D35F81" w:rsidRPr="005F5F59">
        <w:t xml:space="preserve">performance of </w:t>
      </w:r>
      <w:r w:rsidR="00ED7262" w:rsidRPr="005F5F59">
        <w:t xml:space="preserve">aggregate </w:t>
      </w:r>
      <w:r w:rsidR="00B525DA" w:rsidRPr="005F5F59">
        <w:t xml:space="preserve">taxation </w:t>
      </w:r>
      <w:r w:rsidR="00D35F81" w:rsidRPr="005F5F59">
        <w:t xml:space="preserve">revenue </w:t>
      </w:r>
      <w:r w:rsidR="000C0E08" w:rsidRPr="005F5F59">
        <w:t xml:space="preserve">and </w:t>
      </w:r>
      <w:r w:rsidR="00D35F81" w:rsidRPr="005F5F59">
        <w:t xml:space="preserve">the major </w:t>
      </w:r>
      <w:r w:rsidR="00C757AF" w:rsidRPr="005F5F59">
        <w:t>heads</w:t>
      </w:r>
      <w:r w:rsidR="005F5F59" w:rsidRPr="00E94C96">
        <w:t xml:space="preserve"> of revenue</w:t>
      </w:r>
      <w:r w:rsidR="00D35F81" w:rsidRPr="005F5F59">
        <w:t>.</w:t>
      </w:r>
      <w:r w:rsidR="00402A5B">
        <w:t xml:space="preserve"> All the analysis presented for revenue is on a cash basis because this is the only method of recognition of revenue that has data back to 1990</w:t>
      </w:r>
      <w:r w:rsidR="00674CFB">
        <w:noBreakHyphen/>
      </w:r>
      <w:r w:rsidR="00402A5B">
        <w:t>91.</w:t>
      </w:r>
    </w:p>
    <w:p w:rsidR="009402A2" w:rsidRPr="004258FD" w:rsidRDefault="009402A2" w:rsidP="00946BF4">
      <w:r w:rsidRPr="004258FD">
        <w:t>The forecasts are assessed over the period 1990</w:t>
      </w:r>
      <w:r w:rsidR="00674CFB">
        <w:noBreakHyphen/>
      </w:r>
      <w:r w:rsidRPr="004258FD">
        <w:t>91 to 2011</w:t>
      </w:r>
      <w:r w:rsidR="00674CFB">
        <w:noBreakHyphen/>
      </w:r>
      <w:r w:rsidRPr="004258FD">
        <w:t>12</w:t>
      </w:r>
      <w:r w:rsidR="00CB65A4">
        <w:t>, data permitting</w:t>
      </w:r>
      <w:r w:rsidR="00D35F81" w:rsidRPr="004258FD">
        <w:t xml:space="preserve">. The </w:t>
      </w:r>
      <w:r w:rsidR="00A82E68" w:rsidRPr="004258FD">
        <w:t xml:space="preserve">start date </w:t>
      </w:r>
      <w:r w:rsidR="000C0E08" w:rsidRPr="004258FD">
        <w:t xml:space="preserve">for the assessment period </w:t>
      </w:r>
      <w:r w:rsidR="005873A9" w:rsidRPr="004258FD">
        <w:t xml:space="preserve">was chosen because </w:t>
      </w:r>
      <w:r w:rsidR="00D35F81" w:rsidRPr="004258FD">
        <w:t xml:space="preserve">it coincides with </w:t>
      </w:r>
      <w:r w:rsidR="00A82E68" w:rsidRPr="004258FD">
        <w:t xml:space="preserve">a </w:t>
      </w:r>
      <w:r w:rsidR="00C26AD4" w:rsidRPr="004258FD">
        <w:t xml:space="preserve">major </w:t>
      </w:r>
      <w:r w:rsidR="00A82E68" w:rsidRPr="004258FD">
        <w:t>structural break in the economy</w:t>
      </w:r>
      <w:r w:rsidR="005873A9" w:rsidRPr="004258FD">
        <w:t>,</w:t>
      </w:r>
      <w:r w:rsidR="00A82E68" w:rsidRPr="004258FD">
        <w:t xml:space="preserve"> reflecting the </w:t>
      </w:r>
      <w:r w:rsidR="004F0A17" w:rsidRPr="004258FD">
        <w:t xml:space="preserve">transition of </w:t>
      </w:r>
      <w:r w:rsidR="00A82E68" w:rsidRPr="004258FD">
        <w:t xml:space="preserve">Australia </w:t>
      </w:r>
      <w:r w:rsidR="00D35F81" w:rsidRPr="004258FD">
        <w:t xml:space="preserve">to </w:t>
      </w:r>
      <w:r w:rsidR="00A82E68" w:rsidRPr="004258FD">
        <w:t xml:space="preserve">a </w:t>
      </w:r>
      <w:r w:rsidR="00D35F81" w:rsidRPr="004258FD">
        <w:t>low</w:t>
      </w:r>
      <w:r w:rsidR="00674CFB">
        <w:noBreakHyphen/>
      </w:r>
      <w:r w:rsidR="00D35F81" w:rsidRPr="004258FD">
        <w:t>inflation environment.</w:t>
      </w:r>
      <w:r w:rsidR="00230FEF">
        <w:t xml:space="preserve"> </w:t>
      </w:r>
      <w:r w:rsidR="00442ACA" w:rsidRPr="004258FD">
        <w:t>T</w:t>
      </w:r>
      <w:r w:rsidRPr="004258FD">
        <w:t>he fo</w:t>
      </w:r>
      <w:r w:rsidR="00123131" w:rsidRPr="004258FD">
        <w:t>recast</w:t>
      </w:r>
      <w:r w:rsidR="00BF69BE" w:rsidRPr="004258FD">
        <w:t>s are also</w:t>
      </w:r>
      <w:r w:rsidR="00123131" w:rsidRPr="004258FD">
        <w:t xml:space="preserve"> assess</w:t>
      </w:r>
      <w:r w:rsidR="00BF69BE" w:rsidRPr="004258FD">
        <w:t xml:space="preserve">ed over </w:t>
      </w:r>
      <w:r w:rsidR="00123131" w:rsidRPr="004258FD">
        <w:t>four</w:t>
      </w:r>
      <w:r w:rsidRPr="004258FD">
        <w:t xml:space="preserve"> </w:t>
      </w:r>
      <w:r w:rsidR="006D21FB" w:rsidRPr="004258FD">
        <w:t xml:space="preserve">distinct economic </w:t>
      </w:r>
      <w:r w:rsidRPr="004258FD">
        <w:t>sub</w:t>
      </w:r>
      <w:r w:rsidR="00674CFB">
        <w:noBreakHyphen/>
      </w:r>
      <w:r w:rsidR="006625E4" w:rsidRPr="004258FD">
        <w:t>periods that</w:t>
      </w:r>
      <w:r w:rsidR="00B61EA3" w:rsidRPr="004258FD">
        <w:t xml:space="preserve"> </w:t>
      </w:r>
      <w:r w:rsidR="00BF69BE" w:rsidRPr="004258FD">
        <w:t xml:space="preserve">reveal patterns in forecast errors </w:t>
      </w:r>
      <w:r w:rsidR="00812BFD" w:rsidRPr="004258FD">
        <w:t>that</w:t>
      </w:r>
      <w:r w:rsidR="00BF69BE" w:rsidRPr="004258FD">
        <w:t xml:space="preserve"> </w:t>
      </w:r>
      <w:r w:rsidR="006D21FB" w:rsidRPr="004258FD">
        <w:t xml:space="preserve">are obscured over the </w:t>
      </w:r>
      <w:r w:rsidR="00913CFD" w:rsidRPr="004258FD">
        <w:t>full</w:t>
      </w:r>
      <w:r w:rsidR="006D21FB" w:rsidRPr="004258FD">
        <w:t xml:space="preserve"> sample</w:t>
      </w:r>
      <w:r w:rsidR="00442ACA" w:rsidRPr="004258FD">
        <w:t xml:space="preserve">. </w:t>
      </w:r>
      <w:r w:rsidR="00675DF3" w:rsidRPr="004258FD">
        <w:t>These sub periods are</w:t>
      </w:r>
      <w:r w:rsidR="00AA07F6" w:rsidRPr="004258FD">
        <w:t xml:space="preserve">: </w:t>
      </w:r>
      <w:r w:rsidRPr="004258FD">
        <w:t>1990</w:t>
      </w:r>
      <w:r w:rsidR="00674CFB">
        <w:noBreakHyphen/>
      </w:r>
      <w:r w:rsidRPr="004258FD">
        <w:t>91 to 1993</w:t>
      </w:r>
      <w:r w:rsidR="00674CFB">
        <w:noBreakHyphen/>
      </w:r>
      <w:r w:rsidRPr="004258FD">
        <w:t>94, which includes the early 1990s recession</w:t>
      </w:r>
      <w:r w:rsidR="00442ACA" w:rsidRPr="004258FD">
        <w:t>;</w:t>
      </w:r>
      <w:r w:rsidR="00230FEF">
        <w:t xml:space="preserve"> </w:t>
      </w:r>
      <w:r w:rsidRPr="004258FD">
        <w:t>1994</w:t>
      </w:r>
      <w:r w:rsidR="00674CFB">
        <w:noBreakHyphen/>
      </w:r>
      <w:r w:rsidRPr="004258FD">
        <w:t xml:space="preserve">95 to </w:t>
      </w:r>
      <w:r w:rsidR="00FA3BAC" w:rsidRPr="004258FD">
        <w:t>2002</w:t>
      </w:r>
      <w:r w:rsidR="00674CFB">
        <w:noBreakHyphen/>
      </w:r>
      <w:r w:rsidR="00FA3BAC" w:rsidRPr="004258FD">
        <w:t>03</w:t>
      </w:r>
      <w:r w:rsidR="00883ED3" w:rsidRPr="004258FD">
        <w:t>,</w:t>
      </w:r>
      <w:r w:rsidR="00FA3BAC" w:rsidRPr="004258FD">
        <w:t xml:space="preserve"> </w:t>
      </w:r>
      <w:r w:rsidRPr="004258FD">
        <w:t xml:space="preserve">which </w:t>
      </w:r>
      <w:r w:rsidR="00442ACA" w:rsidRPr="004258FD">
        <w:t>covers</w:t>
      </w:r>
      <w:r w:rsidRPr="004258FD">
        <w:t xml:space="preserve"> a period of </w:t>
      </w:r>
      <w:r w:rsidR="00442ACA" w:rsidRPr="004258FD">
        <w:t>relatively</w:t>
      </w:r>
      <w:r w:rsidRPr="004258FD">
        <w:t xml:space="preserve"> stable growth</w:t>
      </w:r>
      <w:r w:rsidR="00442ACA" w:rsidRPr="004258FD">
        <w:t>;</w:t>
      </w:r>
      <w:r w:rsidRPr="004258FD">
        <w:t xml:space="preserve"> </w:t>
      </w:r>
      <w:r w:rsidR="00FA3BAC" w:rsidRPr="004258FD">
        <w:t>2003</w:t>
      </w:r>
      <w:r w:rsidR="00674CFB">
        <w:noBreakHyphen/>
      </w:r>
      <w:r w:rsidR="00FA3BAC" w:rsidRPr="004258FD">
        <w:t>04 to 2007</w:t>
      </w:r>
      <w:r w:rsidR="00674CFB">
        <w:noBreakHyphen/>
      </w:r>
      <w:r w:rsidR="00FA3BAC" w:rsidRPr="004258FD">
        <w:t>08</w:t>
      </w:r>
      <w:r w:rsidR="00883ED3" w:rsidRPr="004258FD">
        <w:t>,</w:t>
      </w:r>
      <w:r w:rsidR="00FA3BAC" w:rsidRPr="004258FD">
        <w:t xml:space="preserve"> which covers the first mining boom</w:t>
      </w:r>
      <w:r w:rsidR="00442ACA" w:rsidRPr="004258FD">
        <w:t>;</w:t>
      </w:r>
      <w:r w:rsidR="00FA3BAC" w:rsidRPr="004258FD">
        <w:t xml:space="preserve"> </w:t>
      </w:r>
      <w:r w:rsidRPr="004258FD">
        <w:t>and 2008</w:t>
      </w:r>
      <w:r w:rsidR="00674CFB">
        <w:noBreakHyphen/>
      </w:r>
      <w:r w:rsidRPr="004258FD">
        <w:t xml:space="preserve">09 </w:t>
      </w:r>
      <w:r w:rsidR="00B93412" w:rsidRPr="004258FD">
        <w:t>to 2011</w:t>
      </w:r>
      <w:r w:rsidR="00674CFB">
        <w:noBreakHyphen/>
      </w:r>
      <w:r w:rsidR="00B93412" w:rsidRPr="004258FD">
        <w:t>12, which includes the global financial c</w:t>
      </w:r>
      <w:r w:rsidRPr="004258FD">
        <w:t>risis</w:t>
      </w:r>
      <w:r w:rsidR="00B32D3F" w:rsidRPr="004258FD">
        <w:t>, and the emergence of a second phase of the mining boom</w:t>
      </w:r>
      <w:r w:rsidRPr="004258FD">
        <w:t>.</w:t>
      </w:r>
    </w:p>
    <w:p w:rsidR="009402A2" w:rsidRPr="004258FD" w:rsidRDefault="009402A2" w:rsidP="00946BF4">
      <w:r w:rsidRPr="004258FD">
        <w:t>In principle, the macroeconomic forecast performance c</w:t>
      </w:r>
      <w:r w:rsidR="00B671F8" w:rsidRPr="004258FD">
        <w:t>ould</w:t>
      </w:r>
      <w:r w:rsidRPr="004258FD">
        <w:t xml:space="preserve"> be </w:t>
      </w:r>
      <w:r w:rsidR="00A2011E">
        <w:t xml:space="preserve">measured </w:t>
      </w:r>
      <w:r w:rsidRPr="004258FD">
        <w:t xml:space="preserve">against the </w:t>
      </w:r>
      <w:r w:rsidR="00843254">
        <w:t>ABS</w:t>
      </w:r>
      <w:r w:rsidR="004F0077">
        <w:t>’</w:t>
      </w:r>
      <w:r w:rsidR="00024DB4">
        <w:t>s</w:t>
      </w:r>
      <w:r w:rsidR="00843254">
        <w:t xml:space="preserve"> </w:t>
      </w:r>
      <w:r w:rsidRPr="004258FD">
        <w:t>first</w:t>
      </w:r>
      <w:r w:rsidR="005F5F59">
        <w:t xml:space="preserve">, or </w:t>
      </w:r>
      <w:r w:rsidRPr="004258FD">
        <w:t>most recent</w:t>
      </w:r>
      <w:r w:rsidR="005F5F59">
        <w:t>,</w:t>
      </w:r>
      <w:r w:rsidRPr="004258FD">
        <w:t xml:space="preserve"> published outcomes</w:t>
      </w:r>
      <w:r w:rsidR="00354162">
        <w:t>, which are</w:t>
      </w:r>
      <w:r w:rsidRPr="004258FD">
        <w:t xml:space="preserve"> from the June</w:t>
      </w:r>
      <w:r w:rsidR="00355464">
        <w:t> </w:t>
      </w:r>
      <w:r w:rsidRPr="004258FD">
        <w:t>quarter 2012 National Accounts release</w:t>
      </w:r>
      <w:r w:rsidR="007B0AE7">
        <w:t xml:space="preserve"> (at the time of the preparation of this report)</w:t>
      </w:r>
      <w:r w:rsidRPr="004258FD">
        <w:t>.</w:t>
      </w:r>
      <w:r w:rsidR="00230FEF">
        <w:t xml:space="preserve"> </w:t>
      </w:r>
      <w:r w:rsidRPr="004258FD">
        <w:t xml:space="preserve">The measure of forecast performance </w:t>
      </w:r>
      <w:r w:rsidR="00683018" w:rsidRPr="004258FD">
        <w:t xml:space="preserve">depends importantly </w:t>
      </w:r>
      <w:r w:rsidR="006B6014" w:rsidRPr="004258FD">
        <w:t xml:space="preserve">on the choice of benchmark </w:t>
      </w:r>
      <w:r w:rsidR="00355464">
        <w:t xml:space="preserve">due to </w:t>
      </w:r>
      <w:r w:rsidRPr="004258FD">
        <w:t>ABS revisions.</w:t>
      </w:r>
      <w:r w:rsidR="00230FEF">
        <w:t xml:space="preserve"> </w:t>
      </w:r>
      <w:r w:rsidR="009773D8" w:rsidRPr="004258FD">
        <w:t>Th</w:t>
      </w:r>
      <w:r w:rsidR="0051101F">
        <w:t>e Review</w:t>
      </w:r>
      <w:r w:rsidR="009773D8" w:rsidRPr="004258FD">
        <w:t xml:space="preserve"> </w:t>
      </w:r>
      <w:r w:rsidR="0051101F">
        <w:t xml:space="preserve">has compared Treasury forecasts </w:t>
      </w:r>
      <w:r w:rsidR="009773D8" w:rsidRPr="004258FD">
        <w:t xml:space="preserve">with </w:t>
      </w:r>
      <w:r w:rsidRPr="004258FD">
        <w:t>the most recent estimated outcomes for two reasons.</w:t>
      </w:r>
      <w:r w:rsidR="00230FEF">
        <w:t xml:space="preserve"> </w:t>
      </w:r>
      <w:r w:rsidRPr="004258FD">
        <w:t>First, the most recent estimated outcomes represent the ABS</w:t>
      </w:r>
      <w:r w:rsidR="004F0077">
        <w:t>’</w:t>
      </w:r>
      <w:r w:rsidRPr="004258FD">
        <w:t>s current best estimates of the true outcomes.</w:t>
      </w:r>
      <w:r w:rsidR="00230FEF">
        <w:t xml:space="preserve"> </w:t>
      </w:r>
      <w:r w:rsidR="009773D8" w:rsidRPr="004258FD">
        <w:t>And, s</w:t>
      </w:r>
      <w:r w:rsidRPr="004258FD">
        <w:t>econd</w:t>
      </w:r>
      <w:r w:rsidR="00843254">
        <w:t xml:space="preserve">, </w:t>
      </w:r>
      <w:r w:rsidR="003A2E35" w:rsidRPr="004258FD">
        <w:t>Treasury</w:t>
      </w:r>
      <w:r w:rsidR="004F0077">
        <w:t>’</w:t>
      </w:r>
      <w:r w:rsidR="003A2E35" w:rsidRPr="004258FD">
        <w:t xml:space="preserve">s </w:t>
      </w:r>
      <w:r w:rsidRPr="004258FD">
        <w:t>revenue mapping models use the most recent estimates of the nominal economy in order to forecast tax</w:t>
      </w:r>
      <w:r w:rsidR="008043FD">
        <w:t>ation</w:t>
      </w:r>
      <w:r w:rsidRPr="004258FD">
        <w:t xml:space="preserve"> revenue</w:t>
      </w:r>
      <w:r w:rsidR="00A82E68" w:rsidRPr="004258FD">
        <w:t xml:space="preserve"> and hence it is these estimates that </w:t>
      </w:r>
      <w:r w:rsidR="008E140F" w:rsidRPr="004258FD">
        <w:t>are most important for revenue forecasting purposes</w:t>
      </w:r>
      <w:r w:rsidRPr="004258FD">
        <w:t>.</w:t>
      </w:r>
      <w:r w:rsidR="00921E68">
        <w:rPr>
          <w:rStyle w:val="FootnoteReference"/>
          <w:sz w:val="24"/>
          <w:szCs w:val="24"/>
        </w:rPr>
        <w:footnoteReference w:id="1"/>
      </w:r>
    </w:p>
    <w:p w:rsidR="009402A2" w:rsidRPr="004258FD" w:rsidRDefault="00883ED3" w:rsidP="009D7C2C">
      <w:pPr>
        <w:pStyle w:val="Heading3"/>
      </w:pPr>
      <w:r w:rsidRPr="004258FD">
        <w:t>Measures</w:t>
      </w:r>
      <w:r w:rsidR="00F7505B" w:rsidRPr="004258FD">
        <w:t xml:space="preserve"> of forecasting performance</w:t>
      </w:r>
    </w:p>
    <w:p w:rsidR="009402A2" w:rsidRPr="004258FD" w:rsidRDefault="009402A2" w:rsidP="00B558B7">
      <w:r w:rsidRPr="004258FD">
        <w:t xml:space="preserve">There are many approaches to measuring forecast performance. </w:t>
      </w:r>
      <w:r w:rsidR="0084008E" w:rsidRPr="004258FD">
        <w:t xml:space="preserve">The </w:t>
      </w:r>
      <w:r w:rsidR="005E1811">
        <w:t>R</w:t>
      </w:r>
      <w:r w:rsidR="005E1811" w:rsidRPr="004258FD">
        <w:t xml:space="preserve">eview </w:t>
      </w:r>
      <w:r w:rsidR="0084008E" w:rsidRPr="004258FD">
        <w:t>base</w:t>
      </w:r>
      <w:r w:rsidR="00675DF3" w:rsidRPr="004258FD">
        <w:t>s</w:t>
      </w:r>
      <w:r w:rsidR="0084008E" w:rsidRPr="004258FD">
        <w:t xml:space="preserve"> its assessment of Treasury</w:t>
      </w:r>
      <w:r w:rsidR="004F0077">
        <w:t>’</w:t>
      </w:r>
      <w:r w:rsidR="0084008E" w:rsidRPr="004258FD">
        <w:t>s forecast performance upon two desirable properties of forecasts</w:t>
      </w:r>
      <w:r w:rsidR="00EC361E">
        <w:t xml:space="preserve">. </w:t>
      </w:r>
      <w:r w:rsidR="00F41012" w:rsidRPr="004258FD">
        <w:t>First, the forecasts should be unbiased, that is the expected forecast error should be zero. And, second, the forecast</w:t>
      </w:r>
      <w:r w:rsidR="00F41012">
        <w:t>s</w:t>
      </w:r>
      <w:r w:rsidR="00F41012" w:rsidRPr="004258FD">
        <w:t xml:space="preserve"> should be </w:t>
      </w:r>
      <w:r w:rsidR="00F41012" w:rsidRPr="004258FD">
        <w:lastRenderedPageBreak/>
        <w:t>accurate</w:t>
      </w:r>
      <w:r w:rsidR="00F41012">
        <w:t xml:space="preserve">, </w:t>
      </w:r>
      <w:r w:rsidR="003B357D">
        <w:t xml:space="preserve">that is </w:t>
      </w:r>
      <w:r w:rsidR="00F41012">
        <w:t>the actual forecast errors should be minimised to the extent possible</w:t>
      </w:r>
      <w:r w:rsidR="00F41012" w:rsidRPr="004258FD">
        <w:t>.</w:t>
      </w:r>
      <w:r w:rsidR="003B1914" w:rsidRPr="004258FD">
        <w:rPr>
          <w:rStyle w:val="FootnoteReference"/>
          <w:sz w:val="24"/>
          <w:szCs w:val="24"/>
        </w:rPr>
        <w:footnoteReference w:id="2"/>
      </w:r>
      <w:r w:rsidR="00F41012">
        <w:t xml:space="preserve"> </w:t>
      </w:r>
      <w:r w:rsidR="00EC361E">
        <w:t xml:space="preserve">It draws upon </w:t>
      </w:r>
      <w:r w:rsidR="00EC361E" w:rsidRPr="004258FD">
        <w:t xml:space="preserve">metrics </w:t>
      </w:r>
      <w:r w:rsidR="000A702E">
        <w:t>that</w:t>
      </w:r>
      <w:r w:rsidR="00EC361E" w:rsidRPr="004258FD">
        <w:t xml:space="preserve"> have been commonly used in such analysis, and are easy to interpret</w:t>
      </w:r>
      <w:r w:rsidR="00EC361E">
        <w:t>.</w:t>
      </w:r>
      <w:r w:rsidR="00EC361E" w:rsidRPr="004258FD">
        <w:t xml:space="preserve"> </w:t>
      </w:r>
      <w:r w:rsidR="0084008E" w:rsidRPr="004258FD">
        <w:t xml:space="preserve">These metrics are </w:t>
      </w:r>
      <w:r w:rsidRPr="004258FD">
        <w:t>the mean error and the mean absolute error (or in percentage points, the mean absolute percentage error)</w:t>
      </w:r>
      <w:r w:rsidR="003B3861" w:rsidRPr="004258FD">
        <w:t>.</w:t>
      </w:r>
    </w:p>
    <w:p w:rsidR="009402A2" w:rsidRPr="004258FD" w:rsidRDefault="009402A2" w:rsidP="00946BF4">
      <w:r w:rsidRPr="004258FD">
        <w:t xml:space="preserve">The </w:t>
      </w:r>
      <w:r w:rsidRPr="004258FD">
        <w:rPr>
          <w:i/>
        </w:rPr>
        <w:t>mean</w:t>
      </w:r>
      <w:r w:rsidRPr="004258FD">
        <w:t xml:space="preserve"> error measures the </w:t>
      </w:r>
      <w:r w:rsidRPr="004258FD">
        <w:rPr>
          <w:i/>
        </w:rPr>
        <w:t>bias</w:t>
      </w:r>
      <w:r w:rsidRPr="004258FD">
        <w:t xml:space="preserve"> of the forecasts. A positive </w:t>
      </w:r>
      <w:r w:rsidR="00B35362" w:rsidRPr="004258FD">
        <w:t xml:space="preserve">(negative) </w:t>
      </w:r>
      <w:r w:rsidRPr="004258FD">
        <w:t xml:space="preserve">number indicates that, on average, </w:t>
      </w:r>
      <w:r w:rsidR="00011E8B">
        <w:t xml:space="preserve">the </w:t>
      </w:r>
      <w:r w:rsidRPr="004258FD">
        <w:t>forecast</w:t>
      </w:r>
      <w:r w:rsidR="0084008E" w:rsidRPr="004258FD">
        <w:t xml:space="preserve"> </w:t>
      </w:r>
      <w:r w:rsidR="00011E8B">
        <w:t xml:space="preserve">has </w:t>
      </w:r>
      <w:r w:rsidRPr="004258FD">
        <w:t xml:space="preserve">tended to be higher </w:t>
      </w:r>
      <w:r w:rsidR="00B35362" w:rsidRPr="004258FD">
        <w:t xml:space="preserve">(lower) </w:t>
      </w:r>
      <w:r w:rsidRPr="004258FD">
        <w:t>than the outcome.</w:t>
      </w:r>
      <w:r w:rsidR="00230FEF">
        <w:t xml:space="preserve"> </w:t>
      </w:r>
      <w:r w:rsidR="0084008E" w:rsidRPr="004258FD">
        <w:t>All other things equal, a figure closer to zero indicates a better forecasting performance.</w:t>
      </w:r>
      <w:r w:rsidR="00B35362" w:rsidRPr="004258FD">
        <w:t xml:space="preserve"> </w:t>
      </w:r>
      <w:r w:rsidRPr="004258FD">
        <w:t xml:space="preserve">The </w:t>
      </w:r>
      <w:r w:rsidRPr="004258FD">
        <w:rPr>
          <w:i/>
        </w:rPr>
        <w:t>mean absolute</w:t>
      </w:r>
      <w:r w:rsidRPr="004258FD">
        <w:t xml:space="preserve"> error measures the </w:t>
      </w:r>
      <w:r w:rsidRPr="004258FD">
        <w:rPr>
          <w:i/>
        </w:rPr>
        <w:t>accuracy</w:t>
      </w:r>
      <w:r w:rsidRPr="004258FD">
        <w:t xml:space="preserve"> of the forecasts, as it measures the average distance between the forecast and the outcome</w:t>
      </w:r>
      <w:r w:rsidR="00116D4A">
        <w:t xml:space="preserve">, </w:t>
      </w:r>
      <w:r w:rsidR="00A1021F">
        <w:t>which</w:t>
      </w:r>
      <w:r w:rsidR="00116D4A">
        <w:t xml:space="preserve"> is the size of the typical error</w:t>
      </w:r>
      <w:r w:rsidRPr="004258FD">
        <w:t>.</w:t>
      </w:r>
      <w:r w:rsidR="00230FEF">
        <w:t xml:space="preserve"> </w:t>
      </w:r>
      <w:r w:rsidR="0084008E" w:rsidRPr="004258FD">
        <w:t>All other things equal</w:t>
      </w:r>
      <w:r w:rsidRPr="004258FD">
        <w:t xml:space="preserve">, </w:t>
      </w:r>
      <w:r w:rsidR="0084008E" w:rsidRPr="004258FD">
        <w:t xml:space="preserve">a </w:t>
      </w:r>
      <w:r w:rsidRPr="004258FD">
        <w:t>smaller number indicate</w:t>
      </w:r>
      <w:r w:rsidR="0084008E" w:rsidRPr="004258FD">
        <w:t>s a</w:t>
      </w:r>
      <w:r w:rsidRPr="004258FD">
        <w:t xml:space="preserve"> better forecasting performance.</w:t>
      </w:r>
    </w:p>
    <w:p w:rsidR="009402A2" w:rsidRDefault="009402A2" w:rsidP="00946BF4">
      <w:r w:rsidRPr="004258FD">
        <w:t>Formally</w:t>
      </w:r>
      <w:r w:rsidR="00B32D3F" w:rsidRPr="004258FD">
        <w:t>,</w:t>
      </w:r>
      <w:r w:rsidRPr="004258FD">
        <w:t xml:space="preserve"> the metrics are calculated as:</w:t>
      </w:r>
    </w:p>
    <w:p w:rsidR="002E4265" w:rsidRPr="007B0652" w:rsidRDefault="00C205A6" w:rsidP="00E94C96">
      <w:pPr>
        <w:spacing w:line="240" w:lineRule="auto"/>
        <w:ind w:left="567" w:hanging="567"/>
        <w:rPr>
          <w:sz w:val="24"/>
          <w:szCs w:val="24"/>
        </w:rPr>
      </w:pPr>
      <m:oMathPara>
        <m:oMathParaPr>
          <m:jc m:val="left"/>
        </m:oMathParaPr>
        <m:oMath>
          <m:r>
            <m:rPr>
              <m:nor/>
            </m:rPr>
            <w:rPr>
              <w:szCs w:val="22"/>
            </w:rPr>
            <m:t>Mean error</m:t>
          </m:r>
          <m:r>
            <w:rPr>
              <w:rFonts w:ascii="Cambria Math" w:hAnsi="Cambria Math"/>
              <w:szCs w:val="22"/>
            </w:rPr>
            <m:t xml:space="preserve">= </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i=0</m:t>
                  </m:r>
                </m:sub>
                <m:sup>
                  <m:r>
                    <w:rPr>
                      <w:rFonts w:ascii="Cambria Math" w:hAnsi="Cambria Math"/>
                      <w:szCs w:val="22"/>
                    </w:rPr>
                    <m:t>n-1</m:t>
                  </m:r>
                </m:sup>
                <m:e>
                  <m:d>
                    <m:dPr>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f</m:t>
                          </m:r>
                        </m:e>
                        <m:sub>
                          <m:r>
                            <w:rPr>
                              <w:rFonts w:ascii="Cambria Math" w:hAnsi="Cambria Math"/>
                              <w:szCs w:val="22"/>
                            </w:rPr>
                            <m:t>t-i</m:t>
                          </m:r>
                        </m:sub>
                        <m:sup>
                          <m:r>
                            <w:rPr>
                              <w:rFonts w:ascii="Cambria Math" w:hAnsi="Cambria Math"/>
                              <w:szCs w:val="22"/>
                            </w:rPr>
                            <m:t>*</m:t>
                          </m:r>
                        </m:sup>
                      </m:sSubSup>
                      <m:sSub>
                        <m:sSubPr>
                          <m:ctrlPr>
                            <w:rPr>
                              <w:rFonts w:ascii="Cambria Math" w:hAnsi="Cambria Math"/>
                              <w:i/>
                              <w:szCs w:val="22"/>
                            </w:rPr>
                          </m:ctrlPr>
                        </m:sSubPr>
                        <m:e>
                          <m:r>
                            <w:rPr>
                              <w:rFonts w:ascii="Cambria Math" w:hAnsi="Cambria Math"/>
                              <w:szCs w:val="22"/>
                            </w:rPr>
                            <m:t>-f</m:t>
                          </m:r>
                        </m:e>
                        <m:sub>
                          <m:r>
                            <w:rPr>
                              <w:rFonts w:ascii="Cambria Math" w:hAnsi="Cambria Math"/>
                              <w:szCs w:val="22"/>
                            </w:rPr>
                            <m:t>t-i</m:t>
                          </m:r>
                        </m:sub>
                      </m:sSub>
                    </m:e>
                  </m:d>
                </m:e>
              </m:nary>
            </m:num>
            <m:den>
              <m:r>
                <w:rPr>
                  <w:rFonts w:ascii="Cambria Math" w:hAnsi="Cambria Math"/>
                  <w:szCs w:val="22"/>
                </w:rPr>
                <m:t>n</m:t>
              </m:r>
            </m:den>
          </m:f>
          <m:r>
            <w:rPr>
              <w:rFonts w:ascii="Cambria Math" w:hAnsi="Cambria Math"/>
              <w:szCs w:val="22"/>
            </w:rPr>
            <m:t xml:space="preserve">, </m:t>
          </m:r>
          <m:r>
            <m:rPr>
              <m:nor/>
            </m:rPr>
            <w:rPr>
              <w:szCs w:val="22"/>
            </w:rPr>
            <m:t>and</m:t>
          </m:r>
          <m:r>
            <w:rPr>
              <w:rFonts w:ascii="Cambria Math" w:hAnsi="Cambria Math"/>
              <w:szCs w:val="22"/>
            </w:rPr>
            <m:t xml:space="preserve"> </m:t>
          </m:r>
          <m:r>
            <m:rPr>
              <m:nor/>
            </m:rPr>
            <w:rPr>
              <w:szCs w:val="22"/>
            </w:rPr>
            <m:t xml:space="preserve">Mean absolute </m:t>
          </m:r>
          <m:r>
            <m:rPr>
              <m:nor/>
            </m:rPr>
            <w:rPr>
              <w:rFonts w:ascii="Cambria Math"/>
              <w:szCs w:val="22"/>
            </w:rPr>
            <m:t xml:space="preserve">percentage </m:t>
          </m:r>
          <m:r>
            <m:rPr>
              <m:nor/>
            </m:rPr>
            <w:rPr>
              <w:szCs w:val="22"/>
            </w:rPr>
            <m:t>error</m:t>
          </m:r>
          <m:r>
            <w:rPr>
              <w:rFonts w:ascii="Cambria Math" w:hAnsi="Cambria Math"/>
              <w:szCs w:val="22"/>
            </w:rPr>
            <m:t xml:space="preserve">= </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i=0</m:t>
                  </m:r>
                </m:sub>
                <m:sup>
                  <m:r>
                    <w:rPr>
                      <w:rFonts w:ascii="Cambria Math" w:hAnsi="Cambria Math"/>
                      <w:szCs w:val="22"/>
                    </w:rPr>
                    <m:t>n-1</m:t>
                  </m:r>
                </m:sup>
                <m:e>
                  <m:d>
                    <m:dPr>
                      <m:begChr m:val="|"/>
                      <m:endChr m:val="|"/>
                      <m:ctrlPr>
                        <w:rPr>
                          <w:rFonts w:ascii="Cambria Math" w:hAnsi="Cambria Math"/>
                          <w:i/>
                          <w:szCs w:val="22"/>
                        </w:rPr>
                      </m:ctrlPr>
                    </m:dPr>
                    <m:e>
                      <m:d>
                        <m:dPr>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f</m:t>
                              </m:r>
                            </m:e>
                            <m:sub>
                              <m:r>
                                <w:rPr>
                                  <w:rFonts w:ascii="Cambria Math" w:hAnsi="Cambria Math"/>
                                  <w:szCs w:val="22"/>
                                </w:rPr>
                                <m:t>t-i</m:t>
                              </m:r>
                            </m:sub>
                            <m:sup>
                              <m:r>
                                <w:rPr>
                                  <w:rFonts w:ascii="Cambria Math" w:hAnsi="Cambria Math"/>
                                  <w:szCs w:val="22"/>
                                </w:rPr>
                                <m:t>*</m:t>
                              </m:r>
                            </m:sup>
                          </m:sSubSup>
                          <m:sSub>
                            <m:sSubPr>
                              <m:ctrlPr>
                                <w:rPr>
                                  <w:rFonts w:ascii="Cambria Math" w:hAnsi="Cambria Math"/>
                                  <w:i/>
                                  <w:szCs w:val="22"/>
                                </w:rPr>
                              </m:ctrlPr>
                            </m:sSubPr>
                            <m:e>
                              <m:r>
                                <w:rPr>
                                  <w:rFonts w:ascii="Cambria Math" w:hAnsi="Cambria Math"/>
                                  <w:szCs w:val="22"/>
                                </w:rPr>
                                <m:t>-f</m:t>
                              </m:r>
                            </m:e>
                            <m:sub>
                              <m:r>
                                <w:rPr>
                                  <w:rFonts w:ascii="Cambria Math" w:hAnsi="Cambria Math"/>
                                  <w:szCs w:val="22"/>
                                </w:rPr>
                                <m:t>t-i</m:t>
                              </m:r>
                            </m:sub>
                          </m:sSub>
                        </m:e>
                      </m:d>
                    </m:e>
                  </m:d>
                </m:e>
              </m:nary>
            </m:num>
            <m:den>
              <m:r>
                <w:rPr>
                  <w:rFonts w:ascii="Cambria Math" w:hAnsi="Cambria Math"/>
                  <w:szCs w:val="22"/>
                </w:rPr>
                <m:t>n</m:t>
              </m:r>
            </m:den>
          </m:f>
          <m:r>
            <w:rPr>
              <w:rFonts w:ascii="Cambria Math" w:hAnsi="Cambria Math"/>
              <w:szCs w:val="22"/>
            </w:rPr>
            <m:t>,</m:t>
          </m:r>
        </m:oMath>
      </m:oMathPara>
    </w:p>
    <w:p w:rsidR="009402A2" w:rsidRPr="004258FD" w:rsidRDefault="005E1811" w:rsidP="00946BF4">
      <w:r>
        <w:t>w</w:t>
      </w:r>
      <w:r w:rsidR="00627EC1" w:rsidRPr="004258FD">
        <w:t>here</w:t>
      </w:r>
      <w:r w:rsidR="00426244">
        <w:t>:</w:t>
      </w:r>
      <w:r w:rsidR="009402A2" w:rsidRPr="004258FD">
        <w:t xml:space="preserv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f</m:t>
                </m:r>
              </m:e>
              <m:sub>
                <m:r>
                  <w:rPr>
                    <w:rFonts w:ascii="Cambria Math" w:hAnsi="Cambria Math"/>
                  </w:rPr>
                  <m:t>t</m:t>
                </m:r>
              </m:sub>
              <m:sup>
                <m:r>
                  <w:rPr>
                    <w:rFonts w:ascii="Cambria Math" w:hAnsi="Cambria Math"/>
                  </w:rPr>
                  <m:t>*</m:t>
                </m:r>
              </m:sup>
            </m:sSubSup>
            <m:r>
              <m:rPr>
                <m:nor/>
              </m:rPr>
              <w:rPr>
                <w:rFonts w:ascii="Cambria Math" w:hAnsi="Cambria Math"/>
              </w:rPr>
              <m:t>and</m:t>
            </m:r>
            <m:r>
              <w:rPr>
                <w:rFonts w:ascii="Cambria Math" w:hAnsi="Cambria Math"/>
              </w:rPr>
              <m:t xml:space="preserve"> f</m:t>
            </m:r>
          </m:e>
          <m:sub>
            <m:r>
              <w:rPr>
                <w:rFonts w:ascii="Cambria Math" w:hAnsi="Cambria Math"/>
              </w:rPr>
              <m:t>t</m:t>
            </m:r>
          </m:sub>
        </m:sSub>
        <m:r>
          <m:rPr>
            <m:sty m:val="p"/>
          </m:rPr>
          <w:rPr>
            <w:rFonts w:ascii="Cambria Math" w:hAnsi="Cambria Math"/>
            <w:position w:val="-12"/>
          </w:rPr>
          <m:t xml:space="preserve"> </m:t>
        </m:r>
      </m:oMath>
      <w:r w:rsidR="00BF69BE" w:rsidRPr="004258FD">
        <w:t xml:space="preserve">are </w:t>
      </w:r>
      <w:r w:rsidR="009402A2" w:rsidRPr="004258FD">
        <w:t xml:space="preserve">the </w:t>
      </w:r>
      <w:r w:rsidR="00BF69BE" w:rsidRPr="004258FD">
        <w:t xml:space="preserve">forecast and </w:t>
      </w:r>
      <w:r w:rsidR="009402A2" w:rsidRPr="004258FD">
        <w:t>actual growth rate</w:t>
      </w:r>
      <w:r w:rsidR="005468C9" w:rsidRPr="004258FD">
        <w:t>s</w:t>
      </w:r>
      <w:r w:rsidR="009402A2" w:rsidRPr="004258FD">
        <w:t xml:space="preserve"> for the </w:t>
      </w:r>
      <w:r w:rsidR="005468C9" w:rsidRPr="004258FD">
        <w:t>series</w:t>
      </w:r>
      <w:r>
        <w:t xml:space="preserve"> being assessed</w:t>
      </w:r>
      <w:r w:rsidR="009402A2" w:rsidRPr="004258FD">
        <w:t>.</w:t>
      </w:r>
    </w:p>
    <w:p w:rsidR="00D76D9B" w:rsidRDefault="00D76D9B" w:rsidP="00B558B7">
      <w:r>
        <w:t>The main alternative me</w:t>
      </w:r>
      <w:r w:rsidR="004A7684">
        <w:t>tric</w:t>
      </w:r>
      <w:r>
        <w:t xml:space="preserve"> of forecasting performance is </w:t>
      </w:r>
      <w:r w:rsidR="00C773E5">
        <w:t xml:space="preserve">the </w:t>
      </w:r>
      <w:r>
        <w:t>root</w:t>
      </w:r>
      <w:r w:rsidR="00674CFB">
        <w:noBreakHyphen/>
      </w:r>
      <w:r>
        <w:t>mean</w:t>
      </w:r>
      <w:r w:rsidR="00674CFB">
        <w:noBreakHyphen/>
      </w:r>
      <w:r>
        <w:t>squared</w:t>
      </w:r>
      <w:r w:rsidR="00674CFB">
        <w:noBreakHyphen/>
      </w:r>
      <w:r>
        <w:t>error, which places greater weight on large forecast errors. Most studies, such as Zarnowitz (1991)</w:t>
      </w:r>
      <w:r w:rsidR="002545F2">
        <w:rPr>
          <w:rStyle w:val="FootnoteReference"/>
        </w:rPr>
        <w:footnoteReference w:id="3"/>
      </w:r>
      <w:r>
        <w:t xml:space="preserve"> for the United States and Holden and Peel (1988)</w:t>
      </w:r>
      <w:r w:rsidR="002545F2">
        <w:rPr>
          <w:rStyle w:val="FootnoteReference"/>
        </w:rPr>
        <w:footnoteReference w:id="4"/>
      </w:r>
      <w:r>
        <w:t xml:space="preserve"> for the United Kingdom, find that conclusions are insensitive to the choice of measure</w:t>
      </w:r>
      <w:r w:rsidR="00B1130E">
        <w:t>.</w:t>
      </w:r>
    </w:p>
    <w:p w:rsidR="00B950ED" w:rsidRPr="004258FD" w:rsidRDefault="001658D8" w:rsidP="00B558B7">
      <w:r w:rsidRPr="004258FD">
        <w:t>As with any statistical assessment of forecast performance there are limitations in the interpretation of the</w:t>
      </w:r>
      <w:r w:rsidR="00363AC3" w:rsidRPr="004258FD">
        <w:t>se</w:t>
      </w:r>
      <w:r w:rsidRPr="004258FD">
        <w:t xml:space="preserve"> metrics.</w:t>
      </w:r>
      <w:r w:rsidR="00230FEF">
        <w:t xml:space="preserve"> </w:t>
      </w:r>
      <w:r w:rsidR="001C7AA9" w:rsidRPr="004258FD">
        <w:t xml:space="preserve">In particular, a </w:t>
      </w:r>
      <w:r w:rsidRPr="004258FD">
        <w:t>small sample size reduce</w:t>
      </w:r>
      <w:r w:rsidR="003C2338">
        <w:t>s</w:t>
      </w:r>
      <w:r w:rsidRPr="004258FD">
        <w:t xml:space="preserve"> the reliability of </w:t>
      </w:r>
      <w:r w:rsidR="00A503DA">
        <w:t>sample averages</w:t>
      </w:r>
      <w:r w:rsidR="001C7AA9" w:rsidRPr="004258FD">
        <w:t xml:space="preserve"> as </w:t>
      </w:r>
      <w:r w:rsidRPr="004258FD">
        <w:t xml:space="preserve">a few </w:t>
      </w:r>
      <w:r w:rsidR="003C2338">
        <w:t xml:space="preserve">large </w:t>
      </w:r>
      <w:r w:rsidRPr="004258FD">
        <w:t xml:space="preserve">errors can have an unduly </w:t>
      </w:r>
      <w:r w:rsidR="00A503DA">
        <w:t xml:space="preserve">large </w:t>
      </w:r>
      <w:r w:rsidRPr="004258FD">
        <w:t>influence.</w:t>
      </w:r>
      <w:r w:rsidR="00B950ED" w:rsidRPr="004258FD">
        <w:t xml:space="preserve"> </w:t>
      </w:r>
      <w:r w:rsidR="00A503DA">
        <w:t xml:space="preserve">Hence it is necessary to base conclusions on tests of statistical significance. </w:t>
      </w:r>
      <w:r w:rsidR="00B950ED" w:rsidRPr="004258FD">
        <w:t xml:space="preserve">These measures </w:t>
      </w:r>
      <w:r w:rsidR="00A503DA">
        <w:t xml:space="preserve">also </w:t>
      </w:r>
      <w:r w:rsidR="00B950ED" w:rsidRPr="004258FD">
        <w:t xml:space="preserve">need to be interpreted in light of the </w:t>
      </w:r>
      <w:r w:rsidR="003B1914">
        <w:t>average</w:t>
      </w:r>
      <w:r w:rsidR="00116EC3">
        <w:t xml:space="preserve"> growth rate of the </w:t>
      </w:r>
      <w:r w:rsidR="00B950ED" w:rsidRPr="004258FD">
        <w:t>series being forecast</w:t>
      </w:r>
      <w:r w:rsidR="00674CFB">
        <w:t xml:space="preserve"> — </w:t>
      </w:r>
      <w:r w:rsidR="00B950ED" w:rsidRPr="004258FD">
        <w:t xml:space="preserve">a </w:t>
      </w:r>
      <w:r w:rsidR="000C595D">
        <w:t>1</w:t>
      </w:r>
      <w:r w:rsidR="000C595D" w:rsidRPr="004258FD">
        <w:t> </w:t>
      </w:r>
      <w:r w:rsidR="00B950ED" w:rsidRPr="004258FD">
        <w:t xml:space="preserve">percentage point mean error (or bias) in </w:t>
      </w:r>
      <w:r w:rsidR="00B53AB7" w:rsidRPr="004258FD">
        <w:t xml:space="preserve">annual growth forecasts for </w:t>
      </w:r>
      <w:r w:rsidR="00B950ED" w:rsidRPr="004258FD">
        <w:t xml:space="preserve">a series that grows on average by 40 per cent </w:t>
      </w:r>
      <w:r w:rsidR="001C7AA9" w:rsidRPr="004258FD">
        <w:t xml:space="preserve">per annum </w:t>
      </w:r>
      <w:r w:rsidR="00B950ED" w:rsidRPr="004258FD">
        <w:t xml:space="preserve">is a </w:t>
      </w:r>
      <w:r w:rsidR="009D1F8C">
        <w:t>very different</w:t>
      </w:r>
      <w:r w:rsidR="00B950ED" w:rsidRPr="004258FD">
        <w:t xml:space="preserve"> performance </w:t>
      </w:r>
      <w:r w:rsidR="009D1F8C">
        <w:t xml:space="preserve">to </w:t>
      </w:r>
      <w:r w:rsidR="00B950ED" w:rsidRPr="004258FD">
        <w:t xml:space="preserve">the same </w:t>
      </w:r>
      <w:r w:rsidR="003B1914">
        <w:t xml:space="preserve">mean </w:t>
      </w:r>
      <w:r w:rsidR="00B950ED" w:rsidRPr="004258FD">
        <w:t>error in a series that grows on average by 2 per cent.</w:t>
      </w:r>
    </w:p>
    <w:p w:rsidR="0081137A" w:rsidRPr="00D12AB8" w:rsidRDefault="00883ED3" w:rsidP="009D7C2C">
      <w:pPr>
        <w:pStyle w:val="Heading3"/>
      </w:pPr>
      <w:r w:rsidRPr="00D12AB8">
        <w:t>Forecast</w:t>
      </w:r>
      <w:r w:rsidR="000C0E08" w:rsidRPr="00D12AB8">
        <w:t xml:space="preserve"> comparisons</w:t>
      </w:r>
      <w:r w:rsidR="00076C72" w:rsidRPr="00D12AB8">
        <w:t xml:space="preserve"> and their limitations</w:t>
      </w:r>
    </w:p>
    <w:p w:rsidR="007727C1" w:rsidRPr="00D12AB8" w:rsidRDefault="00E23F8F" w:rsidP="00B558B7">
      <w:r w:rsidRPr="00D12AB8">
        <w:t xml:space="preserve">To provide a benchmark against which to assess accuracy, </w:t>
      </w:r>
      <w:r w:rsidR="005239C6" w:rsidRPr="00D12AB8">
        <w:t>Treasury</w:t>
      </w:r>
      <w:r w:rsidR="004F0077">
        <w:t>’</w:t>
      </w:r>
      <w:r w:rsidR="005239C6" w:rsidRPr="00D12AB8">
        <w:t xml:space="preserve">s </w:t>
      </w:r>
      <w:r w:rsidR="0081137A" w:rsidRPr="00D12AB8">
        <w:t>forecast</w:t>
      </w:r>
      <w:r w:rsidR="00EC6C97" w:rsidRPr="00D12AB8">
        <w:t xml:space="preserve">s </w:t>
      </w:r>
      <w:r w:rsidR="00B53AB7" w:rsidRPr="00D12AB8">
        <w:t>are</w:t>
      </w:r>
      <w:r w:rsidR="00CE6C38" w:rsidRPr="00D12AB8">
        <w:t xml:space="preserve"> compared </w:t>
      </w:r>
      <w:r w:rsidR="00EC6C97" w:rsidRPr="00D12AB8">
        <w:t xml:space="preserve">with those of </w:t>
      </w:r>
      <w:r w:rsidRPr="00D12AB8">
        <w:t xml:space="preserve">selected </w:t>
      </w:r>
      <w:r w:rsidR="00E256AC" w:rsidRPr="00D12AB8">
        <w:t xml:space="preserve">domestic and </w:t>
      </w:r>
      <w:r w:rsidR="00730D5D" w:rsidRPr="00D12AB8">
        <w:t xml:space="preserve">official </w:t>
      </w:r>
      <w:r w:rsidR="0081137A" w:rsidRPr="00D12AB8">
        <w:t>agencies</w:t>
      </w:r>
      <w:r w:rsidR="00116EC3" w:rsidRPr="00D12AB8">
        <w:t xml:space="preserve"> overseas</w:t>
      </w:r>
      <w:r w:rsidR="0081137A" w:rsidRPr="00D12AB8">
        <w:t>.</w:t>
      </w:r>
      <w:r w:rsidR="003F2741" w:rsidRPr="00D12AB8">
        <w:t xml:space="preserve"> In terms of domestic forecasters, </w:t>
      </w:r>
      <w:r w:rsidR="00E256AC" w:rsidRPr="00D12AB8">
        <w:t>Treasury</w:t>
      </w:r>
      <w:r w:rsidR="004F0077">
        <w:t>’</w:t>
      </w:r>
      <w:r w:rsidR="00E256AC" w:rsidRPr="00D12AB8">
        <w:t xml:space="preserve">s macroeconomic forecasts are compared with </w:t>
      </w:r>
      <w:r w:rsidR="008D6954" w:rsidRPr="00D12AB8">
        <w:t>those</w:t>
      </w:r>
      <w:r w:rsidR="00E256AC" w:rsidRPr="00D12AB8">
        <w:t xml:space="preserve"> produced by the R</w:t>
      </w:r>
      <w:r w:rsidR="007D2A3B" w:rsidRPr="00D12AB8">
        <w:t>eserve Bank of Australia (RBA)</w:t>
      </w:r>
      <w:r w:rsidR="00E256AC" w:rsidRPr="00D12AB8">
        <w:t xml:space="preserve">, </w:t>
      </w:r>
      <w:r w:rsidR="007D2A3B" w:rsidRPr="00D12AB8">
        <w:t>Delo</w:t>
      </w:r>
      <w:r w:rsidR="00CE6C38" w:rsidRPr="00D12AB8">
        <w:t>i</w:t>
      </w:r>
      <w:r w:rsidR="007D2A3B" w:rsidRPr="00D12AB8">
        <w:t>tte</w:t>
      </w:r>
      <w:r w:rsidR="00674CFB">
        <w:noBreakHyphen/>
      </w:r>
      <w:r w:rsidR="00E256AC" w:rsidRPr="00D12AB8">
        <w:t xml:space="preserve">Access Economics </w:t>
      </w:r>
      <w:r w:rsidR="007D2A3B" w:rsidRPr="00D12AB8">
        <w:t xml:space="preserve">(Access) </w:t>
      </w:r>
      <w:r w:rsidR="00E256AC" w:rsidRPr="00D12AB8">
        <w:t>and Consensus Economics</w:t>
      </w:r>
      <w:r w:rsidR="00223F6D" w:rsidRPr="00D12AB8">
        <w:t xml:space="preserve">. </w:t>
      </w:r>
      <w:r w:rsidR="009D1F8C" w:rsidRPr="00D12AB8">
        <w:t>Its</w:t>
      </w:r>
      <w:r w:rsidR="00223F6D" w:rsidRPr="00D12AB8">
        <w:t xml:space="preserve"> </w:t>
      </w:r>
      <w:r w:rsidR="0081137A" w:rsidRPr="00D12AB8">
        <w:t xml:space="preserve">revenue forecasts </w:t>
      </w:r>
      <w:r w:rsidR="00B53AB7" w:rsidRPr="00D12AB8">
        <w:t xml:space="preserve">are </w:t>
      </w:r>
      <w:r w:rsidR="00223F6D" w:rsidRPr="00D12AB8">
        <w:t xml:space="preserve">compared </w:t>
      </w:r>
      <w:r w:rsidR="00A131C2" w:rsidRPr="00D12AB8">
        <w:t xml:space="preserve">with </w:t>
      </w:r>
      <w:r w:rsidR="001B1BC9" w:rsidRPr="00D12AB8">
        <w:t xml:space="preserve">those </w:t>
      </w:r>
      <w:r w:rsidR="0081137A" w:rsidRPr="00D12AB8">
        <w:t>produced by Access</w:t>
      </w:r>
      <w:r w:rsidR="007727C1" w:rsidRPr="00D12AB8">
        <w:t>.</w:t>
      </w:r>
      <w:r w:rsidR="00230FEF" w:rsidRPr="00D12AB8">
        <w:t xml:space="preserve"> </w:t>
      </w:r>
      <w:r w:rsidR="0094560C" w:rsidRPr="00D12AB8">
        <w:t xml:space="preserve">Both sets of forecasts </w:t>
      </w:r>
      <w:r w:rsidR="00B53AB7" w:rsidRPr="00D12AB8">
        <w:t>are</w:t>
      </w:r>
      <w:r w:rsidR="0094560C" w:rsidRPr="00D12AB8">
        <w:t xml:space="preserve"> compared to </w:t>
      </w:r>
      <w:r w:rsidR="008D6954" w:rsidRPr="00D12AB8">
        <w:t xml:space="preserve">those </w:t>
      </w:r>
      <w:r w:rsidR="007E1F84" w:rsidRPr="00D12AB8">
        <w:t xml:space="preserve">produced by </w:t>
      </w:r>
      <w:r w:rsidR="00CE6C38" w:rsidRPr="00D12AB8">
        <w:t xml:space="preserve">official </w:t>
      </w:r>
      <w:r w:rsidR="00730D5D" w:rsidRPr="00D12AB8">
        <w:t>agenc</w:t>
      </w:r>
      <w:r w:rsidR="007E1F84" w:rsidRPr="00D12AB8">
        <w:t>ies</w:t>
      </w:r>
      <w:r w:rsidR="00730D5D" w:rsidRPr="00D12AB8">
        <w:t xml:space="preserve"> </w:t>
      </w:r>
      <w:r w:rsidR="007E1F84" w:rsidRPr="00D12AB8">
        <w:t xml:space="preserve">in the </w:t>
      </w:r>
      <w:r w:rsidR="00730D5D" w:rsidRPr="00D12AB8">
        <w:t>United States, Canada, the United Kingdom and New Zealand.</w:t>
      </w:r>
      <w:r w:rsidR="00CE6C38" w:rsidRPr="00D12AB8">
        <w:t xml:space="preserve"> </w:t>
      </w:r>
      <w:r w:rsidR="005239C6" w:rsidRPr="00D12AB8">
        <w:t>Treasury</w:t>
      </w:r>
      <w:r w:rsidR="004F0077">
        <w:t>’</w:t>
      </w:r>
      <w:r w:rsidR="005239C6" w:rsidRPr="00D12AB8">
        <w:t xml:space="preserve">s forecasts </w:t>
      </w:r>
      <w:r w:rsidR="00B53AB7" w:rsidRPr="00D12AB8">
        <w:t>are</w:t>
      </w:r>
      <w:r w:rsidR="00CE6C38" w:rsidRPr="00D12AB8">
        <w:t xml:space="preserve"> also compared </w:t>
      </w:r>
      <w:r w:rsidR="007727C1" w:rsidRPr="00D12AB8">
        <w:t xml:space="preserve">with those generated by </w:t>
      </w:r>
      <w:r w:rsidR="005239C6" w:rsidRPr="00D12AB8">
        <w:t xml:space="preserve">a naive forecasting rule, </w:t>
      </w:r>
      <w:r w:rsidR="00366373" w:rsidRPr="00D12AB8">
        <w:t>which assumes that the series being forecast simply continues to grow at its recent average observed rate</w:t>
      </w:r>
      <w:r w:rsidR="006A6C89" w:rsidRPr="00D12AB8">
        <w:t xml:space="preserve"> (</w:t>
      </w:r>
      <w:r w:rsidR="000C595D">
        <w:t>one</w:t>
      </w:r>
      <w:r w:rsidR="006A6C89" w:rsidRPr="00D12AB8">
        <w:t xml:space="preserve">, </w:t>
      </w:r>
      <w:r w:rsidR="000C595D">
        <w:t>three</w:t>
      </w:r>
      <w:r w:rsidR="006A6C89" w:rsidRPr="00D12AB8">
        <w:t xml:space="preserve">, </w:t>
      </w:r>
      <w:r w:rsidR="000C595D">
        <w:t>five</w:t>
      </w:r>
      <w:r w:rsidR="000C595D" w:rsidRPr="00D12AB8">
        <w:t xml:space="preserve"> </w:t>
      </w:r>
      <w:r w:rsidR="006A6C89" w:rsidRPr="00D12AB8">
        <w:t xml:space="preserve">and </w:t>
      </w:r>
      <w:r w:rsidR="009F302F">
        <w:t>ten</w:t>
      </w:r>
      <w:r w:rsidR="000C595D">
        <w:t> </w:t>
      </w:r>
      <w:r w:rsidR="006A6C89" w:rsidRPr="00D12AB8">
        <w:t>year moving averages of the forecast series were considered)</w:t>
      </w:r>
      <w:r w:rsidR="00223F6D" w:rsidRPr="00D12AB8">
        <w:t>.</w:t>
      </w:r>
    </w:p>
    <w:p w:rsidR="00B321C5" w:rsidRDefault="00EC6C97" w:rsidP="00CA14B5">
      <w:r w:rsidRPr="00D12AB8">
        <w:t xml:space="preserve">Forecast comparisons </w:t>
      </w:r>
      <w:r w:rsidR="003B357D" w:rsidRPr="00D12AB8">
        <w:t xml:space="preserve">provide </w:t>
      </w:r>
      <w:r w:rsidRPr="00D12AB8">
        <w:t>insight although th</w:t>
      </w:r>
      <w:r w:rsidR="000625EA" w:rsidRPr="00D12AB8">
        <w:t>e</w:t>
      </w:r>
      <w:r w:rsidRPr="00D12AB8">
        <w:t xml:space="preserve">y need to be carefully </w:t>
      </w:r>
      <w:r w:rsidR="00A503DA" w:rsidRPr="00D12AB8">
        <w:t>interpreted</w:t>
      </w:r>
      <w:r w:rsidR="00424AD3" w:rsidRPr="00D12AB8">
        <w:t xml:space="preserve">. </w:t>
      </w:r>
      <w:r w:rsidR="00B9150F" w:rsidRPr="00D12AB8">
        <w:t xml:space="preserve">In particular, </w:t>
      </w:r>
      <w:r w:rsidR="00B53AB7" w:rsidRPr="00D12AB8">
        <w:t>different agencies tend to finalise their forecasts at different times</w:t>
      </w:r>
      <w:r w:rsidR="00CF7D63" w:rsidRPr="00D12AB8">
        <w:t xml:space="preserve">. </w:t>
      </w:r>
      <w:r w:rsidR="008B7340" w:rsidRPr="00D12AB8">
        <w:t xml:space="preserve">A forecast prepared </w:t>
      </w:r>
      <w:r w:rsidR="00424AD3" w:rsidRPr="00D12AB8">
        <w:t xml:space="preserve">at </w:t>
      </w:r>
      <w:r w:rsidR="008B7340" w:rsidRPr="00D12AB8">
        <w:t xml:space="preserve">a </w:t>
      </w:r>
      <w:r w:rsidR="00424AD3" w:rsidRPr="00D12AB8">
        <w:t xml:space="preserve">later </w:t>
      </w:r>
      <w:r w:rsidR="008B7340" w:rsidRPr="00D12AB8">
        <w:t xml:space="preserve">time </w:t>
      </w:r>
      <w:r w:rsidR="00A70FA2" w:rsidRPr="00D12AB8">
        <w:t>is likely to</w:t>
      </w:r>
      <w:r w:rsidR="008B7340" w:rsidRPr="00D12AB8">
        <w:t xml:space="preserve"> </w:t>
      </w:r>
      <w:r w:rsidR="00424AD3" w:rsidRPr="00D12AB8">
        <w:t>have an information advantage. Th</w:t>
      </w:r>
      <w:r w:rsidR="00CE6C38" w:rsidRPr="00D12AB8">
        <w:t>is</w:t>
      </w:r>
      <w:r w:rsidR="008B7340" w:rsidRPr="00D12AB8">
        <w:t xml:space="preserve"> could </w:t>
      </w:r>
      <w:r w:rsidR="00424AD3" w:rsidRPr="00D12AB8">
        <w:t xml:space="preserve">reflect the receipt of </w:t>
      </w:r>
      <w:r w:rsidR="00CF7D63" w:rsidRPr="00D12AB8">
        <w:t xml:space="preserve">additional </w:t>
      </w:r>
      <w:r w:rsidR="00424AD3" w:rsidRPr="00D12AB8">
        <w:t xml:space="preserve">official statistics or </w:t>
      </w:r>
      <w:r w:rsidR="00C20AE0" w:rsidRPr="00D12AB8">
        <w:t xml:space="preserve">knowledge of </w:t>
      </w:r>
      <w:r w:rsidR="008B7340" w:rsidRPr="00D12AB8">
        <w:t>a</w:t>
      </w:r>
      <w:r w:rsidR="00A6517A" w:rsidRPr="00D12AB8">
        <w:t xml:space="preserve"> new </w:t>
      </w:r>
      <w:r w:rsidR="00116EC3" w:rsidRPr="00D12AB8">
        <w:t xml:space="preserve">macroeconomic </w:t>
      </w:r>
      <w:r w:rsidR="00424AD3" w:rsidRPr="00D12AB8">
        <w:t>development</w:t>
      </w:r>
      <w:r w:rsidR="008719B3" w:rsidRPr="00D12AB8">
        <w:t>, for example</w:t>
      </w:r>
      <w:r w:rsidR="00B321C5" w:rsidRPr="00D12AB8">
        <w:t xml:space="preserve"> consider the difference between </w:t>
      </w:r>
      <w:r w:rsidR="00BB1403" w:rsidRPr="00D12AB8">
        <w:t xml:space="preserve">the </w:t>
      </w:r>
      <w:r w:rsidR="00BB1403" w:rsidRPr="00D12AB8">
        <w:lastRenderedPageBreak/>
        <w:t xml:space="preserve">macroeconomic outlook </w:t>
      </w:r>
      <w:r w:rsidR="00B321C5" w:rsidRPr="00D12AB8">
        <w:t xml:space="preserve">the </w:t>
      </w:r>
      <w:r w:rsidR="00B53AB7" w:rsidRPr="00D12AB8">
        <w:t>month</w:t>
      </w:r>
      <w:r w:rsidR="00B321C5" w:rsidRPr="00D12AB8">
        <w:t xml:space="preserve"> before, and the </w:t>
      </w:r>
      <w:r w:rsidR="00B53AB7" w:rsidRPr="00D12AB8">
        <w:t xml:space="preserve">month </w:t>
      </w:r>
      <w:r w:rsidR="00B321C5" w:rsidRPr="00D12AB8">
        <w:t>after, the collapse of Lehman Brothers</w:t>
      </w:r>
      <w:r w:rsidR="00AB54B6" w:rsidRPr="00D12AB8">
        <w:t xml:space="preserve"> in </w:t>
      </w:r>
      <w:r w:rsidR="00C253E9" w:rsidRPr="00D12AB8">
        <w:t xml:space="preserve">September </w:t>
      </w:r>
      <w:r w:rsidR="00AB54B6" w:rsidRPr="00D12AB8">
        <w:t>2008</w:t>
      </w:r>
      <w:r w:rsidR="00CF7D63" w:rsidRPr="00D12AB8">
        <w:t>.</w:t>
      </w:r>
      <w:r w:rsidR="00B321C5" w:rsidRPr="00D12AB8">
        <w:t xml:space="preserve"> Forecast comparisons are also sensitive to the chosen sample period</w:t>
      </w:r>
      <w:r w:rsidR="0010066C" w:rsidRPr="00D12AB8">
        <w:t>.</w:t>
      </w:r>
    </w:p>
    <w:p w:rsidR="009402A2" w:rsidRPr="004258FD" w:rsidRDefault="00C253E9" w:rsidP="00591899">
      <w:pPr>
        <w:pStyle w:val="Heading3"/>
        <w:spacing w:after="200"/>
      </w:pPr>
      <w:r w:rsidRPr="004258FD">
        <w:t>C</w:t>
      </w:r>
      <w:r w:rsidR="00374A4F" w:rsidRPr="004258FD">
        <w:t>hallenges to preparing forecasts</w:t>
      </w:r>
    </w:p>
    <w:p w:rsidR="00332D3C" w:rsidRPr="00DA529C" w:rsidRDefault="00CA6C7C" w:rsidP="00F47057">
      <w:pPr>
        <w:rPr>
          <w:szCs w:val="22"/>
        </w:rPr>
      </w:pPr>
      <w:r w:rsidRPr="00F47057">
        <w:rPr>
          <w:szCs w:val="22"/>
        </w:rPr>
        <w:t xml:space="preserve">Forecasting errors are inevitable, </w:t>
      </w:r>
      <w:r w:rsidR="003627ED" w:rsidRPr="00F47057">
        <w:rPr>
          <w:szCs w:val="22"/>
        </w:rPr>
        <w:t xml:space="preserve">even with the most rigorous forecasting framework and procedures. </w:t>
      </w:r>
      <w:r w:rsidR="00080B84" w:rsidRPr="000723CC">
        <w:rPr>
          <w:szCs w:val="22"/>
        </w:rPr>
        <w:t xml:space="preserve">Forecasting is an inherently difficult exercise and </w:t>
      </w:r>
      <w:r w:rsidR="003627ED" w:rsidRPr="00DF7318">
        <w:rPr>
          <w:szCs w:val="22"/>
        </w:rPr>
        <w:t xml:space="preserve">errors </w:t>
      </w:r>
      <w:r w:rsidR="00C26AD4" w:rsidRPr="00DF7318">
        <w:rPr>
          <w:szCs w:val="22"/>
        </w:rPr>
        <w:t>arise</w:t>
      </w:r>
      <w:r w:rsidR="003627ED" w:rsidRPr="00DF7318">
        <w:rPr>
          <w:szCs w:val="22"/>
        </w:rPr>
        <w:t xml:space="preserve"> from many sources. </w:t>
      </w:r>
      <w:r w:rsidR="008B7340" w:rsidRPr="00DF7318">
        <w:rPr>
          <w:szCs w:val="22"/>
        </w:rPr>
        <w:t>M</w:t>
      </w:r>
      <w:r w:rsidR="003627ED" w:rsidRPr="00DF7318">
        <w:rPr>
          <w:szCs w:val="22"/>
        </w:rPr>
        <w:t>odel</w:t>
      </w:r>
      <w:r w:rsidR="00B53AB7" w:rsidRPr="00DF7318">
        <w:rPr>
          <w:szCs w:val="22"/>
        </w:rPr>
        <w:t>s</w:t>
      </w:r>
      <w:r w:rsidR="00674CFB">
        <w:rPr>
          <w:szCs w:val="22"/>
        </w:rPr>
        <w:t xml:space="preserve"> — </w:t>
      </w:r>
      <w:r w:rsidR="00382989" w:rsidRPr="00DF7318">
        <w:rPr>
          <w:szCs w:val="22"/>
        </w:rPr>
        <w:t xml:space="preserve">which </w:t>
      </w:r>
      <w:r w:rsidR="001B1BC9" w:rsidRPr="002C0588">
        <w:rPr>
          <w:szCs w:val="22"/>
        </w:rPr>
        <w:t xml:space="preserve">describe </w:t>
      </w:r>
      <w:r w:rsidR="003627ED" w:rsidRPr="00DA529C">
        <w:rPr>
          <w:szCs w:val="22"/>
        </w:rPr>
        <w:t>behavioural economic relationships</w:t>
      </w:r>
      <w:r w:rsidR="00674CFB">
        <w:rPr>
          <w:szCs w:val="22"/>
        </w:rPr>
        <w:t xml:space="preserve"> — </w:t>
      </w:r>
      <w:r w:rsidR="00B53AB7" w:rsidRPr="00DA529C">
        <w:rPr>
          <w:szCs w:val="22"/>
        </w:rPr>
        <w:t xml:space="preserve">are always simplifications of the </w:t>
      </w:r>
      <w:r w:rsidR="00D02FBC" w:rsidRPr="00DA529C">
        <w:rPr>
          <w:szCs w:val="22"/>
        </w:rPr>
        <w:t>modern complex economy</w:t>
      </w:r>
      <w:r w:rsidR="00C26AD4" w:rsidRPr="00DA529C">
        <w:rPr>
          <w:szCs w:val="22"/>
        </w:rPr>
        <w:t xml:space="preserve">. </w:t>
      </w:r>
      <w:r w:rsidR="006F077A" w:rsidRPr="00DA529C">
        <w:rPr>
          <w:szCs w:val="22"/>
        </w:rPr>
        <w:t>C</w:t>
      </w:r>
      <w:r w:rsidR="003627ED" w:rsidRPr="00DA529C">
        <w:rPr>
          <w:szCs w:val="22"/>
        </w:rPr>
        <w:t>oefficient estimates</w:t>
      </w:r>
      <w:r w:rsidR="00674CFB">
        <w:rPr>
          <w:szCs w:val="22"/>
        </w:rPr>
        <w:t xml:space="preserve"> — </w:t>
      </w:r>
      <w:r w:rsidR="00EB4E1A" w:rsidRPr="00DA529C">
        <w:rPr>
          <w:szCs w:val="22"/>
        </w:rPr>
        <w:t>which</w:t>
      </w:r>
      <w:r w:rsidR="00C601D5" w:rsidRPr="00DA529C">
        <w:rPr>
          <w:szCs w:val="22"/>
        </w:rPr>
        <w:t xml:space="preserve"> provide an</w:t>
      </w:r>
      <w:r w:rsidR="003627ED" w:rsidRPr="00DA529C">
        <w:rPr>
          <w:szCs w:val="22"/>
        </w:rPr>
        <w:t xml:space="preserve"> assessment of the strength of </w:t>
      </w:r>
      <w:r w:rsidR="00C002FD" w:rsidRPr="00DA529C">
        <w:rPr>
          <w:szCs w:val="22"/>
        </w:rPr>
        <w:t xml:space="preserve">economic </w:t>
      </w:r>
      <w:r w:rsidR="003627ED" w:rsidRPr="00DA529C">
        <w:rPr>
          <w:szCs w:val="22"/>
        </w:rPr>
        <w:t>relationship</w:t>
      </w:r>
      <w:r w:rsidR="00C002FD" w:rsidRPr="00DA529C">
        <w:rPr>
          <w:szCs w:val="22"/>
        </w:rPr>
        <w:t>s</w:t>
      </w:r>
      <w:r w:rsidR="004F0077">
        <w:rPr>
          <w:szCs w:val="22"/>
        </w:rPr>
        <w:t xml:space="preserve"> — </w:t>
      </w:r>
      <w:r w:rsidR="003627ED" w:rsidRPr="00DA529C">
        <w:rPr>
          <w:szCs w:val="22"/>
        </w:rPr>
        <w:t xml:space="preserve">may be </w:t>
      </w:r>
      <w:r w:rsidR="00874BB8" w:rsidRPr="00DA529C">
        <w:rPr>
          <w:szCs w:val="22"/>
        </w:rPr>
        <w:t>imprecise</w:t>
      </w:r>
      <w:r w:rsidR="00C26AD4" w:rsidRPr="00DA529C">
        <w:rPr>
          <w:szCs w:val="22"/>
        </w:rPr>
        <w:t>, particularly in the face of continual structural change</w:t>
      </w:r>
      <w:r w:rsidR="003627ED" w:rsidRPr="00DA529C">
        <w:rPr>
          <w:szCs w:val="22"/>
        </w:rPr>
        <w:t>.</w:t>
      </w:r>
      <w:r w:rsidR="00230FEF" w:rsidRPr="00DA529C">
        <w:rPr>
          <w:szCs w:val="22"/>
        </w:rPr>
        <w:t xml:space="preserve"> </w:t>
      </w:r>
      <w:r w:rsidR="003627ED" w:rsidRPr="00DA529C">
        <w:rPr>
          <w:szCs w:val="22"/>
        </w:rPr>
        <w:t xml:space="preserve">Exogenous assumptions, such as the exchange rate, </w:t>
      </w:r>
      <w:r w:rsidR="00D02FBC" w:rsidRPr="00DA529C">
        <w:rPr>
          <w:szCs w:val="22"/>
        </w:rPr>
        <w:t xml:space="preserve">or the international economic outlook, </w:t>
      </w:r>
      <w:r w:rsidR="003627ED" w:rsidRPr="00DA529C">
        <w:rPr>
          <w:szCs w:val="22"/>
        </w:rPr>
        <w:t>might turn out to be wrong.</w:t>
      </w:r>
      <w:r w:rsidR="00230FEF" w:rsidRPr="00DA529C">
        <w:rPr>
          <w:szCs w:val="22"/>
        </w:rPr>
        <w:t xml:space="preserve"> </w:t>
      </w:r>
      <w:r w:rsidR="003627ED" w:rsidRPr="00DA529C">
        <w:rPr>
          <w:szCs w:val="22"/>
        </w:rPr>
        <w:t xml:space="preserve">More often than not, there are shocks to the economy which </w:t>
      </w:r>
      <w:r w:rsidR="00C26AD4" w:rsidRPr="00DA529C">
        <w:rPr>
          <w:szCs w:val="22"/>
        </w:rPr>
        <w:t>were</w:t>
      </w:r>
      <w:r w:rsidR="003627ED" w:rsidRPr="00DA529C">
        <w:rPr>
          <w:szCs w:val="22"/>
        </w:rPr>
        <w:t xml:space="preserve"> not anticipated at the time of the forecasts.</w:t>
      </w:r>
      <w:r w:rsidR="00332D3C" w:rsidRPr="00DA529C">
        <w:rPr>
          <w:szCs w:val="22"/>
        </w:rPr>
        <w:t xml:space="preserve"> </w:t>
      </w:r>
      <w:r w:rsidR="00C26AD4" w:rsidRPr="00DA529C">
        <w:rPr>
          <w:szCs w:val="22"/>
        </w:rPr>
        <w:t>The official statistics are also subject to revision.</w:t>
      </w:r>
    </w:p>
    <w:p w:rsidR="003627ED" w:rsidRPr="00F47057" w:rsidRDefault="003627ED" w:rsidP="0091007C">
      <w:pPr>
        <w:spacing w:after="360"/>
        <w:rPr>
          <w:szCs w:val="22"/>
        </w:rPr>
      </w:pPr>
      <w:r w:rsidRPr="00F47057">
        <w:rPr>
          <w:szCs w:val="22"/>
        </w:rPr>
        <w:t xml:space="preserve">Many of these </w:t>
      </w:r>
      <w:r w:rsidR="00332D3C" w:rsidRPr="00F47057">
        <w:rPr>
          <w:szCs w:val="22"/>
        </w:rPr>
        <w:t xml:space="preserve">forecasting </w:t>
      </w:r>
      <w:r w:rsidRPr="00F47057">
        <w:rPr>
          <w:szCs w:val="22"/>
        </w:rPr>
        <w:t>errors are unavoidable. That said, a forecasting methodology that</w:t>
      </w:r>
      <w:r w:rsidR="00332D3C" w:rsidRPr="00F47057">
        <w:rPr>
          <w:szCs w:val="22"/>
        </w:rPr>
        <w:t xml:space="preserve"> draws upon the range of </w:t>
      </w:r>
      <w:r w:rsidR="00C26AD4" w:rsidRPr="00F47057">
        <w:rPr>
          <w:szCs w:val="22"/>
        </w:rPr>
        <w:t>available</w:t>
      </w:r>
      <w:r w:rsidR="00332D3C" w:rsidRPr="00F47057">
        <w:rPr>
          <w:szCs w:val="22"/>
        </w:rPr>
        <w:t xml:space="preserve"> </w:t>
      </w:r>
      <w:r w:rsidRPr="00F47057">
        <w:rPr>
          <w:szCs w:val="22"/>
        </w:rPr>
        <w:t>information</w:t>
      </w:r>
      <w:r w:rsidR="00F47057">
        <w:rPr>
          <w:szCs w:val="22"/>
        </w:rPr>
        <w:t>,</w:t>
      </w:r>
      <w:r w:rsidRPr="00F47057">
        <w:rPr>
          <w:szCs w:val="22"/>
        </w:rPr>
        <w:t xml:space="preserve"> and </w:t>
      </w:r>
      <w:r w:rsidR="00332D3C" w:rsidRPr="00F47057">
        <w:rPr>
          <w:szCs w:val="22"/>
        </w:rPr>
        <w:t xml:space="preserve">processes </w:t>
      </w:r>
      <w:r w:rsidRPr="00F47057">
        <w:rPr>
          <w:szCs w:val="22"/>
        </w:rPr>
        <w:t>th</w:t>
      </w:r>
      <w:r w:rsidR="00B53AB7" w:rsidRPr="00F47057">
        <w:rPr>
          <w:szCs w:val="22"/>
        </w:rPr>
        <w:t xml:space="preserve">at </w:t>
      </w:r>
      <w:r w:rsidRPr="00F47057">
        <w:rPr>
          <w:szCs w:val="22"/>
        </w:rPr>
        <w:t>information efficiently</w:t>
      </w:r>
      <w:r w:rsidR="00E46E21">
        <w:rPr>
          <w:szCs w:val="22"/>
        </w:rPr>
        <w:t>,</w:t>
      </w:r>
      <w:r w:rsidRPr="00F47057">
        <w:rPr>
          <w:szCs w:val="22"/>
        </w:rPr>
        <w:t xml:space="preserve"> should help to minimise forecasting errors.</w:t>
      </w:r>
    </w:p>
    <w:p w:rsidR="00B93412" w:rsidRPr="004258FD" w:rsidRDefault="00D747B1" w:rsidP="00591899">
      <w:pPr>
        <w:pStyle w:val="Heading2"/>
        <w:spacing w:after="200"/>
      </w:pPr>
      <w:r w:rsidRPr="004258FD">
        <w:t>3.2</w:t>
      </w:r>
      <w:r w:rsidR="00123CC5">
        <w:t>:</w:t>
      </w:r>
      <w:r w:rsidR="00230FEF">
        <w:t xml:space="preserve"> </w:t>
      </w:r>
      <w:r w:rsidRPr="004258FD">
        <w:t>Treasury</w:t>
      </w:r>
      <w:r w:rsidR="004F0077">
        <w:t>’</w:t>
      </w:r>
      <w:r w:rsidRPr="004258FD">
        <w:t>s Macroeconomic Forecasting Performance</w:t>
      </w:r>
    </w:p>
    <w:p w:rsidR="00C50BAC" w:rsidRPr="004258FD" w:rsidRDefault="009A38F4" w:rsidP="00591899">
      <w:pPr>
        <w:pStyle w:val="Heading3"/>
        <w:spacing w:after="200"/>
      </w:pPr>
      <w:r w:rsidRPr="004258FD">
        <w:t xml:space="preserve">Summary </w:t>
      </w:r>
      <w:r>
        <w:t>o</w:t>
      </w:r>
      <w:r w:rsidRPr="004258FD">
        <w:t xml:space="preserve">f </w:t>
      </w:r>
      <w:r w:rsidR="00E46E21">
        <w:t>m</w:t>
      </w:r>
      <w:r w:rsidRPr="004258FD">
        <w:t xml:space="preserve">acroeconomic </w:t>
      </w:r>
      <w:r w:rsidR="00E46E21">
        <w:t>f</w:t>
      </w:r>
      <w:r w:rsidRPr="004258FD">
        <w:t xml:space="preserve">orecasting </w:t>
      </w:r>
      <w:r w:rsidR="00E46E21">
        <w:t>p</w:t>
      </w:r>
      <w:r w:rsidRPr="004258FD">
        <w:t>erformance</w:t>
      </w:r>
    </w:p>
    <w:p w:rsidR="003C44B6" w:rsidRPr="00D12AB8" w:rsidRDefault="003C44B6" w:rsidP="00B558B7">
      <w:pPr>
        <w:pStyle w:val="Bullet"/>
      </w:pPr>
      <w:r w:rsidRPr="004258FD">
        <w:t>Treasury</w:t>
      </w:r>
      <w:r w:rsidR="004F0077">
        <w:t>’</w:t>
      </w:r>
      <w:r w:rsidRPr="004258FD">
        <w:t xml:space="preserve">s forecasts </w:t>
      </w:r>
      <w:r w:rsidR="00B36CDD">
        <w:t xml:space="preserve">of nominal GDP growth </w:t>
      </w:r>
      <w:r w:rsidR="005B612D" w:rsidRPr="004258FD">
        <w:t>exhibit little evidence of bias</w:t>
      </w:r>
      <w:r w:rsidR="00B36CDD">
        <w:t xml:space="preserve"> over the past two decades</w:t>
      </w:r>
      <w:r w:rsidR="00144881">
        <w:t>;</w:t>
      </w:r>
      <w:r w:rsidRPr="004258FD">
        <w:t xml:space="preserve"> although</w:t>
      </w:r>
      <w:r w:rsidR="00144881">
        <w:t xml:space="preserve">, </w:t>
      </w:r>
      <w:r w:rsidR="003E5D91" w:rsidRPr="004258FD">
        <w:t>with the benefit of hindsight</w:t>
      </w:r>
      <w:r w:rsidR="006075F8">
        <w:t>,</w:t>
      </w:r>
      <w:r w:rsidR="003E5D91" w:rsidRPr="004258FD">
        <w:t xml:space="preserve"> </w:t>
      </w:r>
      <w:r w:rsidRPr="004258FD">
        <w:t xml:space="preserve">forecast errors </w:t>
      </w:r>
      <w:r w:rsidR="0086708C">
        <w:t xml:space="preserve">have been </w:t>
      </w:r>
      <w:r w:rsidRPr="004258FD">
        <w:t xml:space="preserve">correlated with the </w:t>
      </w:r>
      <w:r w:rsidR="00DA6473" w:rsidRPr="004258FD">
        <w:t xml:space="preserve">economic </w:t>
      </w:r>
      <w:r w:rsidRPr="004258FD">
        <w:t>cycle</w:t>
      </w:r>
      <w:r w:rsidR="00144881">
        <w:t>. H</w:t>
      </w:r>
      <w:r w:rsidRPr="00B558B7">
        <w:t>ence</w:t>
      </w:r>
      <w:r w:rsidR="00144881" w:rsidRPr="00B558B7">
        <w:t>,</w:t>
      </w:r>
      <w:r w:rsidRPr="00B558B7">
        <w:t xml:space="preserve"> </w:t>
      </w:r>
      <w:r w:rsidR="00DA6473" w:rsidRPr="00B558B7">
        <w:t xml:space="preserve">Treasury has tended to </w:t>
      </w:r>
      <w:r w:rsidR="00EF2278" w:rsidRPr="00B558B7">
        <w:t xml:space="preserve">underestimate growth during economic </w:t>
      </w:r>
      <w:r w:rsidR="00EF2278" w:rsidRPr="00D12AB8">
        <w:t>upswings and overestimate</w:t>
      </w:r>
      <w:r w:rsidR="00DA6473" w:rsidRPr="00D12AB8">
        <w:t xml:space="preserve"> growth during economic downturns.</w:t>
      </w:r>
    </w:p>
    <w:p w:rsidR="009865EF" w:rsidRPr="00D12AB8" w:rsidRDefault="009865EF" w:rsidP="00B558B7">
      <w:pPr>
        <w:pStyle w:val="Bullet"/>
      </w:pPr>
      <w:r w:rsidRPr="00D12AB8">
        <w:t>Treasury</w:t>
      </w:r>
      <w:r w:rsidR="004F0077">
        <w:t>’</w:t>
      </w:r>
      <w:r w:rsidRPr="00D12AB8">
        <w:t xml:space="preserve">s </w:t>
      </w:r>
      <w:r w:rsidR="00A90852" w:rsidRPr="00D12AB8">
        <w:t>macro</w:t>
      </w:r>
      <w:r w:rsidR="00EF1C4B" w:rsidRPr="00D12AB8">
        <w:t xml:space="preserve">economic </w:t>
      </w:r>
      <w:r w:rsidRPr="00D12AB8">
        <w:t xml:space="preserve">forecasts </w:t>
      </w:r>
      <w:r w:rsidR="00735D4A" w:rsidRPr="00D12AB8">
        <w:t xml:space="preserve">have been </w:t>
      </w:r>
      <w:r w:rsidR="00355464" w:rsidRPr="00D12AB8">
        <w:t>reasonably</w:t>
      </w:r>
      <w:r w:rsidR="00002F4D" w:rsidRPr="00D12AB8">
        <w:t xml:space="preserve"> </w:t>
      </w:r>
      <w:r w:rsidRPr="00D12AB8">
        <w:t>accurate</w:t>
      </w:r>
      <w:r w:rsidR="00A90852" w:rsidRPr="00D12AB8">
        <w:t xml:space="preserve">. </w:t>
      </w:r>
      <w:r w:rsidR="005D0427" w:rsidRPr="00D12AB8">
        <w:t>Treasury</w:t>
      </w:r>
      <w:r w:rsidR="004F0077">
        <w:t>’</w:t>
      </w:r>
      <w:r w:rsidR="005D0427" w:rsidRPr="00D12AB8">
        <w:t xml:space="preserve">s </w:t>
      </w:r>
      <w:r w:rsidR="003E5D91" w:rsidRPr="00D12AB8">
        <w:t xml:space="preserve">forecast performance </w:t>
      </w:r>
      <w:r w:rsidR="006D5423" w:rsidRPr="00D12AB8">
        <w:t>has been</w:t>
      </w:r>
      <w:r w:rsidR="003E5D91" w:rsidRPr="00D12AB8">
        <w:t xml:space="preserve"> comparable </w:t>
      </w:r>
      <w:r w:rsidR="00284E29" w:rsidRPr="00D12AB8">
        <w:t>with</w:t>
      </w:r>
      <w:r w:rsidR="003E5D91" w:rsidRPr="00D12AB8">
        <w:t xml:space="preserve"> th</w:t>
      </w:r>
      <w:r w:rsidR="006E1C35" w:rsidRPr="00D12AB8">
        <w:t>at</w:t>
      </w:r>
      <w:r w:rsidR="003E5D91" w:rsidRPr="00D12AB8">
        <w:t xml:space="preserve"> of </w:t>
      </w:r>
      <w:r w:rsidR="00327C07" w:rsidRPr="00D12AB8">
        <w:t xml:space="preserve">other </w:t>
      </w:r>
      <w:r w:rsidR="003E5D91" w:rsidRPr="00D12AB8">
        <w:t xml:space="preserve">domestic forecasters. </w:t>
      </w:r>
      <w:r w:rsidR="007543BF" w:rsidRPr="00D12AB8">
        <w:t xml:space="preserve">Its forecasts </w:t>
      </w:r>
      <w:r w:rsidR="007E61C0" w:rsidRPr="00D12AB8">
        <w:t xml:space="preserve">are comparable </w:t>
      </w:r>
      <w:r w:rsidR="00284E29" w:rsidRPr="00D12AB8">
        <w:t>with</w:t>
      </w:r>
      <w:r w:rsidR="00A90852" w:rsidRPr="00D12AB8">
        <w:t xml:space="preserve">, </w:t>
      </w:r>
      <w:r w:rsidR="00284E29" w:rsidRPr="00D12AB8">
        <w:t xml:space="preserve">or </w:t>
      </w:r>
      <w:r w:rsidR="00A90852" w:rsidRPr="00D12AB8">
        <w:t>better</w:t>
      </w:r>
      <w:r w:rsidR="005326B0" w:rsidRPr="00D12AB8">
        <w:t xml:space="preserve"> than</w:t>
      </w:r>
      <w:r w:rsidR="003E5D91" w:rsidRPr="00D12AB8">
        <w:t>,</w:t>
      </w:r>
      <w:r w:rsidR="00A90852" w:rsidRPr="00D12AB8">
        <w:t xml:space="preserve"> th</w:t>
      </w:r>
      <w:r w:rsidR="007543BF" w:rsidRPr="00D12AB8">
        <w:t>ose</w:t>
      </w:r>
      <w:r w:rsidR="00A90852" w:rsidRPr="00D12AB8">
        <w:t xml:space="preserve"> of official agencies</w:t>
      </w:r>
      <w:r w:rsidR="00735D4A" w:rsidRPr="00D12AB8">
        <w:t xml:space="preserve"> overseas</w:t>
      </w:r>
      <w:r w:rsidR="003E5D91" w:rsidRPr="00D12AB8">
        <w:t xml:space="preserve">. They </w:t>
      </w:r>
      <w:r w:rsidR="00F47057" w:rsidRPr="00D12AB8">
        <w:t xml:space="preserve">also </w:t>
      </w:r>
      <w:r w:rsidR="003E5D91" w:rsidRPr="00D12AB8">
        <w:t xml:space="preserve">compare </w:t>
      </w:r>
      <w:r w:rsidR="00A90852" w:rsidRPr="00D12AB8">
        <w:t xml:space="preserve">favourably </w:t>
      </w:r>
      <w:r w:rsidR="003E5D91" w:rsidRPr="00D12AB8">
        <w:t xml:space="preserve">with </w:t>
      </w:r>
      <w:r w:rsidRPr="00D12AB8">
        <w:t>statistical benchmarks</w:t>
      </w:r>
      <w:r w:rsidR="008C361A" w:rsidRPr="00D12AB8">
        <w:t xml:space="preserve"> generated by a naïve trend forecasting rule</w:t>
      </w:r>
      <w:r w:rsidRPr="00D12AB8">
        <w:t>.</w:t>
      </w:r>
    </w:p>
    <w:p w:rsidR="009865EF" w:rsidRPr="00B558B7" w:rsidRDefault="009865EF" w:rsidP="00B558B7">
      <w:pPr>
        <w:pStyle w:val="Bullet"/>
      </w:pPr>
      <w:r w:rsidRPr="00B558B7">
        <w:t>Within th</w:t>
      </w:r>
      <w:r w:rsidR="007543BF" w:rsidRPr="00B558B7">
        <w:t>ese</w:t>
      </w:r>
      <w:r w:rsidRPr="00B558B7">
        <w:t xml:space="preserve"> general finding</w:t>
      </w:r>
      <w:r w:rsidR="007543BF" w:rsidRPr="00B558B7">
        <w:t>s</w:t>
      </w:r>
      <w:r w:rsidRPr="00B558B7">
        <w:t xml:space="preserve">, however, </w:t>
      </w:r>
      <w:r w:rsidR="007543BF" w:rsidRPr="00B558B7">
        <w:t>Treasury</w:t>
      </w:r>
      <w:r w:rsidR="004F0077">
        <w:t>’</w:t>
      </w:r>
      <w:r w:rsidR="007543BF" w:rsidRPr="00B558B7">
        <w:t xml:space="preserve">s </w:t>
      </w:r>
      <w:r w:rsidR="002F30D0" w:rsidRPr="00B558B7">
        <w:t xml:space="preserve">forecasts exhibit periods </w:t>
      </w:r>
      <w:r w:rsidRPr="00B558B7">
        <w:t>of quite high accuracy</w:t>
      </w:r>
      <w:r w:rsidR="007E1A5D" w:rsidRPr="00B558B7">
        <w:t>,</w:t>
      </w:r>
      <w:r w:rsidRPr="00B558B7">
        <w:t xml:space="preserve"> interspersed with occasional periods of large outliers.</w:t>
      </w:r>
    </w:p>
    <w:p w:rsidR="009B5868" w:rsidRPr="00E94C96" w:rsidRDefault="002F30D0" w:rsidP="00B558B7">
      <w:pPr>
        <w:pStyle w:val="Bullet"/>
        <w:rPr>
          <w:b/>
          <w:color w:val="0000FF"/>
        </w:rPr>
      </w:pPr>
      <w:r w:rsidRPr="00B558B7">
        <w:t>Treasury</w:t>
      </w:r>
      <w:r w:rsidR="004F0077">
        <w:t>’</w:t>
      </w:r>
      <w:r w:rsidRPr="00B558B7">
        <w:t xml:space="preserve">s </w:t>
      </w:r>
      <w:r w:rsidR="003C44B6" w:rsidRPr="00B558B7">
        <w:t xml:space="preserve">forecasts </w:t>
      </w:r>
      <w:r w:rsidR="006A2B81" w:rsidRPr="00B558B7">
        <w:t xml:space="preserve">of GDP deflator </w:t>
      </w:r>
      <w:r w:rsidR="0090195E" w:rsidRPr="00B558B7">
        <w:t xml:space="preserve">growth </w:t>
      </w:r>
      <w:r w:rsidR="00D30DBC" w:rsidRPr="00B558B7">
        <w:t>are</w:t>
      </w:r>
      <w:r w:rsidR="003C44B6" w:rsidRPr="00B558B7">
        <w:t xml:space="preserve"> less accurate than </w:t>
      </w:r>
      <w:r w:rsidR="008C361A" w:rsidRPr="00B558B7">
        <w:t xml:space="preserve">those of </w:t>
      </w:r>
      <w:r w:rsidR="003C44B6" w:rsidRPr="00B558B7">
        <w:t xml:space="preserve">real </w:t>
      </w:r>
      <w:r w:rsidR="007543BF" w:rsidRPr="00B558B7">
        <w:t xml:space="preserve">GDP </w:t>
      </w:r>
      <w:r w:rsidR="008C361A" w:rsidRPr="00B558B7">
        <w:t xml:space="preserve">growth. </w:t>
      </w:r>
      <w:r w:rsidR="00144881" w:rsidRPr="00B558B7">
        <w:t>In particular, t</w:t>
      </w:r>
      <w:r w:rsidR="008C361A" w:rsidRPr="00B558B7">
        <w:t>he</w:t>
      </w:r>
      <w:r w:rsidR="00327C07" w:rsidRPr="00B558B7">
        <w:t xml:space="preserve">re </w:t>
      </w:r>
      <w:r w:rsidR="00144881" w:rsidRPr="00B558B7">
        <w:t xml:space="preserve">were </w:t>
      </w:r>
      <w:r w:rsidR="004E38F0" w:rsidRPr="00B558B7">
        <w:t xml:space="preserve">extended </w:t>
      </w:r>
      <w:r w:rsidR="004E38F0" w:rsidRPr="004258FD">
        <w:t>period</w:t>
      </w:r>
      <w:r w:rsidR="00144881">
        <w:t>s</w:t>
      </w:r>
      <w:r w:rsidR="004E38F0" w:rsidRPr="004258FD">
        <w:t xml:space="preserve"> </w:t>
      </w:r>
      <w:r w:rsidR="008C361A">
        <w:t>in the 1990s where outcomes were overestimated and in the 2000s where outcomes were underestimated</w:t>
      </w:r>
      <w:r w:rsidR="00BD66F9" w:rsidRPr="004258FD">
        <w:t xml:space="preserve">. In recent years, this has </w:t>
      </w:r>
      <w:r w:rsidR="008C361A">
        <w:t xml:space="preserve">substantially </w:t>
      </w:r>
      <w:r w:rsidR="00BD66F9" w:rsidRPr="004258FD">
        <w:t>reflected</w:t>
      </w:r>
      <w:r w:rsidR="007543BF" w:rsidRPr="004258FD">
        <w:t xml:space="preserve"> the difficult</w:t>
      </w:r>
      <w:r w:rsidR="00BD66F9" w:rsidRPr="004258FD">
        <w:t>y</w:t>
      </w:r>
      <w:r w:rsidR="007543BF" w:rsidRPr="004258FD">
        <w:t xml:space="preserve"> of forecasting commodity prices</w:t>
      </w:r>
      <w:r w:rsidR="00D33AC0" w:rsidRPr="004258FD">
        <w:t>.</w:t>
      </w:r>
    </w:p>
    <w:p w:rsidR="00E25780" w:rsidRPr="00E25780" w:rsidRDefault="00E25780" w:rsidP="00591899">
      <w:pPr>
        <w:pStyle w:val="Heading3"/>
        <w:spacing w:after="200"/>
      </w:pPr>
      <w:r w:rsidRPr="00E25780">
        <w:t>Nominal GDP</w:t>
      </w:r>
    </w:p>
    <w:p w:rsidR="0014452D" w:rsidRPr="00E25780" w:rsidRDefault="00A44AA1" w:rsidP="00B558B7">
      <w:r w:rsidRPr="00334ED0">
        <w:t>Treasury</w:t>
      </w:r>
      <w:r w:rsidR="004F0077">
        <w:t>’</w:t>
      </w:r>
      <w:r w:rsidRPr="00334ED0">
        <w:t xml:space="preserve">s forecasts of nominal GDP growth </w:t>
      </w:r>
      <w:r w:rsidR="008C234A" w:rsidRPr="00334ED0">
        <w:t xml:space="preserve">exhibit </w:t>
      </w:r>
      <w:r w:rsidR="00775394" w:rsidRPr="00334ED0">
        <w:t xml:space="preserve">little evidence of </w:t>
      </w:r>
      <w:r w:rsidRPr="00334ED0">
        <w:t xml:space="preserve">bias </w:t>
      </w:r>
      <w:r w:rsidR="00307F79" w:rsidRPr="00334ED0">
        <w:t xml:space="preserve">over the past </w:t>
      </w:r>
      <w:r w:rsidR="00FD6C8A">
        <w:t xml:space="preserve">two </w:t>
      </w:r>
      <w:r w:rsidR="00FD6C8A" w:rsidRPr="00A31DBD">
        <w:t>decades</w:t>
      </w:r>
      <w:r w:rsidR="00307F79" w:rsidRPr="00A31DBD">
        <w:t xml:space="preserve">, </w:t>
      </w:r>
      <w:r w:rsidR="00C2610B" w:rsidRPr="00A31DBD">
        <w:t xml:space="preserve">with the </w:t>
      </w:r>
      <w:r w:rsidR="009161F2" w:rsidRPr="00E94C96">
        <w:t>mean</w:t>
      </w:r>
      <w:r w:rsidR="00C2610B" w:rsidRPr="00A31DBD">
        <w:t xml:space="preserve"> Budget </w:t>
      </w:r>
      <w:r w:rsidR="009F60E2" w:rsidRPr="00E94C96">
        <w:t xml:space="preserve">forecast </w:t>
      </w:r>
      <w:r w:rsidR="00C2610B" w:rsidRPr="00A31DBD">
        <w:t>error being insignificantly different from zero</w:t>
      </w:r>
      <w:r w:rsidR="003227FD" w:rsidRPr="00334ED0">
        <w:t xml:space="preserve"> </w:t>
      </w:r>
      <w:r w:rsidR="004468E6" w:rsidRPr="00334ED0">
        <w:t>(Table </w:t>
      </w:r>
      <w:r w:rsidR="00224D47">
        <w:t>3.</w:t>
      </w:r>
      <w:r w:rsidR="004468E6" w:rsidRPr="00334ED0">
        <w:t>1)</w:t>
      </w:r>
      <w:r w:rsidRPr="00334ED0">
        <w:t>.</w:t>
      </w:r>
      <w:r w:rsidR="003662E6" w:rsidRPr="00334ED0">
        <w:t xml:space="preserve"> </w:t>
      </w:r>
      <w:r w:rsidR="003227FD" w:rsidRPr="00334ED0">
        <w:t>Over th</w:t>
      </w:r>
      <w:r w:rsidR="00775394" w:rsidRPr="00334ED0">
        <w:t xml:space="preserve">is </w:t>
      </w:r>
      <w:r w:rsidR="003227FD" w:rsidRPr="00334ED0">
        <w:t xml:space="preserve">period, </w:t>
      </w:r>
      <w:r w:rsidR="001D1112" w:rsidRPr="00334ED0">
        <w:t>Treasury</w:t>
      </w:r>
      <w:r w:rsidR="004F0077">
        <w:t>’</w:t>
      </w:r>
      <w:r w:rsidR="001D1112" w:rsidRPr="00334ED0">
        <w:t>s</w:t>
      </w:r>
      <w:r w:rsidR="00146207" w:rsidRPr="00334ED0">
        <w:t xml:space="preserve"> forecasts have been </w:t>
      </w:r>
      <w:r w:rsidR="00CA0D07" w:rsidRPr="00334ED0">
        <w:t xml:space="preserve">reasonably </w:t>
      </w:r>
      <w:r w:rsidR="00B81A61" w:rsidRPr="00334ED0">
        <w:t>a</w:t>
      </w:r>
      <w:r w:rsidR="00146207" w:rsidRPr="00334ED0">
        <w:t>ccurate</w:t>
      </w:r>
      <w:r w:rsidR="00307F79" w:rsidRPr="00334ED0">
        <w:t>,</w:t>
      </w:r>
      <w:r w:rsidR="00146207" w:rsidRPr="00334ED0">
        <w:t xml:space="preserve"> exhibiting a</w:t>
      </w:r>
      <w:r w:rsidR="00146207" w:rsidRPr="00E25780">
        <w:t xml:space="preserve"> </w:t>
      </w:r>
      <w:r w:rsidR="003662E6" w:rsidRPr="00E25780">
        <w:t xml:space="preserve">mean absolute percentage error </w:t>
      </w:r>
      <w:r w:rsidR="007A46C9" w:rsidRPr="00E25780">
        <w:t xml:space="preserve">(MAPE) </w:t>
      </w:r>
      <w:r w:rsidR="003662E6" w:rsidRPr="00E25780">
        <w:t>of 1</w:t>
      </w:r>
      <w:r w:rsidR="00577ED3">
        <w:t>.</w:t>
      </w:r>
      <w:r w:rsidR="00126903">
        <w:t>6</w:t>
      </w:r>
      <w:r w:rsidR="005E049A" w:rsidRPr="00E25780">
        <w:t> </w:t>
      </w:r>
      <w:r w:rsidR="003662E6" w:rsidRPr="00E25780">
        <w:t>percentage points</w:t>
      </w:r>
      <w:r w:rsidR="00307F79" w:rsidRPr="00E25780">
        <w:t xml:space="preserve"> </w:t>
      </w:r>
      <w:r w:rsidR="00090DD7" w:rsidRPr="00E25780">
        <w:t xml:space="preserve">across </w:t>
      </w:r>
      <w:r w:rsidR="00577ED3">
        <w:t xml:space="preserve">Budget </w:t>
      </w:r>
      <w:r w:rsidR="00090DD7" w:rsidRPr="00E25780">
        <w:t>forecast rounds</w:t>
      </w:r>
      <w:r w:rsidR="003662E6" w:rsidRPr="00E25780">
        <w:t>.</w:t>
      </w:r>
    </w:p>
    <w:p w:rsidR="003C371B" w:rsidRDefault="003C371B" w:rsidP="00591899">
      <w:pPr>
        <w:pStyle w:val="TableMainHeading"/>
        <w:keepNext w:val="0"/>
        <w:spacing w:after="120"/>
      </w:pPr>
      <w:r>
        <w:br w:type="page"/>
      </w:r>
    </w:p>
    <w:p w:rsidR="003662E6" w:rsidRDefault="003A0BA5" w:rsidP="00591899">
      <w:pPr>
        <w:pStyle w:val="TableMainHeading"/>
        <w:keepNext w:val="0"/>
        <w:spacing w:after="120"/>
      </w:pPr>
      <w:r w:rsidRPr="004258FD">
        <w:lastRenderedPageBreak/>
        <w:t>Table</w:t>
      </w:r>
      <w:r w:rsidR="00D60242" w:rsidRPr="004258FD">
        <w:t xml:space="preserve"> </w:t>
      </w:r>
      <w:r w:rsidR="001108B2">
        <w:t>3.</w:t>
      </w:r>
      <w:r w:rsidR="00D60242" w:rsidRPr="004258FD">
        <w:t>1</w:t>
      </w:r>
      <w:r w:rsidR="003662E6" w:rsidRPr="004258FD">
        <w:t>:</w:t>
      </w:r>
      <w:r w:rsidR="00230FEF">
        <w:t xml:space="preserve"> </w:t>
      </w:r>
      <w:r w:rsidR="00DF7318" w:rsidRPr="004258FD">
        <w:t xml:space="preserve">Performance </w:t>
      </w:r>
      <w:r w:rsidR="00DF7318">
        <w:t>o</w:t>
      </w:r>
      <w:r w:rsidR="00DF7318" w:rsidRPr="004258FD">
        <w:t>f Nominal G</w:t>
      </w:r>
      <w:r w:rsidR="00DF7318">
        <w:t>DP</w:t>
      </w:r>
      <w:r w:rsidR="00DF7318" w:rsidRPr="004258FD">
        <w:t xml:space="preserve"> Growth Forecasts </w:t>
      </w:r>
      <w:r w:rsidR="00DF7318">
        <w:t>a</w:t>
      </w:r>
      <w:r w:rsidR="00DF7318" w:rsidRPr="004258FD">
        <w:t>gainst Most Recent Estimated Outcomes</w:t>
      </w:r>
    </w:p>
    <w:p w:rsidR="00920F50" w:rsidRPr="004258FD" w:rsidRDefault="009959F8" w:rsidP="00591899">
      <w:pPr>
        <w:pStyle w:val="TableGraphic"/>
        <w:keepNext w:val="0"/>
      </w:pPr>
      <w:r>
        <w:object w:dxaOrig="11189"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5pt;height:95.45pt" o:ole="">
            <v:imagedata r:id="rId9" o:title=""/>
          </v:shape>
          <o:OLEObject Type="Link" ProgID="Excel.Sheet.8" ShapeID="_x0000_i1025" DrawAspect="Content" r:id="rId10" UpdateMode="Always">
            <o:LinkType>Picture</o:LinkType>
            <o:LockedField>false</o:LockedField>
          </o:OLEObject>
        </w:object>
      </w:r>
    </w:p>
    <w:p w:rsidR="00952DC7" w:rsidRPr="004258FD" w:rsidRDefault="00AC5019">
      <w:r w:rsidRPr="004258FD">
        <w:t>That said, an e</w:t>
      </w:r>
      <w:r w:rsidR="00F47485" w:rsidRPr="004258FD">
        <w:t>xamination of</w:t>
      </w:r>
      <w:r w:rsidR="00D60242" w:rsidRPr="004258FD">
        <w:t xml:space="preserve"> </w:t>
      </w:r>
      <w:r w:rsidR="00307F79" w:rsidRPr="004258FD">
        <w:t xml:space="preserve">the </w:t>
      </w:r>
      <w:r w:rsidR="00EF1291" w:rsidRPr="004258FD">
        <w:t xml:space="preserve">patterns </w:t>
      </w:r>
      <w:r w:rsidR="00DF39CB" w:rsidRPr="004258FD">
        <w:t xml:space="preserve">in </w:t>
      </w:r>
      <w:r w:rsidR="00307F79" w:rsidRPr="004258FD">
        <w:t xml:space="preserve">forecast errors in </w:t>
      </w:r>
      <w:r w:rsidR="00D60242" w:rsidRPr="004258FD">
        <w:t xml:space="preserve">Table </w:t>
      </w:r>
      <w:r w:rsidR="00224D47">
        <w:t>3.</w:t>
      </w:r>
      <w:r w:rsidR="00D60242" w:rsidRPr="004258FD">
        <w:t>1</w:t>
      </w:r>
      <w:r w:rsidR="000E52C9" w:rsidRPr="004258FD">
        <w:t>,</w:t>
      </w:r>
      <w:r w:rsidR="00D60242" w:rsidRPr="004258FD">
        <w:t xml:space="preserve"> </w:t>
      </w:r>
      <w:r w:rsidR="00307F79" w:rsidRPr="004258FD">
        <w:t xml:space="preserve">and Figure </w:t>
      </w:r>
      <w:r w:rsidR="00224D47">
        <w:t>3.</w:t>
      </w:r>
      <w:r w:rsidR="00307F79" w:rsidRPr="004258FD">
        <w:t>1</w:t>
      </w:r>
      <w:r w:rsidR="000E52C9" w:rsidRPr="004258FD">
        <w:t>,</w:t>
      </w:r>
      <w:r w:rsidR="00307F79" w:rsidRPr="004258FD">
        <w:t xml:space="preserve"> </w:t>
      </w:r>
      <w:r w:rsidR="00F47485" w:rsidRPr="004258FD">
        <w:t xml:space="preserve">reveals </w:t>
      </w:r>
      <w:r w:rsidR="000E52C9" w:rsidRPr="004258FD">
        <w:t>a more variable performance across economic sub periods, with the forecast errors being correlated with the economic cycle</w:t>
      </w:r>
      <w:r w:rsidR="00E84D21">
        <w:t xml:space="preserve">, </w:t>
      </w:r>
      <w:r w:rsidR="00E22DCE" w:rsidRPr="004258FD">
        <w:t xml:space="preserve">with </w:t>
      </w:r>
      <w:r w:rsidR="000E52C9" w:rsidRPr="004258FD">
        <w:t xml:space="preserve">the benefit of hindsight. In particular, </w:t>
      </w:r>
      <w:r w:rsidR="00A1039F" w:rsidRPr="004258FD">
        <w:t xml:space="preserve">Treasury overestimated nominal GDP growth in the </w:t>
      </w:r>
      <w:r w:rsidR="00221080">
        <w:t xml:space="preserve">early </w:t>
      </w:r>
      <w:r w:rsidR="00A1039F" w:rsidRPr="004258FD">
        <w:t xml:space="preserve">1990s </w:t>
      </w:r>
      <w:r w:rsidR="00D7169A" w:rsidRPr="004258FD">
        <w:t>(1990</w:t>
      </w:r>
      <w:r w:rsidR="00674CFB">
        <w:noBreakHyphen/>
      </w:r>
      <w:r w:rsidR="00D7169A" w:rsidRPr="004258FD">
        <w:t>91 to 1993</w:t>
      </w:r>
      <w:r w:rsidR="00674CFB">
        <w:noBreakHyphen/>
      </w:r>
      <w:r w:rsidR="00D7169A" w:rsidRPr="004258FD">
        <w:t>94)</w:t>
      </w:r>
      <w:r w:rsidR="00740494" w:rsidRPr="004258FD">
        <w:t xml:space="preserve">, </w:t>
      </w:r>
      <w:r w:rsidR="00E97B60" w:rsidRPr="004258FD">
        <w:t xml:space="preserve">as the recession at that time was not forecast, nor was the speed of the transition to a low inflation environment. It </w:t>
      </w:r>
      <w:r w:rsidR="00D7203B">
        <w:t xml:space="preserve">also </w:t>
      </w:r>
      <w:r w:rsidR="00A1039F" w:rsidRPr="004258FD">
        <w:t xml:space="preserve">underestimated </w:t>
      </w:r>
      <w:r w:rsidR="00D7203B">
        <w:t xml:space="preserve">nominal GDP </w:t>
      </w:r>
      <w:r w:rsidR="00740494" w:rsidRPr="004258FD">
        <w:t xml:space="preserve">growth </w:t>
      </w:r>
      <w:r w:rsidR="00A1039F" w:rsidRPr="004258FD">
        <w:t xml:space="preserve">during </w:t>
      </w:r>
      <w:r w:rsidR="00944A61">
        <w:t>M</w:t>
      </w:r>
      <w:r w:rsidR="00A1039F" w:rsidRPr="004258FD">
        <w:t xml:space="preserve">ining </w:t>
      </w:r>
      <w:r w:rsidR="00944A61">
        <w:t>B</w:t>
      </w:r>
      <w:r w:rsidR="00A1039F" w:rsidRPr="004258FD">
        <w:t xml:space="preserve">oom </w:t>
      </w:r>
      <w:r w:rsidR="00944A61">
        <w:t xml:space="preserve">Mark I </w:t>
      </w:r>
      <w:r w:rsidR="00A1039F" w:rsidRPr="004258FD">
        <w:t>(2003</w:t>
      </w:r>
      <w:r w:rsidR="00674CFB">
        <w:noBreakHyphen/>
      </w:r>
      <w:r w:rsidR="002768E0" w:rsidRPr="004258FD">
        <w:t>04 to 2007</w:t>
      </w:r>
      <w:r w:rsidR="00674CFB">
        <w:noBreakHyphen/>
      </w:r>
      <w:r w:rsidR="002768E0" w:rsidRPr="004258FD">
        <w:t>08)</w:t>
      </w:r>
      <w:r w:rsidR="00740494" w:rsidRPr="004258FD">
        <w:t>, with broadly offsetting effects over the full sample.</w:t>
      </w:r>
    </w:p>
    <w:p w:rsidR="00D36DCA" w:rsidRPr="004258FD" w:rsidRDefault="0014452D" w:rsidP="000E1903">
      <w:pPr>
        <w:pStyle w:val="ChartMainHeading"/>
        <w:keepNext w:val="0"/>
        <w:spacing w:after="120"/>
      </w:pPr>
      <w:r w:rsidRPr="004258FD">
        <w:t>Figure</w:t>
      </w:r>
      <w:r w:rsidR="009E3B68" w:rsidRPr="004258FD">
        <w:t xml:space="preserve"> </w:t>
      </w:r>
      <w:r w:rsidR="001108B2">
        <w:t>3.</w:t>
      </w:r>
      <w:r w:rsidR="009E3B68" w:rsidRPr="004258FD">
        <w:t>1</w:t>
      </w:r>
      <w:r w:rsidR="00D36DCA" w:rsidRPr="004258FD">
        <w:t>:</w:t>
      </w:r>
      <w:r w:rsidR="004F0077">
        <w:t xml:space="preserve"> </w:t>
      </w:r>
      <w:r w:rsidR="004F086A" w:rsidRPr="004258FD">
        <w:t xml:space="preserve">Evolution of </w:t>
      </w:r>
      <w:r w:rsidR="00DF7318">
        <w:t>N</w:t>
      </w:r>
      <w:r w:rsidR="000F0E2B" w:rsidRPr="004258FD">
        <w:t xml:space="preserve">ominal GDP </w:t>
      </w:r>
      <w:r w:rsidR="00DF7318">
        <w:t>G</w:t>
      </w:r>
      <w:r w:rsidR="000F0E2B" w:rsidRPr="004258FD">
        <w:t xml:space="preserve">rowth </w:t>
      </w:r>
      <w:r w:rsidR="00DF7318">
        <w:t>F</w:t>
      </w:r>
      <w:r w:rsidR="000F0E2B" w:rsidRPr="004258FD">
        <w:t>orecasts</w:t>
      </w:r>
    </w:p>
    <w:p w:rsidR="00591899" w:rsidRPr="00591899" w:rsidRDefault="00815CED">
      <w:pPr>
        <w:pStyle w:val="ChartGraphic"/>
        <w:keepNext w:val="0"/>
      </w:pPr>
      <w:r>
        <w:object w:dxaOrig="9165" w:dyaOrig="3960">
          <v:shape id="_x0000_i1026" type="#_x0000_t75" alt="This figure shows the accuracy of Treasury’s Nominal GDP growth forecasts since 1990-91 by comparing the Budget forecast for the Budget year with the final published outcome.  The chart also shows the evolution of Treasury’s forecasts for each financial year.&#10;" style="width:457.95pt;height:200.1pt" o:ole="">
            <v:imagedata r:id="rId11" o:title=""/>
          </v:shape>
          <o:OLEObject Type="Link" ProgID="Excel.Sheet.8" ShapeID="_x0000_i1026" DrawAspect="Content" r:id="rId12" UpdateMode="Always">
            <o:LinkType>Picture</o:LinkType>
            <o:LockedField/>
            <o:FieldCodes>\* MERGEFORMAT</o:FieldCodes>
          </o:OLEObject>
        </w:object>
      </w:r>
    </w:p>
    <w:p w:rsidR="008D2ACA" w:rsidRPr="004258FD" w:rsidRDefault="00EE30E2" w:rsidP="005535C1">
      <w:r w:rsidRPr="004258FD">
        <w:t xml:space="preserve">The patterns in forecast errors </w:t>
      </w:r>
      <w:r w:rsidR="00544934" w:rsidRPr="004258FD">
        <w:t xml:space="preserve">in recent years </w:t>
      </w:r>
      <w:r w:rsidRPr="004258FD">
        <w:t>reflect the challenges of forecasting two major economic developments. The first of these relates to the rapid rates of industrialisation in Asia, particularly in China, which increased worldwide demand for natural resources</w:t>
      </w:r>
      <w:r w:rsidR="00A12530">
        <w:t xml:space="preserve"> (</w:t>
      </w:r>
      <w:r w:rsidR="00A12530" w:rsidRPr="00DC6CDF">
        <w:t>Mining Boom Mark</w:t>
      </w:r>
      <w:r w:rsidR="00F47057" w:rsidRPr="00DC6CDF">
        <w:t> </w:t>
      </w:r>
      <w:r w:rsidR="00A12530" w:rsidRPr="00DC6CDF">
        <w:t>I</w:t>
      </w:r>
      <w:r w:rsidR="00A12530">
        <w:t>)</w:t>
      </w:r>
      <w:r w:rsidRPr="004258FD">
        <w:t xml:space="preserve">. Treasury underestimated the extent of the resultant </w:t>
      </w:r>
      <w:r w:rsidR="0001657B">
        <w:t xml:space="preserve">sharp </w:t>
      </w:r>
      <w:r w:rsidR="00D922D1">
        <w:t xml:space="preserve">and sustained </w:t>
      </w:r>
      <w:r w:rsidR="0001657B">
        <w:t xml:space="preserve">rise </w:t>
      </w:r>
      <w:r w:rsidR="00544934" w:rsidRPr="004258FD">
        <w:t xml:space="preserve">in commodity prices </w:t>
      </w:r>
      <w:r w:rsidRPr="004258FD">
        <w:t>through the mid</w:t>
      </w:r>
      <w:r w:rsidR="00674CFB">
        <w:noBreakHyphen/>
      </w:r>
      <w:r w:rsidRPr="004258FD">
        <w:t xml:space="preserve">2000s, which led to </w:t>
      </w:r>
      <w:r w:rsidR="00AC5019" w:rsidRPr="004258FD">
        <w:t>an</w:t>
      </w:r>
      <w:r w:rsidRPr="004258FD">
        <w:t xml:space="preserve"> underestimation of </w:t>
      </w:r>
      <w:r w:rsidR="00544934" w:rsidRPr="004258FD">
        <w:t>Australia</w:t>
      </w:r>
      <w:r w:rsidR="004F0077">
        <w:t>’</w:t>
      </w:r>
      <w:r w:rsidR="00544934" w:rsidRPr="004258FD">
        <w:t>s terms of trade and</w:t>
      </w:r>
      <w:r w:rsidR="00F47057">
        <w:t>,</w:t>
      </w:r>
      <w:r w:rsidR="00544934" w:rsidRPr="004258FD">
        <w:t xml:space="preserve"> in turn</w:t>
      </w:r>
      <w:r w:rsidR="00F47057">
        <w:t>,</w:t>
      </w:r>
      <w:r w:rsidR="00544934" w:rsidRPr="004258FD">
        <w:t xml:space="preserve"> </w:t>
      </w:r>
      <w:r w:rsidRPr="004258FD">
        <w:t xml:space="preserve">nominal economic outcomes. </w:t>
      </w:r>
    </w:p>
    <w:p w:rsidR="00A12530" w:rsidRPr="004258FD" w:rsidRDefault="00EE30E2" w:rsidP="002C0588">
      <w:r w:rsidRPr="004258FD">
        <w:t xml:space="preserve">The second relates to the impact of the global financial crisis (GFC), and its aftermath, on the Australian economy. </w:t>
      </w:r>
      <w:r w:rsidR="00F02BCE" w:rsidRPr="004258FD">
        <w:t xml:space="preserve">Treasury did not </w:t>
      </w:r>
      <w:r w:rsidR="006522D6" w:rsidRPr="004258FD">
        <w:t xml:space="preserve">predict </w:t>
      </w:r>
      <w:r w:rsidR="00F02BCE" w:rsidRPr="004258FD">
        <w:t xml:space="preserve">the onset of the GFC </w:t>
      </w:r>
      <w:r w:rsidR="006522D6" w:rsidRPr="004258FD">
        <w:t>in 2008</w:t>
      </w:r>
      <w:r w:rsidR="00674CFB">
        <w:noBreakHyphen/>
      </w:r>
      <w:r w:rsidR="006522D6" w:rsidRPr="004258FD">
        <w:t>09</w:t>
      </w:r>
      <w:r w:rsidR="008D2ACA" w:rsidRPr="004258FD">
        <w:t>,</w:t>
      </w:r>
      <w:r w:rsidR="006522D6" w:rsidRPr="004258FD">
        <w:t xml:space="preserve"> </w:t>
      </w:r>
      <w:r w:rsidRPr="004258FD">
        <w:t xml:space="preserve">and </w:t>
      </w:r>
      <w:r w:rsidR="006522D6" w:rsidRPr="004258FD">
        <w:t xml:space="preserve">subsequently </w:t>
      </w:r>
      <w:r w:rsidRPr="004258FD">
        <w:t>overestimated its effect on growth in 2009</w:t>
      </w:r>
      <w:r w:rsidR="00674CFB">
        <w:noBreakHyphen/>
      </w:r>
      <w:r w:rsidRPr="004258FD">
        <w:t>10</w:t>
      </w:r>
      <w:r w:rsidR="0008534D" w:rsidRPr="004258FD">
        <w:t xml:space="preserve">. </w:t>
      </w:r>
      <w:r w:rsidR="00AA7592" w:rsidRPr="004258FD">
        <w:t>This saw large forecast errors generated in 2008</w:t>
      </w:r>
      <w:r w:rsidR="00674CFB">
        <w:noBreakHyphen/>
      </w:r>
      <w:r w:rsidR="00AA7592" w:rsidRPr="004258FD">
        <w:t>09 and 2009</w:t>
      </w:r>
      <w:r w:rsidR="00674CFB">
        <w:noBreakHyphen/>
      </w:r>
      <w:r w:rsidR="00AA7592" w:rsidRPr="004258FD">
        <w:t xml:space="preserve">10. </w:t>
      </w:r>
      <w:r w:rsidR="0008534D" w:rsidRPr="004258FD">
        <w:t>I</w:t>
      </w:r>
      <w:r w:rsidRPr="004258FD">
        <w:t xml:space="preserve">n particular, </w:t>
      </w:r>
      <w:r w:rsidR="008D2ACA" w:rsidRPr="004258FD">
        <w:t>in the 200</w:t>
      </w:r>
      <w:r w:rsidR="002C39D8">
        <w:t>9</w:t>
      </w:r>
      <w:r w:rsidR="00674CFB">
        <w:noBreakHyphen/>
      </w:r>
      <w:r w:rsidR="008D2ACA" w:rsidRPr="004258FD">
        <w:t>1</w:t>
      </w:r>
      <w:r w:rsidR="002C39D8">
        <w:t>0</w:t>
      </w:r>
      <w:r w:rsidR="008D2ACA" w:rsidRPr="004258FD">
        <w:t xml:space="preserve"> Budget, </w:t>
      </w:r>
      <w:r w:rsidR="0008534D" w:rsidRPr="004258FD">
        <w:t xml:space="preserve">at the height of a period of significant global </w:t>
      </w:r>
      <w:r w:rsidR="009F60E2">
        <w:t xml:space="preserve">and domestic </w:t>
      </w:r>
      <w:r w:rsidR="0008534D" w:rsidRPr="004258FD">
        <w:t xml:space="preserve">pessimism, </w:t>
      </w:r>
      <w:r w:rsidR="008D2ACA" w:rsidRPr="004258FD">
        <w:t xml:space="preserve">Treasury forecast a recession </w:t>
      </w:r>
      <w:r w:rsidR="0008534D" w:rsidRPr="004258FD">
        <w:t>in 2009</w:t>
      </w:r>
      <w:r w:rsidR="00674CFB">
        <w:noBreakHyphen/>
      </w:r>
      <w:r w:rsidR="0008534D" w:rsidRPr="004258FD">
        <w:t xml:space="preserve">10 </w:t>
      </w:r>
      <w:r w:rsidR="008D2ACA" w:rsidRPr="004258FD">
        <w:t>that did not eventuate</w:t>
      </w:r>
      <w:r w:rsidRPr="004258FD">
        <w:t xml:space="preserve">. </w:t>
      </w:r>
    </w:p>
    <w:p w:rsidR="00EE30E2" w:rsidRPr="004258FD" w:rsidRDefault="00EE30E2" w:rsidP="00DA529C">
      <w:r w:rsidRPr="004258FD">
        <w:t>These episodes are discussed in more detail in Section 4. The</w:t>
      </w:r>
      <w:r w:rsidR="00245F7F">
        <w:t>se</w:t>
      </w:r>
      <w:r w:rsidRPr="004258FD">
        <w:t xml:space="preserve"> patterns in forecast errors </w:t>
      </w:r>
      <w:r w:rsidR="003C2338">
        <w:t>are</w:t>
      </w:r>
      <w:r w:rsidRPr="004258FD">
        <w:t xml:space="preserve"> apparent in subsequent </w:t>
      </w:r>
      <w:r w:rsidR="009F60E2">
        <w:t>figures</w:t>
      </w:r>
      <w:r w:rsidR="009F60E2" w:rsidRPr="004258FD">
        <w:t xml:space="preserve"> </w:t>
      </w:r>
      <w:r w:rsidRPr="004258FD">
        <w:t>and tables</w:t>
      </w:r>
      <w:r w:rsidR="00FD6C8A">
        <w:t>,</w:t>
      </w:r>
      <w:r w:rsidR="00544934" w:rsidRPr="004258FD">
        <w:t xml:space="preserve"> below</w:t>
      </w:r>
      <w:r w:rsidRPr="004258FD">
        <w:t>.</w:t>
      </w:r>
    </w:p>
    <w:p w:rsidR="003B2B5A" w:rsidRPr="004258FD" w:rsidRDefault="003B2B5A" w:rsidP="009D7C2C">
      <w:pPr>
        <w:pStyle w:val="Heading3"/>
      </w:pPr>
      <w:r w:rsidRPr="004258FD">
        <w:lastRenderedPageBreak/>
        <w:t>Real GDP</w:t>
      </w:r>
    </w:p>
    <w:p w:rsidR="0049367E" w:rsidRPr="004258FD" w:rsidRDefault="00874230" w:rsidP="00B558B7">
      <w:r w:rsidRPr="004258FD">
        <w:t>Treasury</w:t>
      </w:r>
      <w:r w:rsidR="004F0077">
        <w:t>’</w:t>
      </w:r>
      <w:r w:rsidRPr="004258FD">
        <w:t xml:space="preserve">s forecasts of real GDP growth also </w:t>
      </w:r>
      <w:r w:rsidR="00955DAB">
        <w:t>exhibit</w:t>
      </w:r>
      <w:r w:rsidR="00955DAB" w:rsidRPr="004258FD">
        <w:t xml:space="preserve"> </w:t>
      </w:r>
      <w:r w:rsidRPr="004258FD">
        <w:t xml:space="preserve">little evidence of bias, </w:t>
      </w:r>
      <w:r w:rsidRPr="00BB1085">
        <w:t>with the</w:t>
      </w:r>
      <w:r w:rsidR="0014452D" w:rsidRPr="00BB1085">
        <w:t xml:space="preserve"> mean </w:t>
      </w:r>
      <w:r w:rsidR="00955DAB" w:rsidRPr="00A31DBD">
        <w:t xml:space="preserve">Budget </w:t>
      </w:r>
      <w:r w:rsidR="0014452D" w:rsidRPr="00A31DBD">
        <w:t xml:space="preserve">forecast error </w:t>
      </w:r>
      <w:r w:rsidR="00955DAB" w:rsidRPr="00A31DBD">
        <w:t>being insignificantly different from zero</w:t>
      </w:r>
      <w:r w:rsidR="00B81A61" w:rsidRPr="00A31DBD">
        <w:t xml:space="preserve"> </w:t>
      </w:r>
      <w:r w:rsidR="00AE11CD" w:rsidRPr="00A31DBD">
        <w:t>(Table </w:t>
      </w:r>
      <w:r w:rsidR="00224D47">
        <w:t>3.</w:t>
      </w:r>
      <w:r w:rsidR="00300337" w:rsidRPr="00A31DBD">
        <w:t>2</w:t>
      </w:r>
      <w:r w:rsidR="0056235C" w:rsidRPr="00A31DBD">
        <w:t xml:space="preserve"> and Figure </w:t>
      </w:r>
      <w:r w:rsidR="00224D47">
        <w:t>3.</w:t>
      </w:r>
      <w:r w:rsidR="0056235C" w:rsidRPr="00A31DBD">
        <w:t>2</w:t>
      </w:r>
      <w:r w:rsidR="00AE11CD" w:rsidRPr="00A31DBD">
        <w:t>)</w:t>
      </w:r>
      <w:r w:rsidR="00D12B65" w:rsidRPr="00A31DBD">
        <w:t xml:space="preserve">. </w:t>
      </w:r>
      <w:r w:rsidR="00D6650A" w:rsidRPr="00A31DBD">
        <w:t>Its</w:t>
      </w:r>
      <w:r w:rsidR="00B81A61" w:rsidRPr="004258FD">
        <w:t xml:space="preserve"> real GDP growth forecasts have been </w:t>
      </w:r>
      <w:r w:rsidR="00D6650A" w:rsidRPr="004258FD">
        <w:t xml:space="preserve">quite </w:t>
      </w:r>
      <w:r w:rsidR="00B81A61" w:rsidRPr="004258FD">
        <w:t xml:space="preserve">accurate, with the </w:t>
      </w:r>
      <w:r w:rsidR="007A46C9" w:rsidRPr="004258FD">
        <w:t>MAPE</w:t>
      </w:r>
      <w:r w:rsidR="0014452D" w:rsidRPr="004258FD">
        <w:t xml:space="preserve"> </w:t>
      </w:r>
      <w:r w:rsidR="00937CE3" w:rsidRPr="004258FD">
        <w:t xml:space="preserve">generally </w:t>
      </w:r>
      <w:r w:rsidR="0014452D" w:rsidRPr="004258FD">
        <w:t>remain</w:t>
      </w:r>
      <w:r w:rsidR="00B81A61" w:rsidRPr="004258FD">
        <w:t>ing</w:t>
      </w:r>
      <w:r w:rsidR="0014452D" w:rsidRPr="004258FD">
        <w:t xml:space="preserve"> within a </w:t>
      </w:r>
      <w:r w:rsidR="00544934" w:rsidRPr="004258FD">
        <w:t xml:space="preserve">range of </w:t>
      </w:r>
      <w:r w:rsidR="0014452D" w:rsidRPr="004258FD">
        <w:t>½</w:t>
      </w:r>
      <w:r w:rsidR="002C1BFD" w:rsidRPr="004258FD">
        <w:t> </w:t>
      </w:r>
      <w:r w:rsidR="0014452D" w:rsidRPr="004258FD">
        <w:t>to 1</w:t>
      </w:r>
      <w:r w:rsidR="002C1BFD" w:rsidRPr="004258FD">
        <w:t> </w:t>
      </w:r>
      <w:r w:rsidR="0014452D" w:rsidRPr="004258FD">
        <w:t xml:space="preserve">percentage point. </w:t>
      </w:r>
      <w:r w:rsidR="00D6650A" w:rsidRPr="004258FD">
        <w:t>Treasury</w:t>
      </w:r>
      <w:r w:rsidR="004F0077">
        <w:t>’</w:t>
      </w:r>
      <w:r w:rsidR="00D6650A" w:rsidRPr="004258FD">
        <w:t xml:space="preserve">s </w:t>
      </w:r>
      <w:r w:rsidR="002C1BFD" w:rsidRPr="004258FD">
        <w:t>forecasting performance has been less accurate in recent years than over the full sample period</w:t>
      </w:r>
      <w:r w:rsidR="006B03DB" w:rsidRPr="004258FD">
        <w:t>,</w:t>
      </w:r>
      <w:r w:rsidR="002C1BFD" w:rsidRPr="004258FD">
        <w:t xml:space="preserve"> reflecting greater volatility in real GDP growth as a result of the </w:t>
      </w:r>
      <w:r w:rsidR="006B03DB" w:rsidRPr="004258FD">
        <w:t xml:space="preserve">impact of the </w:t>
      </w:r>
      <w:r w:rsidR="002C1BFD" w:rsidRPr="004258FD">
        <w:t>GFC</w:t>
      </w:r>
      <w:r w:rsidR="000E0AB8" w:rsidRPr="004258FD">
        <w:t>,</w:t>
      </w:r>
      <w:r w:rsidR="006B03DB" w:rsidRPr="004258FD">
        <w:t xml:space="preserve"> and its aftermath</w:t>
      </w:r>
      <w:r w:rsidR="000E0AB8" w:rsidRPr="004258FD">
        <w:t>,</w:t>
      </w:r>
      <w:r w:rsidR="006B03DB" w:rsidRPr="004258FD">
        <w:t xml:space="preserve"> on the Australian economy.</w:t>
      </w:r>
    </w:p>
    <w:p w:rsidR="00300337" w:rsidRPr="004258FD" w:rsidRDefault="00F74571" w:rsidP="001108B2">
      <w:pPr>
        <w:pStyle w:val="TableMainHeading"/>
        <w:spacing w:after="120"/>
      </w:pPr>
      <w:r w:rsidRPr="004258FD">
        <w:t>Table</w:t>
      </w:r>
      <w:r w:rsidR="00F76F2B" w:rsidRPr="004258FD">
        <w:t xml:space="preserve"> </w:t>
      </w:r>
      <w:r w:rsidR="001108B2">
        <w:t>3.</w:t>
      </w:r>
      <w:r w:rsidR="00300337" w:rsidRPr="004258FD">
        <w:t>2</w:t>
      </w:r>
      <w:r w:rsidRPr="004258FD">
        <w:t>:</w:t>
      </w:r>
      <w:r w:rsidR="004F0077">
        <w:t xml:space="preserve"> </w:t>
      </w:r>
      <w:r w:rsidR="001108B2" w:rsidRPr="004258FD">
        <w:t xml:space="preserve">Performance </w:t>
      </w:r>
      <w:r w:rsidR="001108B2">
        <w:t>o</w:t>
      </w:r>
      <w:r w:rsidR="001108B2" w:rsidRPr="004258FD">
        <w:t>f Real G</w:t>
      </w:r>
      <w:r w:rsidR="001108B2">
        <w:t>DP</w:t>
      </w:r>
      <w:r w:rsidR="001108B2" w:rsidRPr="004258FD">
        <w:t xml:space="preserve"> Growth Forecasts </w:t>
      </w:r>
      <w:r w:rsidR="001108B2">
        <w:t>a</w:t>
      </w:r>
      <w:r w:rsidR="001108B2" w:rsidRPr="004258FD">
        <w:t>gainst Most Recent Estimated Outcomes</w:t>
      </w:r>
    </w:p>
    <w:p w:rsidR="00375B8B" w:rsidRPr="004258FD" w:rsidRDefault="00681E71">
      <w:pPr>
        <w:pStyle w:val="TableGraphic"/>
      </w:pPr>
      <w:r>
        <w:object w:dxaOrig="11458" w:dyaOrig="2343">
          <v:shape id="_x0000_i1027" type="#_x0000_t75" style="width:454.6pt;height:92.95pt" o:ole="">
            <v:imagedata r:id="rId13" o:title=""/>
          </v:shape>
          <o:OLEObject Type="Link" ProgID="Excel.Sheet.8" ShapeID="_x0000_i1027" DrawAspect="Content" r:id="rId14" UpdateMode="Always">
            <o:LinkType>Picture</o:LinkType>
            <o:LockedField/>
          </o:OLEObject>
        </w:object>
      </w:r>
    </w:p>
    <w:p w:rsidR="002467AE" w:rsidRPr="004258FD" w:rsidRDefault="002467AE" w:rsidP="004A0BC5">
      <w:pPr>
        <w:pStyle w:val="ChartMainHeading"/>
        <w:spacing w:before="120" w:after="120" w:line="240" w:lineRule="auto"/>
      </w:pPr>
      <w:r w:rsidRPr="004258FD">
        <w:t>F</w:t>
      </w:r>
      <w:r w:rsidR="00182B87">
        <w:t>igure</w:t>
      </w:r>
      <w:r w:rsidRPr="004258FD">
        <w:t xml:space="preserve"> </w:t>
      </w:r>
      <w:r w:rsidR="001108B2">
        <w:t>3.</w:t>
      </w:r>
      <w:r w:rsidRPr="004258FD">
        <w:t>2:</w:t>
      </w:r>
      <w:r w:rsidR="004F0077">
        <w:t xml:space="preserve"> </w:t>
      </w:r>
      <w:r w:rsidRPr="004258FD">
        <w:t>Evolution of R</w:t>
      </w:r>
      <w:r w:rsidR="00062292">
        <w:t>eal</w:t>
      </w:r>
      <w:r w:rsidRPr="004258FD">
        <w:t xml:space="preserve"> GDP </w:t>
      </w:r>
      <w:r w:rsidR="001108B2">
        <w:t>G</w:t>
      </w:r>
      <w:r w:rsidRPr="004258FD">
        <w:t>rowth F</w:t>
      </w:r>
      <w:r w:rsidR="00062292">
        <w:t>orecasts</w:t>
      </w:r>
    </w:p>
    <w:p w:rsidR="008719B3" w:rsidRDefault="00C85F3A" w:rsidP="00134298">
      <w:pPr>
        <w:spacing w:line="240" w:lineRule="auto"/>
        <w:jc w:val="center"/>
      </w:pPr>
      <w:r>
        <w:object w:dxaOrig="8775" w:dyaOrig="3961">
          <v:shape id="_x0000_i1028" type="#_x0000_t75" alt="This figure shows the accuracy of Treasury’s Real GDP growth forecasts since 1990-91 by comparing the Budget forecast for the Budget year with the final published outcome.  The chart also shows the evolution of Treasury’s forecasts for each financial year.&#10;" style="width:436.2pt;height:199.25pt" o:ole="">
            <v:imagedata r:id="rId15" o:title=""/>
          </v:shape>
          <o:OLEObject Type="Link" ProgID="Excel.Sheet.8" ShapeID="_x0000_i1028" DrawAspect="Content" r:id="rId16" UpdateMode="Always">
            <o:LinkType>EnhancedMetaFile</o:LinkType>
            <o:LockedField>false</o:LockedField>
            <o:FieldCodes>\* MERGEFORMAT</o:FieldCodes>
          </o:OLEObject>
        </w:object>
      </w:r>
    </w:p>
    <w:p w:rsidR="0056235C" w:rsidRPr="004258FD" w:rsidRDefault="0056235C" w:rsidP="008719B3">
      <w:pPr>
        <w:spacing w:line="240" w:lineRule="auto"/>
      </w:pPr>
      <w:r w:rsidRPr="004258FD">
        <w:t xml:space="preserve">These findings contrast </w:t>
      </w:r>
      <w:r w:rsidR="006D6E4E" w:rsidRPr="004258FD">
        <w:t xml:space="preserve">with </w:t>
      </w:r>
      <w:r w:rsidRPr="004258FD">
        <w:t xml:space="preserve">those of a recent study by Frankel </w:t>
      </w:r>
      <w:r w:rsidR="00096B4E">
        <w:t xml:space="preserve">(2011) </w:t>
      </w:r>
      <w:r w:rsidRPr="004258FD">
        <w:t xml:space="preserve">of official government real growth rate </w:t>
      </w:r>
      <w:r w:rsidR="00680E4A" w:rsidRPr="004258FD">
        <w:t>(</w:t>
      </w:r>
      <w:r w:rsidRPr="004258FD">
        <w:t>and budget balance</w:t>
      </w:r>
      <w:r w:rsidR="00024DB4">
        <w:t>)</w:t>
      </w:r>
      <w:r w:rsidRPr="004258FD">
        <w:t xml:space="preserve"> forecasts between 1985 and 2009 in 33 countries. Th</w:t>
      </w:r>
      <w:r w:rsidR="006D6E4E" w:rsidRPr="004258FD">
        <w:t>at</w:t>
      </w:r>
      <w:r w:rsidRPr="004258FD">
        <w:t xml:space="preserve"> </w:t>
      </w:r>
      <w:r w:rsidR="00680E4A" w:rsidRPr="004258FD">
        <w:t xml:space="preserve">study found that </w:t>
      </w:r>
      <w:r w:rsidR="00634B53">
        <w:t xml:space="preserve">official agency </w:t>
      </w:r>
      <w:r w:rsidR="00680E4A" w:rsidRPr="004258FD">
        <w:t>forecasts tended to have a positive average bias</w:t>
      </w:r>
      <w:r w:rsidR="00056662" w:rsidRPr="004258FD">
        <w:t xml:space="preserve">; </w:t>
      </w:r>
      <w:r w:rsidR="00680E4A" w:rsidRPr="004258FD">
        <w:t xml:space="preserve">are </w:t>
      </w:r>
      <w:r w:rsidRPr="004258FD">
        <w:t>more biased in booms</w:t>
      </w:r>
      <w:r w:rsidR="00BB1085">
        <w:t xml:space="preserve"> (</w:t>
      </w:r>
      <w:r w:rsidR="00056662" w:rsidRPr="004258FD">
        <w:t xml:space="preserve">and are even more biased at the </w:t>
      </w:r>
      <w:r w:rsidR="008757B8">
        <w:t>three</w:t>
      </w:r>
      <w:r w:rsidR="00674CFB">
        <w:noBreakHyphen/>
      </w:r>
      <w:r w:rsidR="00056662" w:rsidRPr="004258FD">
        <w:t>year horizon than at shorter horizons</w:t>
      </w:r>
      <w:r w:rsidR="00BB1085">
        <w:t>)</w:t>
      </w:r>
      <w:r w:rsidR="00056662" w:rsidRPr="004258FD">
        <w:t xml:space="preserve">. The data for Australia indicate little bias in </w:t>
      </w:r>
      <w:r w:rsidR="00E57334">
        <w:t>all these respects</w:t>
      </w:r>
      <w:r w:rsidR="00056662" w:rsidRPr="004258FD">
        <w:t xml:space="preserve"> compared with other countries</w:t>
      </w:r>
      <w:r w:rsidRPr="004258FD">
        <w:t>.</w:t>
      </w:r>
    </w:p>
    <w:p w:rsidR="00B31448" w:rsidRPr="004258FD" w:rsidRDefault="00A1039F" w:rsidP="00946BF4">
      <w:r w:rsidRPr="004258FD">
        <w:t xml:space="preserve">The </w:t>
      </w:r>
      <w:r w:rsidR="00F9368C" w:rsidRPr="004258FD">
        <w:t xml:space="preserve">different </w:t>
      </w:r>
      <w:r w:rsidRPr="004258FD">
        <w:t xml:space="preserve">volatility of the </w:t>
      </w:r>
      <w:r w:rsidR="00F9368C" w:rsidRPr="004258FD">
        <w:t xml:space="preserve">various </w:t>
      </w:r>
      <w:r w:rsidR="00246042" w:rsidRPr="004258FD">
        <w:t xml:space="preserve">expenditure components of </w:t>
      </w:r>
      <w:r w:rsidR="00D05063" w:rsidRPr="004258FD">
        <w:t xml:space="preserve">GDP </w:t>
      </w:r>
      <w:r w:rsidRPr="004258FD">
        <w:t>makes some easier to forecast than others</w:t>
      </w:r>
      <w:r w:rsidR="00D6650A" w:rsidRPr="004258FD">
        <w:t xml:space="preserve"> (Table </w:t>
      </w:r>
      <w:r w:rsidR="00224D47">
        <w:t>3.</w:t>
      </w:r>
      <w:r w:rsidR="00D6650A" w:rsidRPr="004258FD">
        <w:t>3)</w:t>
      </w:r>
      <w:r w:rsidRPr="004258FD">
        <w:t>.</w:t>
      </w:r>
      <w:r w:rsidR="00230FEF">
        <w:t xml:space="preserve"> </w:t>
      </w:r>
      <w:r w:rsidR="00DD2E23" w:rsidRPr="004258FD">
        <w:t>Not surprisingly</w:t>
      </w:r>
      <w:r w:rsidR="008B4325">
        <w:t>,</w:t>
      </w:r>
      <w:r w:rsidR="00DD2E23" w:rsidRPr="004258FD">
        <w:t xml:space="preserve"> Treasury</w:t>
      </w:r>
      <w:r w:rsidR="004F0077">
        <w:t>’</w:t>
      </w:r>
      <w:r w:rsidR="00DD2E23" w:rsidRPr="004258FD">
        <w:t xml:space="preserve">s forecasts of the most volatile expenditure </w:t>
      </w:r>
      <w:r w:rsidR="00F9368C" w:rsidRPr="004258FD">
        <w:t>components</w:t>
      </w:r>
      <w:r w:rsidR="00E60C31" w:rsidRPr="004258FD">
        <w:t xml:space="preserve"> </w:t>
      </w:r>
      <w:r w:rsidR="00DD2E23" w:rsidRPr="004258FD">
        <w:t>tend to be the least accurate, with the largest MAPEs.</w:t>
      </w:r>
      <w:r w:rsidR="00F732E4" w:rsidRPr="004258FD">
        <w:t xml:space="preserve"> Treasury has </w:t>
      </w:r>
      <w:r w:rsidR="008B4325">
        <w:t xml:space="preserve">had </w:t>
      </w:r>
      <w:r w:rsidR="00F732E4" w:rsidRPr="004258FD">
        <w:t>the greatest difficulty in accurately forecasting business and dwelling investment</w:t>
      </w:r>
      <w:r w:rsidR="00B3152F">
        <w:t xml:space="preserve">, with the former, as </w:t>
      </w:r>
      <w:r w:rsidR="00945474">
        <w:t xml:space="preserve">an </w:t>
      </w:r>
      <w:r w:rsidR="00B3152F">
        <w:t>import</w:t>
      </w:r>
      <w:r w:rsidR="00674CFB">
        <w:noBreakHyphen/>
      </w:r>
      <w:r w:rsidR="00B3152F">
        <w:t xml:space="preserve">intensive component of GDP, </w:t>
      </w:r>
      <w:r w:rsidR="00945474">
        <w:t xml:space="preserve">also </w:t>
      </w:r>
      <w:r w:rsidR="00B3152F">
        <w:t xml:space="preserve">having an impact on the accuracy of the </w:t>
      </w:r>
      <w:r w:rsidR="00945474">
        <w:t xml:space="preserve">imports’ </w:t>
      </w:r>
      <w:r w:rsidR="00B3152F">
        <w:t>forecasts</w:t>
      </w:r>
      <w:r w:rsidR="00DF7318">
        <w:t>.</w:t>
      </w:r>
      <w:r w:rsidR="00F732E4" w:rsidRPr="004258FD" w:rsidDel="00CB297F">
        <w:t xml:space="preserve"> </w:t>
      </w:r>
    </w:p>
    <w:p w:rsidR="00B31448" w:rsidRPr="004258FD" w:rsidRDefault="00B31448" w:rsidP="007B135D">
      <w:pPr>
        <w:pStyle w:val="TableMainHeading"/>
        <w:spacing w:after="0"/>
        <w:jc w:val="left"/>
      </w:pPr>
      <w:r w:rsidRPr="004258FD">
        <w:lastRenderedPageBreak/>
        <w:t xml:space="preserve">Table </w:t>
      </w:r>
      <w:r w:rsidR="001108B2">
        <w:t>3.</w:t>
      </w:r>
      <w:r w:rsidR="000E0AB8" w:rsidRPr="004258FD">
        <w:t>3</w:t>
      </w:r>
      <w:r w:rsidRPr="004258FD">
        <w:t>:</w:t>
      </w:r>
      <w:r w:rsidR="004F0077">
        <w:t xml:space="preserve"> </w:t>
      </w:r>
      <w:r w:rsidRPr="004258FD">
        <w:t xml:space="preserve">Performance of GDP </w:t>
      </w:r>
      <w:r w:rsidR="001108B2">
        <w:t>E</w:t>
      </w:r>
      <w:r w:rsidRPr="004258FD">
        <w:t xml:space="preserve">xpenditure </w:t>
      </w:r>
      <w:r w:rsidR="001108B2">
        <w:t>C</w:t>
      </w:r>
      <w:r w:rsidR="00C955ED">
        <w:t>omponent</w:t>
      </w:r>
      <w:r w:rsidR="00246042" w:rsidRPr="004258FD">
        <w:t xml:space="preserve"> </w:t>
      </w:r>
      <w:r w:rsidR="001108B2">
        <w:t>G</w:t>
      </w:r>
      <w:r w:rsidR="000E0AB8" w:rsidRPr="004258FD">
        <w:t xml:space="preserve">rowth </w:t>
      </w:r>
      <w:r w:rsidR="001108B2">
        <w:t>F</w:t>
      </w:r>
      <w:r w:rsidRPr="004258FD">
        <w:t>orecasts</w:t>
      </w:r>
      <w:r w:rsidR="007B135D">
        <w:t xml:space="preserve"> </w:t>
      </w:r>
      <w:r w:rsidRPr="004258FD">
        <w:t>(1998</w:t>
      </w:r>
      <w:r w:rsidR="00674CFB">
        <w:noBreakHyphen/>
      </w:r>
      <w:r w:rsidRPr="004258FD">
        <w:t>99 to 2011</w:t>
      </w:r>
      <w:r w:rsidR="00674CFB">
        <w:noBreakHyphen/>
      </w:r>
      <w:r w:rsidRPr="004258FD">
        <w:t xml:space="preserve">12, </w:t>
      </w:r>
      <w:r w:rsidR="001108B2">
        <w:t>A</w:t>
      </w:r>
      <w:r w:rsidRPr="004258FD">
        <w:t xml:space="preserve">ll </w:t>
      </w:r>
      <w:r w:rsidR="001108B2">
        <w:t>F</w:t>
      </w:r>
      <w:r w:rsidRPr="004258FD">
        <w:t xml:space="preserve">orecast </w:t>
      </w:r>
      <w:r w:rsidR="001108B2">
        <w:t>R</w:t>
      </w:r>
      <w:r w:rsidRPr="004258FD">
        <w:t>ounds)</w:t>
      </w:r>
    </w:p>
    <w:p w:rsidR="00B31448" w:rsidRPr="004258FD" w:rsidRDefault="00FF4400" w:rsidP="008B0EA7">
      <w:pPr>
        <w:pStyle w:val="TableGraphic"/>
      </w:pPr>
      <w:r>
        <w:object w:dxaOrig="9871" w:dyaOrig="2767">
          <v:shape id="_x0000_i1029" type="#_x0000_t75" style="width:450.4pt;height:138.15pt" o:ole="">
            <v:imagedata r:id="rId17" o:title=""/>
          </v:shape>
          <o:OLEObject Type="Link" ProgID="Excel.Sheet.8" ShapeID="_x0000_i1029" DrawAspect="Content" r:id="rId18" UpdateMode="Always">
            <o:LinkType>Picture</o:LinkType>
            <o:LockedField>false</o:LockedField>
          </o:OLEObject>
        </w:object>
      </w:r>
    </w:p>
    <w:p w:rsidR="00C35763" w:rsidRPr="004258FD" w:rsidRDefault="00DD2E23" w:rsidP="00DC6CDF">
      <w:pPr>
        <w:spacing w:before="240"/>
      </w:pPr>
      <w:r w:rsidRPr="004258FD">
        <w:t xml:space="preserve">An examination of </w:t>
      </w:r>
      <w:r w:rsidR="00246042" w:rsidRPr="004258FD">
        <w:t xml:space="preserve">the </w:t>
      </w:r>
      <w:r w:rsidRPr="004258FD">
        <w:t xml:space="preserve">mean </w:t>
      </w:r>
      <w:r w:rsidR="000E6391" w:rsidRPr="004258FD">
        <w:t xml:space="preserve">forecasting </w:t>
      </w:r>
      <w:r w:rsidRPr="004258FD">
        <w:t xml:space="preserve">errors </w:t>
      </w:r>
      <w:r w:rsidR="00246042" w:rsidRPr="004258FD">
        <w:t xml:space="preserve">of the expenditure </w:t>
      </w:r>
      <w:r w:rsidR="00F9368C" w:rsidRPr="004258FD">
        <w:t xml:space="preserve">components </w:t>
      </w:r>
      <w:r w:rsidR="00DF7318">
        <w:t xml:space="preserve">of GDP </w:t>
      </w:r>
      <w:r w:rsidR="00B31448" w:rsidRPr="004258FD">
        <w:t>indicate</w:t>
      </w:r>
      <w:r w:rsidR="00790C33" w:rsidRPr="004258FD">
        <w:t>s</w:t>
      </w:r>
      <w:r w:rsidR="00B31448" w:rsidRPr="004258FD">
        <w:t xml:space="preserve"> that Treasury has </w:t>
      </w:r>
      <w:r w:rsidR="00246042" w:rsidRPr="004258FD">
        <w:t>over</w:t>
      </w:r>
      <w:r w:rsidR="000E6391" w:rsidRPr="004258FD">
        <w:t>estimat</w:t>
      </w:r>
      <w:r w:rsidR="00F257EF" w:rsidRPr="004258FD">
        <w:t>ed</w:t>
      </w:r>
      <w:r w:rsidR="00B31448" w:rsidRPr="004258FD">
        <w:t xml:space="preserve"> exports growth</w:t>
      </w:r>
      <w:r w:rsidR="008D32CA" w:rsidRPr="004258FD">
        <w:t xml:space="preserve"> in recent years,</w:t>
      </w:r>
      <w:r w:rsidR="00B31448" w:rsidRPr="004258FD">
        <w:t xml:space="preserve"> and </w:t>
      </w:r>
      <w:r w:rsidR="00246042" w:rsidRPr="004258FD">
        <w:t>under</w:t>
      </w:r>
      <w:r w:rsidR="000E6391" w:rsidRPr="004258FD">
        <w:t>estimat</w:t>
      </w:r>
      <w:r w:rsidR="00F257EF" w:rsidRPr="004258FD">
        <w:t>ed</w:t>
      </w:r>
      <w:r w:rsidR="00B31448" w:rsidRPr="004258FD">
        <w:t xml:space="preserve"> business investment and</w:t>
      </w:r>
      <w:r w:rsidR="00F9368C" w:rsidRPr="004258FD">
        <w:t>,</w:t>
      </w:r>
      <w:r w:rsidR="00B31448" w:rsidRPr="004258FD">
        <w:t xml:space="preserve"> </w:t>
      </w:r>
      <w:r w:rsidR="00447B10">
        <w:t>in turn</w:t>
      </w:r>
      <w:r w:rsidR="00246042" w:rsidRPr="004258FD">
        <w:t>,</w:t>
      </w:r>
      <w:r w:rsidR="00B31448" w:rsidRPr="004258FD">
        <w:t xml:space="preserve"> imports growth.</w:t>
      </w:r>
      <w:r w:rsidR="0014452D" w:rsidRPr="004258FD">
        <w:t xml:space="preserve"> </w:t>
      </w:r>
      <w:r w:rsidR="00245F7F">
        <w:t>In particular, s</w:t>
      </w:r>
      <w:r w:rsidR="00800039" w:rsidRPr="004258FD">
        <w:t xml:space="preserve">ince the beginning of </w:t>
      </w:r>
      <w:r w:rsidR="00304E10">
        <w:t>Mining Boom Mark I,</w:t>
      </w:r>
      <w:r w:rsidR="00800039" w:rsidRPr="004258FD">
        <w:t xml:space="preserve"> </w:t>
      </w:r>
      <w:r w:rsidR="0014452D" w:rsidRPr="004258FD">
        <w:t xml:space="preserve">Treasury </w:t>
      </w:r>
      <w:r w:rsidR="00246042" w:rsidRPr="004258FD">
        <w:t xml:space="preserve">has </w:t>
      </w:r>
      <w:r w:rsidR="00F45C9E" w:rsidRPr="004258FD">
        <w:t>consistently overestimated</w:t>
      </w:r>
      <w:r w:rsidR="0014452D" w:rsidRPr="004258FD">
        <w:t xml:space="preserve"> </w:t>
      </w:r>
      <w:r w:rsidR="007B135D">
        <w:t xml:space="preserve">growth in </w:t>
      </w:r>
      <w:r w:rsidR="00A32B36" w:rsidRPr="004258FD">
        <w:t>non</w:t>
      </w:r>
      <w:r w:rsidR="00674CFB">
        <w:noBreakHyphen/>
      </w:r>
      <w:r w:rsidR="00A32B36" w:rsidRPr="004258FD">
        <w:t>rural commodity exports</w:t>
      </w:r>
      <w:r w:rsidR="007B135D">
        <w:t xml:space="preserve"> (Figure 3.3)</w:t>
      </w:r>
      <w:r w:rsidR="0014452D" w:rsidRPr="004258FD">
        <w:t>.</w:t>
      </w:r>
      <w:r w:rsidR="00230FEF">
        <w:t xml:space="preserve"> </w:t>
      </w:r>
      <w:r w:rsidR="00447B10">
        <w:t xml:space="preserve">These </w:t>
      </w:r>
      <w:r w:rsidR="00465C1F" w:rsidRPr="004258FD">
        <w:t>forecasts are heavily influenced by mining company</w:t>
      </w:r>
      <w:r w:rsidR="004F0077">
        <w:t>’</w:t>
      </w:r>
      <w:r w:rsidR="00DF7318">
        <w:t>s</w:t>
      </w:r>
      <w:r w:rsidR="00465C1F" w:rsidRPr="004258FD">
        <w:t xml:space="preserve"> stated targets</w:t>
      </w:r>
      <w:r w:rsidR="00DF7318">
        <w:t xml:space="preserve">, which </w:t>
      </w:r>
      <w:r w:rsidR="007B135D">
        <w:t xml:space="preserve">have </w:t>
      </w:r>
      <w:r w:rsidR="00DF7318">
        <w:t>consistently</w:t>
      </w:r>
      <w:r w:rsidR="00694692">
        <w:t xml:space="preserve"> exceeded actual outcomes</w:t>
      </w:r>
      <w:r w:rsidR="007B135D">
        <w:t xml:space="preserve">, in part due to the impact of </w:t>
      </w:r>
      <w:r w:rsidR="00052C21" w:rsidRPr="004258FD">
        <w:t xml:space="preserve">natural disasters and </w:t>
      </w:r>
      <w:r w:rsidR="00465C1F" w:rsidRPr="004258FD">
        <w:t>infrastructure bottlenecks</w:t>
      </w:r>
      <w:r w:rsidR="00FF2334">
        <w:t>.</w:t>
      </w:r>
      <w:r w:rsidR="00052C21" w:rsidRPr="004258FD">
        <w:t xml:space="preserve"> Treasury has also been </w:t>
      </w:r>
      <w:r w:rsidR="006A2BF9">
        <w:t xml:space="preserve">overly </w:t>
      </w:r>
      <w:r w:rsidR="00052C21" w:rsidRPr="004258FD">
        <w:t xml:space="preserve">pessimistic forecasting business investment, particularly </w:t>
      </w:r>
      <w:r w:rsidR="00CA4353" w:rsidRPr="004258FD">
        <w:t>the mining</w:t>
      </w:r>
      <w:r w:rsidR="00674CFB">
        <w:noBreakHyphen/>
      </w:r>
      <w:r w:rsidR="00CA4353" w:rsidRPr="004258FD">
        <w:t xml:space="preserve">boom related surge in </w:t>
      </w:r>
      <w:r w:rsidR="00052C21" w:rsidRPr="004258FD">
        <w:t>engineering construction</w:t>
      </w:r>
      <w:r w:rsidR="007B135D">
        <w:t xml:space="preserve"> (Figure 3.3)</w:t>
      </w:r>
      <w:r w:rsidR="006C40B2" w:rsidRPr="004258FD">
        <w:t>.</w:t>
      </w:r>
      <w:r w:rsidR="00CF6EF2" w:rsidRPr="00CF6EF2">
        <w:t xml:space="preserve"> </w:t>
      </w:r>
    </w:p>
    <w:p w:rsidR="00847629" w:rsidRDefault="00847629" w:rsidP="00DF7318">
      <w:pPr>
        <w:pStyle w:val="ChartMainHeading"/>
        <w:spacing w:after="120"/>
      </w:pPr>
      <w:r w:rsidRPr="004258FD">
        <w:t>Figure</w:t>
      </w:r>
      <w:r w:rsidR="0015783D" w:rsidRPr="004258FD">
        <w:t xml:space="preserve"> </w:t>
      </w:r>
      <w:r w:rsidR="007A4B35" w:rsidRPr="004258FD">
        <w:t>3</w:t>
      </w:r>
      <w:r w:rsidR="001108B2">
        <w:t>.3</w:t>
      </w:r>
      <w:r w:rsidRPr="004258FD">
        <w:t>:</w:t>
      </w:r>
      <w:r w:rsidR="004F0077">
        <w:t xml:space="preserve"> </w:t>
      </w:r>
      <w:r w:rsidRPr="004258FD">
        <w:t xml:space="preserve">Evolution of </w:t>
      </w:r>
      <w:r w:rsidR="001108B2">
        <w:t>N</w:t>
      </w:r>
      <w:r w:rsidRPr="004258FD">
        <w:t>on</w:t>
      </w:r>
      <w:r w:rsidR="00674CFB">
        <w:noBreakHyphen/>
      </w:r>
      <w:r w:rsidRPr="004258FD">
        <w:t xml:space="preserve">rural </w:t>
      </w:r>
      <w:r w:rsidR="001108B2">
        <w:t>C</w:t>
      </w:r>
      <w:r w:rsidRPr="004258FD">
        <w:t xml:space="preserve">ommodity </w:t>
      </w:r>
      <w:r w:rsidR="001108B2">
        <w:t>E</w:t>
      </w:r>
      <w:r w:rsidRPr="004258FD">
        <w:t xml:space="preserve">xports and </w:t>
      </w:r>
      <w:r w:rsidR="001108B2">
        <w:t>E</w:t>
      </w:r>
      <w:r w:rsidR="00CF16E5" w:rsidRPr="004258FD">
        <w:t xml:space="preserve">ngineering </w:t>
      </w:r>
      <w:r w:rsidR="001108B2">
        <w:t>C</w:t>
      </w:r>
      <w:r w:rsidR="00CF16E5" w:rsidRPr="004258FD">
        <w:t xml:space="preserve">onstruction </w:t>
      </w:r>
      <w:r w:rsidR="001108B2">
        <w:t>G</w:t>
      </w:r>
      <w:r w:rsidR="00CF16E5" w:rsidRPr="004258FD">
        <w:t>rowth</w:t>
      </w:r>
      <w:r w:rsidR="008757B8">
        <w:t> </w:t>
      </w:r>
      <w:r w:rsidR="001108B2">
        <w:t>F</w:t>
      </w:r>
      <w:r w:rsidR="00CF16E5" w:rsidRPr="004258FD">
        <w:t>orecasts</w:t>
      </w:r>
    </w:p>
    <w:tbl>
      <w:tblPr>
        <w:tblStyle w:val="TableGrid"/>
        <w:tblW w:w="0" w:type="auto"/>
        <w:tblLook w:val="04A0" w:firstRow="1" w:lastRow="0" w:firstColumn="1" w:lastColumn="0" w:noHBand="0" w:noVBand="1"/>
      </w:tblPr>
      <w:tblGrid>
        <w:gridCol w:w="4621"/>
        <w:gridCol w:w="4621"/>
      </w:tblGrid>
      <w:tr w:rsidR="00DD76AA" w:rsidTr="002C0588">
        <w:tc>
          <w:tcPr>
            <w:tcW w:w="4621" w:type="dxa"/>
            <w:shd w:val="clear" w:color="auto" w:fill="auto"/>
          </w:tcPr>
          <w:p w:rsidR="00DD76AA" w:rsidRDefault="00DD76AA" w:rsidP="003C35EE">
            <w:pPr>
              <w:pStyle w:val="ChartSecondHeading"/>
              <w:rPr>
                <w:bCs/>
                <w:sz w:val="22"/>
              </w:rPr>
            </w:pPr>
            <w:r w:rsidRPr="00DD76AA">
              <w:t>Non</w:t>
            </w:r>
            <w:r w:rsidR="00674CFB">
              <w:noBreakHyphen/>
            </w:r>
            <w:r w:rsidRPr="00DD76AA">
              <w:t>rural commodity exports</w:t>
            </w:r>
          </w:p>
        </w:tc>
        <w:tc>
          <w:tcPr>
            <w:tcW w:w="4621" w:type="dxa"/>
            <w:shd w:val="clear" w:color="auto" w:fill="auto"/>
          </w:tcPr>
          <w:p w:rsidR="00DD76AA" w:rsidRDefault="00DD76AA" w:rsidP="00DF7318">
            <w:pPr>
              <w:pStyle w:val="ChartSecondHeading"/>
              <w:rPr>
                <w:sz w:val="22"/>
              </w:rPr>
            </w:pPr>
            <w:r w:rsidRPr="00DD76AA">
              <w:t>New engineering construction</w:t>
            </w:r>
          </w:p>
        </w:tc>
      </w:tr>
      <w:tr w:rsidR="00DD76AA" w:rsidTr="002C0588">
        <w:tc>
          <w:tcPr>
            <w:tcW w:w="4621" w:type="dxa"/>
            <w:shd w:val="clear" w:color="auto" w:fill="auto"/>
          </w:tcPr>
          <w:p w:rsidR="00DD76AA" w:rsidRDefault="00CF6EF2" w:rsidP="00DF7318">
            <w:pPr>
              <w:pStyle w:val="ChartGraphic"/>
              <w:rPr>
                <w:bCs/>
                <w:sz w:val="22"/>
              </w:rPr>
            </w:pPr>
            <w:r>
              <w:object w:dxaOrig="4516" w:dyaOrig="3961">
                <v:shape id="_x0000_i1030" type="#_x0000_t75" alt="This figure has two panels.  The left-hand panel shows the accuracy of Treasury’s non-rural commodity export growth forecasts since 2003-04 by comparing the Budget forecast for the Budget year with the final published outcome.  The chart also shows the evolution of Treasury’s forecasts for each financial year.&#10;" style="width:224.35pt;height:199.25pt;mso-position-vertical:absolute" o:ole="">
                  <v:imagedata r:id="rId19" o:title=""/>
                </v:shape>
                <o:OLEObject Type="Link" ProgID="Excel.Sheet.8" ShapeID="_x0000_i1030" DrawAspect="Content" r:id="rId20" UpdateMode="Always">
                  <o:LinkType>EnhancedMetaFile</o:LinkType>
                  <o:LockedField>false</o:LockedField>
                  <o:FieldCodes>\* MERGEFORMAT</o:FieldCodes>
                </o:OLEObject>
              </w:object>
            </w:r>
          </w:p>
        </w:tc>
        <w:tc>
          <w:tcPr>
            <w:tcW w:w="4621" w:type="dxa"/>
            <w:shd w:val="clear" w:color="auto" w:fill="auto"/>
          </w:tcPr>
          <w:p w:rsidR="00DD76AA" w:rsidRDefault="00CF6EF2" w:rsidP="00946BF4">
            <w:pPr>
              <w:pStyle w:val="ChartGraphic"/>
            </w:pPr>
            <w:r>
              <w:object w:dxaOrig="4516" w:dyaOrig="3961">
                <v:shape id="_x0000_i1031" type="#_x0000_t75" alt="The right-hand panel shows the accuracy of Treasury’s new engineering construction growth forecasts since 2003-04 by comparing the Budget forecast for the Budget year with the final published outcome.  The chart also shows the evolution of Treasury’s forecasts for each financial year.&#10;" style="width:224.35pt;height:199.25pt;mso-position-horizontal:absolute" o:ole="">
                  <v:imagedata r:id="rId21" o:title=""/>
                </v:shape>
                <o:OLEObject Type="Link" ProgID="Excel.Sheet.8" ShapeID="_x0000_i1031" DrawAspect="Content" r:id="rId22" UpdateMode="Always">
                  <o:LinkType>EnhancedMetaFile</o:LinkType>
                  <o:LockedField>false</o:LockedField>
                  <o:FieldCodes>\* MERGEFORMAT</o:FieldCodes>
                </o:OLEObject>
              </w:object>
            </w:r>
          </w:p>
        </w:tc>
      </w:tr>
    </w:tbl>
    <w:p w:rsidR="00242B77" w:rsidRPr="00CC787F" w:rsidRDefault="00242B77" w:rsidP="00DC6CDF">
      <w:pPr>
        <w:pStyle w:val="Heading3"/>
        <w:spacing w:before="120"/>
      </w:pPr>
      <w:r w:rsidRPr="00CC787F">
        <w:t>GDP deflator</w:t>
      </w:r>
    </w:p>
    <w:p w:rsidR="00B74853" w:rsidRPr="004258FD" w:rsidRDefault="005535C1" w:rsidP="00CC787F">
      <w:r w:rsidRPr="004258FD">
        <w:rPr>
          <w:rFonts w:eastAsiaTheme="minorHAnsi"/>
          <w:lang w:eastAsia="en-US"/>
        </w:rPr>
        <w:t>Treasury</w:t>
      </w:r>
      <w:r w:rsidR="004F0077">
        <w:rPr>
          <w:rFonts w:eastAsiaTheme="minorHAnsi"/>
          <w:lang w:eastAsia="en-US"/>
        </w:rPr>
        <w:t>’</w:t>
      </w:r>
      <w:r w:rsidRPr="004258FD">
        <w:rPr>
          <w:rFonts w:eastAsiaTheme="minorHAnsi"/>
          <w:lang w:eastAsia="en-US"/>
        </w:rPr>
        <w:t xml:space="preserve">s forecasts of GDP deflator </w:t>
      </w:r>
      <w:r>
        <w:rPr>
          <w:rFonts w:eastAsiaTheme="minorHAnsi"/>
          <w:lang w:eastAsia="en-US"/>
        </w:rPr>
        <w:t xml:space="preserve">growth </w:t>
      </w:r>
      <w:r w:rsidRPr="004258FD">
        <w:rPr>
          <w:rFonts w:eastAsiaTheme="minorHAnsi"/>
          <w:lang w:eastAsia="en-US"/>
        </w:rPr>
        <w:t>have been less accurate than Treasury</w:t>
      </w:r>
      <w:r w:rsidR="004F0077">
        <w:rPr>
          <w:rFonts w:eastAsiaTheme="minorHAnsi"/>
          <w:lang w:eastAsia="en-US"/>
        </w:rPr>
        <w:t>’</w:t>
      </w:r>
      <w:r w:rsidRPr="004258FD">
        <w:rPr>
          <w:rFonts w:eastAsiaTheme="minorHAnsi"/>
          <w:lang w:eastAsia="en-US"/>
        </w:rPr>
        <w:t>s forecasts of real GDP</w:t>
      </w:r>
      <w:r>
        <w:rPr>
          <w:rFonts w:eastAsiaTheme="minorHAnsi"/>
          <w:lang w:eastAsia="en-US"/>
        </w:rPr>
        <w:t xml:space="preserve"> growth</w:t>
      </w:r>
      <w:r>
        <w:t xml:space="preserve">. </w:t>
      </w:r>
      <w:r w:rsidR="00CF3B66" w:rsidRPr="004258FD">
        <w:t xml:space="preserve">In particular, </w:t>
      </w:r>
      <w:r w:rsidR="00B74853" w:rsidRPr="004258FD">
        <w:t xml:space="preserve">GDP deflator </w:t>
      </w:r>
      <w:r w:rsidR="00E7674E" w:rsidRPr="004258FD">
        <w:t xml:space="preserve">growth </w:t>
      </w:r>
      <w:r w:rsidR="00B74853" w:rsidRPr="004258FD">
        <w:t xml:space="preserve">was </w:t>
      </w:r>
      <w:r w:rsidR="006E3B03">
        <w:t>consistently</w:t>
      </w:r>
      <w:r w:rsidR="00640336" w:rsidRPr="004258FD">
        <w:t xml:space="preserve"> </w:t>
      </w:r>
      <w:r w:rsidR="00B74853" w:rsidRPr="004258FD">
        <w:t xml:space="preserve">overestimated </w:t>
      </w:r>
      <w:r w:rsidR="001C7369" w:rsidRPr="004258FD">
        <w:t xml:space="preserve">in </w:t>
      </w:r>
      <w:r w:rsidR="008D32CA" w:rsidRPr="004258FD">
        <w:t>the 1990s</w:t>
      </w:r>
      <w:r w:rsidR="00B74853" w:rsidRPr="004258FD">
        <w:t xml:space="preserve">, although the size of the </w:t>
      </w:r>
      <w:r w:rsidR="00475974">
        <w:t xml:space="preserve">forecast </w:t>
      </w:r>
      <w:r w:rsidR="008D32CA" w:rsidRPr="004258FD">
        <w:t xml:space="preserve">error </w:t>
      </w:r>
      <w:r w:rsidR="00B74853" w:rsidRPr="004258FD">
        <w:t>fell on average through the decade</w:t>
      </w:r>
      <w:r>
        <w:t xml:space="preserve"> </w:t>
      </w:r>
      <w:r w:rsidRPr="004258FD">
        <w:t xml:space="preserve">(Table </w:t>
      </w:r>
      <w:r w:rsidR="00224D47">
        <w:t>3.</w:t>
      </w:r>
      <w:r w:rsidRPr="004258FD">
        <w:t>4 and Figure </w:t>
      </w:r>
      <w:r w:rsidR="00224D47">
        <w:t>3.</w:t>
      </w:r>
      <w:r w:rsidRPr="004258FD">
        <w:t>4)</w:t>
      </w:r>
      <w:r w:rsidR="00B74853" w:rsidRPr="004258FD">
        <w:t xml:space="preserve">. </w:t>
      </w:r>
      <w:r w:rsidR="00CF3B66" w:rsidRPr="004258FD">
        <w:t xml:space="preserve">As discussed, this reflects the recession </w:t>
      </w:r>
      <w:r w:rsidR="00475974">
        <w:t>in the early 1990s</w:t>
      </w:r>
      <w:r w:rsidR="00CF3B66" w:rsidRPr="004258FD">
        <w:t xml:space="preserve">, which was not forecast, </w:t>
      </w:r>
      <w:r>
        <w:t>nor was</w:t>
      </w:r>
      <w:r w:rsidR="00CF3B66" w:rsidRPr="004258FD">
        <w:t xml:space="preserve"> the </w:t>
      </w:r>
      <w:r w:rsidR="00F9368C" w:rsidRPr="004258FD">
        <w:t xml:space="preserve">durability </w:t>
      </w:r>
      <w:r w:rsidR="00CF3B66" w:rsidRPr="004258FD">
        <w:t>of the transition to a low</w:t>
      </w:r>
      <w:r w:rsidR="00674CFB">
        <w:noBreakHyphen/>
      </w:r>
      <w:r w:rsidR="00CF3B66" w:rsidRPr="004258FD">
        <w:t xml:space="preserve">inflation environment. </w:t>
      </w:r>
      <w:r w:rsidR="00B74853" w:rsidRPr="004258FD">
        <w:t xml:space="preserve">In contrast, </w:t>
      </w:r>
      <w:r w:rsidR="008D32CA" w:rsidRPr="004258FD">
        <w:t xml:space="preserve">over </w:t>
      </w:r>
      <w:r w:rsidR="00122DF1">
        <w:t>the</w:t>
      </w:r>
      <w:r w:rsidR="001C7369" w:rsidRPr="004258FD">
        <w:t xml:space="preserve"> period from </w:t>
      </w:r>
      <w:r w:rsidR="008D32CA" w:rsidRPr="004258FD">
        <w:t xml:space="preserve">the </w:t>
      </w:r>
      <w:r w:rsidR="001C7369" w:rsidRPr="004258FD">
        <w:t xml:space="preserve">early </w:t>
      </w:r>
      <w:r w:rsidR="008D32CA" w:rsidRPr="004258FD">
        <w:t xml:space="preserve">2000s through to </w:t>
      </w:r>
      <w:r w:rsidR="00B74853" w:rsidRPr="004258FD">
        <w:t>the GFC</w:t>
      </w:r>
      <w:r w:rsidR="00CF3B66" w:rsidRPr="004258FD">
        <w:t>,</w:t>
      </w:r>
      <w:r w:rsidR="00B74853" w:rsidRPr="004258FD">
        <w:t xml:space="preserve"> GDP deflator </w:t>
      </w:r>
      <w:r w:rsidR="00E7674E" w:rsidRPr="004258FD">
        <w:t xml:space="preserve">growth </w:t>
      </w:r>
      <w:r w:rsidR="00B74853" w:rsidRPr="004258FD">
        <w:t xml:space="preserve">was </w:t>
      </w:r>
      <w:r w:rsidR="001A78F2">
        <w:t>consistently</w:t>
      </w:r>
      <w:r w:rsidR="001A78F2" w:rsidRPr="004258FD">
        <w:t xml:space="preserve"> </w:t>
      </w:r>
      <w:r w:rsidR="00B74853" w:rsidRPr="004258FD">
        <w:t>underestimated</w:t>
      </w:r>
      <w:r w:rsidR="00C0365A" w:rsidRPr="004258FD">
        <w:t xml:space="preserve">, as discussed, due to Treasury underestimating the extent </w:t>
      </w:r>
      <w:r w:rsidR="00F9368C" w:rsidRPr="004258FD">
        <w:t>and duration</w:t>
      </w:r>
      <w:r w:rsidR="00B74853" w:rsidRPr="004258FD">
        <w:t xml:space="preserve"> </w:t>
      </w:r>
      <w:r w:rsidR="00C0365A" w:rsidRPr="004258FD">
        <w:t xml:space="preserve">of </w:t>
      </w:r>
      <w:r w:rsidR="00B74853" w:rsidRPr="004258FD">
        <w:t xml:space="preserve">the sharp rise in </w:t>
      </w:r>
      <w:r w:rsidR="003D48CE" w:rsidRPr="004258FD">
        <w:t>Australia</w:t>
      </w:r>
      <w:r w:rsidR="004F0077">
        <w:t>’</w:t>
      </w:r>
      <w:r w:rsidR="003D48CE" w:rsidRPr="004258FD">
        <w:t xml:space="preserve">s </w:t>
      </w:r>
      <w:r w:rsidR="00B74853" w:rsidRPr="004258FD">
        <w:t>terms of trade</w:t>
      </w:r>
      <w:r w:rsidR="00C0365A" w:rsidRPr="004258FD">
        <w:t xml:space="preserve"> as a result </w:t>
      </w:r>
      <w:r w:rsidR="00475974">
        <w:t xml:space="preserve">of </w:t>
      </w:r>
      <w:r w:rsidR="00DD73D3">
        <w:t>M</w:t>
      </w:r>
      <w:r w:rsidR="00C0365A" w:rsidRPr="004258FD">
        <w:t xml:space="preserve">ining </w:t>
      </w:r>
      <w:r w:rsidR="00DD73D3">
        <w:t>B</w:t>
      </w:r>
      <w:r w:rsidR="00C0365A" w:rsidRPr="004258FD">
        <w:t>oom</w:t>
      </w:r>
      <w:r w:rsidR="00DD73D3">
        <w:t xml:space="preserve"> Mark I</w:t>
      </w:r>
      <w:r w:rsidR="00B74853" w:rsidRPr="004258FD">
        <w:t>.</w:t>
      </w:r>
      <w:r w:rsidRPr="005535C1">
        <w:t xml:space="preserve"> </w:t>
      </w:r>
      <w:r>
        <w:t>T</w:t>
      </w:r>
      <w:r w:rsidRPr="004258FD">
        <w:t>he</w:t>
      </w:r>
      <w:r>
        <w:t xml:space="preserve">se episodes have had </w:t>
      </w:r>
      <w:r w:rsidRPr="004258FD">
        <w:t xml:space="preserve">broadly offsetting </w:t>
      </w:r>
      <w:r>
        <w:t>impacts on the mean forecast error over</w:t>
      </w:r>
      <w:r w:rsidRPr="004258FD">
        <w:t xml:space="preserve"> the full sample</w:t>
      </w:r>
    </w:p>
    <w:p w:rsidR="00CD3277" w:rsidRPr="004258FD" w:rsidRDefault="00CD3277" w:rsidP="00680411">
      <w:pPr>
        <w:pStyle w:val="TableMainHeading"/>
        <w:spacing w:after="120"/>
      </w:pPr>
      <w:r w:rsidRPr="004258FD">
        <w:lastRenderedPageBreak/>
        <w:t xml:space="preserve">Table </w:t>
      </w:r>
      <w:r w:rsidR="00EB2409">
        <w:t>3.</w:t>
      </w:r>
      <w:r w:rsidR="00242B77" w:rsidRPr="004258FD">
        <w:t>4:</w:t>
      </w:r>
      <w:r w:rsidR="00230FEF">
        <w:t xml:space="preserve"> </w:t>
      </w:r>
      <w:r w:rsidR="00242B77" w:rsidRPr="004258FD">
        <w:t xml:space="preserve">Performance of GDP </w:t>
      </w:r>
      <w:r w:rsidR="00EB2409">
        <w:t>D</w:t>
      </w:r>
      <w:r w:rsidR="00242B77" w:rsidRPr="004258FD">
        <w:t xml:space="preserve">eflator </w:t>
      </w:r>
      <w:r w:rsidR="00EB2409">
        <w:t>G</w:t>
      </w:r>
      <w:r w:rsidR="00242B77" w:rsidRPr="004258FD">
        <w:t xml:space="preserve">rowth </w:t>
      </w:r>
      <w:r w:rsidR="00EB2409">
        <w:t>F</w:t>
      </w:r>
      <w:r w:rsidR="00242B77" w:rsidRPr="004258FD">
        <w:t>orecasts</w:t>
      </w:r>
      <w:r w:rsidRPr="004258FD">
        <w:t xml:space="preserve"> </w:t>
      </w:r>
      <w:r w:rsidR="0076410F">
        <w:t>against</w:t>
      </w:r>
      <w:r w:rsidRPr="004258FD">
        <w:t xml:space="preserve"> </w:t>
      </w:r>
      <w:r w:rsidR="00EB2409">
        <w:t>M</w:t>
      </w:r>
      <w:r w:rsidRPr="004258FD">
        <w:t xml:space="preserve">ost </w:t>
      </w:r>
      <w:r w:rsidR="00EB2409">
        <w:t>R</w:t>
      </w:r>
      <w:r w:rsidRPr="004258FD">
        <w:t xml:space="preserve">ecent </w:t>
      </w:r>
      <w:r w:rsidR="00EB2409">
        <w:t>E</w:t>
      </w:r>
      <w:r w:rsidRPr="004258FD">
        <w:t xml:space="preserve">stimated </w:t>
      </w:r>
      <w:r w:rsidR="00EB2409">
        <w:t>O</w:t>
      </w:r>
      <w:r w:rsidRPr="004258FD">
        <w:t>utcomes</w:t>
      </w:r>
    </w:p>
    <w:p w:rsidR="008757B8" w:rsidRPr="008757B8" w:rsidRDefault="00303851">
      <w:pPr>
        <w:pStyle w:val="TableGraphic"/>
      </w:pPr>
      <w:r>
        <w:object w:dxaOrig="11372" w:dyaOrig="2577">
          <v:shape id="_x0000_i1032" type="#_x0000_t75" style="width:457.95pt;height:103pt" o:ole="">
            <v:imagedata r:id="rId23" o:title=""/>
          </v:shape>
          <o:OLEObject Type="Link" ProgID="Excel.Sheet.8" ShapeID="_x0000_i1032" DrawAspect="Content" r:id="rId24" UpdateMode="Always">
            <o:LinkType>EnhancedMetaFile</o:LinkType>
            <o:LockedField/>
          </o:OLEObject>
        </w:object>
      </w:r>
    </w:p>
    <w:p w:rsidR="00242B77" w:rsidRPr="004258FD" w:rsidRDefault="00242B77" w:rsidP="00EE214E">
      <w:pPr>
        <w:pStyle w:val="ChartMainHeading"/>
        <w:spacing w:after="120"/>
      </w:pPr>
      <w:r w:rsidRPr="004258FD">
        <w:t xml:space="preserve">Figure </w:t>
      </w:r>
      <w:r w:rsidR="00EB2409">
        <w:t>3.</w:t>
      </w:r>
      <w:r w:rsidR="007A4B35" w:rsidRPr="004258FD">
        <w:t>4</w:t>
      </w:r>
      <w:r w:rsidRPr="004258FD">
        <w:t xml:space="preserve">: Evolution of the GDP </w:t>
      </w:r>
      <w:r w:rsidR="00EB2409">
        <w:t>D</w:t>
      </w:r>
      <w:r w:rsidRPr="004258FD">
        <w:t>eflator</w:t>
      </w:r>
      <w:r w:rsidR="00DD07F3" w:rsidRPr="004258FD">
        <w:t xml:space="preserve"> </w:t>
      </w:r>
      <w:r w:rsidR="00EB2409">
        <w:t>G</w:t>
      </w:r>
      <w:r w:rsidR="00DD07F3" w:rsidRPr="004258FD">
        <w:t>rowth Forecasts</w:t>
      </w:r>
    </w:p>
    <w:p w:rsidR="00242B77" w:rsidRDefault="006D7985" w:rsidP="00946BF4">
      <w:pPr>
        <w:pStyle w:val="ChartGraphic"/>
      </w:pPr>
      <w:r w:rsidRPr="00946BF4">
        <w:object w:dxaOrig="8490" w:dyaOrig="3960">
          <v:shape id="_x0000_i1033" type="#_x0000_t75" alt="This figure shows the accuracy of Treasury’s GDP deflator growth forecasts since 1990-91 by comparing the Budget forecast for the Budget year with the final published outcome.  The chart also shows the evolution of Treasury’s forecasts for each financial year.&#10;" style="width:424.45pt;height:200.1pt" o:ole="">
            <v:imagedata r:id="rId25" o:title=""/>
          </v:shape>
          <o:OLEObject Type="Link" ProgID="Excel.Sheet.8" ShapeID="_x0000_i1033" DrawAspect="Content" r:id="rId26" UpdateMode="Always">
            <o:LinkType>Picture</o:LinkType>
            <o:LockedField>false</o:LockedField>
            <o:FieldCodes>\* MERGEFORMAT</o:FieldCodes>
          </o:OLEObject>
        </w:object>
      </w:r>
    </w:p>
    <w:p w:rsidR="000514D8" w:rsidRDefault="000514D8" w:rsidP="00DC6CDF">
      <w:pPr>
        <w:tabs>
          <w:tab w:val="num" w:pos="472"/>
        </w:tabs>
        <w:spacing w:before="360"/>
      </w:pPr>
      <w:r w:rsidRPr="00F42E03">
        <w:t>These observations lead the Review to recommend that:</w:t>
      </w:r>
    </w:p>
    <w:tbl>
      <w:tblPr>
        <w:tblW w:w="9072" w:type="dxa"/>
        <w:tblInd w:w="108" w:type="dxa"/>
        <w:shd w:val="clear" w:color="auto" w:fill="C6D9F1"/>
        <w:tblLook w:val="01E0" w:firstRow="1" w:lastRow="1" w:firstColumn="1" w:lastColumn="1" w:noHBand="0" w:noVBand="0"/>
      </w:tblPr>
      <w:tblGrid>
        <w:gridCol w:w="9072"/>
      </w:tblGrid>
      <w:tr w:rsidR="008757B8" w:rsidTr="00E60D06">
        <w:tc>
          <w:tcPr>
            <w:tcW w:w="5000" w:type="pct"/>
            <w:shd w:val="clear" w:color="auto" w:fill="C6D9F1"/>
          </w:tcPr>
          <w:p w:rsidR="008757B8" w:rsidRDefault="008757B8" w:rsidP="00DC6CDF">
            <w:pPr>
              <w:pStyle w:val="BoxHeading"/>
              <w:spacing w:before="120"/>
              <w:rPr>
                <w:bCs/>
              </w:rPr>
            </w:pPr>
            <w:r w:rsidRPr="00855193">
              <w:rPr>
                <w:u w:val="single"/>
              </w:rPr>
              <w:t>Recommendation 7</w:t>
            </w:r>
            <w:r w:rsidRPr="00F42E03">
              <w:t>:</w:t>
            </w:r>
          </w:p>
          <w:p w:rsidR="008757B8" w:rsidRPr="008950C5" w:rsidRDefault="008757B8" w:rsidP="00DC6CDF">
            <w:pPr>
              <w:tabs>
                <w:tab w:val="num" w:pos="472"/>
              </w:tabs>
              <w:spacing w:before="120" w:after="120"/>
              <w:ind w:left="567"/>
              <w:rPr>
                <w:bCs w:val="0"/>
              </w:rPr>
            </w:pPr>
            <w:r w:rsidRPr="00F42E03">
              <w:t>Treasury should invest relatively more resources in understanding and forecasting GDP deflator growth and its components, in particular, commodity prices, and hence in nominal GDP growth.</w:t>
            </w:r>
          </w:p>
        </w:tc>
      </w:tr>
    </w:tbl>
    <w:p w:rsidR="00952DC7" w:rsidRPr="00D12AB8" w:rsidRDefault="00952DC7" w:rsidP="00DC6CDF">
      <w:pPr>
        <w:pStyle w:val="Heading3"/>
        <w:spacing w:before="240"/>
      </w:pPr>
      <w:r w:rsidRPr="00D12AB8">
        <w:t xml:space="preserve">Comparison with </w:t>
      </w:r>
      <w:r w:rsidR="00364C90" w:rsidRPr="00D12AB8">
        <w:t xml:space="preserve">other </w:t>
      </w:r>
      <w:r w:rsidR="00EC4C66" w:rsidRPr="00D12AB8">
        <w:t xml:space="preserve">domestic </w:t>
      </w:r>
      <w:r w:rsidRPr="00D12AB8">
        <w:t>forecasters</w:t>
      </w:r>
    </w:p>
    <w:p w:rsidR="00897D4C" w:rsidRPr="00D12AB8" w:rsidRDefault="002D0E02" w:rsidP="00946BF4">
      <w:r w:rsidRPr="00D12AB8">
        <w:t>Treasury</w:t>
      </w:r>
      <w:r w:rsidR="004F0077">
        <w:t>’</w:t>
      </w:r>
      <w:r w:rsidRPr="00D12AB8">
        <w:t xml:space="preserve">s forecasting performance </w:t>
      </w:r>
      <w:r w:rsidR="00E86A23" w:rsidRPr="00D12AB8">
        <w:t xml:space="preserve">is compared </w:t>
      </w:r>
      <w:r w:rsidRPr="00D12AB8">
        <w:t>with that of Access and the RBA</w:t>
      </w:r>
      <w:r w:rsidR="00E86A23" w:rsidRPr="00D12AB8">
        <w:t xml:space="preserve"> in </w:t>
      </w:r>
      <w:r w:rsidR="00865892" w:rsidRPr="00D12AB8">
        <w:t xml:space="preserve">Table </w:t>
      </w:r>
      <w:r w:rsidR="00224D47" w:rsidRPr="00D12AB8">
        <w:t>3.</w:t>
      </w:r>
      <w:r w:rsidR="00865892" w:rsidRPr="00D12AB8">
        <w:t xml:space="preserve">5 </w:t>
      </w:r>
      <w:r w:rsidR="00444638" w:rsidRPr="00D12AB8">
        <w:t xml:space="preserve">at various forecasting horizons. </w:t>
      </w:r>
      <w:r w:rsidR="00EC4C66" w:rsidRPr="00D12AB8">
        <w:t>As discussed in Section 3.1,</w:t>
      </w:r>
      <w:r w:rsidR="00E86A23" w:rsidRPr="00D12AB8">
        <w:t xml:space="preserve"> the Review acknowledges the </w:t>
      </w:r>
      <w:r w:rsidR="002E6AD0" w:rsidRPr="00D12AB8">
        <w:t xml:space="preserve">difficulty </w:t>
      </w:r>
      <w:r w:rsidR="00897D4C" w:rsidRPr="00D12AB8">
        <w:t>of drawing exact like</w:t>
      </w:r>
      <w:r w:rsidR="00674CFB">
        <w:noBreakHyphen/>
      </w:r>
      <w:r w:rsidR="00897D4C" w:rsidRPr="00D12AB8">
        <w:t>with</w:t>
      </w:r>
      <w:r w:rsidR="00674CFB">
        <w:noBreakHyphen/>
      </w:r>
      <w:r w:rsidR="00897D4C" w:rsidRPr="00D12AB8">
        <w:t xml:space="preserve">like forecast </w:t>
      </w:r>
      <w:r w:rsidR="002E6AD0" w:rsidRPr="00D12AB8">
        <w:t>comparisons</w:t>
      </w:r>
      <w:r w:rsidR="00897D4C" w:rsidRPr="00D12AB8">
        <w:t xml:space="preserve">. </w:t>
      </w:r>
      <w:r w:rsidR="00F3466F" w:rsidRPr="00D12AB8">
        <w:t>F</w:t>
      </w:r>
      <w:r w:rsidR="007D5DA3" w:rsidRPr="00D12AB8">
        <w:t xml:space="preserve">orecasting institutions run on different timetables, and forecasts made later will </w:t>
      </w:r>
      <w:r w:rsidR="0064192B" w:rsidRPr="00D12AB8">
        <w:t xml:space="preserve">naturally </w:t>
      </w:r>
      <w:r w:rsidR="007D5DA3" w:rsidRPr="00D12AB8">
        <w:t xml:space="preserve">have an advantage over those made earlier for a given reference period. For example, the timing of Treasury forecasts has tended to be optimised around </w:t>
      </w:r>
      <w:r w:rsidR="00353BD5" w:rsidRPr="00D12AB8">
        <w:t xml:space="preserve">the </w:t>
      </w:r>
      <w:r w:rsidR="007D5DA3" w:rsidRPr="00D12AB8">
        <w:t xml:space="preserve">release of </w:t>
      </w:r>
      <w:r w:rsidR="0064192B" w:rsidRPr="00D12AB8">
        <w:t>N</w:t>
      </w:r>
      <w:r w:rsidR="007D5DA3" w:rsidRPr="00D12AB8">
        <w:t xml:space="preserve">ational </w:t>
      </w:r>
      <w:r w:rsidR="0064192B" w:rsidRPr="00D12AB8">
        <w:t>A</w:t>
      </w:r>
      <w:r w:rsidR="007D5DA3" w:rsidRPr="00D12AB8">
        <w:t xml:space="preserve">ccounts data, whereas for the RBA they are more likely to be optimised around the release of CPI data. This would contribute to the configuration of relative results for the two sets of forecasts. </w:t>
      </w:r>
      <w:r w:rsidR="00897D4C" w:rsidRPr="00D12AB8">
        <w:t>Results are likely to be sensitive to the choice of sub</w:t>
      </w:r>
      <w:r w:rsidR="00674CFB">
        <w:noBreakHyphen/>
      </w:r>
      <w:r w:rsidR="00897D4C" w:rsidRPr="00D12AB8">
        <w:t>periods.</w:t>
      </w:r>
      <w:r w:rsidR="00B30560" w:rsidRPr="00D12AB8">
        <w:t xml:space="preserve"> To help to </w:t>
      </w:r>
      <w:r w:rsidR="00C951D4" w:rsidRPr="00D12AB8">
        <w:t>reduce</w:t>
      </w:r>
      <w:r w:rsidR="00B30560" w:rsidRPr="00D12AB8">
        <w:t xml:space="preserve"> informational advantages relating to the timing of the preparation of forecasts</w:t>
      </w:r>
      <w:r w:rsidR="0038099F" w:rsidRPr="00D12AB8">
        <w:t xml:space="preserve">, </w:t>
      </w:r>
      <w:r w:rsidR="00B30560" w:rsidRPr="00D12AB8">
        <w:t xml:space="preserve">the results for the </w:t>
      </w:r>
      <w:r w:rsidR="00C51461" w:rsidRPr="00D12AB8">
        <w:t xml:space="preserve">RBA and Access </w:t>
      </w:r>
      <w:r w:rsidR="00C951D4" w:rsidRPr="00D12AB8">
        <w:t xml:space="preserve">in Table </w:t>
      </w:r>
      <w:r w:rsidR="00224D47" w:rsidRPr="00D12AB8">
        <w:t>3.</w:t>
      </w:r>
      <w:r w:rsidR="00C951D4" w:rsidRPr="00D12AB8">
        <w:t xml:space="preserve">5 </w:t>
      </w:r>
      <w:r w:rsidR="00B30560" w:rsidRPr="00D12AB8">
        <w:t>are based on forecasts containing the same National Accounts information</w:t>
      </w:r>
      <w:r w:rsidR="00C51461" w:rsidRPr="00D12AB8">
        <w:t xml:space="preserve"> as Treasury</w:t>
      </w:r>
      <w:r w:rsidR="004F0077">
        <w:t>’</w:t>
      </w:r>
      <w:r w:rsidR="00C51461" w:rsidRPr="00D12AB8">
        <w:t>s forecasts</w:t>
      </w:r>
      <w:r w:rsidR="00B30560" w:rsidRPr="00D12AB8">
        <w:t>.</w:t>
      </w:r>
    </w:p>
    <w:p w:rsidR="00AD4E62" w:rsidRPr="00D12AB8" w:rsidRDefault="002D0E02" w:rsidP="00946BF4">
      <w:r w:rsidRPr="00D12AB8">
        <w:t>Treasury</w:t>
      </w:r>
      <w:r w:rsidR="004F0077">
        <w:t>’</w:t>
      </w:r>
      <w:r w:rsidRPr="00D12AB8">
        <w:t xml:space="preserve">s forecasting performance for the core macroeconomic series </w:t>
      </w:r>
      <w:r w:rsidR="009E24A4" w:rsidRPr="00D12AB8">
        <w:t xml:space="preserve">have been </w:t>
      </w:r>
      <w:r w:rsidRPr="00D12AB8">
        <w:t xml:space="preserve">comparable </w:t>
      </w:r>
      <w:r w:rsidR="00284E29" w:rsidRPr="00D12AB8">
        <w:t>with</w:t>
      </w:r>
      <w:r w:rsidRPr="00D12AB8">
        <w:t xml:space="preserve"> that of Access and the RBA</w:t>
      </w:r>
      <w:r w:rsidR="004F777F" w:rsidRPr="00D12AB8">
        <w:t xml:space="preserve"> over the past two decades</w:t>
      </w:r>
      <w:r w:rsidR="00DC52B9" w:rsidRPr="00D12AB8">
        <w:t xml:space="preserve"> (Table 5)</w:t>
      </w:r>
      <w:r w:rsidRPr="00D12AB8">
        <w:t xml:space="preserve">. </w:t>
      </w:r>
      <w:r w:rsidR="006A42F4" w:rsidRPr="00D12AB8">
        <w:t xml:space="preserve">The differences in forecasting </w:t>
      </w:r>
      <w:r w:rsidR="006A42F4" w:rsidRPr="00D12AB8">
        <w:lastRenderedPageBreak/>
        <w:t>accuracy across agencies are small and not statistically significant</w:t>
      </w:r>
      <w:r w:rsidR="00313D4D" w:rsidRPr="00D12AB8">
        <w:t xml:space="preserve"> at the 10</w:t>
      </w:r>
      <w:r w:rsidR="008757B8">
        <w:t xml:space="preserve"> per cent </w:t>
      </w:r>
      <w:r w:rsidR="00313D4D" w:rsidRPr="00D12AB8">
        <w:t>level</w:t>
      </w:r>
      <w:r w:rsidR="006A42F4" w:rsidRPr="00D12AB8">
        <w:t>.</w:t>
      </w:r>
      <w:r w:rsidR="00883361" w:rsidRPr="00D12AB8">
        <w:rPr>
          <w:rStyle w:val="FootnoteReference"/>
          <w:sz w:val="24"/>
          <w:szCs w:val="24"/>
        </w:rPr>
        <w:footnoteReference w:id="5"/>
      </w:r>
      <w:r w:rsidR="006A42F4" w:rsidRPr="00D12AB8">
        <w:t xml:space="preserve"> That is to say, the</w:t>
      </w:r>
      <w:r w:rsidR="00682792" w:rsidRPr="00D12AB8">
        <w:t xml:space="preserve"> differences </w:t>
      </w:r>
      <w:r w:rsidR="006A42F4" w:rsidRPr="00D12AB8">
        <w:t>could not be distinguished from random noise.</w:t>
      </w:r>
      <w:r w:rsidR="00682792" w:rsidRPr="00D12AB8">
        <w:t xml:space="preserve"> </w:t>
      </w:r>
      <w:r w:rsidR="00865892" w:rsidRPr="00D12AB8">
        <w:t>Consistent with this</w:t>
      </w:r>
      <w:r w:rsidR="00332160" w:rsidRPr="00D12AB8">
        <w:t xml:space="preserve"> finding</w:t>
      </w:r>
      <w:r w:rsidR="00865892" w:rsidRPr="00D12AB8">
        <w:t xml:space="preserve">, </w:t>
      </w:r>
      <w:r w:rsidR="00563682" w:rsidRPr="00D12AB8">
        <w:t xml:space="preserve">the </w:t>
      </w:r>
      <w:r w:rsidR="00865892" w:rsidRPr="00D12AB8">
        <w:t xml:space="preserve">ranking of forecasters varies </w:t>
      </w:r>
      <w:r w:rsidR="00073437" w:rsidRPr="00D12AB8">
        <w:t>across macroeconomic series</w:t>
      </w:r>
      <w:r w:rsidR="00494DAF" w:rsidRPr="00D12AB8">
        <w:t xml:space="preserve"> </w:t>
      </w:r>
      <w:r w:rsidR="00843B34" w:rsidRPr="00D12AB8">
        <w:t>and forecasting rounds</w:t>
      </w:r>
      <w:r w:rsidR="00494DAF" w:rsidRPr="00D12AB8">
        <w:t>.</w:t>
      </w:r>
      <w:r w:rsidR="00073437" w:rsidRPr="00D12AB8">
        <w:t xml:space="preserve"> </w:t>
      </w:r>
      <w:r w:rsidR="00865892" w:rsidRPr="00D12AB8">
        <w:t xml:space="preserve">The variation in rank suggests that comparisons of relative forecast accuracy will be sensitive to the sample period. Due to data limitations, RBA forecasts for the GDP deflator, nominal GDP and the terms of trade are only available since 2000, and so are not shown in the table. Over this shorter sample, RBA forecast accuracy was not significantly different to that of Treasury. </w:t>
      </w:r>
    </w:p>
    <w:p w:rsidR="00946BF4" w:rsidRPr="00D12AB8" w:rsidRDefault="00A42154" w:rsidP="00A63D27">
      <w:pPr>
        <w:pStyle w:val="TableMainHeading"/>
        <w:spacing w:after="120"/>
      </w:pPr>
      <w:r w:rsidRPr="00D12AB8">
        <w:t>Table</w:t>
      </w:r>
      <w:r w:rsidR="00D93AC6" w:rsidRPr="00D12AB8">
        <w:t xml:space="preserve"> </w:t>
      </w:r>
      <w:r w:rsidR="008E2652" w:rsidRPr="00D12AB8">
        <w:t>3.</w:t>
      </w:r>
      <w:r w:rsidR="005B2CD8" w:rsidRPr="00D12AB8">
        <w:t>5</w:t>
      </w:r>
      <w:r w:rsidRPr="00D12AB8">
        <w:t xml:space="preserve">: Performance of Access, the RBA and Treasury </w:t>
      </w:r>
      <w:r w:rsidR="008E2652" w:rsidRPr="00D12AB8">
        <w:t>F</w:t>
      </w:r>
      <w:r w:rsidRPr="00D12AB8">
        <w:t>orecasts</w:t>
      </w:r>
      <w:r w:rsidR="00A63D27" w:rsidRPr="00D12AB8">
        <w:t xml:space="preserve"> (MAPE)</w:t>
      </w:r>
    </w:p>
    <w:p w:rsidR="00071476" w:rsidRPr="00D12AB8" w:rsidRDefault="00F91487" w:rsidP="00DF7318">
      <w:pPr>
        <w:pStyle w:val="ChartorTableNote"/>
        <w:jc w:val="center"/>
        <w:rPr>
          <w:sz w:val="16"/>
          <w:szCs w:val="16"/>
        </w:rPr>
      </w:pPr>
      <w:r w:rsidRPr="00D12AB8">
        <w:rPr>
          <w:sz w:val="16"/>
          <w:szCs w:val="16"/>
        </w:rPr>
        <w:object w:dxaOrig="9432" w:dyaOrig="5885">
          <v:shape id="_x0000_i1034" type="#_x0000_t75" style="width:411.9pt;height:257.85pt" o:ole="">
            <v:imagedata r:id="rId27" o:title=""/>
          </v:shape>
          <o:OLEObject Type="Link" ProgID="Excel.Sheet.8" ShapeID="_x0000_i1034" DrawAspect="Content" r:id="rId28" UpdateMode="Always">
            <o:LinkType>Picture</o:LinkType>
            <o:LockedField/>
            <o:FieldCodes>\* MERGEFORMAT</o:FieldCodes>
          </o:OLEObject>
        </w:object>
      </w:r>
    </w:p>
    <w:p w:rsidR="0083719A" w:rsidRPr="00D12AB8" w:rsidRDefault="00024DB4" w:rsidP="00DF7318">
      <w:pPr>
        <w:pStyle w:val="ChartorTableNote"/>
        <w:jc w:val="left"/>
        <w:rPr>
          <w:szCs w:val="16"/>
        </w:rPr>
      </w:pPr>
      <w:r w:rsidRPr="00D12AB8">
        <w:rPr>
          <w:sz w:val="16"/>
          <w:szCs w:val="16"/>
        </w:rPr>
        <w:t>Note:</w:t>
      </w:r>
      <w:r w:rsidR="004F0077">
        <w:rPr>
          <w:sz w:val="16"/>
          <w:szCs w:val="16"/>
        </w:rPr>
        <w:t xml:space="preserve"> </w:t>
      </w:r>
      <w:r w:rsidRPr="00D12AB8">
        <w:rPr>
          <w:sz w:val="16"/>
          <w:szCs w:val="16"/>
        </w:rPr>
        <w:t>t</w:t>
      </w:r>
      <w:r w:rsidR="0083719A" w:rsidRPr="00D12AB8">
        <w:rPr>
          <w:sz w:val="16"/>
          <w:szCs w:val="16"/>
        </w:rPr>
        <w:t>he differences in the results between agencies are statistically insignificant.</w:t>
      </w:r>
    </w:p>
    <w:p w:rsidR="00EB5F0B" w:rsidRPr="00D12AB8" w:rsidRDefault="00A16359" w:rsidP="00DC6CDF">
      <w:pPr>
        <w:spacing w:before="360"/>
      </w:pPr>
      <w:r w:rsidRPr="00D12AB8">
        <w:t xml:space="preserve">This assessment is </w:t>
      </w:r>
      <w:r w:rsidR="00CB5C9E" w:rsidRPr="00D12AB8">
        <w:t xml:space="preserve">supported </w:t>
      </w:r>
      <w:r w:rsidRPr="00D12AB8">
        <w:t>by examin</w:t>
      </w:r>
      <w:r w:rsidR="00CB5C9E" w:rsidRPr="00D12AB8">
        <w:t xml:space="preserve">ation of </w:t>
      </w:r>
      <w:r w:rsidRPr="00D12AB8">
        <w:t xml:space="preserve">the patterns </w:t>
      </w:r>
      <w:r w:rsidR="00CB5C9E" w:rsidRPr="00D12AB8">
        <w:t>of</w:t>
      </w:r>
      <w:r w:rsidRPr="00D12AB8">
        <w:t xml:space="preserve"> forecast errors across agencies. </w:t>
      </w:r>
      <w:r w:rsidR="007A4B35" w:rsidRPr="00D12AB8">
        <w:t>Figure</w:t>
      </w:r>
      <w:r w:rsidR="00224D47" w:rsidRPr="00D12AB8">
        <w:t> 3.</w:t>
      </w:r>
      <w:r w:rsidR="000A060A" w:rsidRPr="00D12AB8">
        <w:t xml:space="preserve">5 shows the </w:t>
      </w:r>
      <w:r w:rsidR="00EB5F0B" w:rsidRPr="00D12AB8">
        <w:t>patterns in forecast errors across agencies</w:t>
      </w:r>
      <w:r w:rsidR="000A060A" w:rsidRPr="00D12AB8">
        <w:t xml:space="preserve"> for real GDP growth for the Budget forecast round (</w:t>
      </w:r>
      <w:r w:rsidR="00763A1F" w:rsidRPr="00D12AB8">
        <w:t xml:space="preserve">five </w:t>
      </w:r>
      <w:r w:rsidR="000A060A" w:rsidRPr="00D12AB8">
        <w:t>quarter</w:t>
      </w:r>
      <w:r w:rsidR="00024DB4" w:rsidRPr="00D12AB8">
        <w:t>s</w:t>
      </w:r>
      <w:r w:rsidR="000A060A" w:rsidRPr="00D12AB8">
        <w:t xml:space="preserve"> </w:t>
      </w:r>
      <w:r w:rsidR="00763A1F" w:rsidRPr="00D12AB8">
        <w:t xml:space="preserve">before the end </w:t>
      </w:r>
      <w:r w:rsidR="000A060A" w:rsidRPr="00D12AB8">
        <w:t>of the financial year).</w:t>
      </w:r>
      <w:r w:rsidR="00230FEF" w:rsidRPr="00D12AB8">
        <w:t xml:space="preserve"> </w:t>
      </w:r>
      <w:r w:rsidR="000A060A" w:rsidRPr="00D12AB8">
        <w:t xml:space="preserve">The striking feature of this chart is the similarity of the forecast errors, with </w:t>
      </w:r>
      <w:r w:rsidRPr="00D12AB8">
        <w:t xml:space="preserve">the small </w:t>
      </w:r>
      <w:r w:rsidR="004666FE" w:rsidRPr="00D12AB8">
        <w:t xml:space="preserve">variation </w:t>
      </w:r>
      <w:r w:rsidRPr="00D12AB8">
        <w:t xml:space="preserve">across agencies </w:t>
      </w:r>
      <w:r w:rsidR="00CB5C9E" w:rsidRPr="00D12AB8">
        <w:t xml:space="preserve">contrasting with </w:t>
      </w:r>
      <w:r w:rsidRPr="00D12AB8">
        <w:t xml:space="preserve">the significant </w:t>
      </w:r>
      <w:r w:rsidR="00494DAF" w:rsidRPr="00D12AB8">
        <w:t xml:space="preserve">variation </w:t>
      </w:r>
      <w:r w:rsidR="00CB5C9E" w:rsidRPr="00D12AB8">
        <w:t xml:space="preserve">in errors </w:t>
      </w:r>
      <w:r w:rsidR="00494DAF" w:rsidRPr="00D12AB8">
        <w:t>across time</w:t>
      </w:r>
      <w:r w:rsidR="00EB5F0B" w:rsidRPr="00D12AB8">
        <w:t xml:space="preserve">. </w:t>
      </w:r>
      <w:r w:rsidR="003E6F5E" w:rsidRPr="00D12AB8">
        <w:t>It may also be interesting to note that the ranking of forecasters has no persistence but changes almost every year, consistent with the large random element in measures of forecast accuracy.</w:t>
      </w:r>
    </w:p>
    <w:p w:rsidR="00D012FB" w:rsidRPr="00D12AB8" w:rsidRDefault="00603024" w:rsidP="00946BF4">
      <w:r w:rsidRPr="00D12AB8">
        <w:t>T</w:t>
      </w:r>
      <w:r w:rsidR="00D012FB" w:rsidRPr="00D12AB8">
        <w:t xml:space="preserve">he patterns in forecast errors </w:t>
      </w:r>
      <w:r w:rsidRPr="00D12AB8">
        <w:t xml:space="preserve">across agencies </w:t>
      </w:r>
      <w:r w:rsidR="00D012FB" w:rsidRPr="00D12AB8">
        <w:t xml:space="preserve">for nominal GDP growth and terms of trade growth </w:t>
      </w:r>
      <w:r w:rsidRPr="00D12AB8">
        <w:t xml:space="preserve">for the Budget forecast round </w:t>
      </w:r>
      <w:r w:rsidR="00D012FB" w:rsidRPr="00D12AB8">
        <w:t xml:space="preserve">are shown in </w:t>
      </w:r>
      <w:r w:rsidRPr="00D12AB8">
        <w:t xml:space="preserve">Figures 3.14 and 3.15 in </w:t>
      </w:r>
      <w:r w:rsidR="00D012FB" w:rsidRPr="00D12AB8">
        <w:t xml:space="preserve">the </w:t>
      </w:r>
      <w:r w:rsidRPr="00D12AB8">
        <w:t>A</w:t>
      </w:r>
      <w:r w:rsidR="00D012FB" w:rsidRPr="00D12AB8">
        <w:t xml:space="preserve">ppendix to </w:t>
      </w:r>
      <w:r w:rsidR="00B46A39" w:rsidRPr="00D12AB8">
        <w:t>this section</w:t>
      </w:r>
      <w:r w:rsidR="00D012FB" w:rsidRPr="00D12AB8">
        <w:t>.</w:t>
      </w:r>
    </w:p>
    <w:p w:rsidR="003320A8" w:rsidRPr="00D12AB8" w:rsidRDefault="007A4B35" w:rsidP="00134298">
      <w:pPr>
        <w:pStyle w:val="ChartMainHeading"/>
        <w:spacing w:after="120"/>
      </w:pPr>
      <w:r w:rsidRPr="00D12AB8">
        <w:lastRenderedPageBreak/>
        <w:t xml:space="preserve">Figure </w:t>
      </w:r>
      <w:r w:rsidR="008E2652" w:rsidRPr="00D12AB8">
        <w:t>3.</w:t>
      </w:r>
      <w:r w:rsidR="000A060A" w:rsidRPr="00D12AB8">
        <w:t>5</w:t>
      </w:r>
      <w:r w:rsidR="003320A8" w:rsidRPr="00D12AB8">
        <w:t>:</w:t>
      </w:r>
      <w:r w:rsidR="004F0077">
        <w:t xml:space="preserve"> </w:t>
      </w:r>
      <w:r w:rsidR="003320A8" w:rsidRPr="00D12AB8">
        <w:t xml:space="preserve">Comparison of </w:t>
      </w:r>
      <w:r w:rsidR="00C43A19">
        <w:t xml:space="preserve">Budget </w:t>
      </w:r>
      <w:r w:rsidR="0064192B" w:rsidRPr="00D12AB8">
        <w:t>F</w:t>
      </w:r>
      <w:r w:rsidR="003320A8" w:rsidRPr="00D12AB8">
        <w:t xml:space="preserve">orecast </w:t>
      </w:r>
      <w:r w:rsidR="0064192B" w:rsidRPr="00D12AB8">
        <w:t>E</w:t>
      </w:r>
      <w:r w:rsidR="003320A8" w:rsidRPr="00D12AB8">
        <w:t>rrors</w:t>
      </w:r>
      <w:r w:rsidR="00C43A19" w:rsidRPr="00C43A19">
        <w:t xml:space="preserve"> </w:t>
      </w:r>
      <w:r w:rsidR="00C43A19">
        <w:t xml:space="preserve">for </w:t>
      </w:r>
      <w:r w:rsidR="00C43A19" w:rsidRPr="00D12AB8">
        <w:t>Real GDP Growth</w:t>
      </w:r>
    </w:p>
    <w:p w:rsidR="003320A8" w:rsidRPr="00D12AB8" w:rsidRDefault="006D7985" w:rsidP="00134298">
      <w:pPr>
        <w:pStyle w:val="ChartGraphic"/>
      </w:pPr>
      <w:r w:rsidRPr="00D12AB8">
        <w:object w:dxaOrig="8775" w:dyaOrig="3960">
          <v:shape id="_x0000_i1035" type="#_x0000_t75" alt="This figure compares Treasury’s Budget forecast errors for real GDP growth for the Budget year since 1990-91 with those of the RBA and Access.&#10;" style="width:436.2pt;height:200.1pt" o:ole="">
            <v:imagedata r:id="rId29" o:title=""/>
          </v:shape>
          <o:OLEObject Type="Link" ProgID="Excel.Sheet.12" ShapeID="_x0000_i1035" DrawAspect="Content" r:id="rId30" UpdateMode="Always">
            <o:LinkType>Picture</o:LinkType>
            <o:LockedField>false</o:LockedField>
            <o:FieldCodes>\* MERGEFORMAT</o:FieldCodes>
          </o:OLEObject>
        </w:object>
      </w:r>
    </w:p>
    <w:p w:rsidR="00B30560" w:rsidRPr="00D12AB8" w:rsidRDefault="00B30560" w:rsidP="00946BF4">
      <w:pPr>
        <w:spacing w:before="360"/>
        <w:rPr>
          <w:rFonts w:eastAsiaTheme="minorHAnsi"/>
          <w:b/>
          <w:lang w:eastAsia="en-US"/>
        </w:rPr>
      </w:pPr>
      <w:r w:rsidRPr="00D12AB8">
        <w:rPr>
          <w:rFonts w:eastAsiaTheme="minorHAnsi"/>
          <w:lang w:eastAsia="en-US"/>
        </w:rPr>
        <w:t xml:space="preserve">It is noteworthy that the MAPEs for </w:t>
      </w:r>
      <w:r w:rsidR="0038099F" w:rsidRPr="00D12AB8">
        <w:rPr>
          <w:rFonts w:eastAsiaTheme="minorHAnsi"/>
          <w:lang w:eastAsia="en-US"/>
        </w:rPr>
        <w:t>Treasury</w:t>
      </w:r>
      <w:r w:rsidR="004F0077">
        <w:rPr>
          <w:rFonts w:eastAsiaTheme="minorHAnsi"/>
          <w:lang w:eastAsia="en-US"/>
        </w:rPr>
        <w:t>’</w:t>
      </w:r>
      <w:r w:rsidR="0038099F" w:rsidRPr="00D12AB8">
        <w:rPr>
          <w:rFonts w:eastAsiaTheme="minorHAnsi"/>
          <w:lang w:eastAsia="en-US"/>
        </w:rPr>
        <w:t xml:space="preserve">s </w:t>
      </w:r>
      <w:r w:rsidRPr="00D12AB8">
        <w:rPr>
          <w:rFonts w:eastAsiaTheme="minorHAnsi"/>
          <w:lang w:eastAsia="en-US"/>
        </w:rPr>
        <w:t>MYEFO forecasts (</w:t>
      </w:r>
      <w:r w:rsidR="00C07256" w:rsidRPr="00D12AB8">
        <w:rPr>
          <w:rFonts w:eastAsiaTheme="minorHAnsi"/>
          <w:lang w:eastAsia="en-US"/>
        </w:rPr>
        <w:t>seven</w:t>
      </w:r>
      <w:r w:rsidRPr="00D12AB8">
        <w:rPr>
          <w:rFonts w:eastAsiaTheme="minorHAnsi"/>
          <w:lang w:eastAsia="en-US"/>
        </w:rPr>
        <w:t xml:space="preserve"> quarters before the end of the forecast year) tend to be smaller than those for the Budget forecasts</w:t>
      </w:r>
      <w:r w:rsidR="005E69B8" w:rsidRPr="00D12AB8">
        <w:rPr>
          <w:rFonts w:eastAsiaTheme="minorHAnsi"/>
          <w:lang w:eastAsia="en-US"/>
        </w:rPr>
        <w:t xml:space="preserve"> </w:t>
      </w:r>
      <w:r w:rsidR="005E69B8" w:rsidRPr="00D12AB8">
        <w:t>(five quarter before the end of the financial year)</w:t>
      </w:r>
      <w:r w:rsidRPr="00D12AB8">
        <w:rPr>
          <w:rFonts w:eastAsiaTheme="minorHAnsi"/>
          <w:lang w:eastAsia="en-US"/>
        </w:rPr>
        <w:t xml:space="preserve">, despite the latter having more information. This is because the Budget data include a large error relating to the forecast of a </w:t>
      </w:r>
      <w:r w:rsidR="005E69B8" w:rsidRPr="00D12AB8">
        <w:rPr>
          <w:rFonts w:eastAsiaTheme="minorHAnsi"/>
          <w:lang w:eastAsia="en-US"/>
        </w:rPr>
        <w:t xml:space="preserve">domestic </w:t>
      </w:r>
      <w:r w:rsidRPr="00D12AB8">
        <w:rPr>
          <w:rFonts w:eastAsiaTheme="minorHAnsi"/>
          <w:lang w:eastAsia="en-US"/>
        </w:rPr>
        <w:t>recession in 2009</w:t>
      </w:r>
      <w:r w:rsidR="00674CFB">
        <w:rPr>
          <w:rFonts w:eastAsiaTheme="minorHAnsi"/>
          <w:lang w:eastAsia="en-US"/>
        </w:rPr>
        <w:noBreakHyphen/>
      </w:r>
      <w:r w:rsidRPr="00D12AB8">
        <w:rPr>
          <w:rFonts w:eastAsiaTheme="minorHAnsi"/>
          <w:lang w:eastAsia="en-US"/>
        </w:rPr>
        <w:t xml:space="preserve">10 </w:t>
      </w:r>
      <w:r w:rsidR="0038099F" w:rsidRPr="00D12AB8">
        <w:rPr>
          <w:rFonts w:eastAsiaTheme="minorHAnsi"/>
          <w:lang w:eastAsia="en-US"/>
        </w:rPr>
        <w:t xml:space="preserve">due to the GFC, </w:t>
      </w:r>
      <w:r w:rsidRPr="00D12AB8">
        <w:rPr>
          <w:rFonts w:eastAsiaTheme="minorHAnsi"/>
          <w:lang w:eastAsia="en-US"/>
        </w:rPr>
        <w:t xml:space="preserve">which did not eventuate. The corresponding forecast at MYEFO </w:t>
      </w:r>
      <w:r w:rsidR="00DA30BF" w:rsidRPr="00D12AB8">
        <w:rPr>
          <w:rFonts w:eastAsiaTheme="minorHAnsi"/>
          <w:lang w:eastAsia="en-US"/>
        </w:rPr>
        <w:t xml:space="preserve">(two quarters earlier) </w:t>
      </w:r>
      <w:r w:rsidRPr="00D12AB8">
        <w:rPr>
          <w:rFonts w:eastAsiaTheme="minorHAnsi"/>
          <w:lang w:eastAsia="en-US"/>
        </w:rPr>
        <w:t>did not forecast a recession in 2009</w:t>
      </w:r>
      <w:r w:rsidR="00674CFB">
        <w:rPr>
          <w:rFonts w:eastAsiaTheme="minorHAnsi"/>
          <w:lang w:eastAsia="en-US"/>
        </w:rPr>
        <w:noBreakHyphen/>
      </w:r>
      <w:r w:rsidRPr="00D12AB8">
        <w:rPr>
          <w:rFonts w:eastAsiaTheme="minorHAnsi"/>
          <w:lang w:eastAsia="en-US"/>
        </w:rPr>
        <w:t xml:space="preserve">10. </w:t>
      </w:r>
    </w:p>
    <w:p w:rsidR="00B712CA" w:rsidRPr="00D12AB8" w:rsidRDefault="00B712CA" w:rsidP="001679FF">
      <w:r w:rsidRPr="00D12AB8">
        <w:t>The performance of Treasury</w:t>
      </w:r>
      <w:r w:rsidR="004F0077">
        <w:t>’</w:t>
      </w:r>
      <w:r w:rsidRPr="00D12AB8">
        <w:t xml:space="preserve">s forecasts of real GDP growth is </w:t>
      </w:r>
      <w:r w:rsidR="00F3466F" w:rsidRPr="00D12AB8">
        <w:t>also</w:t>
      </w:r>
      <w:r w:rsidRPr="00D12AB8">
        <w:t xml:space="preserve"> comparable to those of Consensus Economics (see </w:t>
      </w:r>
      <w:r w:rsidR="00F451FA" w:rsidRPr="00D12AB8">
        <w:t xml:space="preserve">Table </w:t>
      </w:r>
      <w:r w:rsidR="00224D47" w:rsidRPr="00D12AB8">
        <w:t>3.</w:t>
      </w:r>
      <w:r w:rsidRPr="00D12AB8">
        <w:t>6).</w:t>
      </w:r>
    </w:p>
    <w:p w:rsidR="00B712CA" w:rsidRPr="00D12AB8" w:rsidRDefault="00B712CA" w:rsidP="00B712CA">
      <w:pPr>
        <w:pStyle w:val="ChartMainHeading"/>
        <w:spacing w:after="120"/>
      </w:pPr>
      <w:r w:rsidRPr="00D12AB8">
        <w:t>T</w:t>
      </w:r>
      <w:r w:rsidR="00006092" w:rsidRPr="00D12AB8">
        <w:t>able</w:t>
      </w:r>
      <w:r w:rsidRPr="00D12AB8">
        <w:t xml:space="preserve"> </w:t>
      </w:r>
      <w:r w:rsidR="008E2652" w:rsidRPr="00D12AB8">
        <w:t>3.</w:t>
      </w:r>
      <w:r w:rsidRPr="00D12AB8">
        <w:t>6:</w:t>
      </w:r>
      <w:r w:rsidR="004F0077">
        <w:t xml:space="preserve"> </w:t>
      </w:r>
      <w:r w:rsidRPr="00D12AB8">
        <w:t xml:space="preserve">Performance of Consensus, the RBA and Treasury </w:t>
      </w:r>
      <w:r w:rsidR="00DA30BF" w:rsidRPr="00D12AB8">
        <w:t>F</w:t>
      </w:r>
      <w:r w:rsidRPr="00D12AB8">
        <w:t xml:space="preserve">orecasts for </w:t>
      </w:r>
      <w:r w:rsidR="0076410F" w:rsidRPr="00D12AB8">
        <w:t>R</w:t>
      </w:r>
      <w:r w:rsidRPr="00D12AB8">
        <w:t>eal</w:t>
      </w:r>
      <w:r w:rsidR="0076410F" w:rsidRPr="00D12AB8">
        <w:t> </w:t>
      </w:r>
      <w:r w:rsidRPr="00D12AB8">
        <w:t>GDP growth</w:t>
      </w:r>
      <w:r w:rsidR="0076410F" w:rsidRPr="00D12AB8">
        <w:t>: 2000 to 2011:</w:t>
      </w:r>
      <w:r w:rsidR="004F0077">
        <w:t xml:space="preserve"> </w:t>
      </w:r>
      <w:r w:rsidR="0076410F" w:rsidRPr="00D12AB8">
        <w:t>Calendar Year:</w:t>
      </w:r>
      <w:r w:rsidR="004F0077">
        <w:t xml:space="preserve"> </w:t>
      </w:r>
      <w:r w:rsidR="0076410F" w:rsidRPr="00D12AB8">
        <w:t>MAPE</w:t>
      </w:r>
    </w:p>
    <w:p w:rsidR="00B712CA" w:rsidRPr="00D12AB8" w:rsidRDefault="00303851" w:rsidP="008B0EA7">
      <w:pPr>
        <w:pStyle w:val="TableGraphic"/>
        <w:jc w:val="center"/>
      </w:pPr>
      <w:r w:rsidRPr="00D12AB8">
        <w:object w:dxaOrig="7902" w:dyaOrig="1837">
          <v:shape id="_x0000_i1036" type="#_x0000_t75" style="width:395.15pt;height:92.95pt" o:ole="">
            <v:imagedata r:id="rId31" o:title=""/>
          </v:shape>
          <o:OLEObject Type="Link" ProgID="Excel.Sheet.12" ShapeID="_x0000_i1036" DrawAspect="Content" r:id="rId32" UpdateMode="Always">
            <o:LinkType>EnhancedMetaFile</o:LinkType>
            <o:LockedField/>
            <o:FieldCodes>\* MERGEFORMAT</o:FieldCodes>
          </o:OLEObject>
        </w:object>
      </w:r>
    </w:p>
    <w:p w:rsidR="00B712CA" w:rsidRPr="00D12AB8" w:rsidRDefault="00024DB4" w:rsidP="00946BF4">
      <w:pPr>
        <w:pStyle w:val="ChartorTableNote"/>
      </w:pPr>
      <w:r w:rsidRPr="00D12AB8">
        <w:t>Note:</w:t>
      </w:r>
      <w:r w:rsidR="004F0077">
        <w:t xml:space="preserve"> </w:t>
      </w:r>
      <w:r w:rsidRPr="00D12AB8">
        <w:t>t</w:t>
      </w:r>
      <w:r w:rsidR="00B712CA" w:rsidRPr="00D12AB8">
        <w:t>he differences in the results between agencies are statistically insignificant.</w:t>
      </w:r>
    </w:p>
    <w:p w:rsidR="008E7AB2" w:rsidRPr="004258FD" w:rsidRDefault="008E7AB2" w:rsidP="00EE214E">
      <w:pPr>
        <w:pStyle w:val="Heading3"/>
        <w:spacing w:before="240"/>
      </w:pPr>
      <w:r w:rsidRPr="004258FD">
        <w:t xml:space="preserve">Comparison with </w:t>
      </w:r>
      <w:r>
        <w:t xml:space="preserve">official agencies overseas </w:t>
      </w:r>
    </w:p>
    <w:p w:rsidR="00C07256" w:rsidRDefault="00AD4E62" w:rsidP="00946BF4">
      <w:r w:rsidRPr="00C91F3C">
        <w:t>Treasury</w:t>
      </w:r>
      <w:r w:rsidR="004F0077">
        <w:t>’</w:t>
      </w:r>
      <w:r w:rsidRPr="00C91F3C">
        <w:t xml:space="preserve">s forecast performance </w:t>
      </w:r>
      <w:r w:rsidR="00F3466F">
        <w:t xml:space="preserve">has been </w:t>
      </w:r>
      <w:r w:rsidRPr="00C91F3C">
        <w:t>compar</w:t>
      </w:r>
      <w:r w:rsidR="003A4CC4" w:rsidRPr="00C91F3C">
        <w:t>able</w:t>
      </w:r>
      <w:r w:rsidR="00C07256">
        <w:t xml:space="preserve"> with, or better than,</w:t>
      </w:r>
      <w:r w:rsidR="00886281" w:rsidRPr="00C91F3C">
        <w:t xml:space="preserve"> the performa</w:t>
      </w:r>
      <w:r w:rsidR="00460F95" w:rsidRPr="00C91F3C">
        <w:t>n</w:t>
      </w:r>
      <w:r w:rsidR="00886281" w:rsidRPr="00C91F3C">
        <w:t xml:space="preserve">ce of official agencies </w:t>
      </w:r>
      <w:r w:rsidR="008E7AB2" w:rsidRPr="00C91F3C">
        <w:t xml:space="preserve">overseas </w:t>
      </w:r>
      <w:r w:rsidR="00886281" w:rsidRPr="00C91F3C">
        <w:t xml:space="preserve">over the </w:t>
      </w:r>
      <w:r w:rsidR="00181B82" w:rsidRPr="00C91F3C">
        <w:t>p</w:t>
      </w:r>
      <w:r w:rsidR="00886281" w:rsidRPr="00C91F3C">
        <w:t>ast decade</w:t>
      </w:r>
      <w:r w:rsidR="009F3579" w:rsidRPr="00E94C96">
        <w:t>,</w:t>
      </w:r>
      <w:r w:rsidR="00886281" w:rsidRPr="00C91F3C">
        <w:t xml:space="preserve"> </w:t>
      </w:r>
      <w:r w:rsidR="009F3579" w:rsidRPr="00C91F3C">
        <w:t xml:space="preserve">although some caution is required in making cross country comparisons over a period as short as ten years, and given that official agencies prepare forecasts at different times in the year (Figure </w:t>
      </w:r>
      <w:r w:rsidR="00224D47">
        <w:t>3.</w:t>
      </w:r>
      <w:r w:rsidR="009F3579" w:rsidRPr="00C91F3C">
        <w:t xml:space="preserve">6). </w:t>
      </w:r>
      <w:r w:rsidR="000F2F5F">
        <w:t xml:space="preserve">In particular, </w:t>
      </w:r>
      <w:r w:rsidR="009F3579" w:rsidRPr="00E94C96">
        <w:t>Australia</w:t>
      </w:r>
      <w:r w:rsidR="004F0077">
        <w:t>’</w:t>
      </w:r>
      <w:r w:rsidR="009F3579" w:rsidRPr="00E94C96">
        <w:t xml:space="preserve">s official forecasts of nominal GDP growth outperform </w:t>
      </w:r>
      <w:r w:rsidR="00B41F21">
        <w:t xml:space="preserve">those of </w:t>
      </w:r>
      <w:r w:rsidR="009F3579" w:rsidRPr="00E94C96">
        <w:t>New Zealand</w:t>
      </w:r>
      <w:r w:rsidR="00F3466F">
        <w:t>, but</w:t>
      </w:r>
      <w:r w:rsidR="009F3579" w:rsidRPr="00E94C96">
        <w:t xml:space="preserve"> are statistically insignificant from </w:t>
      </w:r>
      <w:r w:rsidR="00B41F21">
        <w:t xml:space="preserve">those of </w:t>
      </w:r>
      <w:r w:rsidR="009F3579" w:rsidRPr="00E94C96">
        <w:t>Canada, the United Kingdom and the United States.</w:t>
      </w:r>
      <w:r w:rsidR="00C07256" w:rsidRPr="00C07256">
        <w:t xml:space="preserve"> </w:t>
      </w:r>
      <w:r w:rsidR="00AE2ADB" w:rsidRPr="00070E78">
        <w:t>Australia</w:t>
      </w:r>
      <w:r w:rsidR="004F0077">
        <w:t>’</w:t>
      </w:r>
      <w:r w:rsidR="00AE2ADB" w:rsidRPr="00070E78">
        <w:t xml:space="preserve">s official forecasts of real GDP growth are statistically insignificant </w:t>
      </w:r>
      <w:r w:rsidR="00B41F21">
        <w:t xml:space="preserve">different </w:t>
      </w:r>
      <w:r w:rsidR="00AE2ADB" w:rsidRPr="00070E78">
        <w:t xml:space="preserve">from </w:t>
      </w:r>
      <w:r w:rsidR="00B41F21">
        <w:t xml:space="preserve">those of </w:t>
      </w:r>
      <w:r w:rsidR="00AE2ADB" w:rsidRPr="00070E78">
        <w:t xml:space="preserve">Canada, </w:t>
      </w:r>
      <w:r w:rsidR="00AE2ADB">
        <w:t xml:space="preserve">New Zealand, </w:t>
      </w:r>
      <w:r w:rsidR="00AE2ADB" w:rsidRPr="00070E78">
        <w:t>the United Kingdom and the United States.</w:t>
      </w:r>
    </w:p>
    <w:p w:rsidR="00B712CA" w:rsidRPr="00DC6CDF" w:rsidRDefault="00C07256" w:rsidP="00946BF4">
      <w:r w:rsidRPr="004258FD">
        <w:t xml:space="preserve">It is </w:t>
      </w:r>
      <w:r w:rsidR="001110A7">
        <w:t xml:space="preserve">interesting to </w:t>
      </w:r>
      <w:r w:rsidRPr="004258FD">
        <w:t>not</w:t>
      </w:r>
      <w:r w:rsidR="001110A7">
        <w:t xml:space="preserve">e </w:t>
      </w:r>
      <w:r w:rsidRPr="004258FD">
        <w:t xml:space="preserve">that all </w:t>
      </w:r>
      <w:r>
        <w:t xml:space="preserve">official </w:t>
      </w:r>
      <w:r w:rsidRPr="004258FD">
        <w:t>agencies missed the onset of the GFC and tended to overstate its effect on activity in 2009</w:t>
      </w:r>
      <w:r w:rsidR="00674CFB">
        <w:noBreakHyphen/>
      </w:r>
      <w:r w:rsidRPr="004258FD">
        <w:t>10, albeit to varying degrees</w:t>
      </w:r>
      <w:r w:rsidR="000F2F5F">
        <w:t xml:space="preserve"> (Figure </w:t>
      </w:r>
      <w:r w:rsidR="00224D47">
        <w:t>3.</w:t>
      </w:r>
      <w:r w:rsidR="000F2F5F">
        <w:t>6)</w:t>
      </w:r>
      <w:r w:rsidRPr="004258FD">
        <w:t xml:space="preserve">. As a result, all official </w:t>
      </w:r>
      <w:r w:rsidRPr="004258FD">
        <w:lastRenderedPageBreak/>
        <w:t>agencies tended to overestimate economic growth outcomes in 2008</w:t>
      </w:r>
      <w:r w:rsidR="00674CFB">
        <w:noBreakHyphen/>
      </w:r>
      <w:r w:rsidRPr="004258FD">
        <w:t>09 and underestimate outcomes in 2009</w:t>
      </w:r>
      <w:r w:rsidR="00674CFB">
        <w:noBreakHyphen/>
      </w:r>
      <w:r w:rsidRPr="004258FD">
        <w:t>10.</w:t>
      </w:r>
    </w:p>
    <w:p w:rsidR="00843B34" w:rsidRPr="004258FD" w:rsidRDefault="00886281" w:rsidP="00DA529C">
      <w:pPr>
        <w:pStyle w:val="ChartMainHeading"/>
        <w:spacing w:after="120"/>
      </w:pPr>
      <w:r w:rsidRPr="004258FD">
        <w:t>Figure</w:t>
      </w:r>
      <w:r w:rsidR="00114942" w:rsidRPr="004258FD">
        <w:t xml:space="preserve"> </w:t>
      </w:r>
      <w:r w:rsidR="008E2652">
        <w:t>3.</w:t>
      </w:r>
      <w:r w:rsidR="007A4B35" w:rsidRPr="004258FD">
        <w:t>6</w:t>
      </w:r>
      <w:r w:rsidR="00114942" w:rsidRPr="004258FD">
        <w:t>:</w:t>
      </w:r>
      <w:r w:rsidR="004F0077">
        <w:t xml:space="preserve"> </w:t>
      </w:r>
      <w:r w:rsidR="00F5299C">
        <w:t>I</w:t>
      </w:r>
      <w:r w:rsidR="00006092">
        <w:t>nternational</w:t>
      </w:r>
      <w:r w:rsidR="00F5299C">
        <w:t xml:space="preserve"> </w:t>
      </w:r>
      <w:r w:rsidR="00006092">
        <w:t>C</w:t>
      </w:r>
      <w:r w:rsidR="00F5299C">
        <w:t xml:space="preserve">omparison of Budget </w:t>
      </w:r>
      <w:r w:rsidR="00114942" w:rsidRPr="004258FD">
        <w:t>Forecast Errors across Official</w:t>
      </w:r>
      <w:r w:rsidR="008757B8">
        <w:t> </w:t>
      </w:r>
      <w:r w:rsidR="00114942" w:rsidRPr="004258FD">
        <w:t>Agencies</w:t>
      </w:r>
      <w:r w:rsidR="008757B8">
        <w:t>: </w:t>
      </w:r>
      <w:r w:rsidR="003D7FE9" w:rsidRPr="004258FD">
        <w:t>2001</w:t>
      </w:r>
      <w:r w:rsidR="00674CFB">
        <w:noBreakHyphen/>
      </w:r>
      <w:r w:rsidR="003D7FE9" w:rsidRPr="004258FD">
        <w:t>02 to 20</w:t>
      </w:r>
      <w:r w:rsidR="009A42B8">
        <w:t>10</w:t>
      </w:r>
      <w:r w:rsidR="00674CFB">
        <w:noBreakHyphen/>
      </w:r>
      <w:r w:rsidR="009A42B8">
        <w:t>1</w:t>
      </w:r>
      <w:r w:rsidR="003D7FE9" w:rsidRPr="004258FD">
        <w:t>1</w:t>
      </w:r>
    </w:p>
    <w:tbl>
      <w:tblPr>
        <w:tblStyle w:val="TableGrid"/>
        <w:tblW w:w="0" w:type="auto"/>
        <w:tblLook w:val="04A0" w:firstRow="1" w:lastRow="0" w:firstColumn="1" w:lastColumn="0" w:noHBand="0" w:noVBand="1"/>
      </w:tblPr>
      <w:tblGrid>
        <w:gridCol w:w="4617"/>
        <w:gridCol w:w="4625"/>
      </w:tblGrid>
      <w:tr w:rsidR="00843B34" w:rsidRPr="00F87E2C" w:rsidTr="00DA529C">
        <w:tc>
          <w:tcPr>
            <w:tcW w:w="4621" w:type="dxa"/>
            <w:shd w:val="clear" w:color="auto" w:fill="auto"/>
          </w:tcPr>
          <w:p w:rsidR="00843B34" w:rsidRPr="004258FD" w:rsidRDefault="00843B34" w:rsidP="0060231F">
            <w:pPr>
              <w:pStyle w:val="ChartSecondHeading"/>
              <w:spacing w:after="0"/>
              <w:rPr>
                <w:noProof/>
              </w:rPr>
            </w:pPr>
            <w:r w:rsidRPr="004258FD">
              <w:t>Nominal GDP Growth</w:t>
            </w:r>
          </w:p>
        </w:tc>
        <w:tc>
          <w:tcPr>
            <w:tcW w:w="4621" w:type="dxa"/>
            <w:shd w:val="clear" w:color="auto" w:fill="auto"/>
          </w:tcPr>
          <w:p w:rsidR="00843B34" w:rsidRPr="004258FD" w:rsidRDefault="00843B34" w:rsidP="0060231F">
            <w:pPr>
              <w:pStyle w:val="ChartSecondHeading"/>
              <w:spacing w:after="0"/>
              <w:rPr>
                <w:noProof/>
              </w:rPr>
            </w:pPr>
            <w:r w:rsidRPr="004258FD">
              <w:t>Real GDP Growth</w:t>
            </w:r>
          </w:p>
        </w:tc>
      </w:tr>
      <w:tr w:rsidR="006D4752" w:rsidRPr="00F87E2C" w:rsidTr="00916D32">
        <w:trPr>
          <w:trHeight w:val="4793"/>
        </w:trPr>
        <w:tc>
          <w:tcPr>
            <w:tcW w:w="4621" w:type="dxa"/>
            <w:shd w:val="clear" w:color="auto" w:fill="auto"/>
          </w:tcPr>
          <w:p w:rsidR="006D4752" w:rsidRPr="004258FD" w:rsidRDefault="002D7222">
            <w:pPr>
              <w:pStyle w:val="ChartGraphic"/>
              <w:rPr>
                <w:bCs/>
                <w:color w:val="1F497D"/>
                <w:sz w:val="24"/>
                <w:szCs w:val="24"/>
              </w:rPr>
            </w:pPr>
            <w:r>
              <w:rPr>
                <w:noProof/>
              </w:rPr>
              <w:fldChar w:fldCharType="begin" w:fldLock="1"/>
            </w:r>
            <w:r>
              <w:rPr>
                <w:noProof/>
              </w:rPr>
              <w:instrText xml:space="preserve"> LINK Excel.Sheet.12 "" "" \a \p </w:instrText>
            </w:r>
            <w:r>
              <w:rPr>
                <w:noProof/>
              </w:rPr>
              <w:fldChar w:fldCharType="separate"/>
            </w:r>
            <w:r>
              <w:rPr>
                <w:noProof/>
              </w:rPr>
              <w:drawing>
                <wp:inline distT="0" distB="0" distL="0" distR="0" wp14:anchorId="65EB4028" wp14:editId="0D092BEE">
                  <wp:extent cx="2852420" cy="2852420"/>
                  <wp:effectExtent l="0" t="0" r="0" b="5080"/>
                  <wp:docPr id="1" name="Picture 1" descr="This figure has two panels.  The left-hand panel compares the accuracy of Treasury’s forecasts of nominal GDP growth with Official Budget Agencies from Canada, New Zealand, the United Kingdom and the United States from 2001‑02 to 2010-11 by comparing budget forecast errors.&#10;" title="Nominal GDP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2420" cy="2852420"/>
                          </a:xfrm>
                          <a:prstGeom prst="rect">
                            <a:avLst/>
                          </a:prstGeom>
                          <a:noFill/>
                          <a:ln>
                            <a:noFill/>
                          </a:ln>
                        </pic:spPr>
                      </pic:pic>
                    </a:graphicData>
                  </a:graphic>
                </wp:inline>
              </w:drawing>
            </w:r>
            <w:r>
              <w:rPr>
                <w:noProof/>
              </w:rPr>
              <w:fldChar w:fldCharType="end"/>
            </w:r>
          </w:p>
        </w:tc>
        <w:tc>
          <w:tcPr>
            <w:tcW w:w="4621" w:type="dxa"/>
            <w:shd w:val="clear" w:color="auto" w:fill="auto"/>
          </w:tcPr>
          <w:p w:rsidR="006D4752" w:rsidRPr="004258FD" w:rsidRDefault="002D7222" w:rsidP="00F418AE">
            <w:pPr>
              <w:pStyle w:val="ChartGraphic"/>
              <w:rPr>
                <w:color w:val="1F497D"/>
                <w:sz w:val="24"/>
                <w:szCs w:val="24"/>
              </w:rPr>
            </w:pPr>
            <w:r>
              <w:rPr>
                <w:noProof/>
              </w:rPr>
              <w:fldChar w:fldCharType="begin" w:fldLock="1"/>
            </w:r>
            <w:r>
              <w:rPr>
                <w:noProof/>
              </w:rPr>
              <w:instrText xml:space="preserve"> LINK Excel.Sheet.12 "" "" \a \p </w:instrText>
            </w:r>
            <w:r>
              <w:rPr>
                <w:noProof/>
              </w:rPr>
              <w:fldChar w:fldCharType="separate"/>
            </w:r>
            <w:r>
              <w:rPr>
                <w:noProof/>
              </w:rPr>
              <w:drawing>
                <wp:inline distT="0" distB="0" distL="0" distR="0" wp14:anchorId="1C817F8A" wp14:editId="2F0681D6">
                  <wp:extent cx="2852420" cy="2852420"/>
                  <wp:effectExtent l="0" t="0" r="5080" b="5080"/>
                  <wp:docPr id="2" name="Picture 2" descr="The right-hand panel compares the accuracy of Treasury’s forecasts of real GDP growth with Official Budget Agencies from Canada, New Zealand, the United Kingdom and the United States from 2001‑02 to 2010-11 by comparing budget forecast errors.&#10;" title="Real GDP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2420" cy="2852420"/>
                          </a:xfrm>
                          <a:prstGeom prst="rect">
                            <a:avLst/>
                          </a:prstGeom>
                          <a:noFill/>
                          <a:ln>
                            <a:noFill/>
                          </a:ln>
                        </pic:spPr>
                      </pic:pic>
                    </a:graphicData>
                  </a:graphic>
                </wp:inline>
              </w:drawing>
            </w:r>
            <w:r>
              <w:rPr>
                <w:noProof/>
              </w:rPr>
              <w:fldChar w:fldCharType="end"/>
            </w:r>
          </w:p>
        </w:tc>
      </w:tr>
    </w:tbl>
    <w:p w:rsidR="00860353" w:rsidRPr="00DA459D" w:rsidRDefault="00082212" w:rsidP="00946BF4">
      <w:pPr>
        <w:pStyle w:val="ChartorTableNote"/>
      </w:pPr>
      <w:r w:rsidRPr="00DA459D">
        <w:t>Australia</w:t>
      </w:r>
      <w:r w:rsidR="004F0077" w:rsidRPr="00DA459D">
        <w:t>’</w:t>
      </w:r>
      <w:r w:rsidRPr="00DA459D">
        <w:t>s Budget is published in early May, two months before of the start of the Budget financial year; the United</w:t>
      </w:r>
      <w:r w:rsidR="00436326">
        <w:t> </w:t>
      </w:r>
      <w:r w:rsidRPr="00DA459D">
        <w:t>Kingdom</w:t>
      </w:r>
      <w:r w:rsidR="004F0077" w:rsidRPr="00DA459D">
        <w:t>’</w:t>
      </w:r>
      <w:r w:rsidRPr="00DA459D">
        <w:t xml:space="preserve">s Budget is published in March, </w:t>
      </w:r>
      <w:r w:rsidR="007C193D" w:rsidRPr="00DA459D">
        <w:t>one</w:t>
      </w:r>
      <w:r w:rsidR="00674CFB">
        <w:noBreakHyphen/>
      </w:r>
      <w:r w:rsidRPr="00DA459D">
        <w:t>month before the start of its Budget March year; Canada</w:t>
      </w:r>
      <w:r w:rsidR="004F0077" w:rsidRPr="00DA459D">
        <w:t>’</w:t>
      </w:r>
      <w:r w:rsidRPr="00DA459D">
        <w:t>s Budget is published between January and March, within its Budget calendar year, New Zealand</w:t>
      </w:r>
      <w:r w:rsidR="004F0077" w:rsidRPr="00DA459D">
        <w:t>’</w:t>
      </w:r>
      <w:r w:rsidRPr="00DA459D">
        <w:t>s Budget is published in May, two</w:t>
      </w:r>
      <w:r w:rsidR="00436326">
        <w:t> </w:t>
      </w:r>
      <w:r w:rsidRPr="00DA459D">
        <w:t>months before the start of its Budget June year; and the United States</w:t>
      </w:r>
      <w:r w:rsidR="004F0077" w:rsidRPr="00DA459D">
        <w:t>’</w:t>
      </w:r>
      <w:r w:rsidRPr="00DA459D">
        <w:t xml:space="preserve"> Budget is published in </w:t>
      </w:r>
      <w:r w:rsidR="00F418AE" w:rsidRPr="00DA459D">
        <w:t>February</w:t>
      </w:r>
      <w:r w:rsidRPr="00DA459D">
        <w:t xml:space="preserve"> </w:t>
      </w:r>
      <w:r w:rsidR="00024DB4" w:rsidRPr="00DA459D">
        <w:t xml:space="preserve">eight </w:t>
      </w:r>
      <w:r w:rsidRPr="00DA459D">
        <w:t xml:space="preserve">months before the start of its Budget September </w:t>
      </w:r>
      <w:r w:rsidR="00946BF4" w:rsidRPr="00DA459D">
        <w:t>year.</w:t>
      </w:r>
    </w:p>
    <w:p w:rsidR="00BD0E2F" w:rsidRDefault="00C66D31" w:rsidP="00DC6CDF">
      <w:pPr>
        <w:spacing w:before="360"/>
      </w:pPr>
      <w:r>
        <w:t>It is also worth noting that over th</w:t>
      </w:r>
      <w:r w:rsidR="00A55B6A">
        <w:t xml:space="preserve">is </w:t>
      </w:r>
      <w:r>
        <w:t xml:space="preserve">period </w:t>
      </w:r>
      <w:r w:rsidR="001110A7">
        <w:t xml:space="preserve">domestic </w:t>
      </w:r>
      <w:r>
        <w:t xml:space="preserve">forecasters </w:t>
      </w:r>
      <w:r w:rsidR="00BB2BDF">
        <w:t>faced</w:t>
      </w:r>
      <w:r w:rsidR="00A55B6A">
        <w:t xml:space="preserve"> a</w:t>
      </w:r>
      <w:r>
        <w:t xml:space="preserve"> dramatic </w:t>
      </w:r>
      <w:r w:rsidR="00550FB6">
        <w:t xml:space="preserve">rise in </w:t>
      </w:r>
      <w:r w:rsidR="001C27CC">
        <w:t>Australia</w:t>
      </w:r>
      <w:r w:rsidR="004F0077">
        <w:t>’</w:t>
      </w:r>
      <w:r w:rsidR="001C27CC">
        <w:t>s</w:t>
      </w:r>
      <w:r w:rsidR="00550FB6">
        <w:t xml:space="preserve"> </w:t>
      </w:r>
      <w:r>
        <w:t xml:space="preserve">terms of trade </w:t>
      </w:r>
      <w:r w:rsidR="00550FB6">
        <w:t xml:space="preserve">of </w:t>
      </w:r>
      <w:r w:rsidR="007415D2">
        <w:t>almost</w:t>
      </w:r>
      <w:r w:rsidR="00550FB6">
        <w:t xml:space="preserve"> 200 </w:t>
      </w:r>
      <w:r>
        <w:t>per cent</w:t>
      </w:r>
      <w:r w:rsidR="00D92728">
        <w:t>, which</w:t>
      </w:r>
      <w:r w:rsidR="00BB2BDF">
        <w:t>, as discussed,</w:t>
      </w:r>
      <w:r w:rsidR="00D92728">
        <w:t xml:space="preserve"> </w:t>
      </w:r>
      <w:r w:rsidR="007415D2">
        <w:t>has</w:t>
      </w:r>
      <w:r w:rsidR="00D92728">
        <w:t xml:space="preserve"> contribute</w:t>
      </w:r>
      <w:r w:rsidR="007415D2">
        <w:t>d</w:t>
      </w:r>
      <w:r w:rsidR="00D92728">
        <w:t xml:space="preserve"> to the nominal GDP growth forecast errors</w:t>
      </w:r>
      <w:r>
        <w:t>.</w:t>
      </w:r>
      <w:r w:rsidR="00A55B6A">
        <w:t xml:space="preserve"> This is in stark contrast to the </w:t>
      </w:r>
      <w:r w:rsidR="00866D63">
        <w:t xml:space="preserve">experience of the </w:t>
      </w:r>
      <w:r w:rsidR="00A55B6A">
        <w:t xml:space="preserve">other countries </w:t>
      </w:r>
      <w:r w:rsidR="00D92728">
        <w:t>surveyed</w:t>
      </w:r>
      <w:r w:rsidR="00B139C7">
        <w:t xml:space="preserve"> (Figure 3.7)</w:t>
      </w:r>
      <w:r w:rsidR="00A55B6A" w:rsidRPr="001110A7">
        <w:t>.</w:t>
      </w:r>
      <w:r w:rsidR="001110A7" w:rsidRPr="00E94C96">
        <w:t xml:space="preserve"> This would </w:t>
      </w:r>
      <w:r w:rsidR="004A4096">
        <w:t xml:space="preserve">have </w:t>
      </w:r>
      <w:r w:rsidR="001110A7" w:rsidRPr="00E94C96">
        <w:t>contribute</w:t>
      </w:r>
      <w:r w:rsidR="004A4096">
        <w:t>d</w:t>
      </w:r>
      <w:r w:rsidR="001110A7" w:rsidRPr="00E94C96">
        <w:t xml:space="preserve"> to the configuration of </w:t>
      </w:r>
      <w:r w:rsidR="00866D63">
        <w:t xml:space="preserve">the </w:t>
      </w:r>
      <w:r w:rsidR="001110A7" w:rsidRPr="00E94C96">
        <w:t xml:space="preserve">relative results for the </w:t>
      </w:r>
      <w:r w:rsidR="001110A7">
        <w:t>international forecast comparison, as would the relative severity of the impact of the GFC on the domestic econom</w:t>
      </w:r>
      <w:r w:rsidR="00866D63">
        <w:t>ies</w:t>
      </w:r>
      <w:r w:rsidR="001110A7">
        <w:t xml:space="preserve"> of the countries surveyed</w:t>
      </w:r>
      <w:r w:rsidR="00B139C7">
        <w:t xml:space="preserve"> (Figure 3.6)</w:t>
      </w:r>
      <w:r w:rsidR="001110A7" w:rsidRPr="00E94C96">
        <w:t>.</w:t>
      </w:r>
    </w:p>
    <w:p w:rsidR="00C07256" w:rsidRDefault="00C66D31" w:rsidP="00C10781">
      <w:pPr>
        <w:pStyle w:val="ChartMainHeading"/>
        <w:spacing w:after="120"/>
      </w:pPr>
      <w:r w:rsidRPr="004258FD">
        <w:lastRenderedPageBreak/>
        <w:t xml:space="preserve">Figure </w:t>
      </w:r>
      <w:r w:rsidR="008E2652">
        <w:t>3.</w:t>
      </w:r>
      <w:r w:rsidR="00AE2ADB">
        <w:t>7</w:t>
      </w:r>
      <w:r w:rsidRPr="004258FD">
        <w:t>:</w:t>
      </w:r>
      <w:r w:rsidR="004F0077">
        <w:t xml:space="preserve"> </w:t>
      </w:r>
      <w:r>
        <w:t xml:space="preserve">Terms of </w:t>
      </w:r>
      <w:r w:rsidR="00A53605">
        <w:t>T</w:t>
      </w:r>
      <w:r>
        <w:t>rade</w:t>
      </w:r>
      <w:r w:rsidR="00A53605">
        <w:t>,</w:t>
      </w:r>
      <w:r w:rsidR="001C27CC">
        <w:t xml:space="preserve"> by </w:t>
      </w:r>
      <w:r w:rsidR="00A53605">
        <w:t>C</w:t>
      </w:r>
      <w:r w:rsidR="001C27CC">
        <w:t>ountry</w:t>
      </w:r>
    </w:p>
    <w:p w:rsidR="00550FB6" w:rsidRPr="004258FD" w:rsidRDefault="00135E7B">
      <w:pPr>
        <w:pStyle w:val="ChartGraphic"/>
      </w:pPr>
      <w:r>
        <w:object w:dxaOrig="8490" w:dyaOrig="3961">
          <v:shape id="_x0000_i1037" type="#_x0000_t75" alt="This figure compares the evolution of the terms of trade for Australia, Canada, New Zealand, UK and US since June 2002 (and indexed to June 2002).&#10;" style="width:424.45pt;height:199.25pt;mso-position-horizontal:absolute" o:ole="">
            <v:imagedata r:id="rId35" o:title=""/>
          </v:shape>
          <o:OLEObject Type="Link" ProgID="Excel.Sheet.12" ShapeID="_x0000_i1037" DrawAspect="Content" r:id="rId36" UpdateMode="Always">
            <o:LinkType>EnhancedMetaFile</o:LinkType>
            <o:LockedField/>
          </o:OLEObject>
        </w:object>
      </w:r>
    </w:p>
    <w:p w:rsidR="005D6FEC" w:rsidRPr="004258FD" w:rsidRDefault="00CA1FFF" w:rsidP="00946BF4">
      <w:pPr>
        <w:pStyle w:val="Heading3"/>
        <w:spacing w:before="360"/>
      </w:pPr>
      <w:r>
        <w:t>C</w:t>
      </w:r>
      <w:r w:rsidRPr="004258FD">
        <w:t xml:space="preserve">omparison </w:t>
      </w:r>
      <w:r>
        <w:t>w</w:t>
      </w:r>
      <w:r w:rsidRPr="004258FD">
        <w:t>ith naïve trend forecasts</w:t>
      </w:r>
    </w:p>
    <w:p w:rsidR="00AD4E62" w:rsidRPr="00E94C96" w:rsidRDefault="006448C2" w:rsidP="004258FD">
      <w:pPr>
        <w:spacing w:line="240" w:lineRule="auto"/>
        <w:rPr>
          <w:sz w:val="24"/>
          <w:szCs w:val="24"/>
          <w:highlight w:val="yellow"/>
        </w:rPr>
      </w:pPr>
      <w:r w:rsidRPr="00C91F3C">
        <w:rPr>
          <w:sz w:val="24"/>
          <w:szCs w:val="24"/>
        </w:rPr>
        <w:t>Treasury</w:t>
      </w:r>
      <w:r w:rsidR="004F0077">
        <w:rPr>
          <w:sz w:val="24"/>
          <w:szCs w:val="24"/>
        </w:rPr>
        <w:t>’</w:t>
      </w:r>
      <w:r w:rsidRPr="00C91F3C">
        <w:rPr>
          <w:sz w:val="24"/>
          <w:szCs w:val="24"/>
        </w:rPr>
        <w:t xml:space="preserve">s </w:t>
      </w:r>
      <w:r w:rsidR="00AD4E62" w:rsidRPr="00C91F3C">
        <w:rPr>
          <w:sz w:val="24"/>
          <w:szCs w:val="24"/>
        </w:rPr>
        <w:t xml:space="preserve">real and nominal GDP growth forecasts </w:t>
      </w:r>
      <w:r w:rsidR="00BC0DCF" w:rsidRPr="00C91F3C">
        <w:rPr>
          <w:sz w:val="24"/>
          <w:szCs w:val="24"/>
        </w:rPr>
        <w:t xml:space="preserve">tend to </w:t>
      </w:r>
      <w:r w:rsidR="00AD4E62" w:rsidRPr="00C91F3C">
        <w:rPr>
          <w:sz w:val="24"/>
          <w:szCs w:val="24"/>
        </w:rPr>
        <w:t>outperform trend estimates</w:t>
      </w:r>
      <w:r w:rsidR="00BE76E1" w:rsidRPr="00C91F3C">
        <w:rPr>
          <w:sz w:val="24"/>
          <w:szCs w:val="24"/>
        </w:rPr>
        <w:t xml:space="preserve"> for the Budget forecast round</w:t>
      </w:r>
      <w:r w:rsidR="00996A9E" w:rsidRPr="00C91F3C">
        <w:rPr>
          <w:sz w:val="24"/>
          <w:szCs w:val="24"/>
        </w:rPr>
        <w:t xml:space="preserve"> (one quarter out from the start of the financial year)</w:t>
      </w:r>
      <w:r w:rsidR="005B2CD8" w:rsidRPr="00C91F3C">
        <w:rPr>
          <w:sz w:val="24"/>
          <w:szCs w:val="24"/>
        </w:rPr>
        <w:t xml:space="preserve"> (Table</w:t>
      </w:r>
      <w:r w:rsidR="00251D53" w:rsidRPr="00C91F3C">
        <w:rPr>
          <w:sz w:val="24"/>
          <w:szCs w:val="24"/>
        </w:rPr>
        <w:t xml:space="preserve"> </w:t>
      </w:r>
      <w:r w:rsidR="00224D47">
        <w:rPr>
          <w:sz w:val="24"/>
          <w:szCs w:val="24"/>
        </w:rPr>
        <w:t>3.</w:t>
      </w:r>
      <w:r w:rsidR="00F451FA">
        <w:rPr>
          <w:sz w:val="24"/>
          <w:szCs w:val="24"/>
        </w:rPr>
        <w:t>7</w:t>
      </w:r>
      <w:r w:rsidR="00582F8F" w:rsidRPr="00C91F3C">
        <w:rPr>
          <w:sz w:val="24"/>
          <w:szCs w:val="24"/>
        </w:rPr>
        <w:t>).</w:t>
      </w:r>
      <w:r w:rsidR="00C03BB1" w:rsidRPr="00C91F3C">
        <w:rPr>
          <w:sz w:val="24"/>
          <w:szCs w:val="24"/>
        </w:rPr>
        <w:t xml:space="preserve"> </w:t>
      </w:r>
      <w:r w:rsidR="004757BD" w:rsidRPr="00C91F3C">
        <w:rPr>
          <w:sz w:val="24"/>
          <w:szCs w:val="24"/>
        </w:rPr>
        <w:t>An</w:t>
      </w:r>
      <w:r w:rsidR="004757BD" w:rsidRPr="004258FD">
        <w:rPr>
          <w:sz w:val="24"/>
          <w:szCs w:val="24"/>
        </w:rPr>
        <w:t xml:space="preserve"> examination of the data over sub periods reveals, perhaps unsurprisingly, that it is more difficult to outperform trend estimates during periods of relative economic stability. In contrast, during periods of economic volatility, forecasters can more rapidly incorporate information reflecting a chang</w:t>
      </w:r>
      <w:r w:rsidR="008E02C1">
        <w:rPr>
          <w:sz w:val="24"/>
          <w:szCs w:val="24"/>
        </w:rPr>
        <w:t>ing</w:t>
      </w:r>
      <w:r w:rsidR="004757BD" w:rsidRPr="004258FD">
        <w:rPr>
          <w:sz w:val="24"/>
          <w:szCs w:val="24"/>
        </w:rPr>
        <w:t xml:space="preserve"> environment, for example, the transition to the low inflation environment in the early 1990</w:t>
      </w:r>
      <w:r w:rsidR="004F0077">
        <w:rPr>
          <w:sz w:val="24"/>
          <w:szCs w:val="24"/>
        </w:rPr>
        <w:t>’</w:t>
      </w:r>
      <w:r w:rsidR="004757BD" w:rsidRPr="004258FD">
        <w:rPr>
          <w:sz w:val="24"/>
          <w:szCs w:val="24"/>
        </w:rPr>
        <w:t>s, than backward</w:t>
      </w:r>
      <w:r w:rsidR="00674CFB">
        <w:rPr>
          <w:sz w:val="24"/>
          <w:szCs w:val="24"/>
        </w:rPr>
        <w:noBreakHyphen/>
      </w:r>
      <w:r w:rsidR="004757BD" w:rsidRPr="004258FD">
        <w:rPr>
          <w:sz w:val="24"/>
          <w:szCs w:val="24"/>
        </w:rPr>
        <w:t>looking trend forecasts.</w:t>
      </w:r>
    </w:p>
    <w:p w:rsidR="00D752C8" w:rsidRDefault="00D752C8" w:rsidP="00DA529C">
      <w:pPr>
        <w:pStyle w:val="TableMainHeading"/>
        <w:spacing w:after="120"/>
      </w:pPr>
      <w:r w:rsidRPr="00D31776">
        <w:t xml:space="preserve">Table </w:t>
      </w:r>
      <w:r w:rsidR="008E2652">
        <w:t>3.</w:t>
      </w:r>
      <w:r w:rsidR="00F451FA">
        <w:t>7</w:t>
      </w:r>
      <w:r w:rsidR="005B2CD8" w:rsidRPr="00D31776">
        <w:t>:</w:t>
      </w:r>
      <w:r w:rsidR="004F0077">
        <w:t xml:space="preserve"> </w:t>
      </w:r>
      <w:r w:rsidRPr="00D31776">
        <w:t xml:space="preserve">Performance of Treasury </w:t>
      </w:r>
      <w:r w:rsidR="00006092">
        <w:t xml:space="preserve">Budget Forecasts </w:t>
      </w:r>
      <w:r w:rsidRPr="00D31776">
        <w:t xml:space="preserve">and </w:t>
      </w:r>
      <w:r w:rsidR="00006092">
        <w:t>N</w:t>
      </w:r>
      <w:r w:rsidRPr="00D31776">
        <w:t xml:space="preserve">aïve </w:t>
      </w:r>
      <w:r w:rsidR="00006092">
        <w:t>T</w:t>
      </w:r>
      <w:r w:rsidRPr="00D31776">
        <w:t xml:space="preserve">rend </w:t>
      </w:r>
      <w:r w:rsidR="00006092">
        <w:t>F</w:t>
      </w:r>
      <w:r w:rsidRPr="00D31776">
        <w:t>orecasts</w:t>
      </w:r>
      <w:r w:rsidR="0045697D" w:rsidRPr="00D31776">
        <w:t xml:space="preserve"> against </w:t>
      </w:r>
      <w:r w:rsidR="00006092">
        <w:t>M</w:t>
      </w:r>
      <w:r w:rsidR="0045697D" w:rsidRPr="00D31776">
        <w:t xml:space="preserve">ost </w:t>
      </w:r>
      <w:r w:rsidR="00006092">
        <w:t>R</w:t>
      </w:r>
      <w:r w:rsidR="0045697D" w:rsidRPr="00D31776">
        <w:t xml:space="preserve">ecent </w:t>
      </w:r>
      <w:r w:rsidR="00006092">
        <w:t>E</w:t>
      </w:r>
      <w:r w:rsidR="0045697D" w:rsidRPr="00D31776">
        <w:t xml:space="preserve">stimated </w:t>
      </w:r>
      <w:r w:rsidR="00006092">
        <w:t>O</w:t>
      </w:r>
      <w:r w:rsidR="0045697D" w:rsidRPr="00D31776">
        <w:t>utcomes</w:t>
      </w:r>
      <w:r w:rsidRPr="00D31776">
        <w:t xml:space="preserve"> </w:t>
      </w:r>
      <w:r w:rsidR="0045697D" w:rsidRPr="00D31776">
        <w:t>(1990</w:t>
      </w:r>
      <w:r w:rsidR="00674CFB">
        <w:noBreakHyphen/>
      </w:r>
      <w:r w:rsidR="0045697D" w:rsidRPr="00D31776">
        <w:t>91 to 2011</w:t>
      </w:r>
      <w:r w:rsidR="00674CFB">
        <w:noBreakHyphen/>
      </w:r>
      <w:r w:rsidR="0045697D" w:rsidRPr="00D31776">
        <w:t>12)</w:t>
      </w:r>
    </w:p>
    <w:p w:rsidR="00961214" w:rsidRPr="004258FD" w:rsidRDefault="00303851">
      <w:pPr>
        <w:pStyle w:val="TableGraphic"/>
        <w:jc w:val="center"/>
        <w:rPr>
          <w:noProof/>
        </w:rPr>
      </w:pPr>
      <w:r>
        <w:rPr>
          <w:noProof/>
        </w:rPr>
        <w:object w:dxaOrig="9544" w:dyaOrig="3048">
          <v:shape id="_x0000_i1038" type="#_x0000_t75" style="width:447.9pt;height:143.15pt" o:ole="">
            <v:imagedata r:id="rId37" o:title=""/>
          </v:shape>
          <o:OLEObject Type="Link" ProgID="Excel.Sheet.12" ShapeID="_x0000_i1038" DrawAspect="Content" r:id="rId38" UpdateMode="Always">
            <o:LinkType>EnhancedMetaFile</o:LinkType>
            <o:LockedField/>
            <o:FieldCodes>\* MERGEFORMAT</o:FieldCodes>
          </o:OLEObject>
        </w:object>
      </w:r>
    </w:p>
    <w:p w:rsidR="005C53A8" w:rsidRPr="004258FD" w:rsidRDefault="005C53A8" w:rsidP="00946BF4">
      <w:pPr>
        <w:pStyle w:val="Heading2"/>
        <w:spacing w:before="360"/>
      </w:pPr>
      <w:r w:rsidRPr="004258FD">
        <w:t>3.</w:t>
      </w:r>
      <w:r w:rsidR="004551A9" w:rsidRPr="004258FD">
        <w:t>3</w:t>
      </w:r>
      <w:r w:rsidR="003C1FCF">
        <w:t>:</w:t>
      </w:r>
      <w:r w:rsidRPr="004258FD">
        <w:t xml:space="preserve"> Treasury</w:t>
      </w:r>
      <w:r w:rsidR="004F0077">
        <w:t>’</w:t>
      </w:r>
      <w:r w:rsidRPr="004258FD">
        <w:t>s Revenue Forecasting Performance</w:t>
      </w:r>
    </w:p>
    <w:p w:rsidR="00C50BAC" w:rsidRPr="004258FD" w:rsidRDefault="000C4852" w:rsidP="009D7C2C">
      <w:pPr>
        <w:pStyle w:val="Heading3"/>
      </w:pPr>
      <w:r w:rsidRPr="004258FD">
        <w:t xml:space="preserve">Summary of </w:t>
      </w:r>
      <w:r w:rsidR="00693990" w:rsidRPr="004258FD">
        <w:t>revenue f</w:t>
      </w:r>
      <w:r w:rsidRPr="004258FD">
        <w:t xml:space="preserve">orecasting </w:t>
      </w:r>
      <w:r w:rsidR="00693990" w:rsidRPr="004258FD">
        <w:t>p</w:t>
      </w:r>
      <w:r w:rsidRPr="004258FD">
        <w:t>erformance</w:t>
      </w:r>
    </w:p>
    <w:p w:rsidR="00E35434" w:rsidRPr="004258FD" w:rsidRDefault="00E35434" w:rsidP="00946BF4">
      <w:pPr>
        <w:pStyle w:val="Bullet"/>
      </w:pPr>
      <w:r w:rsidRPr="004258FD">
        <w:t>Treasury</w:t>
      </w:r>
      <w:r w:rsidR="004F0077">
        <w:t>’</w:t>
      </w:r>
      <w:r w:rsidRPr="004258FD">
        <w:t>s tax</w:t>
      </w:r>
      <w:r w:rsidR="00621021">
        <w:t>ation</w:t>
      </w:r>
      <w:r w:rsidRPr="004258FD">
        <w:t xml:space="preserve"> revenue forecasts </w:t>
      </w:r>
      <w:r w:rsidR="0036443C">
        <w:t>have</w:t>
      </w:r>
      <w:r w:rsidRPr="004258FD">
        <w:t xml:space="preserve"> </w:t>
      </w:r>
      <w:r w:rsidR="0045697D" w:rsidRPr="004258FD">
        <w:t>exhibit</w:t>
      </w:r>
      <w:r w:rsidR="0036443C">
        <w:t>ed</w:t>
      </w:r>
      <w:r w:rsidR="0045697D" w:rsidRPr="004258FD">
        <w:t xml:space="preserve"> little evidence of bias </w:t>
      </w:r>
      <w:r w:rsidR="003D6A0F" w:rsidRPr="004258FD">
        <w:t>over the full sample</w:t>
      </w:r>
      <w:r w:rsidR="00D22045" w:rsidRPr="004258FD">
        <w:t>, although th</w:t>
      </w:r>
      <w:r w:rsidR="00B87D07" w:rsidRPr="004258FD">
        <w:t xml:space="preserve">is conceals </w:t>
      </w:r>
      <w:r w:rsidR="00D22045" w:rsidRPr="004258FD">
        <w:t xml:space="preserve">sustained periods where Treasury has </w:t>
      </w:r>
      <w:r w:rsidRPr="004258FD">
        <w:t>under</w:t>
      </w:r>
      <w:r w:rsidR="002E447F">
        <w:t>,</w:t>
      </w:r>
      <w:r w:rsidR="00D22045" w:rsidRPr="004258FD">
        <w:t xml:space="preserve"> </w:t>
      </w:r>
      <w:r w:rsidR="0045697D" w:rsidRPr="004258FD">
        <w:t>or</w:t>
      </w:r>
      <w:r w:rsidR="00D22045" w:rsidRPr="004258FD">
        <w:t xml:space="preserve"> over</w:t>
      </w:r>
      <w:r w:rsidR="002E447F">
        <w:t>,</w:t>
      </w:r>
      <w:r w:rsidR="00D22045" w:rsidRPr="004258FD">
        <w:t xml:space="preserve"> forecast revenue</w:t>
      </w:r>
      <w:r w:rsidR="00336A74">
        <w:t xml:space="preserve">, </w:t>
      </w:r>
      <w:r w:rsidR="000C6BDA">
        <w:t>with broadly offsetting effects</w:t>
      </w:r>
      <w:r w:rsidR="001044A5">
        <w:t xml:space="preserve"> overall</w:t>
      </w:r>
      <w:r w:rsidR="000C6BDA">
        <w:t xml:space="preserve">, </w:t>
      </w:r>
      <w:r w:rsidR="00336A74">
        <w:t>as was found with the macroeconomic forecasts</w:t>
      </w:r>
      <w:r w:rsidRPr="004258FD">
        <w:t>.</w:t>
      </w:r>
    </w:p>
    <w:p w:rsidR="00F76704" w:rsidRPr="00D12AB8" w:rsidRDefault="00B75285" w:rsidP="00946BF4">
      <w:pPr>
        <w:pStyle w:val="Bullet"/>
      </w:pPr>
      <w:r w:rsidRPr="00D12AB8">
        <w:t xml:space="preserve">Taking into account the high degree of difficulty inherent in preparing revenue forecasts, </w:t>
      </w:r>
      <w:r w:rsidR="00F76704" w:rsidRPr="00D12AB8">
        <w:t>Treasury</w:t>
      </w:r>
      <w:r w:rsidR="004F0077">
        <w:t>’</w:t>
      </w:r>
      <w:r w:rsidR="00F76704" w:rsidRPr="00D12AB8">
        <w:t xml:space="preserve">s </w:t>
      </w:r>
      <w:r w:rsidR="003D6A0F" w:rsidRPr="00D12AB8">
        <w:t xml:space="preserve">forecasts are </w:t>
      </w:r>
      <w:r w:rsidRPr="00D12AB8">
        <w:t xml:space="preserve">on the whole </w:t>
      </w:r>
      <w:r w:rsidR="003D6A0F" w:rsidRPr="00D12AB8">
        <w:t xml:space="preserve">reasonably accurate. They </w:t>
      </w:r>
      <w:r w:rsidR="00D22045" w:rsidRPr="00D12AB8">
        <w:t xml:space="preserve">are </w:t>
      </w:r>
      <w:r w:rsidR="00F76704" w:rsidRPr="00D12AB8">
        <w:t>compar</w:t>
      </w:r>
      <w:r w:rsidR="00637D8E" w:rsidRPr="00D12AB8">
        <w:t>able</w:t>
      </w:r>
      <w:r w:rsidR="00F76704" w:rsidRPr="00D12AB8">
        <w:t xml:space="preserve"> with </w:t>
      </w:r>
      <w:r w:rsidR="0045697D" w:rsidRPr="00D12AB8">
        <w:t xml:space="preserve">those of </w:t>
      </w:r>
      <w:r w:rsidR="00D22045" w:rsidRPr="00D12AB8">
        <w:lastRenderedPageBreak/>
        <w:t xml:space="preserve">Access and are </w:t>
      </w:r>
      <w:r w:rsidR="007E61C0" w:rsidRPr="00D12AB8">
        <w:t>comparable with</w:t>
      </w:r>
      <w:r w:rsidR="00D22045" w:rsidRPr="00D12AB8">
        <w:t xml:space="preserve">, </w:t>
      </w:r>
      <w:r w:rsidR="004B3747" w:rsidRPr="00D12AB8">
        <w:t>or bett</w:t>
      </w:r>
      <w:r w:rsidR="00D22045" w:rsidRPr="00D12AB8">
        <w:t>er than</w:t>
      </w:r>
      <w:r w:rsidR="00742FD2" w:rsidRPr="00D12AB8">
        <w:t>,</w:t>
      </w:r>
      <w:r w:rsidR="00D22045" w:rsidRPr="00D12AB8">
        <w:t xml:space="preserve"> those of official agencies</w:t>
      </w:r>
      <w:r w:rsidR="00336A74" w:rsidRPr="00D12AB8">
        <w:t xml:space="preserve"> overseas</w:t>
      </w:r>
      <w:r w:rsidR="003D6A0F" w:rsidRPr="00D12AB8">
        <w:t xml:space="preserve">. They </w:t>
      </w:r>
      <w:r w:rsidR="00742FD2" w:rsidRPr="00D12AB8">
        <w:t xml:space="preserve">easily </w:t>
      </w:r>
      <w:r w:rsidR="003D6A0F" w:rsidRPr="00D12AB8">
        <w:t>outperform statistical benchmarks.</w:t>
      </w:r>
    </w:p>
    <w:p w:rsidR="00591B5A" w:rsidRPr="004258FD" w:rsidRDefault="003D6A0F" w:rsidP="00946BF4">
      <w:pPr>
        <w:pStyle w:val="Bullet"/>
      </w:pPr>
      <w:r w:rsidRPr="004258FD">
        <w:t xml:space="preserve">The heads of revenue with the </w:t>
      </w:r>
      <w:r w:rsidR="00591B5A" w:rsidRPr="004258FD">
        <w:t xml:space="preserve">largest forecast errors </w:t>
      </w:r>
      <w:r w:rsidR="00DC4E35" w:rsidRPr="004258FD">
        <w:t xml:space="preserve">in recent years </w:t>
      </w:r>
      <w:r w:rsidR="00591B5A" w:rsidRPr="004258FD">
        <w:t>have been company tax and capital gains tax.</w:t>
      </w:r>
      <w:r w:rsidR="00230FEF">
        <w:t xml:space="preserve"> </w:t>
      </w:r>
      <w:r w:rsidR="00591B5A" w:rsidRPr="004258FD">
        <w:t xml:space="preserve">These are two </w:t>
      </w:r>
      <w:r w:rsidR="00965E98">
        <w:t xml:space="preserve">of the </w:t>
      </w:r>
      <w:r w:rsidR="00591B5A" w:rsidRPr="004258FD">
        <w:t xml:space="preserve">most volatile </w:t>
      </w:r>
      <w:r w:rsidR="002E0AA0">
        <w:t xml:space="preserve">heads of </w:t>
      </w:r>
      <w:r w:rsidR="00591B5A" w:rsidRPr="004258FD">
        <w:t xml:space="preserve">revenue, and they have been particularly </w:t>
      </w:r>
      <w:r w:rsidR="00D22045" w:rsidRPr="004258FD">
        <w:t xml:space="preserve">challenging to forecast </w:t>
      </w:r>
      <w:r w:rsidR="00591B5A" w:rsidRPr="004258FD">
        <w:t xml:space="preserve">in the </w:t>
      </w:r>
      <w:r w:rsidR="00D22045" w:rsidRPr="004258FD">
        <w:t xml:space="preserve">aftermath of the </w:t>
      </w:r>
      <w:r w:rsidR="00591B5A" w:rsidRPr="004258FD">
        <w:t xml:space="preserve">GFC. </w:t>
      </w:r>
    </w:p>
    <w:p w:rsidR="00E35434" w:rsidRPr="004258FD" w:rsidRDefault="00693990" w:rsidP="009D7C2C">
      <w:pPr>
        <w:pStyle w:val="Heading3"/>
      </w:pPr>
      <w:r w:rsidRPr="004258FD">
        <w:t>Tax</w:t>
      </w:r>
      <w:r w:rsidR="000A40D1">
        <w:t>ation</w:t>
      </w:r>
      <w:r w:rsidRPr="004258FD">
        <w:t xml:space="preserve"> Revenue</w:t>
      </w:r>
    </w:p>
    <w:p w:rsidR="007A4B35" w:rsidRPr="004258FD" w:rsidRDefault="002A4234" w:rsidP="00946BF4">
      <w:pPr>
        <w:rPr>
          <w:caps/>
          <w:color w:val="0000FF"/>
        </w:rPr>
      </w:pPr>
      <w:r w:rsidRPr="004258FD">
        <w:t>Treasury</w:t>
      </w:r>
      <w:r w:rsidR="004F0077">
        <w:t>’</w:t>
      </w:r>
      <w:r w:rsidRPr="004258FD">
        <w:t>s forecasts of tax</w:t>
      </w:r>
      <w:r w:rsidR="00BD1847">
        <w:t>ation</w:t>
      </w:r>
      <w:r w:rsidRPr="004258FD">
        <w:t xml:space="preserve"> revenue growth have </w:t>
      </w:r>
      <w:r w:rsidR="00BD1847">
        <w:t>exhibited little evidence of bias over the past two decades, with the average Budget forecast error being insignificantly different from zero over this period. T</w:t>
      </w:r>
      <w:r w:rsidR="009A42B8" w:rsidRPr="00733B9D">
        <w:t xml:space="preserve">aking into account </w:t>
      </w:r>
      <w:r w:rsidR="009A42B8" w:rsidRPr="00711682">
        <w:t>the high degree of difficulty inherent</w:t>
      </w:r>
      <w:r w:rsidR="00BD1847">
        <w:t xml:space="preserve"> in preparing revenue forecasts, T</w:t>
      </w:r>
      <w:r w:rsidR="00294D4D">
        <w:t>reasury</w:t>
      </w:r>
      <w:r w:rsidR="004F0077">
        <w:t>’</w:t>
      </w:r>
      <w:r w:rsidR="00294D4D">
        <w:t xml:space="preserve">s forecasts </w:t>
      </w:r>
      <w:r w:rsidR="00BD1847">
        <w:t xml:space="preserve">are on the whole </w:t>
      </w:r>
      <w:r w:rsidRPr="004258FD">
        <w:t>reasonably accurate</w:t>
      </w:r>
      <w:r w:rsidR="005E44DA" w:rsidRPr="004258FD">
        <w:t xml:space="preserve"> (Figure </w:t>
      </w:r>
      <w:r w:rsidR="00224D47">
        <w:t>3.</w:t>
      </w:r>
      <w:r w:rsidR="00AE2ADB">
        <w:t>8</w:t>
      </w:r>
      <w:r w:rsidR="00AE2ADB" w:rsidRPr="004258FD">
        <w:t xml:space="preserve"> </w:t>
      </w:r>
      <w:r w:rsidR="005E44DA" w:rsidRPr="004258FD">
        <w:t xml:space="preserve">and Table </w:t>
      </w:r>
      <w:r w:rsidR="00224D47">
        <w:t>3.</w:t>
      </w:r>
      <w:r w:rsidR="00CF2899">
        <w:t>8</w:t>
      </w:r>
      <w:r w:rsidR="005E44DA" w:rsidRPr="004258FD">
        <w:t>)</w:t>
      </w:r>
      <w:r w:rsidRPr="004258FD">
        <w:t>.</w:t>
      </w:r>
      <w:r w:rsidR="00230FEF">
        <w:t xml:space="preserve"> </w:t>
      </w:r>
      <w:r w:rsidRPr="004258FD">
        <w:t xml:space="preserve">However, within this timeframe, there have been periods when revenue has been </w:t>
      </w:r>
      <w:r w:rsidR="00BD1847">
        <w:t xml:space="preserve">persistently </w:t>
      </w:r>
      <w:r w:rsidRPr="004258FD">
        <w:t>underestimated (</w:t>
      </w:r>
      <w:r w:rsidR="00BB0CCB">
        <w:t xml:space="preserve">in particular, </w:t>
      </w:r>
      <w:r w:rsidRPr="004258FD">
        <w:t xml:space="preserve">the period </w:t>
      </w:r>
      <w:r w:rsidR="00181DD8">
        <w:t xml:space="preserve">from the early 2000s </w:t>
      </w:r>
      <w:r w:rsidRPr="004258FD">
        <w:t xml:space="preserve">until the </w:t>
      </w:r>
      <w:r w:rsidR="00B429FA" w:rsidRPr="004258FD">
        <w:t>GFC</w:t>
      </w:r>
      <w:r w:rsidRPr="004258FD">
        <w:t xml:space="preserve">) and periods where revenue has been </w:t>
      </w:r>
      <w:r w:rsidR="00BD1847">
        <w:t xml:space="preserve">persistently </w:t>
      </w:r>
      <w:r w:rsidRPr="004258FD">
        <w:t>overestimated (the early</w:t>
      </w:r>
      <w:r w:rsidR="00674CFB">
        <w:noBreakHyphen/>
      </w:r>
      <w:r w:rsidRPr="004258FD">
        <w:t>1990s recession, and the recent period since the GFC).</w:t>
      </w:r>
    </w:p>
    <w:p w:rsidR="00252477" w:rsidRPr="004258FD" w:rsidRDefault="00F65F97" w:rsidP="00DA529C">
      <w:pPr>
        <w:pStyle w:val="ChartMainHeading"/>
        <w:spacing w:after="120"/>
      </w:pPr>
      <w:r w:rsidRPr="004258FD">
        <w:t xml:space="preserve">Figure </w:t>
      </w:r>
      <w:r w:rsidR="008E2652">
        <w:t>3.</w:t>
      </w:r>
      <w:r w:rsidR="00AE2ADB">
        <w:t>8</w:t>
      </w:r>
      <w:r w:rsidR="00252477" w:rsidRPr="004258FD">
        <w:t>:</w:t>
      </w:r>
      <w:r w:rsidR="004F0077">
        <w:t xml:space="preserve"> </w:t>
      </w:r>
      <w:r w:rsidR="00D73FA6" w:rsidRPr="004258FD">
        <w:t xml:space="preserve">Evolution of </w:t>
      </w:r>
      <w:r w:rsidR="008E2652">
        <w:t>T</w:t>
      </w:r>
      <w:r w:rsidR="00D73FA6" w:rsidRPr="004258FD">
        <w:t>ax</w:t>
      </w:r>
      <w:r w:rsidR="008E2652">
        <w:t>ation</w:t>
      </w:r>
      <w:r w:rsidR="00D73FA6" w:rsidRPr="004258FD">
        <w:t xml:space="preserve"> </w:t>
      </w:r>
      <w:r w:rsidR="008E2652">
        <w:t>R</w:t>
      </w:r>
      <w:r w:rsidR="00D73FA6" w:rsidRPr="004258FD">
        <w:t xml:space="preserve">evenue </w:t>
      </w:r>
      <w:r w:rsidR="001F54FB">
        <w:t xml:space="preserve">Growth </w:t>
      </w:r>
      <w:r w:rsidR="008E2652">
        <w:t>F</w:t>
      </w:r>
      <w:r w:rsidR="00D73FA6" w:rsidRPr="004258FD">
        <w:t>orecasts</w:t>
      </w:r>
    </w:p>
    <w:p w:rsidR="00E951FD" w:rsidRPr="004258FD" w:rsidRDefault="002D7222" w:rsidP="00946BF4">
      <w:pPr>
        <w:pStyle w:val="ChartGraphic"/>
      </w:pPr>
      <w:r w:rsidRPr="00946BF4">
        <w:object w:dxaOrig="8490" w:dyaOrig="3961">
          <v:shape id="_x0000_i1039" type="#_x0000_t75" alt="This figure shows the accuracy of Treasury’s taxation revenue growth forecasts from 1990-91 to 2011-12 by comparing the Budget forecast for the Budget year with the final published outcome.  The chart also shows the evolution of Treasury’s forecasts for each financial year.&#10;" style="width:424.45pt;height:199.25pt;mso-position-horizontal:absolute" o:ole="">
            <v:imagedata r:id="rId39" o:title=""/>
          </v:shape>
          <o:OLEObject Type="Link" ProgID="Excel.Sheet.12" ShapeID="_x0000_i1039" DrawAspect="Content" r:id="rId40" UpdateMode="Always">
            <o:LinkType>EnhancedMetaFile</o:LinkType>
            <o:LockedField>false</o:LockedField>
            <o:FieldCodes>\* MERGEFORMAT</o:FieldCodes>
          </o:OLEObject>
        </w:object>
      </w:r>
    </w:p>
    <w:p w:rsidR="0066128B" w:rsidRPr="004258FD" w:rsidRDefault="002A4234" w:rsidP="00DC6CDF">
      <w:pPr>
        <w:spacing w:before="360"/>
      </w:pPr>
      <w:r w:rsidRPr="004258FD">
        <w:t>A major contributor to the errors in the tax</w:t>
      </w:r>
      <w:r w:rsidR="00621021">
        <w:t>ation</w:t>
      </w:r>
      <w:r w:rsidRPr="004258FD">
        <w:t xml:space="preserve"> revenue forecasts </w:t>
      </w:r>
      <w:r w:rsidR="00810C5A">
        <w:t>have been</w:t>
      </w:r>
      <w:r w:rsidRPr="004258FD">
        <w:t xml:space="preserve"> the errors in the </w:t>
      </w:r>
      <w:r w:rsidR="00F76704" w:rsidRPr="004258FD">
        <w:t>macroeconomic</w:t>
      </w:r>
      <w:r w:rsidRPr="004258FD">
        <w:t xml:space="preserve"> forecasts.</w:t>
      </w:r>
      <w:r w:rsidR="00230FEF">
        <w:t xml:space="preserve"> </w:t>
      </w:r>
      <w:r w:rsidRPr="004258FD">
        <w:t xml:space="preserve">However, there are additional sources of error </w:t>
      </w:r>
      <w:r w:rsidR="005F693D" w:rsidRPr="004258FD">
        <w:t>that reflect tax</w:t>
      </w:r>
      <w:r w:rsidR="005D00DB">
        <w:t>ation</w:t>
      </w:r>
      <w:r w:rsidR="00674CFB">
        <w:noBreakHyphen/>
      </w:r>
      <w:r w:rsidR="005F693D" w:rsidRPr="004258FD">
        <w:t xml:space="preserve">specific factors, </w:t>
      </w:r>
      <w:r w:rsidRPr="004258FD">
        <w:t xml:space="preserve">such as </w:t>
      </w:r>
      <w:r w:rsidR="00D30CA4">
        <w:t xml:space="preserve">errors in assumptions made about </w:t>
      </w:r>
      <w:r w:rsidR="005F693D" w:rsidRPr="004258FD">
        <w:t xml:space="preserve">the </w:t>
      </w:r>
      <w:r w:rsidRPr="004258FD">
        <w:t xml:space="preserve">timing </w:t>
      </w:r>
      <w:r w:rsidR="005F693D" w:rsidRPr="004258FD">
        <w:t xml:space="preserve">of the receipt of </w:t>
      </w:r>
      <w:r w:rsidR="00810C5A">
        <w:t xml:space="preserve">taxation </w:t>
      </w:r>
      <w:r w:rsidR="005F693D" w:rsidRPr="004258FD">
        <w:t xml:space="preserve">revenue. As </w:t>
      </w:r>
      <w:r w:rsidRPr="004258FD">
        <w:t xml:space="preserve">a consequence, the revenue </w:t>
      </w:r>
      <w:r w:rsidR="007B0AE7">
        <w:t xml:space="preserve">forecast </w:t>
      </w:r>
      <w:r w:rsidRPr="004258FD">
        <w:t xml:space="preserve">errors are generally larger than </w:t>
      </w:r>
      <w:r w:rsidR="007B0AE7">
        <w:t xml:space="preserve">those of </w:t>
      </w:r>
      <w:r w:rsidRPr="004258FD">
        <w:t xml:space="preserve">the </w:t>
      </w:r>
      <w:r w:rsidR="00D30CA4">
        <w:t>macro</w:t>
      </w:r>
      <w:r w:rsidRPr="004258FD">
        <w:t xml:space="preserve">economic </w:t>
      </w:r>
      <w:r w:rsidR="007B0AE7">
        <w:t>forecasts</w:t>
      </w:r>
      <w:r w:rsidRPr="004258FD">
        <w:t>.</w:t>
      </w:r>
      <w:r w:rsidR="00230FEF">
        <w:t xml:space="preserve"> </w:t>
      </w:r>
      <w:r w:rsidRPr="004258FD">
        <w:t xml:space="preserve">Over the </w:t>
      </w:r>
      <w:r w:rsidR="00B429FA" w:rsidRPr="004258FD">
        <w:t>p</w:t>
      </w:r>
      <w:r w:rsidRPr="004258FD">
        <w:t xml:space="preserve">ast 22 years of Budget forecasts, the </w:t>
      </w:r>
      <w:r w:rsidR="00F73DF3" w:rsidRPr="004258FD">
        <w:t xml:space="preserve">MAPE for the </w:t>
      </w:r>
      <w:r w:rsidR="008043FD">
        <w:t xml:space="preserve">taxation </w:t>
      </w:r>
      <w:r w:rsidRPr="004258FD">
        <w:t xml:space="preserve">revenue </w:t>
      </w:r>
      <w:r w:rsidR="00F73DF3" w:rsidRPr="004258FD">
        <w:t xml:space="preserve">forecasts </w:t>
      </w:r>
      <w:r w:rsidRPr="004258FD">
        <w:t>ha</w:t>
      </w:r>
      <w:r w:rsidR="00F73DF3" w:rsidRPr="004258FD">
        <w:t>s</w:t>
      </w:r>
      <w:r w:rsidRPr="004258FD">
        <w:t xml:space="preserve"> </w:t>
      </w:r>
      <w:r w:rsidR="00F73DF3" w:rsidRPr="004258FD">
        <w:t xml:space="preserve">been around </w:t>
      </w:r>
      <w:r w:rsidRPr="004258FD">
        <w:t xml:space="preserve">1 percentage point </w:t>
      </w:r>
      <w:r w:rsidR="00F73DF3" w:rsidRPr="004258FD">
        <w:t>higher than the MAPE for the nominal GDP forecasts</w:t>
      </w:r>
      <w:r w:rsidR="00F76704" w:rsidRPr="004258FD">
        <w:t xml:space="preserve"> (</w:t>
      </w:r>
      <w:r w:rsidR="005E44DA" w:rsidRPr="004258FD">
        <w:t>T</w:t>
      </w:r>
      <w:r w:rsidR="00F76704" w:rsidRPr="004258FD">
        <w:t xml:space="preserve">able </w:t>
      </w:r>
      <w:r w:rsidR="00A44860">
        <w:t>3.</w:t>
      </w:r>
      <w:r w:rsidR="00F451FA">
        <w:t>8</w:t>
      </w:r>
      <w:r w:rsidR="00F76704" w:rsidRPr="004258FD">
        <w:t>)</w:t>
      </w:r>
      <w:r w:rsidRPr="004258FD">
        <w:t>.</w:t>
      </w:r>
      <w:r w:rsidR="007B5457" w:rsidRPr="00E94C96">
        <w:t xml:space="preserve"> </w:t>
      </w:r>
      <w:r w:rsidR="005D00DB">
        <w:t>That said, o</w:t>
      </w:r>
      <w:r w:rsidR="007B5457" w:rsidRPr="00E94C96">
        <w:t xml:space="preserve">verall, the revenue </w:t>
      </w:r>
      <w:r w:rsidR="008C4DDA">
        <w:t xml:space="preserve">forecast </w:t>
      </w:r>
      <w:r w:rsidR="007B5457" w:rsidRPr="00E94C96">
        <w:t xml:space="preserve">errors </w:t>
      </w:r>
      <w:r w:rsidR="001823E7">
        <w:t>have been</w:t>
      </w:r>
      <w:r w:rsidR="007B5457" w:rsidRPr="00E94C96">
        <w:t xml:space="preserve"> reasonably well correlated with the nominal economy </w:t>
      </w:r>
      <w:r w:rsidR="008C4DDA">
        <w:t xml:space="preserve">forecast </w:t>
      </w:r>
      <w:r w:rsidR="007B5457" w:rsidRPr="00E94C96">
        <w:t>errors, with a correlation coefficient of 0.6</w:t>
      </w:r>
      <w:r w:rsidR="00D30CA4" w:rsidRPr="00D30CA4">
        <w:t xml:space="preserve"> </w:t>
      </w:r>
      <w:r w:rsidR="00D30CA4">
        <w:t>observed over the past decade</w:t>
      </w:r>
      <w:r w:rsidR="005F4891">
        <w:t xml:space="preserve">, although there are </w:t>
      </w:r>
      <w:r w:rsidR="00D30CA4">
        <w:t xml:space="preserve">some </w:t>
      </w:r>
      <w:r w:rsidR="005F4891">
        <w:t xml:space="preserve">notable outliers </w:t>
      </w:r>
      <w:r w:rsidR="007B5457" w:rsidRPr="00E94C96">
        <w:t xml:space="preserve">(Figure </w:t>
      </w:r>
      <w:r w:rsidR="00224D47">
        <w:t>3.</w:t>
      </w:r>
      <w:r w:rsidR="00AE2ADB">
        <w:t>9</w:t>
      </w:r>
      <w:r w:rsidR="007B5457" w:rsidRPr="00E94C96">
        <w:t>).</w:t>
      </w:r>
    </w:p>
    <w:p w:rsidR="004A16E0" w:rsidRDefault="005D4A04" w:rsidP="00DA529C">
      <w:pPr>
        <w:pStyle w:val="TableMainHeading"/>
        <w:spacing w:after="120"/>
        <w:jc w:val="left"/>
      </w:pPr>
      <w:r w:rsidRPr="004258FD">
        <w:lastRenderedPageBreak/>
        <w:t>Table</w:t>
      </w:r>
      <w:r w:rsidR="00573652" w:rsidRPr="004258FD">
        <w:t xml:space="preserve"> </w:t>
      </w:r>
      <w:r w:rsidR="008E2652">
        <w:t>3.</w:t>
      </w:r>
      <w:r w:rsidR="00F451FA">
        <w:t>8</w:t>
      </w:r>
      <w:r w:rsidRPr="004258FD">
        <w:t>:</w:t>
      </w:r>
      <w:r w:rsidR="004F0077">
        <w:t xml:space="preserve"> </w:t>
      </w:r>
      <w:r w:rsidR="00C75803" w:rsidRPr="004258FD">
        <w:t xml:space="preserve">Performance </w:t>
      </w:r>
      <w:r w:rsidR="00C75803">
        <w:t>o</w:t>
      </w:r>
      <w:r w:rsidR="00C75803" w:rsidRPr="004258FD">
        <w:t xml:space="preserve">f </w:t>
      </w:r>
      <w:r w:rsidR="008043FD">
        <w:t xml:space="preserve">Taxation </w:t>
      </w:r>
      <w:r w:rsidR="00C75803" w:rsidRPr="004258FD">
        <w:t xml:space="preserve">Revenue </w:t>
      </w:r>
      <w:r w:rsidR="00C75803">
        <w:t>a</w:t>
      </w:r>
      <w:r w:rsidR="00C75803" w:rsidRPr="004258FD">
        <w:t>nd Nominal G</w:t>
      </w:r>
      <w:r w:rsidR="00C75803">
        <w:t>DP</w:t>
      </w:r>
      <w:r w:rsidR="00480279" w:rsidRPr="00480279">
        <w:t xml:space="preserve"> </w:t>
      </w:r>
      <w:r w:rsidR="00480279" w:rsidRPr="004258FD">
        <w:t>Forecasts</w:t>
      </w:r>
    </w:p>
    <w:p w:rsidR="00714049" w:rsidRPr="00377E3E" w:rsidRDefault="002D52B1" w:rsidP="008B0EA7">
      <w:pPr>
        <w:pStyle w:val="TableGraphic"/>
        <w:jc w:val="center"/>
        <w:rPr>
          <w:sz w:val="2"/>
          <w:szCs w:val="2"/>
        </w:rPr>
      </w:pPr>
      <w:r>
        <w:object w:dxaOrig="11568" w:dyaOrig="2803">
          <v:shape id="_x0000_i1040" type="#_x0000_t75" style="width:463pt;height:110.5pt" o:ole="">
            <v:imagedata r:id="rId41" o:title=""/>
          </v:shape>
          <o:OLEObject Type="Link" ProgID="Excel.Sheet.12" ShapeID="_x0000_i1040" DrawAspect="Content" r:id="rId42" UpdateMode="Always">
            <o:LinkType>EnhancedMetaFile</o:LinkType>
            <o:LockedField/>
            <o:FieldCodes>\* MERGEFORMAT</o:FieldCodes>
          </o:OLEObject>
        </w:object>
      </w:r>
    </w:p>
    <w:p w:rsidR="00377E3E" w:rsidRDefault="005D4A04" w:rsidP="00DC6CDF">
      <w:pPr>
        <w:pStyle w:val="ChartandTableFootnoteAlpha"/>
      </w:pPr>
      <w:r w:rsidRPr="004258FD">
        <w:t>(</w:t>
      </w:r>
      <w:r w:rsidR="002D52B1">
        <w:t>a</w:t>
      </w:r>
      <w:r w:rsidRPr="004258FD">
        <w:t>) Budget forecast for the financial year which starts in July (two months later).</w:t>
      </w:r>
      <w:r w:rsidR="00230FEF">
        <w:t xml:space="preserve"> </w:t>
      </w:r>
      <w:r w:rsidRPr="004258FD">
        <w:t>In 1990</w:t>
      </w:r>
      <w:r w:rsidR="00674CFB">
        <w:noBreakHyphen/>
      </w:r>
      <w:r w:rsidRPr="004258FD">
        <w:t>91 to 1993</w:t>
      </w:r>
      <w:r w:rsidR="00674CFB">
        <w:noBreakHyphen/>
      </w:r>
      <w:r w:rsidRPr="004258FD">
        <w:t>94 and 1996</w:t>
      </w:r>
      <w:r w:rsidR="00674CFB">
        <w:noBreakHyphen/>
      </w:r>
      <w:r w:rsidRPr="004258FD">
        <w:t>97 the Budget was published in August and so it is the Budget forecast for the financial year which had started one month earlier.</w:t>
      </w:r>
    </w:p>
    <w:p w:rsidR="005D4A04" w:rsidRPr="004258FD" w:rsidRDefault="005D4A04" w:rsidP="00DC6CDF">
      <w:pPr>
        <w:pStyle w:val="ChartandTableFootnoteAlpha"/>
      </w:pPr>
      <w:r w:rsidRPr="004258FD">
        <w:t>(</w:t>
      </w:r>
      <w:r w:rsidR="002D52B1">
        <w:t>b</w:t>
      </w:r>
      <w:r w:rsidRPr="004258FD">
        <w:t>) MYEFO forecast for the financial year which started in July (</w:t>
      </w:r>
      <w:r w:rsidR="009D285C">
        <w:t xml:space="preserve">around </w:t>
      </w:r>
      <w:r w:rsidRPr="004258FD">
        <w:t>four months earlier)</w:t>
      </w:r>
      <w:r w:rsidR="00044622" w:rsidRPr="004258FD">
        <w:t xml:space="preserve"> and is a</w:t>
      </w:r>
      <w:r w:rsidRPr="004258FD">
        <w:t>vailable from 1996</w:t>
      </w:r>
      <w:r w:rsidR="00674CFB">
        <w:noBreakHyphen/>
      </w:r>
      <w:r w:rsidRPr="004258FD">
        <w:t>97.</w:t>
      </w:r>
      <w:r w:rsidR="00230FEF">
        <w:t xml:space="preserve"> </w:t>
      </w:r>
      <w:r w:rsidR="00F507E2" w:rsidRPr="004258FD">
        <w:t>Prior to 1996</w:t>
      </w:r>
      <w:r w:rsidR="00674CFB">
        <w:noBreakHyphen/>
      </w:r>
      <w:r w:rsidR="00F507E2" w:rsidRPr="004258FD">
        <w:t xml:space="preserve">97, the September round forecast is used for Nominal GDP (no </w:t>
      </w:r>
      <w:r w:rsidR="008043FD">
        <w:t xml:space="preserve">taxation </w:t>
      </w:r>
      <w:r w:rsidR="00F507E2" w:rsidRPr="004258FD">
        <w:t>revenue forecasts are available).</w:t>
      </w:r>
    </w:p>
    <w:p w:rsidR="00742FD2" w:rsidRDefault="00742FD2" w:rsidP="009D4B87">
      <w:pPr>
        <w:pStyle w:val="ChartMainHeading"/>
        <w:spacing w:before="360" w:after="120"/>
      </w:pPr>
      <w:r w:rsidRPr="00E94C96">
        <w:t xml:space="preserve">Figure </w:t>
      </w:r>
      <w:r w:rsidR="008E2652">
        <w:t>3.</w:t>
      </w:r>
      <w:r w:rsidR="00AE2ADB">
        <w:t>9</w:t>
      </w:r>
      <w:r w:rsidRPr="00E94C96">
        <w:t>:</w:t>
      </w:r>
      <w:r w:rsidR="004F0077">
        <w:t xml:space="preserve"> </w:t>
      </w:r>
      <w:r w:rsidR="003C35EE">
        <w:t xml:space="preserve">Correlation between </w:t>
      </w:r>
      <w:r w:rsidRPr="00E94C96">
        <w:t xml:space="preserve">Budget </w:t>
      </w:r>
      <w:r w:rsidR="000E75BC">
        <w:t>F</w:t>
      </w:r>
      <w:r w:rsidRPr="00E94C96">
        <w:t xml:space="preserve">orecast </w:t>
      </w:r>
      <w:r w:rsidR="000E75BC">
        <w:t>E</w:t>
      </w:r>
      <w:r w:rsidRPr="00E94C96">
        <w:t xml:space="preserve">rrors </w:t>
      </w:r>
      <w:r w:rsidR="00D760A8">
        <w:t>for</w:t>
      </w:r>
      <w:r w:rsidRPr="00E94C96">
        <w:t xml:space="preserve"> </w:t>
      </w:r>
      <w:r w:rsidR="003C35EE">
        <w:t xml:space="preserve">Growth in </w:t>
      </w:r>
      <w:r w:rsidR="007C193D">
        <w:t>N</w:t>
      </w:r>
      <w:r w:rsidR="007C193D" w:rsidRPr="00E94C96">
        <w:t>ominal</w:t>
      </w:r>
      <w:r w:rsidR="007C193D">
        <w:t> </w:t>
      </w:r>
      <w:r w:rsidR="007C193D" w:rsidRPr="00E94C96">
        <w:t>GDP</w:t>
      </w:r>
      <w:r w:rsidR="007C193D">
        <w:t> </w:t>
      </w:r>
      <w:r w:rsidR="007C193D" w:rsidRPr="00E94C96">
        <w:t>and</w:t>
      </w:r>
      <w:r w:rsidR="007C193D">
        <w:t> </w:t>
      </w:r>
      <w:r w:rsidR="000E75BC">
        <w:t>Taxation R</w:t>
      </w:r>
      <w:r w:rsidRPr="00E94C96">
        <w:t xml:space="preserve">evenue </w:t>
      </w:r>
    </w:p>
    <w:p w:rsidR="00B3508C" w:rsidRPr="00B3508C" w:rsidRDefault="002D7222">
      <w:pPr>
        <w:pStyle w:val="ChartGraphic"/>
      </w:pPr>
      <w:r>
        <w:object w:dxaOrig="8775" w:dyaOrig="3975">
          <v:shape id="_x0000_i1041" type="#_x0000_t75" alt="This figure plots the Budget Forecast Errors for Growth in non-farm nominal GDP (horizontal axis) against total tax receipts excluding CGT (vertical axis) for each Budget year from 2003-04 to 20011-12.&#10;" style="width:439.55pt;height:200.1pt" o:ole="">
            <v:imagedata r:id="rId43" o:title=""/>
          </v:shape>
          <o:OLEObject Type="Link" ProgID="Excel.Sheet.12" ShapeID="_x0000_i1041" DrawAspect="Content" r:id="rId44" UpdateMode="Always">
            <o:LinkType>EnhancedMetaFile</o:LinkType>
            <o:LockedField/>
          </o:OLEObject>
        </w:object>
      </w:r>
    </w:p>
    <w:p w:rsidR="005C217E" w:rsidRPr="004258FD" w:rsidRDefault="006D222C" w:rsidP="00DC6CDF">
      <w:pPr>
        <w:pStyle w:val="Heading3"/>
        <w:spacing w:before="360"/>
      </w:pPr>
      <w:r w:rsidRPr="004258FD">
        <w:t xml:space="preserve">Forecast Errors </w:t>
      </w:r>
      <w:r>
        <w:t>b</w:t>
      </w:r>
      <w:r w:rsidRPr="004258FD">
        <w:t xml:space="preserve">y Head </w:t>
      </w:r>
      <w:r>
        <w:t>o</w:t>
      </w:r>
      <w:r w:rsidRPr="004258FD">
        <w:t>f Revenue</w:t>
      </w:r>
    </w:p>
    <w:p w:rsidR="005C217E" w:rsidRPr="004258FD" w:rsidRDefault="005C217E" w:rsidP="00946BF4">
      <w:r w:rsidRPr="004258FD">
        <w:t xml:space="preserve">It can be </w:t>
      </w:r>
      <w:r w:rsidR="00B452B8">
        <w:t>revealing</w:t>
      </w:r>
      <w:r w:rsidR="00B452B8" w:rsidRPr="004258FD">
        <w:t xml:space="preserve"> </w:t>
      </w:r>
      <w:r w:rsidRPr="004258FD">
        <w:t>to break down the total tax</w:t>
      </w:r>
      <w:r w:rsidR="000F372C">
        <w:t>ation</w:t>
      </w:r>
      <w:r w:rsidRPr="004258FD">
        <w:t xml:space="preserve"> revenue </w:t>
      </w:r>
      <w:r w:rsidR="000F372C">
        <w:t xml:space="preserve">forecast </w:t>
      </w:r>
      <w:r w:rsidRPr="004258FD">
        <w:t xml:space="preserve">error into </w:t>
      </w:r>
      <w:r w:rsidR="00294D4D">
        <w:t xml:space="preserve">contributions from </w:t>
      </w:r>
      <w:r w:rsidRPr="004258FD">
        <w:t>individual heads of revenue</w:t>
      </w:r>
      <w:r w:rsidR="009E55E5">
        <w:t xml:space="preserve"> in order</w:t>
      </w:r>
      <w:r w:rsidRPr="004258FD">
        <w:t xml:space="preserve"> to </w:t>
      </w:r>
      <w:r w:rsidR="009E55E5">
        <w:t xml:space="preserve">better understand the source of </w:t>
      </w:r>
      <w:r w:rsidRPr="004258FD">
        <w:t>the forecast error.</w:t>
      </w:r>
    </w:p>
    <w:p w:rsidR="005C217E" w:rsidRDefault="005C217E" w:rsidP="00DA529C">
      <w:r w:rsidRPr="004258FD">
        <w:t xml:space="preserve">The contribution of an individual head of revenue to the overall </w:t>
      </w:r>
      <w:r w:rsidR="008043FD">
        <w:t xml:space="preserve">taxation </w:t>
      </w:r>
      <w:r w:rsidRPr="004258FD">
        <w:t>revenue forecast error depend</w:t>
      </w:r>
      <w:r w:rsidR="003C2338">
        <w:t>s</w:t>
      </w:r>
      <w:r w:rsidRPr="004258FD">
        <w:t xml:space="preserve"> upon its share of the tax base (its relative importance), and the error in the forecasts for that head of revenue. The left</w:t>
      </w:r>
      <w:r w:rsidR="00674CFB">
        <w:noBreakHyphen/>
      </w:r>
      <w:r w:rsidRPr="004258FD">
        <w:t xml:space="preserve">hand panel </w:t>
      </w:r>
      <w:r w:rsidR="005F577C" w:rsidRPr="004258FD">
        <w:t xml:space="preserve">of </w:t>
      </w:r>
      <w:r w:rsidRPr="004258FD">
        <w:t xml:space="preserve">Figure </w:t>
      </w:r>
      <w:r w:rsidR="00A44860">
        <w:t>3.</w:t>
      </w:r>
      <w:r w:rsidR="00AE2ADB">
        <w:t>10</w:t>
      </w:r>
      <w:r w:rsidR="008C4DDA" w:rsidRPr="004258FD">
        <w:t xml:space="preserve"> </w:t>
      </w:r>
      <w:r w:rsidRPr="004258FD">
        <w:t>shows the shares of the tax base for each of the main heads of revenue, while the right</w:t>
      </w:r>
      <w:r w:rsidR="00674CFB">
        <w:noBreakHyphen/>
      </w:r>
      <w:r w:rsidRPr="004258FD">
        <w:t>hand panel shows the standard deviation of the historical growth rates for each head of revenue.</w:t>
      </w:r>
      <w:r w:rsidR="00230FEF">
        <w:t xml:space="preserve"> </w:t>
      </w:r>
      <w:r w:rsidRPr="004258FD">
        <w:t xml:space="preserve">Those with a larger standard deviation are more volatile and </w:t>
      </w:r>
      <w:r w:rsidR="00B9414F">
        <w:t xml:space="preserve">will often </w:t>
      </w:r>
      <w:r w:rsidRPr="004258FD">
        <w:t>be more difficult to forecast.</w:t>
      </w:r>
    </w:p>
    <w:p w:rsidR="00946BF4" w:rsidRDefault="00946BF4" w:rsidP="001679FF">
      <w:pPr>
        <w:pStyle w:val="ChartMainHeading"/>
        <w:spacing w:after="0"/>
      </w:pPr>
      <w:r w:rsidRPr="004258FD">
        <w:lastRenderedPageBreak/>
        <w:t xml:space="preserve">Figure </w:t>
      </w:r>
      <w:r w:rsidR="00A75EE0">
        <w:t>3.</w:t>
      </w:r>
      <w:r>
        <w:t>10</w:t>
      </w:r>
      <w:r w:rsidRPr="004258FD">
        <w:t xml:space="preserve">: Australian Government Heads of </w:t>
      </w:r>
      <w:r w:rsidR="00C10781">
        <w:t>R</w:t>
      </w:r>
      <w:r w:rsidRPr="004258FD">
        <w:t>evenue</w:t>
      </w:r>
      <w:r>
        <w:t>:</w:t>
      </w:r>
      <w:r w:rsidR="00230FEF">
        <w:t xml:space="preserve"> </w:t>
      </w:r>
      <w:r w:rsidR="00C10781">
        <w:t>D</w:t>
      </w:r>
      <w:r>
        <w:t xml:space="preserve">escriptive </w:t>
      </w:r>
      <w:r w:rsidR="00C10781">
        <w:t>S</w:t>
      </w:r>
      <w:r>
        <w:t>tatistics</w:t>
      </w:r>
    </w:p>
    <w:tbl>
      <w:tblPr>
        <w:tblStyle w:val="TableGrid"/>
        <w:tblW w:w="0" w:type="auto"/>
        <w:tblLook w:val="04A0" w:firstRow="1" w:lastRow="0" w:firstColumn="1" w:lastColumn="0" w:noHBand="0" w:noVBand="1"/>
      </w:tblPr>
      <w:tblGrid>
        <w:gridCol w:w="4657"/>
        <w:gridCol w:w="4585"/>
      </w:tblGrid>
      <w:tr w:rsidR="00ED3F4D" w:rsidTr="00DC6CDF">
        <w:tc>
          <w:tcPr>
            <w:tcW w:w="4643" w:type="dxa"/>
            <w:shd w:val="clear" w:color="auto" w:fill="auto"/>
          </w:tcPr>
          <w:p w:rsidR="00ED3F4D" w:rsidRDefault="00ED3F4D" w:rsidP="00DC6CDF">
            <w:pPr>
              <w:pStyle w:val="ChartSecondHeading"/>
              <w:spacing w:before="120"/>
              <w:rPr>
                <w:bCs/>
                <w:sz w:val="22"/>
              </w:rPr>
            </w:pPr>
            <w:r w:rsidRPr="004258FD">
              <w:t xml:space="preserve">Tax </w:t>
            </w:r>
            <w:r>
              <w:t>c</w:t>
            </w:r>
            <w:r w:rsidRPr="004258FD">
              <w:t>omposition (2011</w:t>
            </w:r>
            <w:r w:rsidR="00674CFB">
              <w:noBreakHyphen/>
            </w:r>
            <w:r w:rsidRPr="004258FD">
              <w:t>12)</w:t>
            </w:r>
          </w:p>
        </w:tc>
        <w:tc>
          <w:tcPr>
            <w:tcW w:w="4599" w:type="dxa"/>
            <w:shd w:val="clear" w:color="auto" w:fill="auto"/>
          </w:tcPr>
          <w:p w:rsidR="00ED3F4D" w:rsidRDefault="00ED3F4D" w:rsidP="00DC6CDF">
            <w:pPr>
              <w:pStyle w:val="ChartSecondHeading"/>
              <w:spacing w:before="120"/>
              <w:rPr>
                <w:color w:val="000000" w:themeColor="text1"/>
                <w:sz w:val="18"/>
              </w:rPr>
            </w:pPr>
            <w:r>
              <w:t>S</w:t>
            </w:r>
            <w:r w:rsidRPr="004258FD">
              <w:t xml:space="preserve">tandard deviation </w:t>
            </w:r>
            <w:r w:rsidR="00110A9B">
              <w:t xml:space="preserve">of series growth rates </w:t>
            </w:r>
            <w:r w:rsidR="00997B77">
              <w:t>(per cent)</w:t>
            </w:r>
            <w:r w:rsidR="00110A9B">
              <w:br/>
            </w:r>
            <w:r w:rsidRPr="004258FD">
              <w:t>(2002</w:t>
            </w:r>
            <w:r w:rsidR="00674CFB">
              <w:noBreakHyphen/>
            </w:r>
            <w:r w:rsidRPr="004258FD">
              <w:t>03</w:t>
            </w:r>
            <w:r>
              <w:t xml:space="preserve"> to </w:t>
            </w:r>
            <w:r w:rsidRPr="004258FD">
              <w:t>2011</w:t>
            </w:r>
            <w:r w:rsidR="00674CFB">
              <w:noBreakHyphen/>
            </w:r>
            <w:r w:rsidRPr="004258FD">
              <w:t>12)</w:t>
            </w:r>
          </w:p>
        </w:tc>
      </w:tr>
      <w:tr w:rsidR="00ED3F4D" w:rsidTr="00DC6CDF">
        <w:tc>
          <w:tcPr>
            <w:tcW w:w="4643" w:type="dxa"/>
            <w:shd w:val="clear" w:color="auto" w:fill="auto"/>
          </w:tcPr>
          <w:p w:rsidR="00ED3F4D" w:rsidRDefault="002D7222" w:rsidP="002C0588">
            <w:pPr>
              <w:pStyle w:val="ChartGraphic"/>
              <w:rPr>
                <w:bCs/>
                <w:sz w:val="22"/>
              </w:rPr>
            </w:pPr>
            <w:r>
              <w:object w:dxaOrig="4530" w:dyaOrig="4530">
                <v:shape id="_x0000_i1042" type="#_x0000_t75" alt="Shows the shares of the tax base for each of the major heads of revenue in 2011-12 (income tax withholding, company tax, GST, other individuals GCT and taxes n.e.c).  &#10;" style="width:226.9pt;height:226.9pt" o:ole="">
                  <v:imagedata r:id="rId45" o:title=""/>
                </v:shape>
                <o:OLEObject Type="Link" ProgID="Excel.Sheet.12" ShapeID="_x0000_i1042" DrawAspect="Content" r:id="rId46" UpdateMode="Always">
                  <o:LinkType>Picture</o:LinkType>
                  <o:LockedField/>
                  <o:FieldCodes>\* MERGEFORMAT</o:FieldCodes>
                </o:OLEObject>
              </w:object>
            </w:r>
          </w:p>
        </w:tc>
        <w:tc>
          <w:tcPr>
            <w:tcW w:w="4599" w:type="dxa"/>
            <w:shd w:val="clear" w:color="auto" w:fill="auto"/>
          </w:tcPr>
          <w:p w:rsidR="00ED3F4D" w:rsidRDefault="002D7222" w:rsidP="002C0588">
            <w:pPr>
              <w:pStyle w:val="ChartGraphic"/>
              <w:rPr>
                <w:color w:val="000000" w:themeColor="text1"/>
                <w:sz w:val="18"/>
              </w:rPr>
            </w:pPr>
            <w:r>
              <w:object w:dxaOrig="4515" w:dyaOrig="4515">
                <v:shape id="_x0000_i1043" type="#_x0000_t75" alt="Shows the standard deviation of the growth rates of each head of revenue for the period 2002-03 to 2011-12." style="width:223.55pt;height:223.55pt" o:ole="">
                  <v:imagedata r:id="rId47" o:title=""/>
                </v:shape>
                <o:OLEObject Type="Link" ProgID="Excel.Sheet.12" ShapeID="_x0000_i1043" DrawAspect="Content" r:id="rId48" UpdateMode="Always">
                  <o:LinkType>Picture</o:LinkType>
                  <o:LockedField/>
                  <o:FieldCodes>\* MERGEFORMAT</o:FieldCodes>
                </o:OLEObject>
              </w:object>
            </w:r>
          </w:p>
        </w:tc>
      </w:tr>
    </w:tbl>
    <w:p w:rsidR="0036338C" w:rsidRPr="004258FD" w:rsidRDefault="005C217E">
      <w:pPr>
        <w:pStyle w:val="ChartorTableNote"/>
        <w:rPr>
          <w:rFonts w:eastAsiaTheme="minorHAnsi"/>
          <w:lang w:eastAsia="en-US"/>
        </w:rPr>
      </w:pPr>
      <w:r w:rsidRPr="004258FD">
        <w:rPr>
          <w:rFonts w:eastAsiaTheme="minorHAnsi"/>
          <w:lang w:eastAsia="en-US"/>
        </w:rPr>
        <w:t>Note:</w:t>
      </w:r>
      <w:r w:rsidR="00230FEF">
        <w:rPr>
          <w:rFonts w:eastAsiaTheme="minorHAnsi"/>
          <w:lang w:eastAsia="en-US"/>
        </w:rPr>
        <w:t xml:space="preserve"> </w:t>
      </w:r>
      <w:r w:rsidRPr="004258FD">
        <w:rPr>
          <w:rFonts w:eastAsiaTheme="minorHAnsi"/>
          <w:lang w:eastAsia="en-US"/>
        </w:rPr>
        <w:t xml:space="preserve">Taxes n.e.c. includes superannuation </w:t>
      </w:r>
      <w:r w:rsidR="00D50E4F" w:rsidRPr="004258FD">
        <w:rPr>
          <w:rFonts w:eastAsiaTheme="minorHAnsi"/>
          <w:lang w:eastAsia="en-US"/>
        </w:rPr>
        <w:t>taxes</w:t>
      </w:r>
      <w:r w:rsidR="00D50E4F">
        <w:rPr>
          <w:rFonts w:eastAsiaTheme="minorHAnsi"/>
          <w:lang w:eastAsia="en-US"/>
        </w:rPr>
        <w:t>;</w:t>
      </w:r>
      <w:r w:rsidRPr="004258FD">
        <w:rPr>
          <w:rFonts w:eastAsiaTheme="minorHAnsi"/>
          <w:lang w:eastAsia="en-US"/>
        </w:rPr>
        <w:t xml:space="preserve"> </w:t>
      </w:r>
      <w:r w:rsidR="008635FE">
        <w:rPr>
          <w:rFonts w:eastAsiaTheme="minorHAnsi"/>
          <w:lang w:eastAsia="en-US"/>
        </w:rPr>
        <w:t xml:space="preserve">petroleum resource rent tax, </w:t>
      </w:r>
      <w:r w:rsidRPr="004258FD">
        <w:rPr>
          <w:rFonts w:eastAsiaTheme="minorHAnsi"/>
          <w:lang w:eastAsia="en-US"/>
        </w:rPr>
        <w:t>fringe benefits tax, excise and customs duty and miscellaneous indirect taxes.</w:t>
      </w:r>
      <w:r w:rsidR="002D7222" w:rsidRPr="002D7222">
        <w:t xml:space="preserve"> </w:t>
      </w:r>
    </w:p>
    <w:p w:rsidR="005C217E" w:rsidRPr="004258FD" w:rsidRDefault="00B452B8" w:rsidP="00DC6CDF">
      <w:pPr>
        <w:spacing w:before="360"/>
      </w:pPr>
      <w:r>
        <w:t>T</w:t>
      </w:r>
      <w:r w:rsidR="005C217E" w:rsidRPr="004258FD">
        <w:t xml:space="preserve">he contributions of the major head of revenues to the total Budget </w:t>
      </w:r>
      <w:r w:rsidR="008043FD">
        <w:t xml:space="preserve">taxation </w:t>
      </w:r>
      <w:r w:rsidR="005C217E" w:rsidRPr="004258FD">
        <w:t>revenue forecast error</w:t>
      </w:r>
      <w:r>
        <w:t xml:space="preserve"> </w:t>
      </w:r>
      <w:r w:rsidR="005C217E" w:rsidRPr="004258FD">
        <w:t xml:space="preserve">since the start of </w:t>
      </w:r>
      <w:r>
        <w:t>M</w:t>
      </w:r>
      <w:r w:rsidR="005C217E" w:rsidRPr="004258FD">
        <w:t xml:space="preserve">ining </w:t>
      </w:r>
      <w:r>
        <w:t>B</w:t>
      </w:r>
      <w:r w:rsidR="005C217E" w:rsidRPr="004258FD">
        <w:t xml:space="preserve">oom </w:t>
      </w:r>
      <w:r>
        <w:t>M</w:t>
      </w:r>
      <w:r w:rsidR="005C217E" w:rsidRPr="004258FD">
        <w:t xml:space="preserve">ark I </w:t>
      </w:r>
      <w:r>
        <w:t xml:space="preserve">are shown in </w:t>
      </w:r>
      <w:r w:rsidRPr="004258FD">
        <w:t xml:space="preserve">Figure </w:t>
      </w:r>
      <w:r w:rsidR="00224D47">
        <w:t>3.</w:t>
      </w:r>
      <w:r w:rsidRPr="004258FD">
        <w:t>1</w:t>
      </w:r>
      <w:r w:rsidR="00AE2ADB">
        <w:t>1</w:t>
      </w:r>
      <w:r w:rsidR="005C217E" w:rsidRPr="004258FD">
        <w:t xml:space="preserve">. </w:t>
      </w:r>
    </w:p>
    <w:p w:rsidR="005C217E" w:rsidRPr="004258FD" w:rsidRDefault="005C217E" w:rsidP="002C0588">
      <w:pPr>
        <w:pStyle w:val="ChartMainHeading"/>
        <w:spacing w:after="120"/>
      </w:pPr>
      <w:r w:rsidRPr="004258FD">
        <w:t xml:space="preserve">Figure </w:t>
      </w:r>
      <w:r w:rsidR="008E2652">
        <w:t>3.</w:t>
      </w:r>
      <w:r w:rsidRPr="004258FD">
        <w:t>1</w:t>
      </w:r>
      <w:r w:rsidR="00AE2ADB">
        <w:t>1</w:t>
      </w:r>
      <w:r w:rsidRPr="004258FD">
        <w:t>:</w:t>
      </w:r>
      <w:r w:rsidR="004F0077">
        <w:t xml:space="preserve"> </w:t>
      </w:r>
      <w:r w:rsidRPr="004258FD">
        <w:t xml:space="preserve">Contribution to </w:t>
      </w:r>
      <w:r w:rsidR="009D4B87">
        <w:t>R</w:t>
      </w:r>
      <w:r w:rsidRPr="004258FD">
        <w:t xml:space="preserve">evenue </w:t>
      </w:r>
      <w:r w:rsidR="009D4B87">
        <w:t>E</w:t>
      </w:r>
      <w:r w:rsidRPr="004258FD">
        <w:t xml:space="preserve">rror by </w:t>
      </w:r>
      <w:r w:rsidR="009D4B87">
        <w:t>H</w:t>
      </w:r>
      <w:r w:rsidRPr="004258FD">
        <w:t xml:space="preserve">ead of </w:t>
      </w:r>
      <w:r w:rsidR="009D4B87">
        <w:t>R</w:t>
      </w:r>
      <w:r w:rsidRPr="004258FD">
        <w:t>evenue (</w:t>
      </w:r>
      <w:r w:rsidR="00D50E4F" w:rsidRPr="004258FD">
        <w:t>Budget</w:t>
      </w:r>
      <w:r w:rsidR="00D50E4F">
        <w:t> </w:t>
      </w:r>
      <w:r w:rsidRPr="004258FD">
        <w:t>forecasts</w:t>
      </w:r>
      <w:r w:rsidR="00D50E4F" w:rsidRPr="004258FD">
        <w:t>,</w:t>
      </w:r>
      <w:r w:rsidR="00D50E4F">
        <w:t> </w:t>
      </w:r>
      <w:r w:rsidRPr="004258FD">
        <w:t>2003</w:t>
      </w:r>
      <w:r w:rsidR="00674CFB">
        <w:noBreakHyphen/>
      </w:r>
      <w:r w:rsidR="00D50E4F" w:rsidRPr="004258FD">
        <w:t>04</w:t>
      </w:r>
      <w:r w:rsidR="00D50E4F">
        <w:t> to </w:t>
      </w:r>
      <w:r w:rsidRPr="004258FD">
        <w:t>2011</w:t>
      </w:r>
      <w:r w:rsidR="00674CFB">
        <w:noBreakHyphen/>
      </w:r>
      <w:r w:rsidRPr="004258FD">
        <w:t>12)</w:t>
      </w:r>
    </w:p>
    <w:p w:rsidR="005C217E" w:rsidRPr="004258FD" w:rsidRDefault="002D7222" w:rsidP="00946BF4">
      <w:pPr>
        <w:pStyle w:val="ChartGraphic"/>
      </w:pPr>
      <w:r>
        <w:object w:dxaOrig="8775" w:dyaOrig="4515">
          <v:shape id="_x0000_i1044" type="#_x0000_t75" alt="This figure shows the contribution of the major heads of revenue to the total Budget taxation forecast error from 2003-04 to 2011-12 and the average error.&#10;" style="width:436.2pt;height:223.55pt" o:ole="">
            <v:imagedata r:id="rId49" o:title=""/>
          </v:shape>
          <o:OLEObject Type="Link" ProgID="Excel.Sheet.12" ShapeID="_x0000_i1044" DrawAspect="Content" r:id="rId50" UpdateMode="Always">
            <o:LinkType>Picture</o:LinkType>
            <o:LockedField>false</o:LockedField>
            <o:FieldCodes>\* MERGEFORMAT</o:FieldCodes>
          </o:OLEObject>
        </w:object>
      </w:r>
    </w:p>
    <w:p w:rsidR="00495F26" w:rsidRDefault="005C217E" w:rsidP="00946BF4">
      <w:pPr>
        <w:spacing w:before="360"/>
      </w:pPr>
      <w:r w:rsidRPr="004258FD">
        <w:t>As expected, the largest sources of forecast error come from th</w:t>
      </w:r>
      <w:r w:rsidR="005F577C" w:rsidRPr="004258FD">
        <w:t>e more volatile</w:t>
      </w:r>
      <w:r w:rsidRPr="004258FD">
        <w:t xml:space="preserve"> heads of revenue</w:t>
      </w:r>
      <w:r w:rsidR="0067687C">
        <w:t xml:space="preserve">, </w:t>
      </w:r>
      <w:r w:rsidRPr="004258FD">
        <w:t>namely company tax and capital gains tax.</w:t>
      </w:r>
      <w:r w:rsidR="00230FEF">
        <w:t xml:space="preserve"> </w:t>
      </w:r>
      <w:r w:rsidRPr="004258FD">
        <w:t xml:space="preserve">In particular, the severity of the </w:t>
      </w:r>
      <w:r w:rsidR="00D2415D">
        <w:t>fall</w:t>
      </w:r>
      <w:r w:rsidRPr="004258FD">
        <w:t xml:space="preserve"> in company tax receipts following the onset of the GFC was not predicted (receipts fell by 12.1 per cent in 2009</w:t>
      </w:r>
      <w:r w:rsidR="00674CFB">
        <w:noBreakHyphen/>
      </w:r>
      <w:r w:rsidRPr="004258FD">
        <w:t xml:space="preserve">10, </w:t>
      </w:r>
      <w:r w:rsidR="005F577C" w:rsidRPr="004258FD">
        <w:t xml:space="preserve">compared with a forecast fall of </w:t>
      </w:r>
      <w:r w:rsidRPr="004258FD">
        <w:t>only 2.4 per cent)</w:t>
      </w:r>
      <w:r w:rsidR="00D2415D">
        <w:t xml:space="preserve">. The </w:t>
      </w:r>
      <w:r w:rsidRPr="004258FD">
        <w:t xml:space="preserve">rebound in </w:t>
      </w:r>
      <w:r w:rsidR="00D2415D">
        <w:t xml:space="preserve">company tax </w:t>
      </w:r>
      <w:r w:rsidRPr="004258FD">
        <w:t xml:space="preserve">receipts </w:t>
      </w:r>
      <w:r w:rsidR="002B37C8">
        <w:t xml:space="preserve">since the </w:t>
      </w:r>
      <w:r w:rsidR="002B37C8">
        <w:lastRenderedPageBreak/>
        <w:t xml:space="preserve">GFC </w:t>
      </w:r>
      <w:r w:rsidRPr="004258FD">
        <w:t xml:space="preserve">has </w:t>
      </w:r>
      <w:r w:rsidR="000A51DF">
        <w:t xml:space="preserve">also </w:t>
      </w:r>
      <w:r w:rsidR="00D2415D">
        <w:t xml:space="preserve">failed to </w:t>
      </w:r>
      <w:r w:rsidRPr="004258FD">
        <w:t>me</w:t>
      </w:r>
      <w:r w:rsidR="00D2415D">
        <w:t>e</w:t>
      </w:r>
      <w:r w:rsidRPr="004258FD">
        <w:t>t expectations.</w:t>
      </w:r>
      <w:r w:rsidR="00230FEF">
        <w:t xml:space="preserve"> </w:t>
      </w:r>
      <w:r w:rsidRPr="004258FD">
        <w:t>The reasons for th</w:t>
      </w:r>
      <w:r w:rsidR="00B452B8">
        <w:t>e</w:t>
      </w:r>
      <w:r w:rsidR="001823E7">
        <w:t>se</w:t>
      </w:r>
      <w:r w:rsidR="00495F26">
        <w:t xml:space="preserve"> </w:t>
      </w:r>
      <w:r w:rsidR="00B452B8">
        <w:t xml:space="preserve">errors </w:t>
      </w:r>
      <w:r w:rsidRPr="004258FD">
        <w:t>are explored further in Section</w:t>
      </w:r>
      <w:r w:rsidR="0059427A">
        <w:t> </w:t>
      </w:r>
      <w:r w:rsidRPr="004258FD">
        <w:t>4 of the report, and include higher</w:t>
      </w:r>
      <w:r w:rsidR="00674CFB">
        <w:noBreakHyphen/>
      </w:r>
      <w:r w:rsidRPr="004258FD">
        <w:t>than</w:t>
      </w:r>
      <w:r w:rsidR="00674CFB">
        <w:noBreakHyphen/>
      </w:r>
      <w:r w:rsidRPr="004258FD">
        <w:t>expected depreciation and royalty deductions associated with the mining boom.</w:t>
      </w:r>
      <w:r w:rsidR="00230FEF">
        <w:t xml:space="preserve"> </w:t>
      </w:r>
    </w:p>
    <w:p w:rsidR="005C217E" w:rsidRPr="004258FD" w:rsidRDefault="005C217E" w:rsidP="00946BF4">
      <w:r w:rsidRPr="004258FD">
        <w:t xml:space="preserve">The capital gains tax errors </w:t>
      </w:r>
      <w:r w:rsidR="00495F26">
        <w:t>reflect the</w:t>
      </w:r>
      <w:r w:rsidRPr="004258FD">
        <w:t xml:space="preserve"> underestimation of asset price growth during </w:t>
      </w:r>
      <w:r w:rsidR="003D640F">
        <w:t>M</w:t>
      </w:r>
      <w:r w:rsidRPr="004258FD">
        <w:t xml:space="preserve">ining </w:t>
      </w:r>
      <w:r w:rsidR="003D640F">
        <w:t>B</w:t>
      </w:r>
      <w:r w:rsidRPr="004258FD">
        <w:t xml:space="preserve">oom </w:t>
      </w:r>
      <w:r w:rsidR="003D640F">
        <w:t>M</w:t>
      </w:r>
      <w:r w:rsidRPr="004258FD">
        <w:t xml:space="preserve">ark </w:t>
      </w:r>
      <w:r w:rsidR="00B452B8">
        <w:t>I</w:t>
      </w:r>
      <w:r w:rsidRPr="004258FD">
        <w:t xml:space="preserve"> followed by </w:t>
      </w:r>
      <w:r w:rsidR="001823E7">
        <w:t>the</w:t>
      </w:r>
      <w:r w:rsidRPr="004258FD">
        <w:t xml:space="preserve"> general overestimation of asset price growth since the GFC.</w:t>
      </w:r>
      <w:r w:rsidR="00230FEF">
        <w:t xml:space="preserve"> </w:t>
      </w:r>
      <w:r w:rsidRPr="004258FD">
        <w:t>Capital gains tax revenue ha</w:t>
      </w:r>
      <w:r w:rsidR="00D2415D">
        <w:t>s been particularly volatile</w:t>
      </w:r>
      <w:r w:rsidR="005F577C" w:rsidRPr="004258FD">
        <w:t xml:space="preserve"> </w:t>
      </w:r>
      <w:r w:rsidRPr="004258FD">
        <w:t xml:space="preserve">over this period, with annual </w:t>
      </w:r>
      <w:r w:rsidR="00D2415D">
        <w:t xml:space="preserve">outcomes </w:t>
      </w:r>
      <w:r w:rsidRPr="004258FD">
        <w:t xml:space="preserve">ranging from </w:t>
      </w:r>
      <w:r w:rsidR="00D2415D">
        <w:t xml:space="preserve">growth of </w:t>
      </w:r>
      <w:r w:rsidRPr="004258FD">
        <w:t>60 per cent in 2004</w:t>
      </w:r>
      <w:r w:rsidR="00674CFB">
        <w:noBreakHyphen/>
      </w:r>
      <w:r w:rsidRPr="004258FD">
        <w:t xml:space="preserve">05 to </w:t>
      </w:r>
      <w:r w:rsidR="00D2415D">
        <w:t xml:space="preserve">a contraction of </w:t>
      </w:r>
      <w:r w:rsidRPr="004258FD">
        <w:t>43 per cent in 2009</w:t>
      </w:r>
      <w:r w:rsidR="00674CFB">
        <w:noBreakHyphen/>
      </w:r>
      <w:r w:rsidRPr="004258FD">
        <w:t>10</w:t>
      </w:r>
      <w:r w:rsidR="00D2415D">
        <w:t xml:space="preserve">. Capital gains tax revenue has </w:t>
      </w:r>
      <w:r w:rsidRPr="004258FD">
        <w:t xml:space="preserve">been </w:t>
      </w:r>
      <w:r w:rsidR="005F577C" w:rsidRPr="004258FD">
        <w:t xml:space="preserve">held down by the </w:t>
      </w:r>
      <w:r w:rsidRPr="004258FD">
        <w:t xml:space="preserve">significant realisation of </w:t>
      </w:r>
      <w:r w:rsidR="000A51DF">
        <w:t xml:space="preserve">capital </w:t>
      </w:r>
      <w:r w:rsidRPr="004258FD">
        <w:t>losses incurred during the GFC.</w:t>
      </w:r>
      <w:r w:rsidR="00230FEF">
        <w:t xml:space="preserve"> </w:t>
      </w:r>
      <w:r w:rsidRPr="004258FD">
        <w:t>Th</w:t>
      </w:r>
      <w:r w:rsidR="00F2273B">
        <w:t>e</w:t>
      </w:r>
      <w:r w:rsidRPr="004258FD">
        <w:t>s</w:t>
      </w:r>
      <w:r w:rsidR="00F2273B">
        <w:t>e</w:t>
      </w:r>
      <w:r w:rsidRPr="004258FD">
        <w:t xml:space="preserve"> </w:t>
      </w:r>
      <w:r w:rsidR="00F2273B">
        <w:t xml:space="preserve">issues are </w:t>
      </w:r>
      <w:r w:rsidRPr="004258FD">
        <w:t xml:space="preserve">explored further in </w:t>
      </w:r>
      <w:r w:rsidR="00B452B8">
        <w:t>S</w:t>
      </w:r>
      <w:r w:rsidRPr="004258FD">
        <w:t>ection 4.</w:t>
      </w:r>
    </w:p>
    <w:p w:rsidR="00E51FE1" w:rsidRPr="00D12AB8" w:rsidRDefault="003B5FAB" w:rsidP="009D7C2C">
      <w:pPr>
        <w:pStyle w:val="Heading3"/>
      </w:pPr>
      <w:r w:rsidRPr="00D12AB8">
        <w:t xml:space="preserve">Comparison with </w:t>
      </w:r>
      <w:r w:rsidR="007E1601" w:rsidRPr="00D12AB8">
        <w:t xml:space="preserve">other </w:t>
      </w:r>
      <w:r w:rsidR="00CF05DF" w:rsidRPr="00D12AB8">
        <w:t xml:space="preserve">domestic </w:t>
      </w:r>
      <w:r w:rsidRPr="00D12AB8">
        <w:t>forecasters</w:t>
      </w:r>
      <w:r w:rsidR="00CF05DF" w:rsidRPr="00D12AB8">
        <w:t xml:space="preserve"> and official agencies overseas</w:t>
      </w:r>
    </w:p>
    <w:p w:rsidR="008A3ADD" w:rsidRPr="00D12AB8" w:rsidRDefault="00EE3D66" w:rsidP="00946BF4">
      <w:r w:rsidRPr="00D12AB8">
        <w:t xml:space="preserve">Deloitte </w:t>
      </w:r>
      <w:r w:rsidR="00F73DF3" w:rsidRPr="00D12AB8">
        <w:t xml:space="preserve">Access Economics </w:t>
      </w:r>
      <w:r w:rsidRPr="00D12AB8">
        <w:t>(</w:t>
      </w:r>
      <w:r w:rsidR="004F0077">
        <w:t>‘</w:t>
      </w:r>
      <w:r w:rsidRPr="00D12AB8">
        <w:t>Access</w:t>
      </w:r>
      <w:r w:rsidR="004F0077">
        <w:t>’</w:t>
      </w:r>
      <w:r w:rsidRPr="00D12AB8">
        <w:t xml:space="preserve">) </w:t>
      </w:r>
      <w:r w:rsidR="00F73DF3" w:rsidRPr="00D12AB8">
        <w:t xml:space="preserve">is the only other forecaster of the Australian economy </w:t>
      </w:r>
      <w:r w:rsidR="008255E8" w:rsidRPr="00D12AB8">
        <w:t>that</w:t>
      </w:r>
      <w:r w:rsidR="00F73DF3" w:rsidRPr="00D12AB8">
        <w:t xml:space="preserve"> </w:t>
      </w:r>
      <w:r w:rsidR="002D6432" w:rsidRPr="00D12AB8">
        <w:t xml:space="preserve">has </w:t>
      </w:r>
      <w:r w:rsidR="00F73DF3" w:rsidRPr="00D12AB8">
        <w:t>publishe</w:t>
      </w:r>
      <w:r w:rsidR="002D6432" w:rsidRPr="00D12AB8">
        <w:t>d</w:t>
      </w:r>
      <w:r w:rsidR="00F73DF3" w:rsidRPr="00D12AB8">
        <w:t xml:space="preserve"> a </w:t>
      </w:r>
      <w:r w:rsidR="006C0933" w:rsidRPr="00D12AB8">
        <w:t>history of</w:t>
      </w:r>
      <w:r w:rsidR="00F73DF3" w:rsidRPr="00D12AB8">
        <w:t xml:space="preserve"> </w:t>
      </w:r>
      <w:r w:rsidR="008043FD">
        <w:t xml:space="preserve">taxation </w:t>
      </w:r>
      <w:r w:rsidR="00F73DF3" w:rsidRPr="00D12AB8">
        <w:t>revenue forecasts</w:t>
      </w:r>
      <w:r w:rsidR="002D6432" w:rsidRPr="00D12AB8">
        <w:t xml:space="preserve"> </w:t>
      </w:r>
      <w:r w:rsidR="00A31481" w:rsidRPr="00D12AB8">
        <w:t>that is sufficient</w:t>
      </w:r>
      <w:r w:rsidR="00FC33B6" w:rsidRPr="00D12AB8">
        <w:t>ly</w:t>
      </w:r>
      <w:r w:rsidR="00A31481" w:rsidRPr="00D12AB8">
        <w:t xml:space="preserve"> </w:t>
      </w:r>
      <w:r w:rsidR="006C0933" w:rsidRPr="00D12AB8">
        <w:t xml:space="preserve">long </w:t>
      </w:r>
      <w:r w:rsidR="002D6432" w:rsidRPr="00D12AB8">
        <w:t xml:space="preserve">for the purposes of </w:t>
      </w:r>
      <w:r w:rsidR="00A31481" w:rsidRPr="00D12AB8">
        <w:t xml:space="preserve">forecast </w:t>
      </w:r>
      <w:r w:rsidR="002D6432" w:rsidRPr="00D12AB8">
        <w:t>comparison</w:t>
      </w:r>
      <w:r w:rsidR="00F73DF3" w:rsidRPr="00D12AB8">
        <w:t>.</w:t>
      </w:r>
      <w:r w:rsidR="00230FEF" w:rsidRPr="00D12AB8">
        <w:t xml:space="preserve"> </w:t>
      </w:r>
      <w:r w:rsidR="00E31489" w:rsidRPr="00D12AB8">
        <w:t>Treasury</w:t>
      </w:r>
      <w:r w:rsidR="004F0077">
        <w:t>’</w:t>
      </w:r>
      <w:r w:rsidR="00E31489" w:rsidRPr="00D12AB8">
        <w:t xml:space="preserve">s forecasts of </w:t>
      </w:r>
      <w:r w:rsidR="008043FD">
        <w:t xml:space="preserve">taxation </w:t>
      </w:r>
      <w:r w:rsidR="00E31489" w:rsidRPr="00D12AB8">
        <w:t>revenue</w:t>
      </w:r>
      <w:r w:rsidR="00F73DF3" w:rsidRPr="00D12AB8">
        <w:t xml:space="preserve"> have been </w:t>
      </w:r>
      <w:r w:rsidR="008401FF" w:rsidRPr="00D12AB8">
        <w:t xml:space="preserve">comparable </w:t>
      </w:r>
      <w:r w:rsidR="00FC33B6" w:rsidRPr="00D12AB8">
        <w:t>with</w:t>
      </w:r>
      <w:r w:rsidR="008401FF" w:rsidRPr="00D12AB8">
        <w:t xml:space="preserve"> </w:t>
      </w:r>
      <w:r w:rsidR="00F73DF3" w:rsidRPr="00D12AB8">
        <w:t xml:space="preserve">those of Access Economics over the past </w:t>
      </w:r>
      <w:r w:rsidR="003D640F" w:rsidRPr="00D12AB8">
        <w:t>two decades</w:t>
      </w:r>
      <w:r w:rsidR="00F31A6E" w:rsidRPr="00D12AB8">
        <w:t>.</w:t>
      </w:r>
      <w:r w:rsidR="00F31A6E" w:rsidRPr="00D12AB8">
        <w:rPr>
          <w:rStyle w:val="FootnoteReference"/>
          <w:sz w:val="24"/>
          <w:szCs w:val="24"/>
        </w:rPr>
        <w:t xml:space="preserve"> </w:t>
      </w:r>
      <w:r w:rsidR="00B541FC" w:rsidRPr="00D12AB8">
        <w:t xml:space="preserve">The differences in forecasting accuracy between Treasury and Access are small and were found not to be statistically significant </w:t>
      </w:r>
      <w:r w:rsidR="00047939" w:rsidRPr="00D12AB8">
        <w:t>(</w:t>
      </w:r>
      <w:r w:rsidR="00B541FC" w:rsidRPr="00D12AB8">
        <w:t>at the 10</w:t>
      </w:r>
      <w:r w:rsidR="00805FCF">
        <w:t xml:space="preserve"> per cent </w:t>
      </w:r>
      <w:r w:rsidR="00B541FC" w:rsidRPr="00D12AB8">
        <w:t>level</w:t>
      </w:r>
      <w:r w:rsidR="00047939" w:rsidRPr="00D12AB8">
        <w:t>)</w:t>
      </w:r>
      <w:r w:rsidR="00B541FC" w:rsidRPr="00D12AB8">
        <w:t xml:space="preserve">. </w:t>
      </w:r>
      <w:r w:rsidR="00F31A6E" w:rsidRPr="00D12AB8">
        <w:t xml:space="preserve">This assessment is supported by an examination of the patterns </w:t>
      </w:r>
      <w:r w:rsidR="00C924D6" w:rsidRPr="00D12AB8">
        <w:t>in</w:t>
      </w:r>
      <w:r w:rsidR="00F31A6E" w:rsidRPr="00D12AB8">
        <w:t xml:space="preserve"> forecast errors across agencies </w:t>
      </w:r>
      <w:r w:rsidR="000D2E3A" w:rsidRPr="00D12AB8">
        <w:t xml:space="preserve">in </w:t>
      </w:r>
      <w:r w:rsidR="00805FCF" w:rsidRPr="00D12AB8">
        <w:t>Figure</w:t>
      </w:r>
      <w:r w:rsidR="00805FCF">
        <w:t> </w:t>
      </w:r>
      <w:r w:rsidR="00224D47" w:rsidRPr="00D12AB8">
        <w:t>3.</w:t>
      </w:r>
      <w:r w:rsidR="00F31A6E" w:rsidRPr="00D12AB8">
        <w:t>1</w:t>
      </w:r>
      <w:r w:rsidR="00AE2ADB" w:rsidRPr="00D12AB8">
        <w:t>2</w:t>
      </w:r>
      <w:r w:rsidR="00F31A6E" w:rsidRPr="00D12AB8">
        <w:t xml:space="preserve">. </w:t>
      </w:r>
      <w:r w:rsidR="00FC33B6" w:rsidRPr="00D12AB8">
        <w:t>A</w:t>
      </w:r>
      <w:r w:rsidR="00BD1847" w:rsidRPr="00D12AB8">
        <w:t xml:space="preserve"> feature of </w:t>
      </w:r>
      <w:r w:rsidR="00F31A6E" w:rsidRPr="00D12AB8">
        <w:t xml:space="preserve">Figure </w:t>
      </w:r>
      <w:r w:rsidR="00224D47" w:rsidRPr="00D12AB8">
        <w:t>3.</w:t>
      </w:r>
      <w:r w:rsidR="00F31A6E" w:rsidRPr="00D12AB8">
        <w:t>1</w:t>
      </w:r>
      <w:r w:rsidR="00AE2ADB" w:rsidRPr="00D12AB8">
        <w:t>2</w:t>
      </w:r>
      <w:r w:rsidR="00BD1847" w:rsidRPr="00D12AB8">
        <w:t xml:space="preserve"> is the similarity of the forecast errors, with the small variation across agencies contrasting with the significant variation in errors across time</w:t>
      </w:r>
      <w:r w:rsidR="00047939" w:rsidRPr="00D12AB8">
        <w:t>, as was found with the macroeconomic forecast comparison</w:t>
      </w:r>
      <w:r w:rsidR="00BD1847" w:rsidRPr="00D12AB8">
        <w:t>.</w:t>
      </w:r>
      <w:r w:rsidR="008A3ADD" w:rsidRPr="00D12AB8">
        <w:t xml:space="preserve"> </w:t>
      </w:r>
    </w:p>
    <w:p w:rsidR="002A4234" w:rsidRPr="00D12AB8" w:rsidRDefault="00F65F97" w:rsidP="00DA529C">
      <w:pPr>
        <w:pStyle w:val="ChartMainHeading"/>
        <w:spacing w:after="120"/>
      </w:pPr>
      <w:r w:rsidRPr="00D12AB8">
        <w:t xml:space="preserve">Figure </w:t>
      </w:r>
      <w:r w:rsidR="008E2652" w:rsidRPr="00D12AB8">
        <w:t>3.</w:t>
      </w:r>
      <w:r w:rsidR="008C4DDA" w:rsidRPr="00D12AB8">
        <w:t>1</w:t>
      </w:r>
      <w:r w:rsidR="00AE2ADB" w:rsidRPr="00D12AB8">
        <w:t>2</w:t>
      </w:r>
      <w:r w:rsidR="002A4234" w:rsidRPr="00D12AB8">
        <w:t>:</w:t>
      </w:r>
      <w:r w:rsidR="004F0077">
        <w:t xml:space="preserve"> </w:t>
      </w:r>
      <w:r w:rsidR="002A4234" w:rsidRPr="00D12AB8">
        <w:t xml:space="preserve">Treasury and Access Budget </w:t>
      </w:r>
      <w:r w:rsidR="00890EC1" w:rsidRPr="00D12AB8">
        <w:t>F</w:t>
      </w:r>
      <w:r w:rsidR="002A4234" w:rsidRPr="00D12AB8">
        <w:t xml:space="preserve">orecasts of </w:t>
      </w:r>
      <w:r w:rsidR="00890EC1" w:rsidRPr="00D12AB8">
        <w:t>Taxation R</w:t>
      </w:r>
      <w:r w:rsidR="002A4234" w:rsidRPr="00D12AB8">
        <w:t xml:space="preserve">evenue </w:t>
      </w:r>
      <w:r w:rsidR="00890EC1" w:rsidRPr="00D12AB8">
        <w:t>G</w:t>
      </w:r>
      <w:r w:rsidR="002A4234" w:rsidRPr="00D12AB8">
        <w:t xml:space="preserve">rowth </w:t>
      </w:r>
    </w:p>
    <w:p w:rsidR="0047405F" w:rsidRPr="00D12AB8" w:rsidRDefault="008A1B8B" w:rsidP="00EE214E">
      <w:pPr>
        <w:pStyle w:val="ChartGraphic"/>
        <w:spacing w:after="120"/>
      </w:pPr>
      <w:r w:rsidRPr="00D12AB8">
        <w:object w:dxaOrig="8505" w:dyaOrig="3945">
          <v:shape id="_x0000_i1045" type="#_x0000_t75" alt="This figure compares Treasury and Access Budget forecast errors of taxation revenue growth for each Budget year from 1990-91 to 2011-12.&#10;" style="width:426.15pt;height:199.25pt" o:ole="">
            <v:imagedata r:id="rId51" o:title=""/>
          </v:shape>
          <o:OLEObject Type="Link" ProgID="Excel.Sheet.12" ShapeID="_x0000_i1045" DrawAspect="Content" r:id="rId52" UpdateMode="OnCall">
            <o:LinkType>Picture</o:LinkType>
            <o:LockedField>false</o:LockedField>
            <o:FieldCodes>\* MERGEFORMAT</o:FieldCodes>
          </o:OLEObject>
        </w:object>
      </w:r>
    </w:p>
    <w:p w:rsidR="000727B8" w:rsidRPr="00D12AB8" w:rsidRDefault="002A4234" w:rsidP="00DC6CDF">
      <w:pPr>
        <w:pStyle w:val="ChartorTableNote"/>
        <w:spacing w:before="120"/>
      </w:pPr>
      <w:r w:rsidRPr="00D12AB8">
        <w:t>Note:</w:t>
      </w:r>
      <w:r w:rsidR="00230FEF" w:rsidRPr="00D12AB8">
        <w:t xml:space="preserve"> </w:t>
      </w:r>
      <w:r w:rsidRPr="00D12AB8">
        <w:t>Access forecasts are on an accrual (not cash) basis from 1999</w:t>
      </w:r>
      <w:r w:rsidR="00674CFB">
        <w:noBreakHyphen/>
      </w:r>
      <w:r w:rsidRPr="00D12AB8">
        <w:t>00, and are compared with Final Budget Outcomes on an accrual basis.</w:t>
      </w:r>
      <w:r w:rsidR="00230FEF" w:rsidRPr="00D12AB8">
        <w:t xml:space="preserve"> </w:t>
      </w:r>
      <w:r w:rsidRPr="00D12AB8">
        <w:t xml:space="preserve">Access forecasts are generally taken from the May </w:t>
      </w:r>
      <w:r w:rsidRPr="00D12AB8">
        <w:rPr>
          <w:i/>
        </w:rPr>
        <w:t>Budget Monitor</w:t>
      </w:r>
      <w:r w:rsidRPr="00D12AB8">
        <w:t xml:space="preserve"> (for Budget</w:t>
      </w:r>
      <w:r w:rsidR="00A90BD4" w:rsidRPr="00D12AB8">
        <w:t>)</w:t>
      </w:r>
      <w:r w:rsidR="000727B8" w:rsidRPr="00D12AB8">
        <w:t>, which is typically published around one week ahead of the Budget</w:t>
      </w:r>
      <w:r w:rsidR="002A4228" w:rsidRPr="00D12AB8">
        <w:t>.</w:t>
      </w:r>
      <w:r w:rsidR="005B315D" w:rsidRPr="00D12AB8">
        <w:t xml:space="preserve"> </w:t>
      </w:r>
      <w:r w:rsidR="00F55EF8" w:rsidRPr="00D12AB8">
        <w:t>A</w:t>
      </w:r>
      <w:r w:rsidR="000727B8" w:rsidRPr="00D12AB8">
        <w:t>djustment</w:t>
      </w:r>
      <w:r w:rsidR="00F55EF8" w:rsidRPr="00D12AB8">
        <w:t>s</w:t>
      </w:r>
      <w:r w:rsidR="000727B8" w:rsidRPr="00D12AB8">
        <w:t xml:space="preserve"> </w:t>
      </w:r>
      <w:r w:rsidR="00100793" w:rsidRPr="00D12AB8">
        <w:t>ha</w:t>
      </w:r>
      <w:r w:rsidR="00F55EF8" w:rsidRPr="00D12AB8">
        <w:t>ve</w:t>
      </w:r>
      <w:r w:rsidR="00100793" w:rsidRPr="00D12AB8">
        <w:t xml:space="preserve"> been</w:t>
      </w:r>
      <w:r w:rsidR="000727B8" w:rsidRPr="00D12AB8">
        <w:t xml:space="preserve"> made to Access</w:t>
      </w:r>
      <w:r w:rsidR="004F0077">
        <w:t>’</w:t>
      </w:r>
      <w:r w:rsidR="000727B8" w:rsidRPr="00D12AB8">
        <w:t xml:space="preserve"> forecasts to </w:t>
      </w:r>
      <w:r w:rsidR="00047939" w:rsidRPr="00D12AB8">
        <w:t xml:space="preserve">help to </w:t>
      </w:r>
      <w:r w:rsidR="000727B8" w:rsidRPr="00D12AB8">
        <w:t>re</w:t>
      </w:r>
      <w:r w:rsidR="00EE214E" w:rsidRPr="00D12AB8">
        <w:t>duce</w:t>
      </w:r>
      <w:r w:rsidR="000727B8" w:rsidRPr="00D12AB8">
        <w:t xml:space="preserve"> </w:t>
      </w:r>
      <w:r w:rsidR="00F55EF8" w:rsidRPr="00D12AB8">
        <w:t>Treasury</w:t>
      </w:r>
      <w:r w:rsidR="004F0077">
        <w:t>’</w:t>
      </w:r>
      <w:r w:rsidR="00F55EF8" w:rsidRPr="00D12AB8">
        <w:t xml:space="preserve">s </w:t>
      </w:r>
      <w:r w:rsidR="000727B8" w:rsidRPr="00D12AB8">
        <w:t>information advantage</w:t>
      </w:r>
      <w:r w:rsidR="00F55EF8" w:rsidRPr="00D12AB8">
        <w:t xml:space="preserve">. </w:t>
      </w:r>
      <w:r w:rsidR="00EE214E" w:rsidRPr="00D12AB8">
        <w:t>F</w:t>
      </w:r>
      <w:r w:rsidR="00F55EF8" w:rsidRPr="00D12AB8">
        <w:t>irst</w:t>
      </w:r>
      <w:r w:rsidR="00EE214E" w:rsidRPr="00D12AB8">
        <w:t xml:space="preserve">, </w:t>
      </w:r>
      <w:r w:rsidR="00F55EF8" w:rsidRPr="00D12AB8">
        <w:t>Access does not have information about new policy measures in the relevant update</w:t>
      </w:r>
      <w:r w:rsidR="004F0077">
        <w:t xml:space="preserve">. </w:t>
      </w:r>
      <w:r w:rsidR="00F55EF8" w:rsidRPr="00D12AB8">
        <w:t>Access</w:t>
      </w:r>
      <w:r w:rsidR="004F0077">
        <w:t>’</w:t>
      </w:r>
      <w:r w:rsidR="00F55EF8" w:rsidRPr="00D12AB8">
        <w:t xml:space="preserve"> forecasts have been modified for the policy costings used by Treasury in the relevant update. </w:t>
      </w:r>
      <w:r w:rsidR="00EE214E" w:rsidRPr="00D12AB8">
        <w:t>S</w:t>
      </w:r>
      <w:r w:rsidR="00F55EF8" w:rsidRPr="00D12AB8">
        <w:t>econd</w:t>
      </w:r>
      <w:r w:rsidR="00EE214E" w:rsidRPr="00D12AB8">
        <w:t xml:space="preserve">, </w:t>
      </w:r>
      <w:r w:rsidR="00F55EF8" w:rsidRPr="00D12AB8">
        <w:t>Access does not have the most up</w:t>
      </w:r>
      <w:r w:rsidR="00674CFB">
        <w:noBreakHyphen/>
      </w:r>
      <w:r w:rsidR="00F55EF8" w:rsidRPr="00D12AB8">
        <w:t>to</w:t>
      </w:r>
      <w:r w:rsidR="00674CFB">
        <w:noBreakHyphen/>
      </w:r>
      <w:r w:rsidR="00F55EF8" w:rsidRPr="00D12AB8">
        <w:t>date tax collections information at the time it prepares its revenue forecasts</w:t>
      </w:r>
      <w:r w:rsidR="004F0077">
        <w:t xml:space="preserve">. </w:t>
      </w:r>
      <w:r w:rsidR="00F55EF8" w:rsidRPr="00D12AB8">
        <w:t>For example, at Budget, Treasury knows tax collections for the current year up to the end of April</w:t>
      </w:r>
      <w:r w:rsidR="004F0077">
        <w:t xml:space="preserve">. </w:t>
      </w:r>
      <w:r w:rsidR="00F55EF8" w:rsidRPr="00D12AB8">
        <w:t>Access will be working off tax collections data from at least one month earlier</w:t>
      </w:r>
      <w:r w:rsidR="004F0077">
        <w:t xml:space="preserve">. </w:t>
      </w:r>
      <w:r w:rsidR="00F55EF8" w:rsidRPr="00D12AB8">
        <w:t>There are often significant errors in Access</w:t>
      </w:r>
      <w:r w:rsidR="004F0077">
        <w:t>’</w:t>
      </w:r>
      <w:r w:rsidR="00F55EF8" w:rsidRPr="00D12AB8">
        <w:t xml:space="preserve"> estimates for the current (base) year</w:t>
      </w:r>
      <w:r w:rsidR="004F0077">
        <w:t xml:space="preserve">. </w:t>
      </w:r>
      <w:r w:rsidR="00F55EF8" w:rsidRPr="00D12AB8">
        <w:t>In order to abstract from the base year errors potentially related to different access to information, the comparison has been prepared on a growth rate basis</w:t>
      </w:r>
      <w:r w:rsidR="004F0077">
        <w:t xml:space="preserve">. </w:t>
      </w:r>
      <w:r w:rsidR="00F55EF8" w:rsidRPr="00D12AB8">
        <w:t>In fact, the errors for the base year estimates are not correlated with the errors for the Budget year forecasts</w:t>
      </w:r>
      <w:r w:rsidR="00674CFB">
        <w:t xml:space="preserve"> — </w:t>
      </w:r>
      <w:r w:rsidR="00F55EF8" w:rsidRPr="00D12AB8">
        <w:t>the correlation coefficient between the current year errors and Budget year errors (in per cent of level) is 0.04</w:t>
      </w:r>
      <w:r w:rsidR="004F0077">
        <w:t xml:space="preserve">. </w:t>
      </w:r>
      <w:r w:rsidR="00F55EF8" w:rsidRPr="00D12AB8">
        <w:t>Nevertheless, the comparison has been prepared in this way to reduce the possibility that the results are driven by Treasury</w:t>
      </w:r>
      <w:r w:rsidR="004F0077">
        <w:t>’</w:t>
      </w:r>
      <w:r w:rsidR="00F55EF8" w:rsidRPr="00D12AB8">
        <w:t>s information advantage.</w:t>
      </w:r>
    </w:p>
    <w:p w:rsidR="00E31489" w:rsidRPr="0072357E" w:rsidRDefault="00E31489" w:rsidP="00DC6CDF">
      <w:pPr>
        <w:spacing w:before="360"/>
      </w:pPr>
      <w:r w:rsidRPr="00D12AB8">
        <w:t xml:space="preserve">Compared with </w:t>
      </w:r>
      <w:r w:rsidR="00C106DF" w:rsidRPr="00D12AB8">
        <w:t>the forecasts of official agencies overseas</w:t>
      </w:r>
      <w:r w:rsidRPr="00D12AB8">
        <w:t>, Treasury</w:t>
      </w:r>
      <w:r w:rsidR="004F0077">
        <w:t>’</w:t>
      </w:r>
      <w:r w:rsidRPr="00D12AB8">
        <w:t xml:space="preserve">s forecasts display less bias than </w:t>
      </w:r>
      <w:r w:rsidR="00AB0648" w:rsidRPr="00D12AB8">
        <w:t xml:space="preserve">a number of the surveyed </w:t>
      </w:r>
      <w:r w:rsidRPr="00D12AB8">
        <w:t>agencies</w:t>
      </w:r>
      <w:r w:rsidR="00D73FA6" w:rsidRPr="00D12AB8">
        <w:t xml:space="preserve"> over the past decade</w:t>
      </w:r>
      <w:r w:rsidRPr="00D12AB8">
        <w:t xml:space="preserve"> and</w:t>
      </w:r>
      <w:r w:rsidR="00B25CFB" w:rsidRPr="00D12AB8">
        <w:t>,</w:t>
      </w:r>
      <w:r w:rsidRPr="00D12AB8">
        <w:t xml:space="preserve"> </w:t>
      </w:r>
      <w:r w:rsidR="00B25CFB" w:rsidRPr="00D12AB8">
        <w:t>in terms of accuracy, Treasury</w:t>
      </w:r>
      <w:r w:rsidR="004F0077">
        <w:t>’</w:t>
      </w:r>
      <w:r w:rsidR="00B25CFB" w:rsidRPr="00D12AB8">
        <w:t xml:space="preserve">s </w:t>
      </w:r>
      <w:r w:rsidR="00B25CFB" w:rsidRPr="00D12AB8">
        <w:lastRenderedPageBreak/>
        <w:t xml:space="preserve">forecasts </w:t>
      </w:r>
      <w:r w:rsidR="00051DDF" w:rsidRPr="00D12AB8">
        <w:t xml:space="preserve">are </w:t>
      </w:r>
      <w:r w:rsidR="00B25CFB" w:rsidRPr="00D12AB8">
        <w:t xml:space="preserve">comparable </w:t>
      </w:r>
      <w:r w:rsidR="00390D68" w:rsidRPr="00D12AB8">
        <w:t>with</w:t>
      </w:r>
      <w:r w:rsidR="00B25CFB" w:rsidRPr="00D12AB8">
        <w:t xml:space="preserve">, </w:t>
      </w:r>
      <w:r w:rsidR="00390D68" w:rsidRPr="00D12AB8">
        <w:t>or</w:t>
      </w:r>
      <w:r w:rsidR="00B25CFB" w:rsidRPr="00D12AB8">
        <w:t xml:space="preserve"> better than</w:t>
      </w:r>
      <w:r w:rsidR="0026263A" w:rsidRPr="00D12AB8">
        <w:t>,</w:t>
      </w:r>
      <w:r w:rsidR="00B25CFB" w:rsidRPr="00D12AB8">
        <w:t xml:space="preserve"> those of </w:t>
      </w:r>
      <w:r w:rsidR="00CF7BA6" w:rsidRPr="00D12AB8">
        <w:t>the</w:t>
      </w:r>
      <w:r w:rsidR="00B25CFB" w:rsidRPr="00D12AB8">
        <w:t xml:space="preserve"> </w:t>
      </w:r>
      <w:r w:rsidR="00AB0648" w:rsidRPr="00D12AB8">
        <w:t xml:space="preserve">surveyed </w:t>
      </w:r>
      <w:r w:rsidR="00B25CFB" w:rsidRPr="00D12AB8">
        <w:t>agencies</w:t>
      </w:r>
      <w:r w:rsidR="00086B7E" w:rsidRPr="00D12AB8">
        <w:t xml:space="preserve"> </w:t>
      </w:r>
      <w:r w:rsidR="008C4DDA" w:rsidRPr="00D12AB8">
        <w:t>(Figure </w:t>
      </w:r>
      <w:r w:rsidR="00224D47" w:rsidRPr="00D12AB8">
        <w:t>3.</w:t>
      </w:r>
      <w:r w:rsidR="008C4DDA" w:rsidRPr="00D12AB8">
        <w:t>1</w:t>
      </w:r>
      <w:r w:rsidR="004B3747" w:rsidRPr="00D12AB8">
        <w:t>3</w:t>
      </w:r>
      <w:r w:rsidR="008C4DDA" w:rsidRPr="00D12AB8">
        <w:t>)</w:t>
      </w:r>
      <w:r w:rsidRPr="00D12AB8">
        <w:t>.</w:t>
      </w:r>
      <w:r w:rsidR="00230FEF" w:rsidRPr="00D12AB8">
        <w:t xml:space="preserve"> </w:t>
      </w:r>
      <w:r w:rsidR="00834140" w:rsidRPr="00D12AB8">
        <w:t>In</w:t>
      </w:r>
      <w:r w:rsidR="00834140" w:rsidRPr="0072357E">
        <w:t xml:space="preserve"> particular Australian Government Budget forecasts </w:t>
      </w:r>
      <w:r w:rsidR="00F73DF3" w:rsidRPr="0072357E">
        <w:t xml:space="preserve">display less bias than those made by </w:t>
      </w:r>
      <w:r w:rsidR="00C77E6F" w:rsidRPr="0072357E">
        <w:t xml:space="preserve">official </w:t>
      </w:r>
      <w:r w:rsidR="00F73DF3" w:rsidRPr="0072357E">
        <w:t xml:space="preserve">agencies in </w:t>
      </w:r>
      <w:r w:rsidR="00F65F97" w:rsidRPr="0072357E">
        <w:t>Canada</w:t>
      </w:r>
      <w:r w:rsidR="00051DDF" w:rsidRPr="0072357E">
        <w:t xml:space="preserve">, </w:t>
      </w:r>
      <w:r w:rsidR="00F65F97" w:rsidRPr="0072357E">
        <w:t>New</w:t>
      </w:r>
      <w:r w:rsidR="0049665D">
        <w:t> </w:t>
      </w:r>
      <w:r w:rsidR="00F65F97" w:rsidRPr="0072357E">
        <w:t>Zealand</w:t>
      </w:r>
      <w:r w:rsidR="00F73DF3" w:rsidRPr="0072357E">
        <w:t xml:space="preserve"> and the </w:t>
      </w:r>
      <w:r w:rsidR="00F65F97" w:rsidRPr="0072357E">
        <w:t>United States.</w:t>
      </w:r>
      <w:r w:rsidR="00A04C1D" w:rsidRPr="0072357E">
        <w:t xml:space="preserve"> </w:t>
      </w:r>
      <w:r w:rsidR="004606D4" w:rsidRPr="0072357E">
        <w:t xml:space="preserve">The differences in forecasting accuracy </w:t>
      </w:r>
      <w:r w:rsidR="00D23691" w:rsidRPr="00E94C96">
        <w:t xml:space="preserve">between Australia and official </w:t>
      </w:r>
      <w:r w:rsidR="004606D4" w:rsidRPr="0072357E">
        <w:t xml:space="preserve">agencies </w:t>
      </w:r>
      <w:r w:rsidR="00D23691" w:rsidRPr="00E94C96">
        <w:t xml:space="preserve">overseas </w:t>
      </w:r>
      <w:r w:rsidR="004606D4" w:rsidRPr="0072357E">
        <w:t>were found not to be statistically significant at the 10</w:t>
      </w:r>
      <w:r w:rsidR="00805FCF">
        <w:t> per cent</w:t>
      </w:r>
      <w:r w:rsidR="00805FCF" w:rsidRPr="0072357E">
        <w:t xml:space="preserve"> </w:t>
      </w:r>
      <w:r w:rsidR="004606D4" w:rsidRPr="0072357E">
        <w:t>level</w:t>
      </w:r>
      <w:r w:rsidR="00877B3D" w:rsidRPr="00E94C96">
        <w:t>, except for the United States</w:t>
      </w:r>
      <w:r w:rsidR="004606D4" w:rsidRPr="0072357E">
        <w:t>.</w:t>
      </w:r>
    </w:p>
    <w:p w:rsidR="00252477" w:rsidRPr="0072357E" w:rsidRDefault="00F65F97" w:rsidP="00DA529C">
      <w:pPr>
        <w:pStyle w:val="ChartMainHeading"/>
        <w:spacing w:after="120"/>
      </w:pPr>
      <w:r w:rsidRPr="0072357E">
        <w:t xml:space="preserve">Figure </w:t>
      </w:r>
      <w:r w:rsidR="008E2652">
        <w:t>3.</w:t>
      </w:r>
      <w:r w:rsidR="008C4DDA" w:rsidRPr="0072357E">
        <w:t>1</w:t>
      </w:r>
      <w:r w:rsidR="00AE2ADB" w:rsidRPr="0072357E">
        <w:t>3</w:t>
      </w:r>
      <w:r w:rsidR="00252477" w:rsidRPr="0072357E">
        <w:t>:</w:t>
      </w:r>
      <w:r w:rsidR="004F0077">
        <w:t xml:space="preserve"> </w:t>
      </w:r>
      <w:r w:rsidR="00252477" w:rsidRPr="0072357E">
        <w:t xml:space="preserve">International </w:t>
      </w:r>
      <w:r w:rsidR="00371FFA">
        <w:t>C</w:t>
      </w:r>
      <w:r w:rsidR="00BC57A7" w:rsidRPr="0072357E">
        <w:t xml:space="preserve">omparison of </w:t>
      </w:r>
      <w:r w:rsidR="00371FFA">
        <w:t>B</w:t>
      </w:r>
      <w:r w:rsidR="00BC57A7" w:rsidRPr="0072357E">
        <w:t xml:space="preserve">udget </w:t>
      </w:r>
      <w:r w:rsidR="00371FFA">
        <w:t>F</w:t>
      </w:r>
      <w:r w:rsidR="00252477" w:rsidRPr="0072357E">
        <w:t xml:space="preserve">orecast </w:t>
      </w:r>
      <w:r w:rsidR="00371FFA">
        <w:t>E</w:t>
      </w:r>
      <w:r w:rsidR="00252477" w:rsidRPr="0072357E">
        <w:t xml:space="preserve">rrors </w:t>
      </w:r>
      <w:r w:rsidR="00A44860">
        <w:t>a</w:t>
      </w:r>
      <w:r w:rsidR="00BC57A7" w:rsidRPr="0072357E">
        <w:t xml:space="preserve">cross </w:t>
      </w:r>
      <w:r w:rsidR="00371FFA">
        <w:t>O</w:t>
      </w:r>
      <w:r w:rsidR="00BC57A7" w:rsidRPr="0072357E">
        <w:t xml:space="preserve">fficial </w:t>
      </w:r>
      <w:r w:rsidR="00371FFA">
        <w:t>A</w:t>
      </w:r>
      <w:r w:rsidR="00BC57A7" w:rsidRPr="0072357E">
        <w:t>gencies:</w:t>
      </w:r>
      <w:r w:rsidR="00230FEF">
        <w:t xml:space="preserve"> </w:t>
      </w:r>
      <w:r w:rsidR="0049665D">
        <w:br/>
      </w:r>
      <w:r w:rsidR="00371FFA">
        <w:t xml:space="preserve">Taxation </w:t>
      </w:r>
      <w:r w:rsidR="0049665D">
        <w:t>R</w:t>
      </w:r>
      <w:r w:rsidR="00252477" w:rsidRPr="0072357E">
        <w:t xml:space="preserve">evenue </w:t>
      </w:r>
      <w:r w:rsidR="00BC57A7" w:rsidRPr="0072357E">
        <w:t>G</w:t>
      </w:r>
      <w:r w:rsidR="0049665D">
        <w:t>rowth</w:t>
      </w:r>
      <w:r w:rsidR="00BC57A7" w:rsidRPr="0072357E">
        <w:t>:</w:t>
      </w:r>
      <w:r w:rsidR="004F0077">
        <w:t xml:space="preserve"> </w:t>
      </w:r>
      <w:r w:rsidR="00252477" w:rsidRPr="0072357E">
        <w:t>2001</w:t>
      </w:r>
      <w:r w:rsidR="00674CFB">
        <w:noBreakHyphen/>
      </w:r>
      <w:r w:rsidR="00252477" w:rsidRPr="0072357E">
        <w:t>02</w:t>
      </w:r>
      <w:r w:rsidR="00371FFA">
        <w:t xml:space="preserve"> to </w:t>
      </w:r>
      <w:r w:rsidR="00252477" w:rsidRPr="0072357E">
        <w:t>2010</w:t>
      </w:r>
      <w:r w:rsidR="00674CFB">
        <w:noBreakHyphen/>
      </w:r>
      <w:r w:rsidR="00252477" w:rsidRPr="0072357E">
        <w:t>11</w:t>
      </w:r>
    </w:p>
    <w:p w:rsidR="00220494" w:rsidRPr="00220494" w:rsidRDefault="009A09B5" w:rsidP="00DC6CDF">
      <w:pPr>
        <w:pStyle w:val="ChartGraphic"/>
        <w:spacing w:after="120"/>
      </w:pPr>
      <w:r>
        <w:fldChar w:fldCharType="begin"/>
      </w:r>
      <w:r>
        <w:instrText xml:space="preserve"> LINK Excel.Sheet.12 "" "" \a \p </w:instrText>
      </w:r>
      <w:r>
        <w:fldChar w:fldCharType="separate"/>
      </w:r>
      <w:r w:rsidR="00AB1F4C">
        <w:object w:dxaOrig="8490" w:dyaOrig="3960">
          <v:shape id="_x0000_i1046" type="#_x0000_t75" alt="This figure compares the accuracy of Treasury’s forecasts of taxation revenue growth with Official Budget Agencies from Canada, New Zealand, the United Kingdom and the United States from 2001‑02 to 2010-11 by comparing budget forecast errors.&#10;" style="width:424.45pt;height:200.1pt;mso-position-horizontal:absolute">
            <v:imagedata r:id="rId53" o:title=""/>
          </v:shape>
        </w:object>
      </w:r>
      <w:r>
        <w:fldChar w:fldCharType="end"/>
      </w:r>
    </w:p>
    <w:p w:rsidR="008C2030" w:rsidRPr="0072357E" w:rsidRDefault="008C2030">
      <w:pPr>
        <w:pStyle w:val="ChartandTableFootnoteAlpha"/>
        <w:rPr>
          <w:rFonts w:eastAsiaTheme="minorHAnsi"/>
          <w:lang w:eastAsia="en-US"/>
        </w:rPr>
      </w:pPr>
      <w:r w:rsidRPr="0072357E">
        <w:t xml:space="preserve">(a) Canada </w:t>
      </w:r>
      <w:r w:rsidR="007F51B4" w:rsidRPr="0072357E">
        <w:t>excludes 2002</w:t>
      </w:r>
      <w:r w:rsidR="00674CFB">
        <w:noBreakHyphen/>
      </w:r>
      <w:r w:rsidR="007F51B4" w:rsidRPr="0072357E">
        <w:t xml:space="preserve">03 as </w:t>
      </w:r>
      <w:r w:rsidR="00C106DF" w:rsidRPr="0072357E">
        <w:t>the</w:t>
      </w:r>
      <w:r w:rsidR="007F51B4" w:rsidRPr="0072357E">
        <w:t xml:space="preserve"> </w:t>
      </w:r>
      <w:r w:rsidR="00E3050E" w:rsidRPr="0072357E">
        <w:t xml:space="preserve">data </w:t>
      </w:r>
      <w:r w:rsidR="00236347" w:rsidRPr="0072357E">
        <w:t xml:space="preserve">is </w:t>
      </w:r>
      <w:r w:rsidR="00C106DF" w:rsidRPr="0072357E">
        <w:t xml:space="preserve">not </w:t>
      </w:r>
      <w:r w:rsidR="00236347" w:rsidRPr="0072357E">
        <w:t>available</w:t>
      </w:r>
      <w:r w:rsidR="007F51B4" w:rsidRPr="0072357E">
        <w:t>.</w:t>
      </w:r>
      <w:r w:rsidR="00C106DF" w:rsidRPr="0072357E">
        <w:rPr>
          <w:rFonts w:eastAsiaTheme="minorHAnsi"/>
          <w:lang w:eastAsia="en-US"/>
        </w:rPr>
        <w:t xml:space="preserve"> </w:t>
      </w:r>
      <w:r w:rsidRPr="0072357E">
        <w:rPr>
          <w:rFonts w:eastAsiaTheme="minorHAnsi"/>
          <w:lang w:eastAsia="en-US"/>
        </w:rPr>
        <w:t>(b) Adjusted for post</w:t>
      </w:r>
      <w:r w:rsidR="00674CFB">
        <w:rPr>
          <w:rFonts w:eastAsiaTheme="minorHAnsi"/>
          <w:lang w:eastAsia="en-US"/>
        </w:rPr>
        <w:noBreakHyphen/>
      </w:r>
      <w:r w:rsidRPr="0072357E">
        <w:rPr>
          <w:rFonts w:eastAsiaTheme="minorHAnsi"/>
          <w:lang w:eastAsia="en-US"/>
        </w:rPr>
        <w:t>Budget changes to policies.</w:t>
      </w:r>
    </w:p>
    <w:p w:rsidR="00DA70C3" w:rsidRPr="00DC6CDF" w:rsidRDefault="00E5400A" w:rsidP="00DC6CDF">
      <w:pPr>
        <w:pStyle w:val="ChartorTableNote"/>
        <w:rPr>
          <w:rFonts w:eastAsiaTheme="minorHAnsi"/>
        </w:rPr>
      </w:pPr>
      <w:r w:rsidRPr="00DC6CDF">
        <w:rPr>
          <w:rFonts w:eastAsiaTheme="minorHAnsi"/>
        </w:rPr>
        <w:t xml:space="preserve">Note: </w:t>
      </w:r>
      <w:r w:rsidR="00DA70C3" w:rsidRPr="00DC6CDF">
        <w:rPr>
          <w:rFonts w:eastAsiaTheme="minorHAnsi"/>
        </w:rPr>
        <w:t xml:space="preserve">There is a lag between the publication of budget forecasts and the commencement of each countries respective fiscal </w:t>
      </w:r>
      <w:r w:rsidR="00C80760" w:rsidRPr="00DC6CDF">
        <w:rPr>
          <w:rFonts w:eastAsiaTheme="minorHAnsi"/>
        </w:rPr>
        <w:t>year</w:t>
      </w:r>
      <w:r w:rsidR="00DA70C3" w:rsidRPr="00DC6CDF">
        <w:rPr>
          <w:rFonts w:eastAsiaTheme="minorHAnsi"/>
        </w:rPr>
        <w:t>. Australia, Canada and New Zealand have a two month lag; the United Kingdom a one month lag; and the United States (as discussed above) an eight month lag.</w:t>
      </w:r>
    </w:p>
    <w:p w:rsidR="00C106DF" w:rsidRPr="004258FD" w:rsidRDefault="002D12BF" w:rsidP="00DC6CDF">
      <w:pPr>
        <w:spacing w:before="360"/>
      </w:pPr>
      <w:r>
        <w:t>That said, i</w:t>
      </w:r>
      <w:r w:rsidR="00C106DF" w:rsidRPr="004258FD">
        <w:t>t should be noted that the United States</w:t>
      </w:r>
      <w:r w:rsidR="004F0077">
        <w:t>’</w:t>
      </w:r>
      <w:r w:rsidR="00A31481">
        <w:t xml:space="preserve"> Budget forecasts</w:t>
      </w:r>
      <w:r w:rsidR="00C106DF" w:rsidRPr="004258FD">
        <w:t xml:space="preserve"> are made further in advance of the beginning of the financial year than in other countries, which </w:t>
      </w:r>
      <w:r w:rsidR="0049665D">
        <w:t>may</w:t>
      </w:r>
      <w:r w:rsidR="00C106DF" w:rsidRPr="004258FD">
        <w:t xml:space="preserve"> reduce forecast accuracy.</w:t>
      </w:r>
      <w:r w:rsidR="00230FEF">
        <w:t xml:space="preserve"> </w:t>
      </w:r>
      <w:r w:rsidR="00BC765D">
        <w:t>In particular, t</w:t>
      </w:r>
      <w:r w:rsidR="00C106DF" w:rsidRPr="004258FD">
        <w:t>he United States</w:t>
      </w:r>
      <w:r w:rsidR="004F0077">
        <w:t>’</w:t>
      </w:r>
      <w:r w:rsidR="00C106DF" w:rsidRPr="004258FD">
        <w:t xml:space="preserve"> Budget forecasts are published around eight months prior to the beginning of the financial year, compared with </w:t>
      </w:r>
      <w:r w:rsidR="00BC57A7">
        <w:t xml:space="preserve">one to </w:t>
      </w:r>
      <w:r w:rsidR="00C106DF" w:rsidRPr="004258FD">
        <w:t>two months for the other countries</w:t>
      </w:r>
      <w:r w:rsidR="00BC765D">
        <w:t xml:space="preserve"> surveyed</w:t>
      </w:r>
      <w:r w:rsidR="00C106DF" w:rsidRPr="004258FD">
        <w:t>.</w:t>
      </w:r>
      <w:r w:rsidR="00230FEF">
        <w:t xml:space="preserve"> </w:t>
      </w:r>
      <w:r w:rsidR="00C106DF" w:rsidRPr="004258FD">
        <w:t>Tax</w:t>
      </w:r>
      <w:r w:rsidR="00BC765D">
        <w:t>ation</w:t>
      </w:r>
      <w:r w:rsidR="00C106DF" w:rsidRPr="004258FD">
        <w:t xml:space="preserve"> revenue growth has also been more volatile in the United States than in the other countries</w:t>
      </w:r>
      <w:r w:rsidR="00BC765D">
        <w:t xml:space="preserve"> surveyed</w:t>
      </w:r>
      <w:r w:rsidR="00C106DF" w:rsidRPr="004258FD">
        <w:t xml:space="preserve">, which </w:t>
      </w:r>
      <w:r w:rsidR="00BC765D">
        <w:t xml:space="preserve">also </w:t>
      </w:r>
      <w:r w:rsidR="00C106DF" w:rsidRPr="004258FD">
        <w:t xml:space="preserve">makes it harder to forecast. </w:t>
      </w:r>
    </w:p>
    <w:p w:rsidR="00B75285" w:rsidRDefault="005F577C" w:rsidP="00946BF4">
      <w:r w:rsidRPr="004258FD">
        <w:t>Unsurprisingly</w:t>
      </w:r>
      <w:r w:rsidR="002B2CD0" w:rsidRPr="004258FD">
        <w:t>, a</w:t>
      </w:r>
      <w:r w:rsidR="002E311B" w:rsidRPr="004258FD">
        <w:t>ll</w:t>
      </w:r>
      <w:r w:rsidR="00EA2D5E" w:rsidRPr="004258FD">
        <w:t xml:space="preserve"> international agencies significantly over</w:t>
      </w:r>
      <w:r w:rsidR="00674CFB">
        <w:noBreakHyphen/>
      </w:r>
      <w:r w:rsidR="00EA2D5E" w:rsidRPr="004258FD">
        <w:t xml:space="preserve">predicted </w:t>
      </w:r>
      <w:r w:rsidR="008043FD">
        <w:t xml:space="preserve">taxation </w:t>
      </w:r>
      <w:r w:rsidR="00EA2D5E" w:rsidRPr="004258FD">
        <w:t>revenue growth during 2008</w:t>
      </w:r>
      <w:r w:rsidR="00674CFB">
        <w:noBreakHyphen/>
      </w:r>
      <w:r w:rsidR="00EA2D5E" w:rsidRPr="004258FD">
        <w:t>09, the year of the onset of the GFC (</w:t>
      </w:r>
      <w:r w:rsidR="002E311B" w:rsidRPr="004258FD">
        <w:t xml:space="preserve">Figure </w:t>
      </w:r>
      <w:r w:rsidR="00224D47">
        <w:t>3.</w:t>
      </w:r>
      <w:r w:rsidR="00AE2ADB">
        <w:t>13</w:t>
      </w:r>
      <w:r w:rsidR="00EA2D5E" w:rsidRPr="004258FD">
        <w:t>).</w:t>
      </w:r>
      <w:r w:rsidR="00230FEF">
        <w:t xml:space="preserve"> </w:t>
      </w:r>
      <w:r w:rsidR="00EA2D5E" w:rsidRPr="004258FD">
        <w:t>The pattern in 2009</w:t>
      </w:r>
      <w:r w:rsidR="00674CFB">
        <w:noBreakHyphen/>
      </w:r>
      <w:r w:rsidR="00EA2D5E" w:rsidRPr="004258FD">
        <w:t>10 is less clear</w:t>
      </w:r>
      <w:r w:rsidR="00365D1B" w:rsidRPr="004258FD">
        <w:t xml:space="preserve">. </w:t>
      </w:r>
      <w:r w:rsidR="00155E99" w:rsidRPr="004258FD">
        <w:t xml:space="preserve">Australia, Canada and New Zealand made quite accurate forecasts, while the United Kingdom overestimated the impact of the GFC on </w:t>
      </w:r>
      <w:r w:rsidR="008043FD">
        <w:t xml:space="preserve">taxation </w:t>
      </w:r>
      <w:r w:rsidR="00155E99" w:rsidRPr="004258FD">
        <w:t>revenue and the United States underestimated its impact.</w:t>
      </w:r>
    </w:p>
    <w:p w:rsidR="00B75285" w:rsidRPr="004258FD" w:rsidRDefault="00B75285" w:rsidP="009D7C2C">
      <w:pPr>
        <w:pStyle w:val="Heading3"/>
      </w:pPr>
      <w:r w:rsidRPr="004258FD">
        <w:t>Comparison with naïve trend forecasts</w:t>
      </w:r>
    </w:p>
    <w:p w:rsidR="00B75285" w:rsidRDefault="00B75285" w:rsidP="00C25E7E">
      <w:r w:rsidRPr="004258FD">
        <w:t>Treasury</w:t>
      </w:r>
      <w:r w:rsidR="004F0077">
        <w:t>’</w:t>
      </w:r>
      <w:r w:rsidRPr="004258FD">
        <w:t xml:space="preserve">s </w:t>
      </w:r>
      <w:r>
        <w:t>tax</w:t>
      </w:r>
      <w:r w:rsidR="00F320A0">
        <w:t>ation</w:t>
      </w:r>
      <w:r>
        <w:t xml:space="preserve"> revenue forecasts</w:t>
      </w:r>
      <w:r w:rsidRPr="004258FD">
        <w:t xml:space="preserve"> outperform trend estimates for the Budget forecast round (</w:t>
      </w:r>
      <w:r w:rsidR="00805FCF" w:rsidRPr="004258FD">
        <w:t>one</w:t>
      </w:r>
      <w:r w:rsidR="00805FCF">
        <w:t> </w:t>
      </w:r>
      <w:r w:rsidRPr="004258FD">
        <w:t xml:space="preserve">quarter out from the start of the financial year) (Table </w:t>
      </w:r>
      <w:r w:rsidR="00224D47">
        <w:t>3.</w:t>
      </w:r>
      <w:r w:rsidR="00F451FA">
        <w:t>9</w:t>
      </w:r>
      <w:r w:rsidRPr="004258FD">
        <w:t xml:space="preserve">). </w:t>
      </w:r>
      <w:r w:rsidRPr="00F002DC">
        <w:t xml:space="preserve">The differences in the MAPEs between naïve </w:t>
      </w:r>
      <w:r w:rsidR="00FB6262">
        <w:t xml:space="preserve">trend forecasts </w:t>
      </w:r>
      <w:r w:rsidRPr="00F002DC">
        <w:t>and Treasury</w:t>
      </w:r>
      <w:r w:rsidR="004F0077">
        <w:t>’</w:t>
      </w:r>
      <w:r w:rsidR="00FB6262">
        <w:t>s</w:t>
      </w:r>
      <w:r w:rsidRPr="00F002DC">
        <w:t xml:space="preserve"> forecasts are </w:t>
      </w:r>
      <w:r w:rsidR="00997B77">
        <w:t xml:space="preserve">all </w:t>
      </w:r>
      <w:r w:rsidRPr="00F002DC">
        <w:t xml:space="preserve">statistically significant. </w:t>
      </w:r>
      <w:r>
        <w:t xml:space="preserve">Underlying (policy adjusted) </w:t>
      </w:r>
      <w:r w:rsidR="008043FD">
        <w:t xml:space="preserve">taxation </w:t>
      </w:r>
      <w:r>
        <w:t xml:space="preserve">revenue series are used for this analysis, </w:t>
      </w:r>
      <w:r w:rsidR="00FB6262">
        <w:t>which</w:t>
      </w:r>
      <w:r w:rsidRPr="00981C95">
        <w:t xml:space="preserve"> remove</w:t>
      </w:r>
      <w:r w:rsidR="00C25E7E">
        <w:t xml:space="preserve"> </w:t>
      </w:r>
      <w:r w:rsidRPr="00981C95">
        <w:t>the advantage that Treasury</w:t>
      </w:r>
      <w:r w:rsidR="004F0077">
        <w:t>’</w:t>
      </w:r>
      <w:r w:rsidRPr="00981C95">
        <w:t xml:space="preserve">s forecasts would otherwise have over the trend forecasts </w:t>
      </w:r>
      <w:r w:rsidR="00FB6262">
        <w:t xml:space="preserve">relating to the impact of new policy </w:t>
      </w:r>
      <w:r w:rsidR="00C25E7E">
        <w:t>on the outcomes, as well as the construction of the trend estimates F</w:t>
      </w:r>
      <w:r w:rsidRPr="00981C95">
        <w:t>or example, the Treasury forecasts would factor in the introduction of the GST in 2000</w:t>
      </w:r>
      <w:r w:rsidR="00674CFB">
        <w:noBreakHyphen/>
      </w:r>
      <w:r w:rsidRPr="00981C95">
        <w:t xml:space="preserve">01, whereas </w:t>
      </w:r>
      <w:r w:rsidR="0069694E">
        <w:t xml:space="preserve">naïve forecasts based on </w:t>
      </w:r>
      <w:r w:rsidRPr="00981C95">
        <w:t>trend</w:t>
      </w:r>
      <w:r w:rsidR="0069694E">
        <w:t>s in h</w:t>
      </w:r>
      <w:r w:rsidR="0012752E">
        <w:t>eadline tax</w:t>
      </w:r>
      <w:r w:rsidR="00C25E7E">
        <w:t>ation</w:t>
      </w:r>
      <w:r w:rsidR="0012752E">
        <w:t xml:space="preserve"> revenue </w:t>
      </w:r>
      <w:r w:rsidRPr="00981C95">
        <w:t>would not</w:t>
      </w:r>
      <w:r w:rsidR="0012752E">
        <w:t xml:space="preserve"> capture </w:t>
      </w:r>
      <w:r w:rsidR="00FB6262">
        <w:t xml:space="preserve">this </w:t>
      </w:r>
      <w:r w:rsidR="0012752E">
        <w:t>new policy</w:t>
      </w:r>
      <w:r w:rsidR="00C25E7E">
        <w:t>. Subsequent to the introduction of the GST</w:t>
      </w:r>
      <w:r w:rsidR="00F0178A">
        <w:t xml:space="preserve">, naïve </w:t>
      </w:r>
      <w:r w:rsidR="00C25E7E">
        <w:t>trend forecasts based upon headline taxation revenue would be biased upwards reflecting the introduction of the GST</w:t>
      </w:r>
      <w:r w:rsidRPr="00981C95">
        <w:t>.</w:t>
      </w:r>
      <w:r w:rsidR="00F0178A">
        <w:t xml:space="preserve"> </w:t>
      </w:r>
    </w:p>
    <w:p w:rsidR="00B75285" w:rsidRPr="004258FD" w:rsidRDefault="00B75285" w:rsidP="00A4589D">
      <w:pPr>
        <w:pStyle w:val="TableMainHeading"/>
        <w:spacing w:after="120"/>
      </w:pPr>
      <w:r w:rsidRPr="004258FD">
        <w:lastRenderedPageBreak/>
        <w:t xml:space="preserve">Table </w:t>
      </w:r>
      <w:r w:rsidR="008E2652">
        <w:t>3.</w:t>
      </w:r>
      <w:r w:rsidR="00F451FA">
        <w:t>9</w:t>
      </w:r>
      <w:r w:rsidRPr="004258FD">
        <w:t>:</w:t>
      </w:r>
      <w:r w:rsidR="004F0077">
        <w:t xml:space="preserve"> </w:t>
      </w:r>
      <w:r w:rsidRPr="004258FD">
        <w:t xml:space="preserve">Performance of Treasury </w:t>
      </w:r>
      <w:r w:rsidR="0049665D">
        <w:t xml:space="preserve">Budget Forecasts </w:t>
      </w:r>
      <w:r w:rsidRPr="004258FD">
        <w:t xml:space="preserve">and </w:t>
      </w:r>
      <w:r w:rsidR="0049665D">
        <w:t>N</w:t>
      </w:r>
      <w:r w:rsidRPr="004258FD">
        <w:t xml:space="preserve">aïve </w:t>
      </w:r>
      <w:r w:rsidR="0049665D">
        <w:t>T</w:t>
      </w:r>
      <w:r w:rsidRPr="004258FD">
        <w:t xml:space="preserve">rend </w:t>
      </w:r>
      <w:r w:rsidR="0049665D">
        <w:t>F</w:t>
      </w:r>
      <w:r w:rsidRPr="004258FD">
        <w:t xml:space="preserve">orecasts against </w:t>
      </w:r>
      <w:r w:rsidR="001D4FA7">
        <w:t>E</w:t>
      </w:r>
      <w:r w:rsidR="00291253">
        <w:t xml:space="preserve">stimated </w:t>
      </w:r>
      <w:r w:rsidR="0049665D">
        <w:t>U</w:t>
      </w:r>
      <w:r w:rsidR="00291253">
        <w:t xml:space="preserve">nderlying </w:t>
      </w:r>
      <w:r w:rsidR="0049665D">
        <w:t>T</w:t>
      </w:r>
      <w:r>
        <w:t>ax</w:t>
      </w:r>
      <w:r w:rsidR="00291253">
        <w:t>ation</w:t>
      </w:r>
      <w:r>
        <w:t xml:space="preserve"> </w:t>
      </w:r>
      <w:r w:rsidR="0049665D">
        <w:t>R</w:t>
      </w:r>
      <w:r>
        <w:t xml:space="preserve">evenue </w:t>
      </w:r>
      <w:r w:rsidR="00CD5579">
        <w:t xml:space="preserve">Growth </w:t>
      </w:r>
      <w:r w:rsidR="0049665D">
        <w:t>O</w:t>
      </w:r>
      <w:r w:rsidRPr="004258FD">
        <w:t>utcomes (1990</w:t>
      </w:r>
      <w:r w:rsidR="00674CFB">
        <w:noBreakHyphen/>
      </w:r>
      <w:r w:rsidRPr="004258FD">
        <w:t>91 to 2011</w:t>
      </w:r>
      <w:r w:rsidR="00674CFB">
        <w:noBreakHyphen/>
      </w:r>
      <w:r w:rsidRPr="004258FD">
        <w:t xml:space="preserve">12) </w:t>
      </w:r>
    </w:p>
    <w:p w:rsidR="00B75285" w:rsidRPr="004258FD" w:rsidRDefault="004F4CF5" w:rsidP="008B0EA7">
      <w:pPr>
        <w:pStyle w:val="TableGraphic"/>
        <w:jc w:val="center"/>
      </w:pPr>
      <w:r>
        <w:object w:dxaOrig="5988" w:dyaOrig="2805">
          <v:shape id="_x0000_i1047" type="#_x0000_t75" style="width:298.9pt;height:140.65pt" o:ole="">
            <v:imagedata r:id="rId54" o:title=""/>
          </v:shape>
          <o:OLEObject Type="Link" ProgID="Excel.Sheet.12" ShapeID="_x0000_i1047" DrawAspect="Content" r:id="rId55" UpdateMode="Always">
            <o:LinkType>EnhancedMetaFile</o:LinkType>
            <o:LockedField/>
          </o:OLEObject>
        </w:object>
      </w:r>
    </w:p>
    <w:p w:rsidR="00B75285" w:rsidRPr="00BC4E55" w:rsidRDefault="00B75285" w:rsidP="00946BF4">
      <w:pPr>
        <w:pStyle w:val="ChartorTableNote"/>
        <w:rPr>
          <w:b/>
        </w:rPr>
      </w:pPr>
      <w:r w:rsidRPr="00E633F6">
        <w:t>Note:</w:t>
      </w:r>
      <w:r w:rsidR="00230FEF">
        <w:t xml:space="preserve"> </w:t>
      </w:r>
      <w:r w:rsidRPr="00E633F6">
        <w:t xml:space="preserve">Trend is defined as the </w:t>
      </w:r>
      <w:r w:rsidR="00805FCF">
        <w:t>one</w:t>
      </w:r>
      <w:r w:rsidR="00BB19A4">
        <w:t xml:space="preserve">, </w:t>
      </w:r>
      <w:r w:rsidR="00805FCF">
        <w:t>three</w:t>
      </w:r>
      <w:r w:rsidR="00BB19A4">
        <w:t xml:space="preserve">, </w:t>
      </w:r>
      <w:r w:rsidR="00805FCF">
        <w:t xml:space="preserve">five </w:t>
      </w:r>
      <w:r w:rsidR="00BB19A4">
        <w:t xml:space="preserve">and 10 year moving </w:t>
      </w:r>
      <w:r w:rsidRPr="00E633F6">
        <w:t>average annual growth rate</w:t>
      </w:r>
      <w:r w:rsidR="00BB19A4">
        <w:t xml:space="preserve"> in underlying taxation </w:t>
      </w:r>
      <w:r w:rsidR="00BB19A4" w:rsidRPr="0072357E">
        <w:t>revenue.</w:t>
      </w:r>
      <w:r w:rsidR="00291253" w:rsidRPr="0072357E">
        <w:t xml:space="preserve"> </w:t>
      </w:r>
      <w:r w:rsidR="00291253" w:rsidRPr="008B0EA7">
        <w:t xml:space="preserve">Underlying taxation revenue </w:t>
      </w:r>
      <w:r w:rsidR="00CD5579" w:rsidRPr="008B0EA7">
        <w:t xml:space="preserve">growth </w:t>
      </w:r>
      <w:r w:rsidR="00291253" w:rsidRPr="008B0EA7">
        <w:t xml:space="preserve">is </w:t>
      </w:r>
      <w:r w:rsidR="00CD5579" w:rsidRPr="008B0EA7">
        <w:t xml:space="preserve">calculated </w:t>
      </w:r>
      <w:r w:rsidR="00291253" w:rsidRPr="008B0EA7">
        <w:t>by</w:t>
      </w:r>
      <w:r w:rsidR="00CD5579" w:rsidRPr="008B0EA7">
        <w:t xml:space="preserve"> </w:t>
      </w:r>
      <w:r w:rsidR="001B4D14">
        <w:t xml:space="preserve">adjusting headline revenue for </w:t>
      </w:r>
      <w:r w:rsidR="00CD5579" w:rsidRPr="008B0EA7">
        <w:t>changes to policy between years</w:t>
      </w:r>
      <w:r w:rsidR="006A15FE" w:rsidRPr="008B0EA7">
        <w:t>.</w:t>
      </w:r>
    </w:p>
    <w:p w:rsidR="00A014AE" w:rsidRDefault="00B75285" w:rsidP="00A014AE">
      <w:pPr>
        <w:spacing w:before="360"/>
        <w:rPr>
          <w:rFonts w:eastAsiaTheme="minorHAnsi"/>
          <w:lang w:eastAsia="en-US"/>
        </w:rPr>
      </w:pPr>
      <w:r w:rsidRPr="001C3F90">
        <w:rPr>
          <w:rFonts w:eastAsiaTheme="minorHAnsi"/>
          <w:lang w:eastAsia="en-US"/>
        </w:rPr>
        <w:t>Treasury</w:t>
      </w:r>
      <w:r w:rsidR="004F0077">
        <w:rPr>
          <w:rFonts w:eastAsiaTheme="minorHAnsi"/>
          <w:lang w:eastAsia="en-US"/>
        </w:rPr>
        <w:t>’</w:t>
      </w:r>
      <w:r w:rsidR="00205A42">
        <w:rPr>
          <w:rFonts w:eastAsiaTheme="minorHAnsi"/>
          <w:lang w:eastAsia="en-US"/>
        </w:rPr>
        <w:t>s</w:t>
      </w:r>
      <w:r w:rsidRPr="001C3F90">
        <w:rPr>
          <w:rFonts w:eastAsiaTheme="minorHAnsi"/>
          <w:lang w:eastAsia="en-US"/>
        </w:rPr>
        <w:t xml:space="preserve"> forecasts </w:t>
      </w:r>
      <w:r w:rsidR="002501FB">
        <w:rPr>
          <w:rFonts w:eastAsiaTheme="minorHAnsi"/>
          <w:lang w:eastAsia="en-US"/>
        </w:rPr>
        <w:t xml:space="preserve">tend to </w:t>
      </w:r>
      <w:r w:rsidRPr="001C3F90">
        <w:rPr>
          <w:rFonts w:eastAsiaTheme="minorHAnsi"/>
          <w:lang w:eastAsia="en-US"/>
        </w:rPr>
        <w:t xml:space="preserve">perform better than trend estimates </w:t>
      </w:r>
      <w:r w:rsidR="002501FB">
        <w:rPr>
          <w:rFonts w:eastAsiaTheme="minorHAnsi"/>
          <w:lang w:eastAsia="en-US"/>
        </w:rPr>
        <w:t xml:space="preserve">during periods of economic volatility, </w:t>
      </w:r>
      <w:r w:rsidRPr="001C3F90">
        <w:rPr>
          <w:rFonts w:eastAsiaTheme="minorHAnsi"/>
          <w:lang w:eastAsia="en-US"/>
        </w:rPr>
        <w:t xml:space="preserve">particularly </w:t>
      </w:r>
      <w:r w:rsidR="00CE7FEB">
        <w:rPr>
          <w:rFonts w:eastAsiaTheme="minorHAnsi"/>
          <w:lang w:eastAsia="en-US"/>
        </w:rPr>
        <w:t xml:space="preserve">during </w:t>
      </w:r>
      <w:r w:rsidRPr="001C3F90">
        <w:rPr>
          <w:rFonts w:eastAsiaTheme="minorHAnsi"/>
          <w:lang w:eastAsia="en-US"/>
        </w:rPr>
        <w:t>the two downturns in tax</w:t>
      </w:r>
      <w:r w:rsidR="002501FB">
        <w:rPr>
          <w:rFonts w:eastAsiaTheme="minorHAnsi"/>
          <w:lang w:eastAsia="en-US"/>
        </w:rPr>
        <w:t>ation</w:t>
      </w:r>
      <w:r w:rsidRPr="001C3F90">
        <w:rPr>
          <w:rFonts w:eastAsiaTheme="minorHAnsi"/>
          <w:lang w:eastAsia="en-US"/>
        </w:rPr>
        <w:t xml:space="preserve"> revenue (the early 1990</w:t>
      </w:r>
      <w:r w:rsidR="004F0077">
        <w:rPr>
          <w:rFonts w:eastAsiaTheme="minorHAnsi"/>
          <w:lang w:eastAsia="en-US"/>
        </w:rPr>
        <w:t>’</w:t>
      </w:r>
      <w:r w:rsidRPr="001C3F90">
        <w:rPr>
          <w:rFonts w:eastAsiaTheme="minorHAnsi"/>
          <w:lang w:eastAsia="en-US"/>
        </w:rPr>
        <w:t>s recession and the GFC).</w:t>
      </w:r>
      <w:r w:rsidR="00230FEF">
        <w:rPr>
          <w:rFonts w:eastAsiaTheme="minorHAnsi"/>
          <w:lang w:eastAsia="en-US"/>
        </w:rPr>
        <w:t xml:space="preserve"> </w:t>
      </w:r>
      <w:r w:rsidR="002501FB">
        <w:rPr>
          <w:rFonts w:eastAsiaTheme="minorHAnsi"/>
          <w:lang w:eastAsia="en-US"/>
        </w:rPr>
        <w:t xml:space="preserve">This is because </w:t>
      </w:r>
      <w:r w:rsidRPr="001C3F90">
        <w:rPr>
          <w:rFonts w:eastAsiaTheme="minorHAnsi"/>
          <w:lang w:eastAsia="en-US"/>
        </w:rPr>
        <w:t>Treasury</w:t>
      </w:r>
      <w:r w:rsidR="004F0077">
        <w:rPr>
          <w:rFonts w:eastAsiaTheme="minorHAnsi"/>
          <w:lang w:eastAsia="en-US"/>
        </w:rPr>
        <w:t>’</w:t>
      </w:r>
      <w:r w:rsidRPr="001C3F90">
        <w:rPr>
          <w:rFonts w:eastAsiaTheme="minorHAnsi"/>
          <w:lang w:eastAsia="en-US"/>
        </w:rPr>
        <w:t>s forecast</w:t>
      </w:r>
      <w:r w:rsidR="00CE7FEB">
        <w:rPr>
          <w:rFonts w:eastAsiaTheme="minorHAnsi"/>
          <w:lang w:eastAsia="en-US"/>
        </w:rPr>
        <w:t>er</w:t>
      </w:r>
      <w:r w:rsidRPr="001C3F90">
        <w:rPr>
          <w:rFonts w:eastAsiaTheme="minorHAnsi"/>
          <w:lang w:eastAsia="en-US"/>
        </w:rPr>
        <w:t xml:space="preserve">s </w:t>
      </w:r>
      <w:r w:rsidR="00CE7FEB">
        <w:rPr>
          <w:rFonts w:eastAsiaTheme="minorHAnsi"/>
          <w:lang w:eastAsia="en-US"/>
        </w:rPr>
        <w:t xml:space="preserve">can more </w:t>
      </w:r>
      <w:r w:rsidR="00CE7FEB" w:rsidRPr="006959FC">
        <w:rPr>
          <w:rFonts w:eastAsiaTheme="minorHAnsi"/>
          <w:lang w:eastAsia="en-US"/>
        </w:rPr>
        <w:t xml:space="preserve">rapidly </w:t>
      </w:r>
      <w:r w:rsidR="00CE7FEB" w:rsidRPr="00E94C96">
        <w:t>incorporate information</w:t>
      </w:r>
      <w:r w:rsidR="00CE7FEB" w:rsidRPr="006959FC">
        <w:rPr>
          <w:rFonts w:eastAsiaTheme="minorHAnsi"/>
          <w:lang w:eastAsia="en-US"/>
        </w:rPr>
        <w:t xml:space="preserve"> relating to these </w:t>
      </w:r>
      <w:r w:rsidRPr="006959FC">
        <w:rPr>
          <w:rFonts w:eastAsiaTheme="minorHAnsi"/>
          <w:lang w:eastAsia="en-US"/>
        </w:rPr>
        <w:t>downturns</w:t>
      </w:r>
      <w:r w:rsidR="00F320A0">
        <w:rPr>
          <w:rFonts w:eastAsiaTheme="minorHAnsi"/>
          <w:lang w:eastAsia="en-US"/>
        </w:rPr>
        <w:t>,</w:t>
      </w:r>
      <w:r w:rsidRPr="006959FC">
        <w:rPr>
          <w:rFonts w:eastAsiaTheme="minorHAnsi"/>
          <w:lang w:eastAsia="en-US"/>
        </w:rPr>
        <w:t xml:space="preserve"> and the </w:t>
      </w:r>
      <w:r w:rsidR="00CE7FEB" w:rsidRPr="006959FC">
        <w:rPr>
          <w:rFonts w:eastAsiaTheme="minorHAnsi"/>
          <w:lang w:eastAsia="en-US"/>
        </w:rPr>
        <w:t xml:space="preserve">subsequent </w:t>
      </w:r>
      <w:r w:rsidRPr="006959FC">
        <w:rPr>
          <w:rFonts w:eastAsiaTheme="minorHAnsi"/>
          <w:lang w:eastAsia="en-US"/>
        </w:rPr>
        <w:t xml:space="preserve">bounce back in </w:t>
      </w:r>
      <w:r w:rsidR="008043FD">
        <w:rPr>
          <w:rFonts w:eastAsiaTheme="minorHAnsi"/>
          <w:lang w:eastAsia="en-US"/>
        </w:rPr>
        <w:t xml:space="preserve">taxation </w:t>
      </w:r>
      <w:r w:rsidRPr="001C3F90">
        <w:rPr>
          <w:rFonts w:eastAsiaTheme="minorHAnsi"/>
          <w:lang w:eastAsia="en-US"/>
        </w:rPr>
        <w:t>revenue during the recovery phase</w:t>
      </w:r>
      <w:r w:rsidR="00F320A0">
        <w:rPr>
          <w:rFonts w:eastAsiaTheme="minorHAnsi"/>
          <w:lang w:eastAsia="en-US"/>
        </w:rPr>
        <w:t>,</w:t>
      </w:r>
      <w:r w:rsidRPr="001C3F90">
        <w:rPr>
          <w:rFonts w:eastAsiaTheme="minorHAnsi"/>
          <w:lang w:eastAsia="en-US"/>
        </w:rPr>
        <w:t xml:space="preserve"> </w:t>
      </w:r>
      <w:r w:rsidR="00CE7FEB">
        <w:rPr>
          <w:rFonts w:eastAsiaTheme="minorHAnsi"/>
          <w:lang w:eastAsia="en-US"/>
        </w:rPr>
        <w:t xml:space="preserve">than </w:t>
      </w:r>
      <w:r w:rsidRPr="001C3F90">
        <w:rPr>
          <w:rFonts w:eastAsiaTheme="minorHAnsi"/>
          <w:lang w:eastAsia="en-US"/>
        </w:rPr>
        <w:t>backward</w:t>
      </w:r>
      <w:r w:rsidR="00674CFB">
        <w:rPr>
          <w:rFonts w:eastAsiaTheme="minorHAnsi"/>
          <w:lang w:eastAsia="en-US"/>
        </w:rPr>
        <w:noBreakHyphen/>
      </w:r>
      <w:r w:rsidRPr="001C3F90">
        <w:rPr>
          <w:rFonts w:eastAsiaTheme="minorHAnsi"/>
          <w:lang w:eastAsia="en-US"/>
        </w:rPr>
        <w:t xml:space="preserve">looking trend estimates. </w:t>
      </w:r>
    </w:p>
    <w:p w:rsidR="00A014AE" w:rsidRDefault="00A014AE" w:rsidP="00A014AE">
      <w:pPr>
        <w:pStyle w:val="Heading1"/>
        <w:keepNext w:val="0"/>
        <w:sectPr w:rsidR="00A014AE" w:rsidSect="00044069">
          <w:headerReference w:type="even" r:id="rId56"/>
          <w:headerReference w:type="default" r:id="rId57"/>
          <w:footerReference w:type="even" r:id="rId58"/>
          <w:footerReference w:type="default" r:id="rId59"/>
          <w:footerReference w:type="first" r:id="rId60"/>
          <w:pgSz w:w="11906" w:h="16838"/>
          <w:pgMar w:top="1440" w:right="1440" w:bottom="1440" w:left="1440" w:header="708" w:footer="708" w:gutter="0"/>
          <w:pgNumType w:start="25"/>
          <w:cols w:space="708"/>
          <w:titlePg/>
          <w:docGrid w:linePitch="360"/>
        </w:sectPr>
      </w:pPr>
    </w:p>
    <w:p w:rsidR="00211A7F" w:rsidRPr="00A014AE" w:rsidRDefault="00211A7F" w:rsidP="007A6D43">
      <w:pPr>
        <w:pStyle w:val="Heading2"/>
        <w:rPr>
          <w:rFonts w:eastAsiaTheme="minorHAnsi"/>
          <w:lang w:eastAsia="en-US"/>
        </w:rPr>
      </w:pPr>
      <w:r w:rsidRPr="00D12AB8">
        <w:lastRenderedPageBreak/>
        <w:t>APPENDIX:</w:t>
      </w:r>
      <w:r w:rsidR="004F0077">
        <w:t xml:space="preserve"> </w:t>
      </w:r>
      <w:r w:rsidR="00096FD6">
        <w:t xml:space="preserve">MACROECONOMIC </w:t>
      </w:r>
      <w:r w:rsidRPr="00D12AB8">
        <w:t>FORECAST COMPARISON WITH OTHER DOMESTIC FORECASTERS</w:t>
      </w:r>
    </w:p>
    <w:p w:rsidR="00211A7F" w:rsidRPr="00D12AB8" w:rsidRDefault="00211A7F" w:rsidP="008B0EA7">
      <w:pPr>
        <w:pStyle w:val="ChartMainHeading"/>
        <w:spacing w:after="120"/>
      </w:pPr>
      <w:r w:rsidRPr="00D12AB8">
        <w:t xml:space="preserve">Figure 3.14: Comparison of </w:t>
      </w:r>
      <w:r w:rsidR="00DD3088">
        <w:t xml:space="preserve">Budget </w:t>
      </w:r>
      <w:r w:rsidR="00DD3088" w:rsidRPr="00D12AB8">
        <w:t xml:space="preserve">Forecast Errors </w:t>
      </w:r>
      <w:r w:rsidR="00DD3088">
        <w:t xml:space="preserve">for </w:t>
      </w:r>
      <w:r w:rsidRPr="00D12AB8">
        <w:t xml:space="preserve">Nominal GDP </w:t>
      </w:r>
      <w:r w:rsidR="00695464">
        <w:t>Growth</w:t>
      </w:r>
    </w:p>
    <w:p w:rsidR="00211A7F" w:rsidRPr="00D12AB8" w:rsidRDefault="008A1B8B">
      <w:pPr>
        <w:pStyle w:val="ChartGraphic"/>
      </w:pPr>
      <w:r w:rsidRPr="00D12AB8">
        <w:object w:dxaOrig="8775" w:dyaOrig="3961">
          <v:shape id="_x0000_i1048" type="#_x0000_t75" alt="This figure compares Treasury’s Budget forecast errors for nominal GDP growth for the Budget year since 1990-91 with those of the RBA and Access.&#10;" style="width:439.55pt;height:199.25pt" o:ole="">
            <v:imagedata r:id="rId61" o:title=""/>
          </v:shape>
          <o:OLEObject Type="Link" ProgID="Excel.Sheet.12" ShapeID="_x0000_i1048" DrawAspect="Content" r:id="rId62" UpdateMode="Always">
            <o:LinkType>EnhancedMetaFile</o:LinkType>
            <o:LockedField/>
            <o:FieldCodes>\* MERGEFORMAT</o:FieldCodes>
          </o:OLEObject>
        </w:object>
      </w:r>
    </w:p>
    <w:p w:rsidR="00211A7F" w:rsidRPr="00D12AB8" w:rsidRDefault="00211A7F" w:rsidP="00DC6CDF">
      <w:pPr>
        <w:pStyle w:val="ChartMainHeading"/>
        <w:spacing w:before="480" w:after="120"/>
      </w:pPr>
      <w:r w:rsidRPr="00D12AB8">
        <w:t xml:space="preserve">Figure 3.15: Comparison of </w:t>
      </w:r>
      <w:r w:rsidR="00BE7651">
        <w:t xml:space="preserve">Budget </w:t>
      </w:r>
      <w:r w:rsidR="006C5911" w:rsidRPr="00D12AB8">
        <w:t>F</w:t>
      </w:r>
      <w:r w:rsidRPr="00D12AB8">
        <w:t xml:space="preserve">orecast </w:t>
      </w:r>
      <w:r w:rsidR="006C5911" w:rsidRPr="00D12AB8">
        <w:t>E</w:t>
      </w:r>
      <w:r w:rsidRPr="00D12AB8">
        <w:t>rrors</w:t>
      </w:r>
      <w:r w:rsidR="00DD3088" w:rsidRPr="00DD3088">
        <w:t xml:space="preserve"> </w:t>
      </w:r>
      <w:r w:rsidR="00DD3088">
        <w:t xml:space="preserve">for </w:t>
      </w:r>
      <w:r w:rsidR="00DD3088" w:rsidRPr="00D12AB8">
        <w:t>Terms of Trade Growth</w:t>
      </w:r>
    </w:p>
    <w:p w:rsidR="00211A7F" w:rsidRDefault="008A1B8B" w:rsidP="008B0EA7">
      <w:pPr>
        <w:pStyle w:val="ChartGraphic"/>
        <w:rPr>
          <w:rFonts w:eastAsiaTheme="minorHAnsi"/>
          <w:lang w:eastAsia="en-US"/>
        </w:rPr>
      </w:pPr>
      <w:r w:rsidRPr="00D12AB8">
        <w:object w:dxaOrig="8775" w:dyaOrig="3961">
          <v:shape id="_x0000_i1049" type="#_x0000_t75" alt="This figure compares Treasury’s Budget forecast errors for terms of trade growth for the Budget year since 1990-91 with those of the RBA and Access.&#10;" style="width:439.55pt;height:199.25pt" o:ole="">
            <v:imagedata r:id="rId63" o:title=""/>
          </v:shape>
          <o:OLEObject Type="Link" ProgID="Excel.Sheet.12" ShapeID="_x0000_i1049" DrawAspect="Content" r:id="rId64" UpdateMode="Always">
            <o:LinkType>EnhancedMetaFile</o:LinkType>
            <o:LockedField/>
            <o:FieldCodes>\* MERGEFORMAT</o:FieldCodes>
          </o:OLEObject>
        </w:object>
      </w:r>
    </w:p>
    <w:p w:rsidR="00EA2D5E" w:rsidRPr="009D7C2C" w:rsidRDefault="00EA2D5E" w:rsidP="004B22F5">
      <w:pPr>
        <w:spacing w:before="360"/>
        <w:rPr>
          <w:rFonts w:eastAsiaTheme="minorHAnsi"/>
          <w:szCs w:val="22"/>
        </w:rPr>
      </w:pPr>
    </w:p>
    <w:sectPr w:rsidR="00EA2D5E" w:rsidRPr="009D7C2C" w:rsidSect="00A014A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06" w:rsidRDefault="00E60D06" w:rsidP="00F65F97">
      <w:pPr>
        <w:spacing w:after="0" w:line="240" w:lineRule="auto"/>
      </w:pPr>
      <w:r>
        <w:separator/>
      </w:r>
    </w:p>
  </w:endnote>
  <w:endnote w:type="continuationSeparator" w:id="0">
    <w:p w:rsidR="00E60D06" w:rsidRDefault="00E60D06" w:rsidP="00F6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21436"/>
      <w:docPartObj>
        <w:docPartGallery w:val="Page Numbers (Bottom of Page)"/>
        <w:docPartUnique/>
      </w:docPartObj>
    </w:sdtPr>
    <w:sdtEndPr>
      <w:rPr>
        <w:noProof/>
      </w:rPr>
    </w:sdtEndPr>
    <w:sdtContent>
      <w:p w:rsidR="00E60D06" w:rsidRDefault="00E60D06">
        <w:pPr>
          <w:pStyle w:val="Footer"/>
        </w:pPr>
        <w:r>
          <w:fldChar w:fldCharType="begin"/>
        </w:r>
        <w:r>
          <w:instrText xml:space="preserve"> PAGE   \* MERGEFORMAT </w:instrText>
        </w:r>
        <w:r>
          <w:fldChar w:fldCharType="separate"/>
        </w:r>
        <w:r w:rsidR="00AB1F4C">
          <w:rPr>
            <w:noProof/>
          </w:rPr>
          <w:t>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77682"/>
      <w:docPartObj>
        <w:docPartGallery w:val="Page Numbers (Bottom of Page)"/>
        <w:docPartUnique/>
      </w:docPartObj>
    </w:sdtPr>
    <w:sdtEndPr>
      <w:rPr>
        <w:noProof/>
        <w:sz w:val="22"/>
        <w:szCs w:val="22"/>
      </w:rPr>
    </w:sdtEndPr>
    <w:sdtContent>
      <w:p w:rsidR="00E60D06" w:rsidRPr="00044069" w:rsidRDefault="00E60D06" w:rsidP="00044069">
        <w:pPr>
          <w:pStyle w:val="Footerright"/>
          <w:rPr>
            <w:noProof/>
            <w:szCs w:val="20"/>
          </w:rPr>
        </w:pPr>
        <w:r>
          <w:fldChar w:fldCharType="begin"/>
        </w:r>
        <w:r>
          <w:instrText xml:space="preserve"> PAGE   \* MERGEFORMAT </w:instrText>
        </w:r>
        <w:r>
          <w:fldChar w:fldCharType="separate"/>
        </w:r>
        <w:r w:rsidR="00AB1F4C">
          <w:rPr>
            <w:noProof/>
          </w:rPr>
          <w:t>41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08288"/>
      <w:docPartObj>
        <w:docPartGallery w:val="Page Numbers (Bottom of Page)"/>
        <w:docPartUnique/>
      </w:docPartObj>
    </w:sdtPr>
    <w:sdtEndPr>
      <w:rPr>
        <w:noProof/>
        <w:sz w:val="22"/>
        <w:szCs w:val="22"/>
      </w:rPr>
    </w:sdtEndPr>
    <w:sdtContent>
      <w:p w:rsidR="00E60D06" w:rsidRPr="00044069" w:rsidRDefault="00E60D06" w:rsidP="00044069">
        <w:pPr>
          <w:pStyle w:val="FooterOdd"/>
          <w:rPr>
            <w:noProof/>
            <w:szCs w:val="20"/>
          </w:rPr>
        </w:pPr>
        <w:r>
          <w:fldChar w:fldCharType="begin"/>
        </w:r>
        <w:r>
          <w:instrText xml:space="preserve"> PAGE   \* MERGEFORMAT </w:instrText>
        </w:r>
        <w:r>
          <w:fldChar w:fldCharType="separate"/>
        </w:r>
        <w:r w:rsidR="00AB1F4C">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06" w:rsidRDefault="00E60D06" w:rsidP="00F65F97">
      <w:pPr>
        <w:spacing w:after="0" w:line="240" w:lineRule="auto"/>
      </w:pPr>
      <w:r>
        <w:separator/>
      </w:r>
    </w:p>
  </w:footnote>
  <w:footnote w:type="continuationSeparator" w:id="0">
    <w:p w:rsidR="00E60D06" w:rsidRDefault="00E60D06" w:rsidP="00F65F97">
      <w:pPr>
        <w:spacing w:after="0" w:line="240" w:lineRule="auto"/>
      </w:pPr>
      <w:r>
        <w:continuationSeparator/>
      </w:r>
    </w:p>
  </w:footnote>
  <w:footnote w:id="1">
    <w:p w:rsidR="00E60D06" w:rsidRPr="00E94C96" w:rsidRDefault="00E60D06">
      <w:pPr>
        <w:pStyle w:val="FootnoteText"/>
        <w:rPr>
          <w:rFonts w:ascii="Times New Roman" w:hAnsi="Times New Roman"/>
        </w:rPr>
      </w:pPr>
      <w:r w:rsidRPr="008757B8">
        <w:rPr>
          <w:rStyle w:val="FootnoteReference"/>
          <w:rFonts w:ascii="Times New Roman" w:hAnsi="Times New Roman"/>
          <w:vertAlign w:val="baseline"/>
        </w:rPr>
        <w:footnoteRef/>
      </w:r>
      <w:r w:rsidRPr="008757B8">
        <w:rPr>
          <w:rFonts w:ascii="Times New Roman" w:hAnsi="Times New Roman"/>
        </w:rPr>
        <w:t xml:space="preserve"> </w:t>
      </w:r>
      <w:r w:rsidRPr="00E94C96">
        <w:rPr>
          <w:rFonts w:ascii="Times New Roman" w:hAnsi="Times New Roman"/>
        </w:rPr>
        <w:t xml:space="preserve">One disadvantage of this approach is that ABS revisions can reflect changes in the definitions of series, including as the result of the adoption of </w:t>
      </w:r>
      <w:r>
        <w:rPr>
          <w:rFonts w:ascii="Times New Roman" w:hAnsi="Times New Roman"/>
        </w:rPr>
        <w:t xml:space="preserve">more recent </w:t>
      </w:r>
      <w:r w:rsidRPr="00E94C96">
        <w:rPr>
          <w:rFonts w:ascii="Times New Roman" w:hAnsi="Times New Roman"/>
        </w:rPr>
        <w:t>international benchmarks for national accounting statistics.</w:t>
      </w:r>
    </w:p>
  </w:footnote>
  <w:footnote w:id="2">
    <w:p w:rsidR="00E60D06" w:rsidRDefault="00E60D06" w:rsidP="00591899">
      <w:pPr>
        <w:spacing w:after="0" w:line="240" w:lineRule="auto"/>
        <w:ind w:left="142" w:hanging="142"/>
      </w:pPr>
      <w:r w:rsidRPr="00C43C7F">
        <w:rPr>
          <w:rStyle w:val="FootnoteReference"/>
          <w:sz w:val="20"/>
          <w:vertAlign w:val="baseline"/>
        </w:rPr>
        <w:footnoteRef/>
      </w:r>
      <w:r w:rsidRPr="005526B8">
        <w:rPr>
          <w:sz w:val="20"/>
        </w:rPr>
        <w:t xml:space="preserve"> </w:t>
      </w:r>
      <w:r w:rsidRPr="00DF7318">
        <w:rPr>
          <w:sz w:val="18"/>
          <w:szCs w:val="18"/>
        </w:rPr>
        <w:t>The serial correlation of the forecast errors and the success rate in identifying the direction of changes in GDP growth are also considered, although the Review has not reported on these metrics in detail.</w:t>
      </w:r>
    </w:p>
  </w:footnote>
  <w:footnote w:id="3">
    <w:p w:rsidR="002545F2" w:rsidRDefault="002545F2">
      <w:pPr>
        <w:pStyle w:val="FootnoteText"/>
      </w:pPr>
      <w:r w:rsidRPr="002545F2">
        <w:rPr>
          <w:rStyle w:val="FootnoteReference"/>
          <w:rFonts w:ascii="Times New Roman" w:hAnsi="Times New Roman"/>
          <w:color w:val="auto"/>
          <w:sz w:val="20"/>
          <w:szCs w:val="20"/>
          <w:vertAlign w:val="baseline"/>
        </w:rPr>
        <w:footnoteRef/>
      </w:r>
      <w:r w:rsidRPr="002545F2">
        <w:rPr>
          <w:rStyle w:val="FootnoteReference"/>
          <w:rFonts w:ascii="Times New Roman" w:hAnsi="Times New Roman"/>
          <w:color w:val="auto"/>
          <w:sz w:val="20"/>
          <w:szCs w:val="20"/>
          <w:vertAlign w:val="baseline"/>
        </w:rPr>
        <w:t xml:space="preserve"> </w:t>
      </w:r>
      <w:r w:rsidRPr="002545F2">
        <w:rPr>
          <w:rFonts w:ascii="Times New Roman" w:hAnsi="Times New Roman"/>
          <w:color w:val="auto"/>
        </w:rPr>
        <w:t xml:space="preserve">Zarnowitz, V. 1991, ‘Has macro-forecasting failed?’, </w:t>
      </w:r>
      <w:r w:rsidRPr="002545F2">
        <w:rPr>
          <w:rFonts w:ascii="Times New Roman" w:hAnsi="Times New Roman"/>
          <w:i/>
          <w:color w:val="auto"/>
        </w:rPr>
        <w:t>NBER working papers</w:t>
      </w:r>
      <w:r w:rsidRPr="002545F2">
        <w:rPr>
          <w:rFonts w:ascii="Times New Roman" w:hAnsi="Times New Roman"/>
          <w:color w:val="auto"/>
        </w:rPr>
        <w:t>, no 3867</w:t>
      </w:r>
      <w:r>
        <w:t>.</w:t>
      </w:r>
    </w:p>
  </w:footnote>
  <w:footnote w:id="4">
    <w:p w:rsidR="002545F2" w:rsidRDefault="002545F2">
      <w:pPr>
        <w:pStyle w:val="FootnoteText"/>
      </w:pPr>
      <w:r w:rsidRPr="002545F2">
        <w:rPr>
          <w:rStyle w:val="FootnoteReference"/>
          <w:rFonts w:ascii="Times New Roman" w:hAnsi="Times New Roman"/>
          <w:color w:val="auto"/>
          <w:sz w:val="20"/>
          <w:szCs w:val="20"/>
          <w:vertAlign w:val="baseline"/>
        </w:rPr>
        <w:footnoteRef/>
      </w:r>
      <w:r>
        <w:t xml:space="preserve"> Holden, K. and Peel, D. 1988, ‘A comparison of some inflation, growth and unemployment forecasts’, </w:t>
      </w:r>
      <w:r w:rsidRPr="004637B8">
        <w:rPr>
          <w:i/>
        </w:rPr>
        <w:t>Journal of Economic Studies</w:t>
      </w:r>
      <w:r>
        <w:t>, 15(5)</w:t>
      </w:r>
      <w:r w:rsidR="000C113D">
        <w:t>, pp. 5-21.</w:t>
      </w:r>
    </w:p>
  </w:footnote>
  <w:footnote w:id="5">
    <w:p w:rsidR="00E60D06" w:rsidRPr="00DF7318" w:rsidRDefault="00E60D06" w:rsidP="00883361">
      <w:pPr>
        <w:pStyle w:val="PlainText"/>
        <w:rPr>
          <w:rFonts w:ascii="Times New Roman" w:eastAsiaTheme="minorEastAsia" w:hAnsi="Times New Roman" w:cs="Times New Roman"/>
          <w:sz w:val="18"/>
          <w:szCs w:val="18"/>
        </w:rPr>
      </w:pPr>
      <w:r w:rsidRPr="008757B8">
        <w:rPr>
          <w:rStyle w:val="FootnoteReference"/>
          <w:rFonts w:ascii="Times New Roman" w:hAnsi="Times New Roman" w:cs="Times New Roman"/>
          <w:vertAlign w:val="baseline"/>
        </w:rPr>
        <w:footnoteRef/>
      </w:r>
      <w:r w:rsidRPr="008A1DAF">
        <w:rPr>
          <w:rFonts w:ascii="Times New Roman" w:hAnsi="Times New Roman" w:cs="Times New Roman"/>
        </w:rPr>
        <w:t xml:space="preserve"> </w:t>
      </w:r>
      <w:r w:rsidRPr="00DF7318">
        <w:rPr>
          <w:rFonts w:ascii="Times New Roman" w:hAnsi="Times New Roman" w:cs="Times New Roman"/>
          <w:sz w:val="18"/>
          <w:szCs w:val="18"/>
        </w:rPr>
        <w:t xml:space="preserve">The statistical significance between forecasts was econometrically tested using a Diebold-Mariano test. In general, the test requires the forecast errors of two forecasts </w:t>
      </w:r>
      <m:oMath>
        <m:sSubSup>
          <m:sSubSupPr>
            <m:ctrlPr>
              <w:rPr>
                <w:rFonts w:ascii="Cambria Math" w:hAnsi="Cambria Math" w:cs="Times New Roman"/>
                <w:i/>
                <w:sz w:val="18"/>
                <w:szCs w:val="18"/>
              </w:rPr>
            </m:ctrlPr>
          </m:sSubSupPr>
          <m:e>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it</m:t>
                    </m:r>
                  </m:sub>
                </m:sSub>
              </m:e>
            </m:d>
          </m:e>
          <m:sub>
            <m:r>
              <w:rPr>
                <w:rFonts w:ascii="Cambria Math" w:hAnsi="Cambria Math" w:cs="Times New Roman"/>
                <w:sz w:val="18"/>
                <w:szCs w:val="18"/>
              </w:rPr>
              <m:t>t=1</m:t>
            </m:r>
          </m:sub>
          <m:sup>
            <m:r>
              <w:rPr>
                <w:rFonts w:ascii="Cambria Math" w:hAnsi="Cambria Math" w:cs="Times New Roman"/>
                <w:sz w:val="18"/>
                <w:szCs w:val="18"/>
              </w:rPr>
              <m:t>T</m:t>
            </m:r>
          </m:sup>
        </m:sSubSup>
      </m:oMath>
      <w:r w:rsidRPr="00DF7318">
        <w:rPr>
          <w:rFonts w:ascii="Times New Roman" w:eastAsiaTheme="minorEastAsia" w:hAnsi="Times New Roman" w:cs="Times New Roman"/>
          <w:sz w:val="18"/>
          <w:szCs w:val="18"/>
        </w:rPr>
        <w:t xml:space="preserve"> and </w:t>
      </w:r>
      <m:oMath>
        <m:sSubSup>
          <m:sSubSupPr>
            <m:ctrlPr>
              <w:rPr>
                <w:rFonts w:ascii="Cambria Math" w:hAnsi="Cambria Math" w:cs="Times New Roman"/>
                <w:i/>
                <w:sz w:val="18"/>
                <w:szCs w:val="18"/>
              </w:rPr>
            </m:ctrlPr>
          </m:sSubSupPr>
          <m:e>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jt</m:t>
                    </m:r>
                  </m:sub>
                </m:sSub>
              </m:e>
            </m:d>
          </m:e>
          <m:sub>
            <m:r>
              <w:rPr>
                <w:rFonts w:ascii="Cambria Math" w:hAnsi="Cambria Math" w:cs="Times New Roman"/>
                <w:sz w:val="18"/>
                <w:szCs w:val="18"/>
              </w:rPr>
              <m:t>t=1</m:t>
            </m:r>
          </m:sub>
          <m:sup>
            <m:r>
              <w:rPr>
                <w:rFonts w:ascii="Cambria Math" w:hAnsi="Cambria Math" w:cs="Times New Roman"/>
                <w:sz w:val="18"/>
                <w:szCs w:val="18"/>
              </w:rPr>
              <m:t>T</m:t>
            </m:r>
          </m:sup>
        </m:sSubSup>
      </m:oMath>
      <w:r w:rsidRPr="00DF7318">
        <w:rPr>
          <w:rFonts w:ascii="Times New Roman" w:eastAsiaTheme="minorEastAsia" w:hAnsi="Times New Roman" w:cs="Times New Roman"/>
          <w:sz w:val="18"/>
          <w:szCs w:val="18"/>
        </w:rPr>
        <w:t>for a key variable</w:t>
      </w:r>
      <m:oMath>
        <m:sSubSup>
          <m:sSubSupPr>
            <m:ctrlPr>
              <w:rPr>
                <w:rFonts w:ascii="Cambria Math" w:hAnsi="Cambria Math" w:cs="Times New Roman"/>
                <w:i/>
                <w:sz w:val="18"/>
                <w:szCs w:val="18"/>
              </w:rPr>
            </m:ctrlPr>
          </m:sSubSupPr>
          <m:e>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t</m:t>
                    </m:r>
                  </m:sub>
                </m:sSub>
              </m:e>
            </m:d>
          </m:e>
          <m:sub>
            <m:r>
              <w:rPr>
                <w:rFonts w:ascii="Cambria Math" w:hAnsi="Cambria Math" w:cs="Times New Roman"/>
                <w:sz w:val="18"/>
                <w:szCs w:val="18"/>
              </w:rPr>
              <m:t>t=1</m:t>
            </m:r>
          </m:sub>
          <m:sup>
            <m:r>
              <w:rPr>
                <w:rFonts w:ascii="Cambria Math" w:hAnsi="Cambria Math" w:cs="Times New Roman"/>
                <w:sz w:val="18"/>
                <w:szCs w:val="18"/>
              </w:rPr>
              <m:t>T</m:t>
            </m:r>
          </m:sup>
        </m:sSubSup>
      </m:oMath>
      <w:r w:rsidRPr="00DF7318">
        <w:rPr>
          <w:rFonts w:ascii="Times New Roman" w:eastAsiaTheme="minorEastAsia" w:hAnsi="Times New Roman" w:cs="Times New Roman"/>
          <w:sz w:val="18"/>
          <w:szCs w:val="18"/>
        </w:rPr>
        <w:t xml:space="preserve">. These errors are typically denoted as </w:t>
      </w:r>
      <m:oMath>
        <m:sSubSup>
          <m:sSubSupPr>
            <m:ctrlPr>
              <w:rPr>
                <w:rFonts w:ascii="Cambria Math" w:hAnsi="Cambria Math" w:cs="Times New Roman"/>
                <w:i/>
                <w:sz w:val="18"/>
                <w:szCs w:val="18"/>
              </w:rPr>
            </m:ctrlPr>
          </m:sSubSupPr>
          <m:e>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it</m:t>
                    </m:r>
                  </m:sub>
                </m:sSub>
              </m:e>
            </m:d>
          </m:e>
          <m:sub>
            <m:r>
              <w:rPr>
                <w:rFonts w:ascii="Cambria Math" w:hAnsi="Cambria Math" w:cs="Times New Roman"/>
                <w:sz w:val="18"/>
                <w:szCs w:val="18"/>
              </w:rPr>
              <m:t>t=1</m:t>
            </m:r>
          </m:sub>
          <m:sup>
            <m:r>
              <w:rPr>
                <w:rFonts w:ascii="Cambria Math" w:hAnsi="Cambria Math" w:cs="Times New Roman"/>
                <w:sz w:val="18"/>
                <w:szCs w:val="18"/>
              </w:rPr>
              <m:t>T</m:t>
            </m:r>
          </m:sup>
        </m:sSubSup>
      </m:oMath>
      <w:r w:rsidRPr="00DF7318">
        <w:rPr>
          <w:rFonts w:ascii="Times New Roman" w:eastAsiaTheme="minorEastAsia" w:hAnsi="Times New Roman" w:cs="Times New Roman"/>
          <w:sz w:val="18"/>
          <w:szCs w:val="18"/>
        </w:rPr>
        <w:t xml:space="preserve"> and</w:t>
      </w:r>
      <m:oMath>
        <m:sSubSup>
          <m:sSubSupPr>
            <m:ctrlPr>
              <w:rPr>
                <w:rFonts w:ascii="Cambria Math" w:hAnsi="Cambria Math" w:cs="Times New Roman"/>
                <w:i/>
                <w:sz w:val="18"/>
                <w:szCs w:val="18"/>
              </w:rPr>
            </m:ctrlPr>
          </m:sSubSupPr>
          <m:e>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jt</m:t>
                    </m:r>
                  </m:sub>
                </m:sSub>
              </m:e>
            </m:d>
          </m:e>
          <m:sub>
            <m:r>
              <w:rPr>
                <w:rFonts w:ascii="Cambria Math" w:hAnsi="Cambria Math" w:cs="Times New Roman"/>
                <w:sz w:val="18"/>
                <w:szCs w:val="18"/>
              </w:rPr>
              <m:t>t=1</m:t>
            </m:r>
          </m:sub>
          <m:sup>
            <m:r>
              <w:rPr>
                <w:rFonts w:ascii="Cambria Math" w:hAnsi="Cambria Math" w:cs="Times New Roman"/>
                <w:sz w:val="18"/>
                <w:szCs w:val="18"/>
              </w:rPr>
              <m:t>T</m:t>
            </m:r>
          </m:sup>
        </m:sSubSup>
      </m:oMath>
      <w:r w:rsidRPr="00DF7318">
        <w:rPr>
          <w:rFonts w:ascii="Times New Roman" w:eastAsiaTheme="minorEastAsia" w:hAnsi="Times New Roman" w:cs="Times New Roman"/>
          <w:sz w:val="18"/>
          <w:szCs w:val="18"/>
        </w:rPr>
        <w:t xml:space="preserve">. An absolute loss function </w:t>
      </w:r>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d</m:t>
            </m:r>
          </m:e>
          <m:sub>
            <m:r>
              <w:rPr>
                <w:rFonts w:ascii="Cambria Math" w:eastAsiaTheme="minorEastAsia" w:hAnsi="Cambria Math" w:cs="Times New Roman"/>
                <w:sz w:val="18"/>
                <w:szCs w:val="18"/>
              </w:rPr>
              <m:t>t</m:t>
            </m:r>
          </m:sub>
        </m:sSub>
        <m:r>
          <w:rPr>
            <w:rFonts w:ascii="Cambria Math" w:eastAsiaTheme="minorEastAsia" w:hAnsi="Cambria Math" w:cs="Times New Roman"/>
            <w:sz w:val="18"/>
            <w:szCs w:val="18"/>
          </w:rPr>
          <m:t>=</m:t>
        </m:r>
        <m:d>
          <m:dPr>
            <m:begChr m:val="|"/>
            <m:endChr m:val="|"/>
            <m:ctrlPr>
              <w:rPr>
                <w:rFonts w:ascii="Cambria Math" w:eastAsiaTheme="minorEastAsia"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it</m:t>
                </m:r>
              </m:sub>
            </m:sSub>
          </m:e>
        </m:d>
        <m:r>
          <w:rPr>
            <w:rFonts w:ascii="Cambria Math" w:eastAsiaTheme="minorEastAsia" w:hAnsi="Cambria Math" w:cs="Times New Roman"/>
            <w:sz w:val="18"/>
            <w:szCs w:val="18"/>
          </w:rPr>
          <m:t>-</m:t>
        </m:r>
        <m:d>
          <m:dPr>
            <m:begChr m:val="|"/>
            <m:endChr m:val="|"/>
            <m:ctrlPr>
              <w:rPr>
                <w:rFonts w:ascii="Cambria Math" w:eastAsiaTheme="minorEastAsia"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jt</m:t>
                </m:r>
              </m:sub>
            </m:sSub>
          </m:e>
        </m:d>
      </m:oMath>
      <w:r w:rsidRPr="00DF7318">
        <w:rPr>
          <w:rFonts w:ascii="Times New Roman" w:eastAsiaTheme="minorEastAsia" w:hAnsi="Times New Roman" w:cs="Times New Roman"/>
          <w:sz w:val="18"/>
          <w:szCs w:val="18"/>
        </w:rPr>
        <w:t xml:space="preserve"> is then constructed and regressed against a constant, with the null hypothesis of equal forecast accuracy (or zero loss) tested using the Diebold-Mariano test statistic.</w:t>
      </w:r>
    </w:p>
    <w:p w:rsidR="00E60D06" w:rsidRPr="00DF7318" w:rsidRDefault="00E60D06" w:rsidP="00883361">
      <w:pPr>
        <w:pStyle w:val="PlainText"/>
        <w:rPr>
          <w:rFonts w:ascii="Times New Roman" w:hAnsi="Times New Roman" w:cs="Times New Roman"/>
          <w:sz w:val="18"/>
          <w:szCs w:val="18"/>
        </w:rPr>
      </w:pPr>
      <w:r w:rsidRPr="00506EA2">
        <w:rPr>
          <w:rFonts w:ascii="Times New Roman" w:hAnsi="Times New Roman" w:cs="Times New Roman"/>
          <w:position w:val="-30"/>
          <w:sz w:val="18"/>
          <w:szCs w:val="18"/>
        </w:rPr>
        <w:object w:dxaOrig="2220" w:dyaOrig="720">
          <v:shape id="_x0000_i1051" type="#_x0000_t75" style="width:113pt;height:36.85pt" o:ole="">
            <v:imagedata r:id="rId1" o:title=""/>
          </v:shape>
          <o:OLEObject Type="Embed" ProgID="Equation.3" ShapeID="_x0000_i1051" DrawAspect="Content" ObjectID="_1422951535" r:id="rId2"/>
        </w:object>
      </w:r>
      <w:r w:rsidRPr="00DF7318">
        <w:rPr>
          <w:rFonts w:ascii="Times New Roman" w:hAnsi="Times New Roman" w:cs="Times New Roman"/>
          <w:position w:val="-76"/>
          <w:sz w:val="18"/>
          <w:szCs w:val="18"/>
        </w:rPr>
        <w:t xml:space="preserve"> </w:t>
      </w:r>
      <w:r w:rsidRPr="00DF7318">
        <w:rPr>
          <w:rFonts w:ascii="Times New Roman" w:hAnsi="Times New Roman" w:cs="Times New Roman"/>
          <w:sz w:val="18"/>
          <w:szCs w:val="18"/>
        </w:rPr>
        <w:t xml:space="preserve">, where </w:t>
      </w:r>
      <m:oMath>
        <m:bar>
          <m:barPr>
            <m:pos m:val="top"/>
            <m:ctrlPr>
              <w:rPr>
                <w:rFonts w:ascii="Cambria Math" w:eastAsiaTheme="minorEastAsia" w:hAnsi="Cambria Math" w:cs="Times New Roman"/>
                <w:i/>
                <w:sz w:val="18"/>
                <w:szCs w:val="18"/>
              </w:rPr>
            </m:ctrlPr>
          </m:barPr>
          <m:e>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d</m:t>
                </m:r>
              </m:e>
              <m:sub>
                <m:r>
                  <w:rPr>
                    <w:rFonts w:ascii="Cambria Math" w:eastAsiaTheme="minorEastAsia" w:hAnsi="Cambria Math" w:cs="Times New Roman"/>
                    <w:sz w:val="18"/>
                    <w:szCs w:val="18"/>
                  </w:rPr>
                  <m:t>t</m:t>
                </m:r>
              </m:sub>
            </m:sSub>
          </m:e>
        </m:bar>
      </m:oMath>
      <w:r w:rsidRPr="00DF7318">
        <w:rPr>
          <w:rFonts w:ascii="Times New Roman" w:eastAsiaTheme="minorEastAsia" w:hAnsi="Times New Roman" w:cs="Times New Roman"/>
          <w:sz w:val="18"/>
          <w:szCs w:val="18"/>
        </w:rPr>
        <w:t xml:space="preserve"> is the sample mean loss differential.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06" w:rsidRDefault="00E60D06" w:rsidP="00044069">
    <w:pPr>
      <w:pStyle w:val="HeaderEven"/>
    </w:pPr>
    <w:r>
      <w:t>Review of Treasury Macroeconomic a</w:t>
    </w:r>
    <w:r w:rsidRPr="00044069">
      <w:t>nd Revenue Forecasting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06" w:rsidRPr="00FA54C8" w:rsidRDefault="00E60D06" w:rsidP="00044069">
    <w:pPr>
      <w:pStyle w:val="HeaderOdd"/>
    </w:pPr>
    <w:r w:rsidRPr="008B0EA7">
      <w:t>Section 3:</w:t>
    </w:r>
    <w:r>
      <w:t xml:space="preserve"> </w:t>
    </w:r>
    <w:r w:rsidRPr="008B0EA7">
      <w:t>Quality and Accuracy of Forecast Performance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0DA18"/>
    <w:lvl w:ilvl="0">
      <w:start w:val="1"/>
      <w:numFmt w:val="decimal"/>
      <w:lvlText w:val="%1."/>
      <w:lvlJc w:val="left"/>
      <w:pPr>
        <w:tabs>
          <w:tab w:val="num" w:pos="1492"/>
        </w:tabs>
        <w:ind w:left="1492" w:hanging="360"/>
      </w:pPr>
    </w:lvl>
  </w:abstractNum>
  <w:abstractNum w:abstractNumId="1">
    <w:nsid w:val="FFFFFF7D"/>
    <w:multiLevelType w:val="singleLevel"/>
    <w:tmpl w:val="41EECEA8"/>
    <w:lvl w:ilvl="0">
      <w:start w:val="1"/>
      <w:numFmt w:val="decimal"/>
      <w:lvlText w:val="%1."/>
      <w:lvlJc w:val="left"/>
      <w:pPr>
        <w:tabs>
          <w:tab w:val="num" w:pos="1209"/>
        </w:tabs>
        <w:ind w:left="1209" w:hanging="360"/>
      </w:pPr>
    </w:lvl>
  </w:abstractNum>
  <w:abstractNum w:abstractNumId="2">
    <w:nsid w:val="FFFFFF7E"/>
    <w:multiLevelType w:val="singleLevel"/>
    <w:tmpl w:val="F98ADBEC"/>
    <w:lvl w:ilvl="0">
      <w:start w:val="1"/>
      <w:numFmt w:val="decimal"/>
      <w:lvlText w:val="%1."/>
      <w:lvlJc w:val="left"/>
      <w:pPr>
        <w:tabs>
          <w:tab w:val="num" w:pos="926"/>
        </w:tabs>
        <w:ind w:left="926" w:hanging="360"/>
      </w:pPr>
    </w:lvl>
  </w:abstractNum>
  <w:abstractNum w:abstractNumId="3">
    <w:nsid w:val="FFFFFF7F"/>
    <w:multiLevelType w:val="singleLevel"/>
    <w:tmpl w:val="3BF48D52"/>
    <w:lvl w:ilvl="0">
      <w:start w:val="1"/>
      <w:numFmt w:val="decimal"/>
      <w:lvlText w:val="%1."/>
      <w:lvlJc w:val="left"/>
      <w:pPr>
        <w:tabs>
          <w:tab w:val="num" w:pos="643"/>
        </w:tabs>
        <w:ind w:left="643" w:hanging="360"/>
      </w:pPr>
    </w:lvl>
  </w:abstractNum>
  <w:abstractNum w:abstractNumId="4">
    <w:nsid w:val="FFFFFF80"/>
    <w:multiLevelType w:val="singleLevel"/>
    <w:tmpl w:val="ADDC4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891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2A0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244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E6EBA0"/>
    <w:lvl w:ilvl="0">
      <w:start w:val="1"/>
      <w:numFmt w:val="decimal"/>
      <w:lvlText w:val="%1."/>
      <w:lvlJc w:val="left"/>
      <w:pPr>
        <w:tabs>
          <w:tab w:val="num" w:pos="360"/>
        </w:tabs>
        <w:ind w:left="360" w:hanging="360"/>
      </w:pPr>
    </w:lvl>
  </w:abstractNum>
  <w:abstractNum w:abstractNumId="9">
    <w:nsid w:val="FFFFFF89"/>
    <w:multiLevelType w:val="singleLevel"/>
    <w:tmpl w:val="8ADA3A2A"/>
    <w:lvl w:ilvl="0">
      <w:start w:val="1"/>
      <w:numFmt w:val="bullet"/>
      <w:lvlText w:val=""/>
      <w:lvlJc w:val="left"/>
      <w:pPr>
        <w:tabs>
          <w:tab w:val="num" w:pos="360"/>
        </w:tabs>
        <w:ind w:left="360" w:hanging="360"/>
      </w:pPr>
      <w:rPr>
        <w:rFonts w:ascii="Symbol" w:hAnsi="Symbol" w:hint="default"/>
      </w:rPr>
    </w:lvl>
  </w:abstractNum>
  <w:abstractNum w:abstractNumId="1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ED3FC7"/>
    <w:multiLevelType w:val="multilevel"/>
    <w:tmpl w:val="38CE910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CC4E5D"/>
    <w:multiLevelType w:val="multilevel"/>
    <w:tmpl w:val="D10E9CF6"/>
    <w:numStyleLink w:val="OneLevelList"/>
  </w:abstractNum>
  <w:abstractNum w:abstractNumId="15">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7">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332216"/>
    <w:multiLevelType w:val="multilevel"/>
    <w:tmpl w:val="C08401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92"/>
        </w:tabs>
        <w:ind w:left="992" w:hanging="520"/>
      </w:pPr>
      <w:rPr>
        <w:rFonts w:ascii="Times New Roman" w:hAnsi="Times New Roman" w:cs="Times New Roman"/>
      </w:rPr>
    </w:lvl>
    <w:lvl w:ilvl="2">
      <w:start w:val="1"/>
      <w:numFmt w:val="bullet"/>
      <w:lvlText w:val=":"/>
      <w:lvlJc w:val="left"/>
      <w:pPr>
        <w:tabs>
          <w:tab w:val="num" w:pos="1512"/>
        </w:tabs>
        <w:ind w:left="1512"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23">
    <w:nsid w:val="308C2710"/>
    <w:multiLevelType w:val="multilevel"/>
    <w:tmpl w:val="09A2073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25">
    <w:nsid w:val="3238442C"/>
    <w:multiLevelType w:val="multilevel"/>
    <w:tmpl w:val="4DAA0B3E"/>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45B0A7E"/>
    <w:multiLevelType w:val="multilevel"/>
    <w:tmpl w:val="EDEE4FB6"/>
    <w:numStyleLink w:val="RecommendationBulletList"/>
  </w:abstractNum>
  <w:abstractNum w:abstractNumId="28">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10D2021"/>
    <w:multiLevelType w:val="multilevel"/>
    <w:tmpl w:val="72F8140E"/>
    <w:numStyleLink w:val="OutlineList"/>
  </w:abstractNum>
  <w:abstractNum w:abstractNumId="32">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5F73129"/>
    <w:multiLevelType w:val="multilevel"/>
    <w:tmpl w:val="D9A8A212"/>
    <w:numStyleLink w:val="RomanNumeralList"/>
  </w:abstractNum>
  <w:abstractNum w:abstractNumId="34">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6">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ECA6F13"/>
    <w:multiLevelType w:val="hybridMultilevel"/>
    <w:tmpl w:val="F7308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8"/>
  </w:num>
  <w:num w:numId="2">
    <w:abstractNumId w:val="40"/>
  </w:num>
  <w:num w:numId="3">
    <w:abstractNumId w:val="30"/>
  </w:num>
  <w:num w:numId="4">
    <w:abstractNumId w:val="22"/>
  </w:num>
  <w:num w:numId="5">
    <w:abstractNumId w:val="34"/>
  </w:num>
  <w:num w:numId="6">
    <w:abstractNumId w:val="29"/>
  </w:num>
  <w:num w:numId="7">
    <w:abstractNumId w:val="20"/>
  </w:num>
  <w:num w:numId="8">
    <w:abstractNumId w:val="37"/>
  </w:num>
  <w:num w:numId="9">
    <w:abstractNumId w:val="16"/>
  </w:num>
  <w:num w:numId="10">
    <w:abstractNumId w:val="24"/>
  </w:num>
  <w:num w:numId="11">
    <w:abstractNumId w:val="35"/>
  </w:num>
  <w:num w:numId="12">
    <w:abstractNumId w:val="21"/>
  </w:num>
  <w:num w:numId="13">
    <w:abstractNumId w:val="38"/>
  </w:num>
  <w:num w:numId="14">
    <w:abstractNumId w:val="36"/>
  </w:num>
  <w:num w:numId="15">
    <w:abstractNumId w:val="23"/>
  </w:num>
  <w:num w:numId="16">
    <w:abstractNumId w:val="11"/>
  </w:num>
  <w:num w:numId="17">
    <w:abstractNumId w:val="15"/>
  </w:num>
  <w:num w:numId="18">
    <w:abstractNumId w:val="28"/>
  </w:num>
  <w:num w:numId="19">
    <w:abstractNumId w:val="10"/>
  </w:num>
  <w:num w:numId="20">
    <w:abstractNumId w:val="26"/>
  </w:num>
  <w:num w:numId="21">
    <w:abstractNumId w:val="13"/>
  </w:num>
  <w:num w:numId="22">
    <w:abstractNumId w:val="17"/>
  </w:num>
  <w:num w:numId="23">
    <w:abstractNumId w:val="12"/>
  </w:num>
  <w:num w:numId="24">
    <w:abstractNumId w:val="14"/>
  </w:num>
  <w:num w:numId="25">
    <w:abstractNumId w:val="31"/>
  </w:num>
  <w:num w:numId="26">
    <w:abstractNumId w:val="27"/>
  </w:num>
  <w:num w:numId="27">
    <w:abstractNumId w:val="33"/>
  </w:num>
  <w:num w:numId="28">
    <w:abstractNumId w:val="25"/>
  </w:num>
  <w:num w:numId="29">
    <w:abstractNumId w:val="32"/>
  </w:num>
  <w:num w:numId="30">
    <w:abstractNumId w:val="1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31"/>
    <w:rsid w:val="0000033A"/>
    <w:rsid w:val="00001675"/>
    <w:rsid w:val="00002868"/>
    <w:rsid w:val="00002F4D"/>
    <w:rsid w:val="000031C0"/>
    <w:rsid w:val="00006092"/>
    <w:rsid w:val="00011E8B"/>
    <w:rsid w:val="00013276"/>
    <w:rsid w:val="00013B7B"/>
    <w:rsid w:val="000142D4"/>
    <w:rsid w:val="00014688"/>
    <w:rsid w:val="00014B84"/>
    <w:rsid w:val="0001657B"/>
    <w:rsid w:val="00017C35"/>
    <w:rsid w:val="00021B4C"/>
    <w:rsid w:val="00022EE6"/>
    <w:rsid w:val="00023879"/>
    <w:rsid w:val="00024DB4"/>
    <w:rsid w:val="00025E9F"/>
    <w:rsid w:val="0002758B"/>
    <w:rsid w:val="000276D1"/>
    <w:rsid w:val="00031189"/>
    <w:rsid w:val="00033159"/>
    <w:rsid w:val="00033312"/>
    <w:rsid w:val="00035B2D"/>
    <w:rsid w:val="00037F8C"/>
    <w:rsid w:val="00042ABB"/>
    <w:rsid w:val="00043213"/>
    <w:rsid w:val="00044069"/>
    <w:rsid w:val="00044622"/>
    <w:rsid w:val="000451A8"/>
    <w:rsid w:val="0004723C"/>
    <w:rsid w:val="00047939"/>
    <w:rsid w:val="000514D8"/>
    <w:rsid w:val="00051DDF"/>
    <w:rsid w:val="00052C21"/>
    <w:rsid w:val="00053A71"/>
    <w:rsid w:val="00056662"/>
    <w:rsid w:val="0005733F"/>
    <w:rsid w:val="0006125D"/>
    <w:rsid w:val="00062292"/>
    <w:rsid w:val="000625EA"/>
    <w:rsid w:val="00063195"/>
    <w:rsid w:val="000656E1"/>
    <w:rsid w:val="000665E2"/>
    <w:rsid w:val="00066ED3"/>
    <w:rsid w:val="00067207"/>
    <w:rsid w:val="000677C4"/>
    <w:rsid w:val="00070B02"/>
    <w:rsid w:val="00071476"/>
    <w:rsid w:val="00071B26"/>
    <w:rsid w:val="000723CC"/>
    <w:rsid w:val="000727B8"/>
    <w:rsid w:val="00072F73"/>
    <w:rsid w:val="00073437"/>
    <w:rsid w:val="0007348D"/>
    <w:rsid w:val="00074833"/>
    <w:rsid w:val="00075D09"/>
    <w:rsid w:val="00076C72"/>
    <w:rsid w:val="0007779D"/>
    <w:rsid w:val="000801D6"/>
    <w:rsid w:val="00080B84"/>
    <w:rsid w:val="00081B38"/>
    <w:rsid w:val="000820D2"/>
    <w:rsid w:val="00082212"/>
    <w:rsid w:val="00083BFA"/>
    <w:rsid w:val="0008534D"/>
    <w:rsid w:val="00085A38"/>
    <w:rsid w:val="00086B7E"/>
    <w:rsid w:val="0009002B"/>
    <w:rsid w:val="000906DA"/>
    <w:rsid w:val="00090DD7"/>
    <w:rsid w:val="00091B7C"/>
    <w:rsid w:val="00092379"/>
    <w:rsid w:val="000934B8"/>
    <w:rsid w:val="00094875"/>
    <w:rsid w:val="00096B4E"/>
    <w:rsid w:val="00096C74"/>
    <w:rsid w:val="00096EA2"/>
    <w:rsid w:val="00096FD6"/>
    <w:rsid w:val="00097402"/>
    <w:rsid w:val="000A060A"/>
    <w:rsid w:val="000A0C82"/>
    <w:rsid w:val="000A115A"/>
    <w:rsid w:val="000A3D6D"/>
    <w:rsid w:val="000A4004"/>
    <w:rsid w:val="000A40D1"/>
    <w:rsid w:val="000A4602"/>
    <w:rsid w:val="000A51DF"/>
    <w:rsid w:val="000A702E"/>
    <w:rsid w:val="000A7169"/>
    <w:rsid w:val="000B0559"/>
    <w:rsid w:val="000B21AF"/>
    <w:rsid w:val="000B5590"/>
    <w:rsid w:val="000B5AF8"/>
    <w:rsid w:val="000C0463"/>
    <w:rsid w:val="000C0E08"/>
    <w:rsid w:val="000C113D"/>
    <w:rsid w:val="000C1539"/>
    <w:rsid w:val="000C2010"/>
    <w:rsid w:val="000C2413"/>
    <w:rsid w:val="000C3A68"/>
    <w:rsid w:val="000C4852"/>
    <w:rsid w:val="000C49FE"/>
    <w:rsid w:val="000C4C9D"/>
    <w:rsid w:val="000C595D"/>
    <w:rsid w:val="000C6BDA"/>
    <w:rsid w:val="000C741F"/>
    <w:rsid w:val="000C7D2D"/>
    <w:rsid w:val="000D07ED"/>
    <w:rsid w:val="000D2E3A"/>
    <w:rsid w:val="000D4A7D"/>
    <w:rsid w:val="000D5833"/>
    <w:rsid w:val="000D5C94"/>
    <w:rsid w:val="000D6502"/>
    <w:rsid w:val="000D7413"/>
    <w:rsid w:val="000D784E"/>
    <w:rsid w:val="000E0AB8"/>
    <w:rsid w:val="000E1903"/>
    <w:rsid w:val="000E52C9"/>
    <w:rsid w:val="000E6391"/>
    <w:rsid w:val="000E70DF"/>
    <w:rsid w:val="000E75BC"/>
    <w:rsid w:val="000F0E2B"/>
    <w:rsid w:val="000F0EDB"/>
    <w:rsid w:val="000F0F60"/>
    <w:rsid w:val="000F1203"/>
    <w:rsid w:val="000F2F5F"/>
    <w:rsid w:val="000F372C"/>
    <w:rsid w:val="000F52C0"/>
    <w:rsid w:val="00100180"/>
    <w:rsid w:val="0010066C"/>
    <w:rsid w:val="00100793"/>
    <w:rsid w:val="00100A05"/>
    <w:rsid w:val="00101DAF"/>
    <w:rsid w:val="001033AE"/>
    <w:rsid w:val="001044A5"/>
    <w:rsid w:val="0010539E"/>
    <w:rsid w:val="00106232"/>
    <w:rsid w:val="001069F7"/>
    <w:rsid w:val="0010718D"/>
    <w:rsid w:val="001101F2"/>
    <w:rsid w:val="00110301"/>
    <w:rsid w:val="00110527"/>
    <w:rsid w:val="001108B2"/>
    <w:rsid w:val="00110A9B"/>
    <w:rsid w:val="001110A7"/>
    <w:rsid w:val="001122D0"/>
    <w:rsid w:val="001140C0"/>
    <w:rsid w:val="00114942"/>
    <w:rsid w:val="00116D4A"/>
    <w:rsid w:val="00116EC3"/>
    <w:rsid w:val="00122DF1"/>
    <w:rsid w:val="00122EB5"/>
    <w:rsid w:val="001230C2"/>
    <w:rsid w:val="00123131"/>
    <w:rsid w:val="00123CC5"/>
    <w:rsid w:val="00124B7F"/>
    <w:rsid w:val="00126533"/>
    <w:rsid w:val="00126903"/>
    <w:rsid w:val="00126AD9"/>
    <w:rsid w:val="0012752E"/>
    <w:rsid w:val="0013347A"/>
    <w:rsid w:val="00134298"/>
    <w:rsid w:val="00135E7B"/>
    <w:rsid w:val="001404AE"/>
    <w:rsid w:val="00140F80"/>
    <w:rsid w:val="00143C7E"/>
    <w:rsid w:val="0014452D"/>
    <w:rsid w:val="00144881"/>
    <w:rsid w:val="00146207"/>
    <w:rsid w:val="00146421"/>
    <w:rsid w:val="00147AEE"/>
    <w:rsid w:val="00150615"/>
    <w:rsid w:val="00150FD7"/>
    <w:rsid w:val="00155CD5"/>
    <w:rsid w:val="00155E99"/>
    <w:rsid w:val="0015783D"/>
    <w:rsid w:val="00160E61"/>
    <w:rsid w:val="00161951"/>
    <w:rsid w:val="001630BB"/>
    <w:rsid w:val="001658D8"/>
    <w:rsid w:val="001679FF"/>
    <w:rsid w:val="00170DB2"/>
    <w:rsid w:val="0018065B"/>
    <w:rsid w:val="00180AFF"/>
    <w:rsid w:val="00181B82"/>
    <w:rsid w:val="00181DD8"/>
    <w:rsid w:val="001823E7"/>
    <w:rsid w:val="00182B87"/>
    <w:rsid w:val="00184545"/>
    <w:rsid w:val="00184BF2"/>
    <w:rsid w:val="00185578"/>
    <w:rsid w:val="00186D15"/>
    <w:rsid w:val="0019049D"/>
    <w:rsid w:val="00193F05"/>
    <w:rsid w:val="00194A0E"/>
    <w:rsid w:val="00194E9F"/>
    <w:rsid w:val="00196DE4"/>
    <w:rsid w:val="001A00A4"/>
    <w:rsid w:val="001A0AEA"/>
    <w:rsid w:val="001A163D"/>
    <w:rsid w:val="001A1D9F"/>
    <w:rsid w:val="001A29AD"/>
    <w:rsid w:val="001A35E7"/>
    <w:rsid w:val="001A3AD7"/>
    <w:rsid w:val="001A4B2F"/>
    <w:rsid w:val="001A731E"/>
    <w:rsid w:val="001A78F2"/>
    <w:rsid w:val="001B046B"/>
    <w:rsid w:val="001B1BC9"/>
    <w:rsid w:val="001B4D14"/>
    <w:rsid w:val="001C27CC"/>
    <w:rsid w:val="001C3625"/>
    <w:rsid w:val="001C3F90"/>
    <w:rsid w:val="001C5892"/>
    <w:rsid w:val="001C7369"/>
    <w:rsid w:val="001C7AA9"/>
    <w:rsid w:val="001D1112"/>
    <w:rsid w:val="001D23E2"/>
    <w:rsid w:val="001D4D6E"/>
    <w:rsid w:val="001D4FA7"/>
    <w:rsid w:val="001D63AB"/>
    <w:rsid w:val="001E112F"/>
    <w:rsid w:val="001E1A3C"/>
    <w:rsid w:val="001E1D4D"/>
    <w:rsid w:val="001E3A49"/>
    <w:rsid w:val="001F1983"/>
    <w:rsid w:val="001F3CCD"/>
    <w:rsid w:val="001F49CB"/>
    <w:rsid w:val="001F54FB"/>
    <w:rsid w:val="00203E9E"/>
    <w:rsid w:val="0020434C"/>
    <w:rsid w:val="00205A42"/>
    <w:rsid w:val="00205CD7"/>
    <w:rsid w:val="00205FF6"/>
    <w:rsid w:val="00206D37"/>
    <w:rsid w:val="00211A7F"/>
    <w:rsid w:val="0021589B"/>
    <w:rsid w:val="002162D0"/>
    <w:rsid w:val="0021768F"/>
    <w:rsid w:val="00220494"/>
    <w:rsid w:val="00221080"/>
    <w:rsid w:val="00223F6D"/>
    <w:rsid w:val="00224066"/>
    <w:rsid w:val="00224D47"/>
    <w:rsid w:val="00230FEF"/>
    <w:rsid w:val="00231FC8"/>
    <w:rsid w:val="002329AC"/>
    <w:rsid w:val="00234A87"/>
    <w:rsid w:val="00236347"/>
    <w:rsid w:val="00236B85"/>
    <w:rsid w:val="00242B77"/>
    <w:rsid w:val="00245A45"/>
    <w:rsid w:val="00245F7F"/>
    <w:rsid w:val="00246042"/>
    <w:rsid w:val="002467AE"/>
    <w:rsid w:val="002501FB"/>
    <w:rsid w:val="00251D53"/>
    <w:rsid w:val="00252477"/>
    <w:rsid w:val="00253750"/>
    <w:rsid w:val="002545F2"/>
    <w:rsid w:val="00254E70"/>
    <w:rsid w:val="00255523"/>
    <w:rsid w:val="002605FE"/>
    <w:rsid w:val="002608C9"/>
    <w:rsid w:val="00261ECE"/>
    <w:rsid w:val="0026263A"/>
    <w:rsid w:val="00262659"/>
    <w:rsid w:val="00265A85"/>
    <w:rsid w:val="002678B3"/>
    <w:rsid w:val="00271630"/>
    <w:rsid w:val="0027366A"/>
    <w:rsid w:val="002758A6"/>
    <w:rsid w:val="002768E0"/>
    <w:rsid w:val="00284E29"/>
    <w:rsid w:val="002863D7"/>
    <w:rsid w:val="00286E45"/>
    <w:rsid w:val="00291253"/>
    <w:rsid w:val="00293D31"/>
    <w:rsid w:val="00294D4D"/>
    <w:rsid w:val="00295F58"/>
    <w:rsid w:val="00296294"/>
    <w:rsid w:val="00297C64"/>
    <w:rsid w:val="002A11FD"/>
    <w:rsid w:val="002A4228"/>
    <w:rsid w:val="002A4234"/>
    <w:rsid w:val="002A4D3D"/>
    <w:rsid w:val="002B086C"/>
    <w:rsid w:val="002B0BEF"/>
    <w:rsid w:val="002B22E1"/>
    <w:rsid w:val="002B2768"/>
    <w:rsid w:val="002B2CD0"/>
    <w:rsid w:val="002B37C8"/>
    <w:rsid w:val="002B4290"/>
    <w:rsid w:val="002C0588"/>
    <w:rsid w:val="002C074E"/>
    <w:rsid w:val="002C0E0F"/>
    <w:rsid w:val="002C1BFD"/>
    <w:rsid w:val="002C2F36"/>
    <w:rsid w:val="002C39D8"/>
    <w:rsid w:val="002C3BBE"/>
    <w:rsid w:val="002C5A38"/>
    <w:rsid w:val="002C5E6C"/>
    <w:rsid w:val="002C6DC8"/>
    <w:rsid w:val="002C6EBB"/>
    <w:rsid w:val="002C7CAA"/>
    <w:rsid w:val="002D0E02"/>
    <w:rsid w:val="002D12BF"/>
    <w:rsid w:val="002D33F8"/>
    <w:rsid w:val="002D52B1"/>
    <w:rsid w:val="002D6432"/>
    <w:rsid w:val="002D7222"/>
    <w:rsid w:val="002E0A8F"/>
    <w:rsid w:val="002E0AA0"/>
    <w:rsid w:val="002E311B"/>
    <w:rsid w:val="002E4265"/>
    <w:rsid w:val="002E447F"/>
    <w:rsid w:val="002E64D0"/>
    <w:rsid w:val="002E6AD0"/>
    <w:rsid w:val="002E70A3"/>
    <w:rsid w:val="002E746C"/>
    <w:rsid w:val="002F0A00"/>
    <w:rsid w:val="002F2DEC"/>
    <w:rsid w:val="002F30D0"/>
    <w:rsid w:val="002F3E2D"/>
    <w:rsid w:val="002F6BBE"/>
    <w:rsid w:val="0030021C"/>
    <w:rsid w:val="00300337"/>
    <w:rsid w:val="003009E9"/>
    <w:rsid w:val="003029B3"/>
    <w:rsid w:val="003030A7"/>
    <w:rsid w:val="00303851"/>
    <w:rsid w:val="00303A3A"/>
    <w:rsid w:val="00304E10"/>
    <w:rsid w:val="00305B27"/>
    <w:rsid w:val="00307F79"/>
    <w:rsid w:val="003122C8"/>
    <w:rsid w:val="00313D4D"/>
    <w:rsid w:val="00314827"/>
    <w:rsid w:val="00315220"/>
    <w:rsid w:val="00317998"/>
    <w:rsid w:val="003227FD"/>
    <w:rsid w:val="0032669C"/>
    <w:rsid w:val="00327C07"/>
    <w:rsid w:val="00327D97"/>
    <w:rsid w:val="003320A8"/>
    <w:rsid w:val="00332160"/>
    <w:rsid w:val="00332D3C"/>
    <w:rsid w:val="00334ED0"/>
    <w:rsid w:val="00336A74"/>
    <w:rsid w:val="00337EC5"/>
    <w:rsid w:val="00340200"/>
    <w:rsid w:val="00342F36"/>
    <w:rsid w:val="00344454"/>
    <w:rsid w:val="00345D36"/>
    <w:rsid w:val="00351375"/>
    <w:rsid w:val="00352936"/>
    <w:rsid w:val="00353BD5"/>
    <w:rsid w:val="00353CBD"/>
    <w:rsid w:val="00354162"/>
    <w:rsid w:val="00354DF3"/>
    <w:rsid w:val="00355464"/>
    <w:rsid w:val="003627ED"/>
    <w:rsid w:val="0036338C"/>
    <w:rsid w:val="00363AC3"/>
    <w:rsid w:val="0036443C"/>
    <w:rsid w:val="00364C90"/>
    <w:rsid w:val="00365D1B"/>
    <w:rsid w:val="00365D64"/>
    <w:rsid w:val="003662E6"/>
    <w:rsid w:val="00366373"/>
    <w:rsid w:val="003709F6"/>
    <w:rsid w:val="00371130"/>
    <w:rsid w:val="003719B8"/>
    <w:rsid w:val="00371FFA"/>
    <w:rsid w:val="00374970"/>
    <w:rsid w:val="00374A4F"/>
    <w:rsid w:val="003753DF"/>
    <w:rsid w:val="00375B8B"/>
    <w:rsid w:val="00375F32"/>
    <w:rsid w:val="00377AFC"/>
    <w:rsid w:val="00377E3E"/>
    <w:rsid w:val="0038099F"/>
    <w:rsid w:val="00380E11"/>
    <w:rsid w:val="00382989"/>
    <w:rsid w:val="00383D74"/>
    <w:rsid w:val="00390D68"/>
    <w:rsid w:val="00392B11"/>
    <w:rsid w:val="00392CD5"/>
    <w:rsid w:val="003A069D"/>
    <w:rsid w:val="003A0BA5"/>
    <w:rsid w:val="003A0D62"/>
    <w:rsid w:val="003A178E"/>
    <w:rsid w:val="003A1D00"/>
    <w:rsid w:val="003A2DF3"/>
    <w:rsid w:val="003A2E35"/>
    <w:rsid w:val="003A3C8A"/>
    <w:rsid w:val="003A4CC4"/>
    <w:rsid w:val="003A722F"/>
    <w:rsid w:val="003A740B"/>
    <w:rsid w:val="003A7B56"/>
    <w:rsid w:val="003A7CF9"/>
    <w:rsid w:val="003B1914"/>
    <w:rsid w:val="003B2B5A"/>
    <w:rsid w:val="003B3043"/>
    <w:rsid w:val="003B357D"/>
    <w:rsid w:val="003B3861"/>
    <w:rsid w:val="003B3AE0"/>
    <w:rsid w:val="003B40F6"/>
    <w:rsid w:val="003B5FAB"/>
    <w:rsid w:val="003B6C9A"/>
    <w:rsid w:val="003B77FD"/>
    <w:rsid w:val="003C09F1"/>
    <w:rsid w:val="003C1FCF"/>
    <w:rsid w:val="003C2338"/>
    <w:rsid w:val="003C35EE"/>
    <w:rsid w:val="003C371B"/>
    <w:rsid w:val="003C44B6"/>
    <w:rsid w:val="003D3E4E"/>
    <w:rsid w:val="003D48CE"/>
    <w:rsid w:val="003D55EE"/>
    <w:rsid w:val="003D640F"/>
    <w:rsid w:val="003D6A0F"/>
    <w:rsid w:val="003D7FE9"/>
    <w:rsid w:val="003E5D91"/>
    <w:rsid w:val="003E6627"/>
    <w:rsid w:val="003E6F5E"/>
    <w:rsid w:val="003F025B"/>
    <w:rsid w:val="003F14E4"/>
    <w:rsid w:val="003F2741"/>
    <w:rsid w:val="003F5C3C"/>
    <w:rsid w:val="003F5DDC"/>
    <w:rsid w:val="003F776F"/>
    <w:rsid w:val="00401AA1"/>
    <w:rsid w:val="00401AD8"/>
    <w:rsid w:val="00402A5B"/>
    <w:rsid w:val="0040300E"/>
    <w:rsid w:val="00404C6C"/>
    <w:rsid w:val="00405C54"/>
    <w:rsid w:val="00405FB1"/>
    <w:rsid w:val="00410EC9"/>
    <w:rsid w:val="00417A85"/>
    <w:rsid w:val="0042016C"/>
    <w:rsid w:val="00421D2E"/>
    <w:rsid w:val="004232C6"/>
    <w:rsid w:val="00423689"/>
    <w:rsid w:val="00424AD3"/>
    <w:rsid w:val="004258FD"/>
    <w:rsid w:val="00425D3D"/>
    <w:rsid w:val="00426244"/>
    <w:rsid w:val="004358F0"/>
    <w:rsid w:val="00435E3E"/>
    <w:rsid w:val="0043609D"/>
    <w:rsid w:val="00436326"/>
    <w:rsid w:val="00440CAE"/>
    <w:rsid w:val="00440D3C"/>
    <w:rsid w:val="00442687"/>
    <w:rsid w:val="004427C8"/>
    <w:rsid w:val="00442ACA"/>
    <w:rsid w:val="00444638"/>
    <w:rsid w:val="00444F8E"/>
    <w:rsid w:val="004452AD"/>
    <w:rsid w:val="004453AC"/>
    <w:rsid w:val="004468E6"/>
    <w:rsid w:val="00447B10"/>
    <w:rsid w:val="00450F3F"/>
    <w:rsid w:val="00451917"/>
    <w:rsid w:val="00452789"/>
    <w:rsid w:val="00454568"/>
    <w:rsid w:val="00454C8D"/>
    <w:rsid w:val="004551A9"/>
    <w:rsid w:val="00455D0B"/>
    <w:rsid w:val="0045697D"/>
    <w:rsid w:val="004606D4"/>
    <w:rsid w:val="00460F95"/>
    <w:rsid w:val="004637B8"/>
    <w:rsid w:val="00463D5C"/>
    <w:rsid w:val="0046501D"/>
    <w:rsid w:val="00465C1F"/>
    <w:rsid w:val="004666FE"/>
    <w:rsid w:val="0047405F"/>
    <w:rsid w:val="00475109"/>
    <w:rsid w:val="004757BD"/>
    <w:rsid w:val="00475974"/>
    <w:rsid w:val="00480279"/>
    <w:rsid w:val="00483CA5"/>
    <w:rsid w:val="00484837"/>
    <w:rsid w:val="00486474"/>
    <w:rsid w:val="0049367E"/>
    <w:rsid w:val="004938FA"/>
    <w:rsid w:val="00494DAF"/>
    <w:rsid w:val="00495D49"/>
    <w:rsid w:val="00495F26"/>
    <w:rsid w:val="00495F72"/>
    <w:rsid w:val="0049665D"/>
    <w:rsid w:val="0049708F"/>
    <w:rsid w:val="004A0033"/>
    <w:rsid w:val="004A0BC5"/>
    <w:rsid w:val="004A16E0"/>
    <w:rsid w:val="004A280C"/>
    <w:rsid w:val="004A2A14"/>
    <w:rsid w:val="004A4096"/>
    <w:rsid w:val="004A7684"/>
    <w:rsid w:val="004B13F8"/>
    <w:rsid w:val="004B22F5"/>
    <w:rsid w:val="004B3747"/>
    <w:rsid w:val="004B7800"/>
    <w:rsid w:val="004B7A3F"/>
    <w:rsid w:val="004C0B00"/>
    <w:rsid w:val="004C4EDB"/>
    <w:rsid w:val="004C5C18"/>
    <w:rsid w:val="004C64CD"/>
    <w:rsid w:val="004D1B5F"/>
    <w:rsid w:val="004D573F"/>
    <w:rsid w:val="004E0124"/>
    <w:rsid w:val="004E2BAA"/>
    <w:rsid w:val="004E38F0"/>
    <w:rsid w:val="004E4832"/>
    <w:rsid w:val="004E4B91"/>
    <w:rsid w:val="004E76EC"/>
    <w:rsid w:val="004E788A"/>
    <w:rsid w:val="004F0077"/>
    <w:rsid w:val="004F0540"/>
    <w:rsid w:val="004F086A"/>
    <w:rsid w:val="004F0895"/>
    <w:rsid w:val="004F0A17"/>
    <w:rsid w:val="004F349E"/>
    <w:rsid w:val="004F4CF5"/>
    <w:rsid w:val="004F777F"/>
    <w:rsid w:val="00501602"/>
    <w:rsid w:val="005019D3"/>
    <w:rsid w:val="00504384"/>
    <w:rsid w:val="00506EA2"/>
    <w:rsid w:val="0051101F"/>
    <w:rsid w:val="00514ACC"/>
    <w:rsid w:val="00520137"/>
    <w:rsid w:val="005202EC"/>
    <w:rsid w:val="005239C6"/>
    <w:rsid w:val="00526524"/>
    <w:rsid w:val="00530D6C"/>
    <w:rsid w:val="00531267"/>
    <w:rsid w:val="005326B0"/>
    <w:rsid w:val="0053355B"/>
    <w:rsid w:val="005344DC"/>
    <w:rsid w:val="00534A5A"/>
    <w:rsid w:val="005378AD"/>
    <w:rsid w:val="00540D0C"/>
    <w:rsid w:val="0054164D"/>
    <w:rsid w:val="005428B4"/>
    <w:rsid w:val="00544934"/>
    <w:rsid w:val="00545754"/>
    <w:rsid w:val="005468C9"/>
    <w:rsid w:val="00550FB6"/>
    <w:rsid w:val="005529AE"/>
    <w:rsid w:val="00552A94"/>
    <w:rsid w:val="005535C1"/>
    <w:rsid w:val="00554BCA"/>
    <w:rsid w:val="00554EA0"/>
    <w:rsid w:val="005557F3"/>
    <w:rsid w:val="00556870"/>
    <w:rsid w:val="0056235C"/>
    <w:rsid w:val="005628F6"/>
    <w:rsid w:val="00563682"/>
    <w:rsid w:val="0056440B"/>
    <w:rsid w:val="0056449C"/>
    <w:rsid w:val="00564ACB"/>
    <w:rsid w:val="00565C6C"/>
    <w:rsid w:val="005711D0"/>
    <w:rsid w:val="00573652"/>
    <w:rsid w:val="00573CF5"/>
    <w:rsid w:val="0057595B"/>
    <w:rsid w:val="00577BC9"/>
    <w:rsid w:val="00577ED3"/>
    <w:rsid w:val="00580701"/>
    <w:rsid w:val="00580E94"/>
    <w:rsid w:val="00582F8F"/>
    <w:rsid w:val="00585741"/>
    <w:rsid w:val="00585998"/>
    <w:rsid w:val="00585D44"/>
    <w:rsid w:val="005873A9"/>
    <w:rsid w:val="00591899"/>
    <w:rsid w:val="00591B5A"/>
    <w:rsid w:val="0059261E"/>
    <w:rsid w:val="0059427A"/>
    <w:rsid w:val="005945C5"/>
    <w:rsid w:val="00595981"/>
    <w:rsid w:val="00595A54"/>
    <w:rsid w:val="0059666B"/>
    <w:rsid w:val="005979F2"/>
    <w:rsid w:val="00597A53"/>
    <w:rsid w:val="005A18B3"/>
    <w:rsid w:val="005A2714"/>
    <w:rsid w:val="005A5965"/>
    <w:rsid w:val="005A6B43"/>
    <w:rsid w:val="005A731E"/>
    <w:rsid w:val="005B279B"/>
    <w:rsid w:val="005B29CB"/>
    <w:rsid w:val="005B2CD8"/>
    <w:rsid w:val="005B315D"/>
    <w:rsid w:val="005B3B8D"/>
    <w:rsid w:val="005B3E4E"/>
    <w:rsid w:val="005B612D"/>
    <w:rsid w:val="005C18E4"/>
    <w:rsid w:val="005C1F0A"/>
    <w:rsid w:val="005C217E"/>
    <w:rsid w:val="005C3821"/>
    <w:rsid w:val="005C53A8"/>
    <w:rsid w:val="005D00DB"/>
    <w:rsid w:val="005D0427"/>
    <w:rsid w:val="005D0F48"/>
    <w:rsid w:val="005D1084"/>
    <w:rsid w:val="005D1523"/>
    <w:rsid w:val="005D4A04"/>
    <w:rsid w:val="005D5C52"/>
    <w:rsid w:val="005D6C00"/>
    <w:rsid w:val="005D6FEC"/>
    <w:rsid w:val="005D7773"/>
    <w:rsid w:val="005E049A"/>
    <w:rsid w:val="005E1811"/>
    <w:rsid w:val="005E23D1"/>
    <w:rsid w:val="005E24C6"/>
    <w:rsid w:val="005E4474"/>
    <w:rsid w:val="005E44DA"/>
    <w:rsid w:val="005E5EEB"/>
    <w:rsid w:val="005E69B8"/>
    <w:rsid w:val="005F0694"/>
    <w:rsid w:val="005F25DE"/>
    <w:rsid w:val="005F25E1"/>
    <w:rsid w:val="005F4891"/>
    <w:rsid w:val="005F577C"/>
    <w:rsid w:val="005F5F59"/>
    <w:rsid w:val="005F693D"/>
    <w:rsid w:val="005F7DF3"/>
    <w:rsid w:val="00601AE1"/>
    <w:rsid w:val="0060231F"/>
    <w:rsid w:val="00603024"/>
    <w:rsid w:val="00606A59"/>
    <w:rsid w:val="006075F8"/>
    <w:rsid w:val="00607C94"/>
    <w:rsid w:val="0061148D"/>
    <w:rsid w:val="006121A5"/>
    <w:rsid w:val="00617B59"/>
    <w:rsid w:val="00621021"/>
    <w:rsid w:val="00627EC1"/>
    <w:rsid w:val="00627F91"/>
    <w:rsid w:val="006310DD"/>
    <w:rsid w:val="00631389"/>
    <w:rsid w:val="00633A65"/>
    <w:rsid w:val="00634916"/>
    <w:rsid w:val="00634B53"/>
    <w:rsid w:val="00635F06"/>
    <w:rsid w:val="00637D8E"/>
    <w:rsid w:val="00640336"/>
    <w:rsid w:val="00640E57"/>
    <w:rsid w:val="0064192B"/>
    <w:rsid w:val="00641C74"/>
    <w:rsid w:val="006448C2"/>
    <w:rsid w:val="00647F62"/>
    <w:rsid w:val="006513FE"/>
    <w:rsid w:val="006522D6"/>
    <w:rsid w:val="00653317"/>
    <w:rsid w:val="00654891"/>
    <w:rsid w:val="0065554A"/>
    <w:rsid w:val="00656EEF"/>
    <w:rsid w:val="00660C51"/>
    <w:rsid w:val="0066128B"/>
    <w:rsid w:val="006615F6"/>
    <w:rsid w:val="006625E4"/>
    <w:rsid w:val="00662BAE"/>
    <w:rsid w:val="00663102"/>
    <w:rsid w:val="006645F0"/>
    <w:rsid w:val="00674CFB"/>
    <w:rsid w:val="00675DF3"/>
    <w:rsid w:val="00676414"/>
    <w:rsid w:val="0067687C"/>
    <w:rsid w:val="00676DF4"/>
    <w:rsid w:val="00677B61"/>
    <w:rsid w:val="00680411"/>
    <w:rsid w:val="00680E4A"/>
    <w:rsid w:val="00681370"/>
    <w:rsid w:val="00681E71"/>
    <w:rsid w:val="00681FC6"/>
    <w:rsid w:val="00682792"/>
    <w:rsid w:val="00683018"/>
    <w:rsid w:val="00683980"/>
    <w:rsid w:val="00684B7F"/>
    <w:rsid w:val="00684F1E"/>
    <w:rsid w:val="0068629E"/>
    <w:rsid w:val="006868D9"/>
    <w:rsid w:val="00691454"/>
    <w:rsid w:val="00693990"/>
    <w:rsid w:val="00694692"/>
    <w:rsid w:val="00694945"/>
    <w:rsid w:val="00695464"/>
    <w:rsid w:val="006959FC"/>
    <w:rsid w:val="00695A2B"/>
    <w:rsid w:val="006963B8"/>
    <w:rsid w:val="0069694E"/>
    <w:rsid w:val="00697F89"/>
    <w:rsid w:val="006A15FE"/>
    <w:rsid w:val="006A17AA"/>
    <w:rsid w:val="006A2B81"/>
    <w:rsid w:val="006A2BF9"/>
    <w:rsid w:val="006A42F4"/>
    <w:rsid w:val="006A564D"/>
    <w:rsid w:val="006A5E33"/>
    <w:rsid w:val="006A6C89"/>
    <w:rsid w:val="006A7131"/>
    <w:rsid w:val="006A72A0"/>
    <w:rsid w:val="006A73CC"/>
    <w:rsid w:val="006B03DB"/>
    <w:rsid w:val="006B0D1B"/>
    <w:rsid w:val="006B3067"/>
    <w:rsid w:val="006B6014"/>
    <w:rsid w:val="006B62F9"/>
    <w:rsid w:val="006C002C"/>
    <w:rsid w:val="006C0933"/>
    <w:rsid w:val="006C20A5"/>
    <w:rsid w:val="006C40B2"/>
    <w:rsid w:val="006C4D95"/>
    <w:rsid w:val="006C5911"/>
    <w:rsid w:val="006C5EE7"/>
    <w:rsid w:val="006C61CF"/>
    <w:rsid w:val="006C638F"/>
    <w:rsid w:val="006D0374"/>
    <w:rsid w:val="006D1168"/>
    <w:rsid w:val="006D17EA"/>
    <w:rsid w:val="006D21FB"/>
    <w:rsid w:val="006D222C"/>
    <w:rsid w:val="006D2997"/>
    <w:rsid w:val="006D2C4A"/>
    <w:rsid w:val="006D37D8"/>
    <w:rsid w:val="006D41C4"/>
    <w:rsid w:val="006D4752"/>
    <w:rsid w:val="006D5423"/>
    <w:rsid w:val="006D60C5"/>
    <w:rsid w:val="006D6E4E"/>
    <w:rsid w:val="006D7985"/>
    <w:rsid w:val="006E1C35"/>
    <w:rsid w:val="006E3B03"/>
    <w:rsid w:val="006E6FB4"/>
    <w:rsid w:val="006F077A"/>
    <w:rsid w:val="006F32DD"/>
    <w:rsid w:val="006F531C"/>
    <w:rsid w:val="0070094C"/>
    <w:rsid w:val="00707B0B"/>
    <w:rsid w:val="00711C29"/>
    <w:rsid w:val="00712BBE"/>
    <w:rsid w:val="00712E8D"/>
    <w:rsid w:val="00714049"/>
    <w:rsid w:val="00714D32"/>
    <w:rsid w:val="00715142"/>
    <w:rsid w:val="00715DA3"/>
    <w:rsid w:val="00717E49"/>
    <w:rsid w:val="0072357E"/>
    <w:rsid w:val="007250EC"/>
    <w:rsid w:val="00725FD0"/>
    <w:rsid w:val="007261BE"/>
    <w:rsid w:val="007273E0"/>
    <w:rsid w:val="00730D2E"/>
    <w:rsid w:val="00730D5D"/>
    <w:rsid w:val="007312A8"/>
    <w:rsid w:val="007339A6"/>
    <w:rsid w:val="00735536"/>
    <w:rsid w:val="00735D4A"/>
    <w:rsid w:val="00737260"/>
    <w:rsid w:val="00740494"/>
    <w:rsid w:val="007415D2"/>
    <w:rsid w:val="00742058"/>
    <w:rsid w:val="00742254"/>
    <w:rsid w:val="00742FD2"/>
    <w:rsid w:val="00745323"/>
    <w:rsid w:val="0074568C"/>
    <w:rsid w:val="00751C4D"/>
    <w:rsid w:val="00751CC1"/>
    <w:rsid w:val="00753AA1"/>
    <w:rsid w:val="007543BF"/>
    <w:rsid w:val="00763A1F"/>
    <w:rsid w:val="0076410F"/>
    <w:rsid w:val="00766F2A"/>
    <w:rsid w:val="0077129D"/>
    <w:rsid w:val="00771CCC"/>
    <w:rsid w:val="007727C1"/>
    <w:rsid w:val="007744A5"/>
    <w:rsid w:val="0077477D"/>
    <w:rsid w:val="00774816"/>
    <w:rsid w:val="00775394"/>
    <w:rsid w:val="00783539"/>
    <w:rsid w:val="00783685"/>
    <w:rsid w:val="00783974"/>
    <w:rsid w:val="0078464A"/>
    <w:rsid w:val="007864B2"/>
    <w:rsid w:val="007867CF"/>
    <w:rsid w:val="00790276"/>
    <w:rsid w:val="00790C33"/>
    <w:rsid w:val="007961E2"/>
    <w:rsid w:val="007A019B"/>
    <w:rsid w:val="007A10F4"/>
    <w:rsid w:val="007A31C3"/>
    <w:rsid w:val="007A3D51"/>
    <w:rsid w:val="007A46C9"/>
    <w:rsid w:val="007A4B35"/>
    <w:rsid w:val="007A63E7"/>
    <w:rsid w:val="007A6D43"/>
    <w:rsid w:val="007B0652"/>
    <w:rsid w:val="007B0AE7"/>
    <w:rsid w:val="007B135D"/>
    <w:rsid w:val="007B4133"/>
    <w:rsid w:val="007B5457"/>
    <w:rsid w:val="007C0096"/>
    <w:rsid w:val="007C193D"/>
    <w:rsid w:val="007C5D50"/>
    <w:rsid w:val="007C6387"/>
    <w:rsid w:val="007C660C"/>
    <w:rsid w:val="007C6E51"/>
    <w:rsid w:val="007D2A3B"/>
    <w:rsid w:val="007D2B3A"/>
    <w:rsid w:val="007D5DA3"/>
    <w:rsid w:val="007D7D8C"/>
    <w:rsid w:val="007D7FBA"/>
    <w:rsid w:val="007E1601"/>
    <w:rsid w:val="007E1A5D"/>
    <w:rsid w:val="007E1F84"/>
    <w:rsid w:val="007E5C28"/>
    <w:rsid w:val="007E61C0"/>
    <w:rsid w:val="007E7664"/>
    <w:rsid w:val="007F0263"/>
    <w:rsid w:val="007F09A8"/>
    <w:rsid w:val="007F16E1"/>
    <w:rsid w:val="007F49D1"/>
    <w:rsid w:val="007F51B4"/>
    <w:rsid w:val="007F675B"/>
    <w:rsid w:val="00800039"/>
    <w:rsid w:val="00802789"/>
    <w:rsid w:val="008043FD"/>
    <w:rsid w:val="00804AC8"/>
    <w:rsid w:val="00804E7A"/>
    <w:rsid w:val="00805FCF"/>
    <w:rsid w:val="00806CDA"/>
    <w:rsid w:val="0080743A"/>
    <w:rsid w:val="008076A3"/>
    <w:rsid w:val="008076EB"/>
    <w:rsid w:val="00810C5A"/>
    <w:rsid w:val="0081137A"/>
    <w:rsid w:val="00811E3B"/>
    <w:rsid w:val="00812BFD"/>
    <w:rsid w:val="00813004"/>
    <w:rsid w:val="00815CED"/>
    <w:rsid w:val="0082041E"/>
    <w:rsid w:val="008205D1"/>
    <w:rsid w:val="0082288D"/>
    <w:rsid w:val="0082474F"/>
    <w:rsid w:val="00824877"/>
    <w:rsid w:val="00824920"/>
    <w:rsid w:val="008255E8"/>
    <w:rsid w:val="00827160"/>
    <w:rsid w:val="00827C39"/>
    <w:rsid w:val="0083116B"/>
    <w:rsid w:val="00832442"/>
    <w:rsid w:val="00832AE3"/>
    <w:rsid w:val="00832FF6"/>
    <w:rsid w:val="00834140"/>
    <w:rsid w:val="0083674F"/>
    <w:rsid w:val="0083719A"/>
    <w:rsid w:val="00837C36"/>
    <w:rsid w:val="0084008E"/>
    <w:rsid w:val="008401FF"/>
    <w:rsid w:val="008416C3"/>
    <w:rsid w:val="00843254"/>
    <w:rsid w:val="00843B34"/>
    <w:rsid w:val="0084408B"/>
    <w:rsid w:val="00847629"/>
    <w:rsid w:val="008503FB"/>
    <w:rsid w:val="00851371"/>
    <w:rsid w:val="00852EB1"/>
    <w:rsid w:val="008533BE"/>
    <w:rsid w:val="008545DE"/>
    <w:rsid w:val="00856672"/>
    <w:rsid w:val="00860353"/>
    <w:rsid w:val="00860CFB"/>
    <w:rsid w:val="00862891"/>
    <w:rsid w:val="00863099"/>
    <w:rsid w:val="008635FE"/>
    <w:rsid w:val="00865892"/>
    <w:rsid w:val="008660A3"/>
    <w:rsid w:val="008664D6"/>
    <w:rsid w:val="00866D63"/>
    <w:rsid w:val="0086708C"/>
    <w:rsid w:val="00867356"/>
    <w:rsid w:val="008700C5"/>
    <w:rsid w:val="00871200"/>
    <w:rsid w:val="008719B3"/>
    <w:rsid w:val="00874230"/>
    <w:rsid w:val="00874BB8"/>
    <w:rsid w:val="008757B8"/>
    <w:rsid w:val="00877B3D"/>
    <w:rsid w:val="00877E82"/>
    <w:rsid w:val="00883361"/>
    <w:rsid w:val="0088339B"/>
    <w:rsid w:val="00883ED3"/>
    <w:rsid w:val="008846B5"/>
    <w:rsid w:val="00885759"/>
    <w:rsid w:val="00886281"/>
    <w:rsid w:val="00887464"/>
    <w:rsid w:val="0088784E"/>
    <w:rsid w:val="00890EC1"/>
    <w:rsid w:val="00892367"/>
    <w:rsid w:val="008935E5"/>
    <w:rsid w:val="00897D4C"/>
    <w:rsid w:val="008A0C3C"/>
    <w:rsid w:val="008A0EBC"/>
    <w:rsid w:val="008A1B8B"/>
    <w:rsid w:val="008A1F09"/>
    <w:rsid w:val="008A3ADD"/>
    <w:rsid w:val="008A545B"/>
    <w:rsid w:val="008B0EA7"/>
    <w:rsid w:val="008B36C4"/>
    <w:rsid w:val="008B4325"/>
    <w:rsid w:val="008B6328"/>
    <w:rsid w:val="008B6DE2"/>
    <w:rsid w:val="008B7340"/>
    <w:rsid w:val="008C2030"/>
    <w:rsid w:val="008C234A"/>
    <w:rsid w:val="008C3425"/>
    <w:rsid w:val="008C3585"/>
    <w:rsid w:val="008C361A"/>
    <w:rsid w:val="008C4DDA"/>
    <w:rsid w:val="008C5035"/>
    <w:rsid w:val="008C51EB"/>
    <w:rsid w:val="008C6B2D"/>
    <w:rsid w:val="008C7384"/>
    <w:rsid w:val="008C754B"/>
    <w:rsid w:val="008D0880"/>
    <w:rsid w:val="008D25D0"/>
    <w:rsid w:val="008D2ACA"/>
    <w:rsid w:val="008D32CA"/>
    <w:rsid w:val="008D6954"/>
    <w:rsid w:val="008D729F"/>
    <w:rsid w:val="008D7876"/>
    <w:rsid w:val="008D78B1"/>
    <w:rsid w:val="008E02C1"/>
    <w:rsid w:val="008E1319"/>
    <w:rsid w:val="008E140F"/>
    <w:rsid w:val="008E2652"/>
    <w:rsid w:val="008E6BBC"/>
    <w:rsid w:val="008E6E1C"/>
    <w:rsid w:val="008E7AB2"/>
    <w:rsid w:val="0090195E"/>
    <w:rsid w:val="00901F9D"/>
    <w:rsid w:val="0090348F"/>
    <w:rsid w:val="00903C63"/>
    <w:rsid w:val="0090407B"/>
    <w:rsid w:val="00904901"/>
    <w:rsid w:val="00907052"/>
    <w:rsid w:val="00907D7C"/>
    <w:rsid w:val="0091007C"/>
    <w:rsid w:val="0091093A"/>
    <w:rsid w:val="00910D5F"/>
    <w:rsid w:val="00913C11"/>
    <w:rsid w:val="00913CFD"/>
    <w:rsid w:val="009161F2"/>
    <w:rsid w:val="00916806"/>
    <w:rsid w:val="00916D32"/>
    <w:rsid w:val="009200C8"/>
    <w:rsid w:val="009205C1"/>
    <w:rsid w:val="00920F50"/>
    <w:rsid w:val="00921E68"/>
    <w:rsid w:val="009257FB"/>
    <w:rsid w:val="00927551"/>
    <w:rsid w:val="009302A0"/>
    <w:rsid w:val="00930B70"/>
    <w:rsid w:val="00937CE3"/>
    <w:rsid w:val="009402A2"/>
    <w:rsid w:val="009406AA"/>
    <w:rsid w:val="00941626"/>
    <w:rsid w:val="00944A61"/>
    <w:rsid w:val="00945474"/>
    <w:rsid w:val="0094560C"/>
    <w:rsid w:val="009466FA"/>
    <w:rsid w:val="00946BF4"/>
    <w:rsid w:val="00947C28"/>
    <w:rsid w:val="00951337"/>
    <w:rsid w:val="00952DC7"/>
    <w:rsid w:val="00953CA6"/>
    <w:rsid w:val="00953CD8"/>
    <w:rsid w:val="00955DAB"/>
    <w:rsid w:val="00957AD7"/>
    <w:rsid w:val="00961214"/>
    <w:rsid w:val="00964F72"/>
    <w:rsid w:val="00965E98"/>
    <w:rsid w:val="009705AB"/>
    <w:rsid w:val="00971B5C"/>
    <w:rsid w:val="00974220"/>
    <w:rsid w:val="00976AE6"/>
    <w:rsid w:val="009773D8"/>
    <w:rsid w:val="00981C95"/>
    <w:rsid w:val="00983BAF"/>
    <w:rsid w:val="0098642E"/>
    <w:rsid w:val="009865EF"/>
    <w:rsid w:val="0098707E"/>
    <w:rsid w:val="00991BB5"/>
    <w:rsid w:val="00993957"/>
    <w:rsid w:val="00993F86"/>
    <w:rsid w:val="00994E1C"/>
    <w:rsid w:val="00994F8F"/>
    <w:rsid w:val="0099559C"/>
    <w:rsid w:val="009959F8"/>
    <w:rsid w:val="00996A9E"/>
    <w:rsid w:val="00997B77"/>
    <w:rsid w:val="009A09B5"/>
    <w:rsid w:val="009A11DD"/>
    <w:rsid w:val="009A1528"/>
    <w:rsid w:val="009A2688"/>
    <w:rsid w:val="009A347B"/>
    <w:rsid w:val="009A38F4"/>
    <w:rsid w:val="009A42B8"/>
    <w:rsid w:val="009A574E"/>
    <w:rsid w:val="009A6C57"/>
    <w:rsid w:val="009B19BA"/>
    <w:rsid w:val="009B2F1A"/>
    <w:rsid w:val="009B35E5"/>
    <w:rsid w:val="009B46DC"/>
    <w:rsid w:val="009B4720"/>
    <w:rsid w:val="009B4C75"/>
    <w:rsid w:val="009B5557"/>
    <w:rsid w:val="009B5868"/>
    <w:rsid w:val="009B6551"/>
    <w:rsid w:val="009B670F"/>
    <w:rsid w:val="009B6D17"/>
    <w:rsid w:val="009C4679"/>
    <w:rsid w:val="009C49F5"/>
    <w:rsid w:val="009C5E62"/>
    <w:rsid w:val="009C63E7"/>
    <w:rsid w:val="009D034D"/>
    <w:rsid w:val="009D1DF3"/>
    <w:rsid w:val="009D1F8C"/>
    <w:rsid w:val="009D285C"/>
    <w:rsid w:val="009D4B87"/>
    <w:rsid w:val="009D7062"/>
    <w:rsid w:val="009D7C2C"/>
    <w:rsid w:val="009E157E"/>
    <w:rsid w:val="009E24A4"/>
    <w:rsid w:val="009E3B68"/>
    <w:rsid w:val="009E55E5"/>
    <w:rsid w:val="009F23F6"/>
    <w:rsid w:val="009F302F"/>
    <w:rsid w:val="009F3579"/>
    <w:rsid w:val="009F5DD2"/>
    <w:rsid w:val="009F60E2"/>
    <w:rsid w:val="009F65E4"/>
    <w:rsid w:val="00A014AE"/>
    <w:rsid w:val="00A034EE"/>
    <w:rsid w:val="00A04C1D"/>
    <w:rsid w:val="00A1021F"/>
    <w:rsid w:val="00A1039F"/>
    <w:rsid w:val="00A12530"/>
    <w:rsid w:val="00A131C2"/>
    <w:rsid w:val="00A16155"/>
    <w:rsid w:val="00A16359"/>
    <w:rsid w:val="00A17242"/>
    <w:rsid w:val="00A17404"/>
    <w:rsid w:val="00A174C4"/>
    <w:rsid w:val="00A2011E"/>
    <w:rsid w:val="00A23786"/>
    <w:rsid w:val="00A31481"/>
    <w:rsid w:val="00A31DBD"/>
    <w:rsid w:val="00A32B36"/>
    <w:rsid w:val="00A3371E"/>
    <w:rsid w:val="00A33D17"/>
    <w:rsid w:val="00A42154"/>
    <w:rsid w:val="00A42C9E"/>
    <w:rsid w:val="00A44860"/>
    <w:rsid w:val="00A44AA1"/>
    <w:rsid w:val="00A4589D"/>
    <w:rsid w:val="00A503DA"/>
    <w:rsid w:val="00A53605"/>
    <w:rsid w:val="00A54159"/>
    <w:rsid w:val="00A5418B"/>
    <w:rsid w:val="00A55B6A"/>
    <w:rsid w:val="00A55F73"/>
    <w:rsid w:val="00A56855"/>
    <w:rsid w:val="00A63D27"/>
    <w:rsid w:val="00A645A2"/>
    <w:rsid w:val="00A6517A"/>
    <w:rsid w:val="00A65507"/>
    <w:rsid w:val="00A662FB"/>
    <w:rsid w:val="00A70FA2"/>
    <w:rsid w:val="00A75EE0"/>
    <w:rsid w:val="00A802D5"/>
    <w:rsid w:val="00A81121"/>
    <w:rsid w:val="00A82E68"/>
    <w:rsid w:val="00A848F7"/>
    <w:rsid w:val="00A9034B"/>
    <w:rsid w:val="00A90852"/>
    <w:rsid w:val="00A90BD4"/>
    <w:rsid w:val="00A919B9"/>
    <w:rsid w:val="00A9393E"/>
    <w:rsid w:val="00A950AA"/>
    <w:rsid w:val="00AA047F"/>
    <w:rsid w:val="00AA07F6"/>
    <w:rsid w:val="00AA4648"/>
    <w:rsid w:val="00AA503B"/>
    <w:rsid w:val="00AA7557"/>
    <w:rsid w:val="00AA7592"/>
    <w:rsid w:val="00AA7636"/>
    <w:rsid w:val="00AB0648"/>
    <w:rsid w:val="00AB1F4C"/>
    <w:rsid w:val="00AB2DB5"/>
    <w:rsid w:val="00AB3216"/>
    <w:rsid w:val="00AB3E6E"/>
    <w:rsid w:val="00AB54B6"/>
    <w:rsid w:val="00AB7E1C"/>
    <w:rsid w:val="00AC3DDD"/>
    <w:rsid w:val="00AC5019"/>
    <w:rsid w:val="00AC7D82"/>
    <w:rsid w:val="00AD2849"/>
    <w:rsid w:val="00AD4E62"/>
    <w:rsid w:val="00AD5DEC"/>
    <w:rsid w:val="00AD5F86"/>
    <w:rsid w:val="00AE11CD"/>
    <w:rsid w:val="00AE2ADB"/>
    <w:rsid w:val="00AE2F0C"/>
    <w:rsid w:val="00AE43A7"/>
    <w:rsid w:val="00AE4A35"/>
    <w:rsid w:val="00AF15B3"/>
    <w:rsid w:val="00AF3307"/>
    <w:rsid w:val="00AF370C"/>
    <w:rsid w:val="00AF4E1F"/>
    <w:rsid w:val="00AF73F4"/>
    <w:rsid w:val="00B0270B"/>
    <w:rsid w:val="00B071C8"/>
    <w:rsid w:val="00B07C0D"/>
    <w:rsid w:val="00B1130E"/>
    <w:rsid w:val="00B12374"/>
    <w:rsid w:val="00B139C7"/>
    <w:rsid w:val="00B1568B"/>
    <w:rsid w:val="00B156EC"/>
    <w:rsid w:val="00B15A3E"/>
    <w:rsid w:val="00B1636E"/>
    <w:rsid w:val="00B17041"/>
    <w:rsid w:val="00B20147"/>
    <w:rsid w:val="00B222B9"/>
    <w:rsid w:val="00B2322E"/>
    <w:rsid w:val="00B232EF"/>
    <w:rsid w:val="00B24936"/>
    <w:rsid w:val="00B25CFB"/>
    <w:rsid w:val="00B303A8"/>
    <w:rsid w:val="00B30560"/>
    <w:rsid w:val="00B31448"/>
    <w:rsid w:val="00B3152F"/>
    <w:rsid w:val="00B31D8B"/>
    <w:rsid w:val="00B321C5"/>
    <w:rsid w:val="00B32D3F"/>
    <w:rsid w:val="00B3490A"/>
    <w:rsid w:val="00B34AE8"/>
    <w:rsid w:val="00B3508C"/>
    <w:rsid w:val="00B35362"/>
    <w:rsid w:val="00B355BD"/>
    <w:rsid w:val="00B356D4"/>
    <w:rsid w:val="00B36CDD"/>
    <w:rsid w:val="00B40BBE"/>
    <w:rsid w:val="00B41F21"/>
    <w:rsid w:val="00B429FA"/>
    <w:rsid w:val="00B452B8"/>
    <w:rsid w:val="00B45A5A"/>
    <w:rsid w:val="00B46A39"/>
    <w:rsid w:val="00B525DA"/>
    <w:rsid w:val="00B53AB7"/>
    <w:rsid w:val="00B541FC"/>
    <w:rsid w:val="00B5475E"/>
    <w:rsid w:val="00B558B7"/>
    <w:rsid w:val="00B568DB"/>
    <w:rsid w:val="00B5776C"/>
    <w:rsid w:val="00B60DC7"/>
    <w:rsid w:val="00B610E6"/>
    <w:rsid w:val="00B61EA3"/>
    <w:rsid w:val="00B66BFA"/>
    <w:rsid w:val="00B671F8"/>
    <w:rsid w:val="00B707E7"/>
    <w:rsid w:val="00B712CA"/>
    <w:rsid w:val="00B71D7D"/>
    <w:rsid w:val="00B72617"/>
    <w:rsid w:val="00B72BCB"/>
    <w:rsid w:val="00B74853"/>
    <w:rsid w:val="00B75285"/>
    <w:rsid w:val="00B76596"/>
    <w:rsid w:val="00B76C5B"/>
    <w:rsid w:val="00B80965"/>
    <w:rsid w:val="00B81A61"/>
    <w:rsid w:val="00B82431"/>
    <w:rsid w:val="00B83B83"/>
    <w:rsid w:val="00B85A42"/>
    <w:rsid w:val="00B8653F"/>
    <w:rsid w:val="00B86F3A"/>
    <w:rsid w:val="00B86FF4"/>
    <w:rsid w:val="00B87D07"/>
    <w:rsid w:val="00B906F1"/>
    <w:rsid w:val="00B9150F"/>
    <w:rsid w:val="00B921D4"/>
    <w:rsid w:val="00B93412"/>
    <w:rsid w:val="00B93B61"/>
    <w:rsid w:val="00B93FA6"/>
    <w:rsid w:val="00B9414F"/>
    <w:rsid w:val="00B945E7"/>
    <w:rsid w:val="00B94CB0"/>
    <w:rsid w:val="00B94E12"/>
    <w:rsid w:val="00B950ED"/>
    <w:rsid w:val="00B95AD0"/>
    <w:rsid w:val="00BA1448"/>
    <w:rsid w:val="00BA2583"/>
    <w:rsid w:val="00BB0CCB"/>
    <w:rsid w:val="00BB1085"/>
    <w:rsid w:val="00BB1403"/>
    <w:rsid w:val="00BB19A4"/>
    <w:rsid w:val="00BB1A5B"/>
    <w:rsid w:val="00BB2BDF"/>
    <w:rsid w:val="00BB30AC"/>
    <w:rsid w:val="00BB4A9A"/>
    <w:rsid w:val="00BC0572"/>
    <w:rsid w:val="00BC0DCF"/>
    <w:rsid w:val="00BC4E55"/>
    <w:rsid w:val="00BC57A7"/>
    <w:rsid w:val="00BC765D"/>
    <w:rsid w:val="00BD0E2F"/>
    <w:rsid w:val="00BD169A"/>
    <w:rsid w:val="00BD1847"/>
    <w:rsid w:val="00BD2542"/>
    <w:rsid w:val="00BD44FE"/>
    <w:rsid w:val="00BD4C42"/>
    <w:rsid w:val="00BD66F9"/>
    <w:rsid w:val="00BE1B82"/>
    <w:rsid w:val="00BE4958"/>
    <w:rsid w:val="00BE5003"/>
    <w:rsid w:val="00BE5D42"/>
    <w:rsid w:val="00BE6354"/>
    <w:rsid w:val="00BE7651"/>
    <w:rsid w:val="00BE76E1"/>
    <w:rsid w:val="00BF0458"/>
    <w:rsid w:val="00BF2D5B"/>
    <w:rsid w:val="00BF3DF9"/>
    <w:rsid w:val="00BF69BE"/>
    <w:rsid w:val="00BF6D78"/>
    <w:rsid w:val="00BF7389"/>
    <w:rsid w:val="00BF7606"/>
    <w:rsid w:val="00C00052"/>
    <w:rsid w:val="00C002FD"/>
    <w:rsid w:val="00C005D1"/>
    <w:rsid w:val="00C00901"/>
    <w:rsid w:val="00C0365A"/>
    <w:rsid w:val="00C03BB1"/>
    <w:rsid w:val="00C05671"/>
    <w:rsid w:val="00C07256"/>
    <w:rsid w:val="00C106DF"/>
    <w:rsid w:val="00C10781"/>
    <w:rsid w:val="00C14121"/>
    <w:rsid w:val="00C205A6"/>
    <w:rsid w:val="00C20AE0"/>
    <w:rsid w:val="00C240C8"/>
    <w:rsid w:val="00C25299"/>
    <w:rsid w:val="00C253E9"/>
    <w:rsid w:val="00C25E7E"/>
    <w:rsid w:val="00C2610B"/>
    <w:rsid w:val="00C26AD4"/>
    <w:rsid w:val="00C27246"/>
    <w:rsid w:val="00C30146"/>
    <w:rsid w:val="00C3017D"/>
    <w:rsid w:val="00C30757"/>
    <w:rsid w:val="00C31541"/>
    <w:rsid w:val="00C34009"/>
    <w:rsid w:val="00C3448F"/>
    <w:rsid w:val="00C35763"/>
    <w:rsid w:val="00C363C3"/>
    <w:rsid w:val="00C40E6E"/>
    <w:rsid w:val="00C43A19"/>
    <w:rsid w:val="00C43C7F"/>
    <w:rsid w:val="00C50BAC"/>
    <w:rsid w:val="00C51461"/>
    <w:rsid w:val="00C55D17"/>
    <w:rsid w:val="00C601D5"/>
    <w:rsid w:val="00C64143"/>
    <w:rsid w:val="00C66D31"/>
    <w:rsid w:val="00C7132F"/>
    <w:rsid w:val="00C71469"/>
    <w:rsid w:val="00C720E8"/>
    <w:rsid w:val="00C7225E"/>
    <w:rsid w:val="00C73C04"/>
    <w:rsid w:val="00C74596"/>
    <w:rsid w:val="00C757AF"/>
    <w:rsid w:val="00C75803"/>
    <w:rsid w:val="00C773E5"/>
    <w:rsid w:val="00C77E6F"/>
    <w:rsid w:val="00C80239"/>
    <w:rsid w:val="00C80760"/>
    <w:rsid w:val="00C8105E"/>
    <w:rsid w:val="00C8470E"/>
    <w:rsid w:val="00C85F3A"/>
    <w:rsid w:val="00C872D3"/>
    <w:rsid w:val="00C87718"/>
    <w:rsid w:val="00C90CC4"/>
    <w:rsid w:val="00C91F3C"/>
    <w:rsid w:val="00C9233C"/>
    <w:rsid w:val="00C924D6"/>
    <w:rsid w:val="00C951D4"/>
    <w:rsid w:val="00C955ED"/>
    <w:rsid w:val="00CA0D07"/>
    <w:rsid w:val="00CA14B5"/>
    <w:rsid w:val="00CA1FFF"/>
    <w:rsid w:val="00CA4353"/>
    <w:rsid w:val="00CA4822"/>
    <w:rsid w:val="00CA4FB9"/>
    <w:rsid w:val="00CA6C7C"/>
    <w:rsid w:val="00CA7CE8"/>
    <w:rsid w:val="00CA7F1E"/>
    <w:rsid w:val="00CB0822"/>
    <w:rsid w:val="00CB2961"/>
    <w:rsid w:val="00CB297F"/>
    <w:rsid w:val="00CB54CB"/>
    <w:rsid w:val="00CB57F5"/>
    <w:rsid w:val="00CB5C9E"/>
    <w:rsid w:val="00CB5E8A"/>
    <w:rsid w:val="00CB65A4"/>
    <w:rsid w:val="00CB717F"/>
    <w:rsid w:val="00CB730A"/>
    <w:rsid w:val="00CC1953"/>
    <w:rsid w:val="00CC3736"/>
    <w:rsid w:val="00CC5126"/>
    <w:rsid w:val="00CC7259"/>
    <w:rsid w:val="00CC787F"/>
    <w:rsid w:val="00CD3277"/>
    <w:rsid w:val="00CD4204"/>
    <w:rsid w:val="00CD4D61"/>
    <w:rsid w:val="00CD5579"/>
    <w:rsid w:val="00CD62A3"/>
    <w:rsid w:val="00CD6FE8"/>
    <w:rsid w:val="00CE3BCC"/>
    <w:rsid w:val="00CE3C58"/>
    <w:rsid w:val="00CE437F"/>
    <w:rsid w:val="00CE6A86"/>
    <w:rsid w:val="00CE6C38"/>
    <w:rsid w:val="00CE7FEB"/>
    <w:rsid w:val="00CF05DF"/>
    <w:rsid w:val="00CF1470"/>
    <w:rsid w:val="00CF16E5"/>
    <w:rsid w:val="00CF2859"/>
    <w:rsid w:val="00CF2899"/>
    <w:rsid w:val="00CF3B66"/>
    <w:rsid w:val="00CF3E72"/>
    <w:rsid w:val="00CF48E9"/>
    <w:rsid w:val="00CF691F"/>
    <w:rsid w:val="00CF6AB9"/>
    <w:rsid w:val="00CF6EF2"/>
    <w:rsid w:val="00CF745B"/>
    <w:rsid w:val="00CF7BA6"/>
    <w:rsid w:val="00CF7D63"/>
    <w:rsid w:val="00D007FC"/>
    <w:rsid w:val="00D00B35"/>
    <w:rsid w:val="00D012FB"/>
    <w:rsid w:val="00D02BF5"/>
    <w:rsid w:val="00D02FBC"/>
    <w:rsid w:val="00D044DB"/>
    <w:rsid w:val="00D05063"/>
    <w:rsid w:val="00D0672E"/>
    <w:rsid w:val="00D12AB8"/>
    <w:rsid w:val="00D12B65"/>
    <w:rsid w:val="00D15003"/>
    <w:rsid w:val="00D17C68"/>
    <w:rsid w:val="00D20A01"/>
    <w:rsid w:val="00D20B4F"/>
    <w:rsid w:val="00D2126B"/>
    <w:rsid w:val="00D22045"/>
    <w:rsid w:val="00D23691"/>
    <w:rsid w:val="00D2415D"/>
    <w:rsid w:val="00D25986"/>
    <w:rsid w:val="00D271D2"/>
    <w:rsid w:val="00D300C6"/>
    <w:rsid w:val="00D30CA4"/>
    <w:rsid w:val="00D30DBC"/>
    <w:rsid w:val="00D31776"/>
    <w:rsid w:val="00D33530"/>
    <w:rsid w:val="00D33AC0"/>
    <w:rsid w:val="00D345B4"/>
    <w:rsid w:val="00D35703"/>
    <w:rsid w:val="00D35EAF"/>
    <w:rsid w:val="00D35F81"/>
    <w:rsid w:val="00D36DCA"/>
    <w:rsid w:val="00D4516F"/>
    <w:rsid w:val="00D50E4F"/>
    <w:rsid w:val="00D53781"/>
    <w:rsid w:val="00D53B66"/>
    <w:rsid w:val="00D543E8"/>
    <w:rsid w:val="00D55233"/>
    <w:rsid w:val="00D60242"/>
    <w:rsid w:val="00D62180"/>
    <w:rsid w:val="00D65154"/>
    <w:rsid w:val="00D6591F"/>
    <w:rsid w:val="00D6650A"/>
    <w:rsid w:val="00D7169A"/>
    <w:rsid w:val="00D71815"/>
    <w:rsid w:val="00D7203B"/>
    <w:rsid w:val="00D7238E"/>
    <w:rsid w:val="00D72800"/>
    <w:rsid w:val="00D73FA6"/>
    <w:rsid w:val="00D747B1"/>
    <w:rsid w:val="00D752C8"/>
    <w:rsid w:val="00D760A8"/>
    <w:rsid w:val="00D76D9B"/>
    <w:rsid w:val="00D80D64"/>
    <w:rsid w:val="00D80E5D"/>
    <w:rsid w:val="00D83785"/>
    <w:rsid w:val="00D84943"/>
    <w:rsid w:val="00D9161F"/>
    <w:rsid w:val="00D922D1"/>
    <w:rsid w:val="00D92728"/>
    <w:rsid w:val="00D93634"/>
    <w:rsid w:val="00D93AC6"/>
    <w:rsid w:val="00D952A1"/>
    <w:rsid w:val="00DA2555"/>
    <w:rsid w:val="00DA30BF"/>
    <w:rsid w:val="00DA33A8"/>
    <w:rsid w:val="00DA459D"/>
    <w:rsid w:val="00DA529C"/>
    <w:rsid w:val="00DA6473"/>
    <w:rsid w:val="00DA70C3"/>
    <w:rsid w:val="00DB084A"/>
    <w:rsid w:val="00DB08E3"/>
    <w:rsid w:val="00DB147C"/>
    <w:rsid w:val="00DB2D0A"/>
    <w:rsid w:val="00DB2D7D"/>
    <w:rsid w:val="00DB2F33"/>
    <w:rsid w:val="00DB6738"/>
    <w:rsid w:val="00DC0531"/>
    <w:rsid w:val="00DC0735"/>
    <w:rsid w:val="00DC10B3"/>
    <w:rsid w:val="00DC4B2D"/>
    <w:rsid w:val="00DC4E35"/>
    <w:rsid w:val="00DC52B9"/>
    <w:rsid w:val="00DC5B96"/>
    <w:rsid w:val="00DC6CDF"/>
    <w:rsid w:val="00DC73AC"/>
    <w:rsid w:val="00DD07F3"/>
    <w:rsid w:val="00DD07F7"/>
    <w:rsid w:val="00DD2E23"/>
    <w:rsid w:val="00DD3088"/>
    <w:rsid w:val="00DD37A5"/>
    <w:rsid w:val="00DD6D0A"/>
    <w:rsid w:val="00DD73D3"/>
    <w:rsid w:val="00DD76AA"/>
    <w:rsid w:val="00DE338F"/>
    <w:rsid w:val="00DE59A0"/>
    <w:rsid w:val="00DF39CB"/>
    <w:rsid w:val="00DF6420"/>
    <w:rsid w:val="00DF683C"/>
    <w:rsid w:val="00DF7256"/>
    <w:rsid w:val="00DF7318"/>
    <w:rsid w:val="00E012F0"/>
    <w:rsid w:val="00E05432"/>
    <w:rsid w:val="00E1221C"/>
    <w:rsid w:val="00E13B80"/>
    <w:rsid w:val="00E20A4D"/>
    <w:rsid w:val="00E22DCE"/>
    <w:rsid w:val="00E23F8F"/>
    <w:rsid w:val="00E256AC"/>
    <w:rsid w:val="00E25780"/>
    <w:rsid w:val="00E2670B"/>
    <w:rsid w:val="00E275CD"/>
    <w:rsid w:val="00E3050E"/>
    <w:rsid w:val="00E31489"/>
    <w:rsid w:val="00E347E8"/>
    <w:rsid w:val="00E34835"/>
    <w:rsid w:val="00E35434"/>
    <w:rsid w:val="00E36E5B"/>
    <w:rsid w:val="00E40F07"/>
    <w:rsid w:val="00E429F0"/>
    <w:rsid w:val="00E42BE5"/>
    <w:rsid w:val="00E46E21"/>
    <w:rsid w:val="00E504F2"/>
    <w:rsid w:val="00E51FE1"/>
    <w:rsid w:val="00E523AB"/>
    <w:rsid w:val="00E5298F"/>
    <w:rsid w:val="00E5400A"/>
    <w:rsid w:val="00E57334"/>
    <w:rsid w:val="00E577C9"/>
    <w:rsid w:val="00E60C31"/>
    <w:rsid w:val="00E60D06"/>
    <w:rsid w:val="00E6162A"/>
    <w:rsid w:val="00E62F48"/>
    <w:rsid w:val="00E63072"/>
    <w:rsid w:val="00E633F6"/>
    <w:rsid w:val="00E64924"/>
    <w:rsid w:val="00E65210"/>
    <w:rsid w:val="00E65B77"/>
    <w:rsid w:val="00E7008D"/>
    <w:rsid w:val="00E7018A"/>
    <w:rsid w:val="00E7047A"/>
    <w:rsid w:val="00E714BE"/>
    <w:rsid w:val="00E71A50"/>
    <w:rsid w:val="00E72729"/>
    <w:rsid w:val="00E76495"/>
    <w:rsid w:val="00E7674E"/>
    <w:rsid w:val="00E77F0E"/>
    <w:rsid w:val="00E844B1"/>
    <w:rsid w:val="00E84D21"/>
    <w:rsid w:val="00E86A23"/>
    <w:rsid w:val="00E86B0B"/>
    <w:rsid w:val="00E917D4"/>
    <w:rsid w:val="00E94C96"/>
    <w:rsid w:val="00E951FD"/>
    <w:rsid w:val="00E962E4"/>
    <w:rsid w:val="00E9634F"/>
    <w:rsid w:val="00E965E3"/>
    <w:rsid w:val="00E97B60"/>
    <w:rsid w:val="00EA14B1"/>
    <w:rsid w:val="00EA20DA"/>
    <w:rsid w:val="00EA26E8"/>
    <w:rsid w:val="00EA2D5E"/>
    <w:rsid w:val="00EA6D26"/>
    <w:rsid w:val="00EB01BB"/>
    <w:rsid w:val="00EB1562"/>
    <w:rsid w:val="00EB2409"/>
    <w:rsid w:val="00EB27BD"/>
    <w:rsid w:val="00EB4D48"/>
    <w:rsid w:val="00EB4E1A"/>
    <w:rsid w:val="00EB5F0B"/>
    <w:rsid w:val="00EC361E"/>
    <w:rsid w:val="00EC4256"/>
    <w:rsid w:val="00EC4C66"/>
    <w:rsid w:val="00EC4D73"/>
    <w:rsid w:val="00EC6791"/>
    <w:rsid w:val="00EC6C97"/>
    <w:rsid w:val="00EC763C"/>
    <w:rsid w:val="00ED00BA"/>
    <w:rsid w:val="00ED3F4D"/>
    <w:rsid w:val="00ED46A6"/>
    <w:rsid w:val="00ED7262"/>
    <w:rsid w:val="00EE1DF6"/>
    <w:rsid w:val="00EE214E"/>
    <w:rsid w:val="00EE30E2"/>
    <w:rsid w:val="00EE3D66"/>
    <w:rsid w:val="00EE503C"/>
    <w:rsid w:val="00EE5764"/>
    <w:rsid w:val="00EE7C66"/>
    <w:rsid w:val="00EF1291"/>
    <w:rsid w:val="00EF12E4"/>
    <w:rsid w:val="00EF1686"/>
    <w:rsid w:val="00EF1C4B"/>
    <w:rsid w:val="00EF2278"/>
    <w:rsid w:val="00EF3B6D"/>
    <w:rsid w:val="00EF54F2"/>
    <w:rsid w:val="00EF70BB"/>
    <w:rsid w:val="00EF79C0"/>
    <w:rsid w:val="00F002DC"/>
    <w:rsid w:val="00F007D0"/>
    <w:rsid w:val="00F00F57"/>
    <w:rsid w:val="00F0178A"/>
    <w:rsid w:val="00F02BCE"/>
    <w:rsid w:val="00F03515"/>
    <w:rsid w:val="00F059D3"/>
    <w:rsid w:val="00F1064B"/>
    <w:rsid w:val="00F135FC"/>
    <w:rsid w:val="00F13E74"/>
    <w:rsid w:val="00F15F1E"/>
    <w:rsid w:val="00F17C11"/>
    <w:rsid w:val="00F2273B"/>
    <w:rsid w:val="00F23E4A"/>
    <w:rsid w:val="00F257EF"/>
    <w:rsid w:val="00F25C22"/>
    <w:rsid w:val="00F27BD1"/>
    <w:rsid w:val="00F304C7"/>
    <w:rsid w:val="00F30619"/>
    <w:rsid w:val="00F31A6E"/>
    <w:rsid w:val="00F320A0"/>
    <w:rsid w:val="00F3413C"/>
    <w:rsid w:val="00F3466F"/>
    <w:rsid w:val="00F36F7F"/>
    <w:rsid w:val="00F404FA"/>
    <w:rsid w:val="00F41012"/>
    <w:rsid w:val="00F418AE"/>
    <w:rsid w:val="00F44595"/>
    <w:rsid w:val="00F447CC"/>
    <w:rsid w:val="00F451FA"/>
    <w:rsid w:val="00F45370"/>
    <w:rsid w:val="00F45856"/>
    <w:rsid w:val="00F45C9E"/>
    <w:rsid w:val="00F46591"/>
    <w:rsid w:val="00F47057"/>
    <w:rsid w:val="00F47485"/>
    <w:rsid w:val="00F507E2"/>
    <w:rsid w:val="00F50F30"/>
    <w:rsid w:val="00F5299C"/>
    <w:rsid w:val="00F53D58"/>
    <w:rsid w:val="00F5505F"/>
    <w:rsid w:val="00F55EF8"/>
    <w:rsid w:val="00F60C2E"/>
    <w:rsid w:val="00F62AD0"/>
    <w:rsid w:val="00F62FF1"/>
    <w:rsid w:val="00F635C5"/>
    <w:rsid w:val="00F63F36"/>
    <w:rsid w:val="00F64961"/>
    <w:rsid w:val="00F6583D"/>
    <w:rsid w:val="00F65EFC"/>
    <w:rsid w:val="00F65F97"/>
    <w:rsid w:val="00F6614A"/>
    <w:rsid w:val="00F6621A"/>
    <w:rsid w:val="00F66F2F"/>
    <w:rsid w:val="00F67F3B"/>
    <w:rsid w:val="00F71033"/>
    <w:rsid w:val="00F732E4"/>
    <w:rsid w:val="00F73BDA"/>
    <w:rsid w:val="00F73DF3"/>
    <w:rsid w:val="00F74571"/>
    <w:rsid w:val="00F7465D"/>
    <w:rsid w:val="00F74760"/>
    <w:rsid w:val="00F7505B"/>
    <w:rsid w:val="00F761BD"/>
    <w:rsid w:val="00F76704"/>
    <w:rsid w:val="00F76F2B"/>
    <w:rsid w:val="00F7749B"/>
    <w:rsid w:val="00F77A27"/>
    <w:rsid w:val="00F85F8F"/>
    <w:rsid w:val="00F87E2C"/>
    <w:rsid w:val="00F87EF1"/>
    <w:rsid w:val="00F91487"/>
    <w:rsid w:val="00F9368C"/>
    <w:rsid w:val="00F93B88"/>
    <w:rsid w:val="00F94C9F"/>
    <w:rsid w:val="00F96349"/>
    <w:rsid w:val="00F973E6"/>
    <w:rsid w:val="00FA18CA"/>
    <w:rsid w:val="00FA3BAC"/>
    <w:rsid w:val="00FA41EE"/>
    <w:rsid w:val="00FA5074"/>
    <w:rsid w:val="00FA54C8"/>
    <w:rsid w:val="00FA56DD"/>
    <w:rsid w:val="00FA725E"/>
    <w:rsid w:val="00FB095D"/>
    <w:rsid w:val="00FB12B3"/>
    <w:rsid w:val="00FB1B93"/>
    <w:rsid w:val="00FB49C5"/>
    <w:rsid w:val="00FB5347"/>
    <w:rsid w:val="00FB6262"/>
    <w:rsid w:val="00FB7CB2"/>
    <w:rsid w:val="00FC167C"/>
    <w:rsid w:val="00FC33B6"/>
    <w:rsid w:val="00FC73DF"/>
    <w:rsid w:val="00FD02FF"/>
    <w:rsid w:val="00FD0EA8"/>
    <w:rsid w:val="00FD1495"/>
    <w:rsid w:val="00FD3806"/>
    <w:rsid w:val="00FD5DC6"/>
    <w:rsid w:val="00FD6C0C"/>
    <w:rsid w:val="00FD6C8A"/>
    <w:rsid w:val="00FD7BBA"/>
    <w:rsid w:val="00FE00CE"/>
    <w:rsid w:val="00FE56A9"/>
    <w:rsid w:val="00FE58BE"/>
    <w:rsid w:val="00FE5DA0"/>
    <w:rsid w:val="00FE610B"/>
    <w:rsid w:val="00FE6263"/>
    <w:rsid w:val="00FE69A8"/>
    <w:rsid w:val="00FE769A"/>
    <w:rsid w:val="00FF2245"/>
    <w:rsid w:val="00FF2299"/>
    <w:rsid w:val="00FF2334"/>
    <w:rsid w:val="00FF2E3E"/>
    <w:rsid w:val="00FF4400"/>
    <w:rsid w:val="00FF5AFC"/>
    <w:rsid w:val="00FF768F"/>
    <w:rsid w:val="00FF7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F4"/>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946BF4"/>
    <w:pPr>
      <w:spacing w:after="360"/>
      <w:outlineLvl w:val="0"/>
    </w:pPr>
    <w:rPr>
      <w:b/>
      <w:bCs/>
      <w:kern w:val="32"/>
      <w:sz w:val="24"/>
      <w:szCs w:val="24"/>
    </w:rPr>
  </w:style>
  <w:style w:type="paragraph" w:styleId="Heading2">
    <w:name w:val="heading 2"/>
    <w:basedOn w:val="HeadingBase"/>
    <w:next w:val="Normal"/>
    <w:link w:val="Heading2Char"/>
    <w:qFormat/>
    <w:rsid w:val="00946BF4"/>
    <w:pPr>
      <w:spacing w:after="240"/>
      <w:outlineLvl w:val="1"/>
    </w:pPr>
    <w:rPr>
      <w:b/>
      <w:bCs/>
      <w:iCs/>
      <w:sz w:val="24"/>
      <w:szCs w:val="24"/>
    </w:rPr>
  </w:style>
  <w:style w:type="paragraph" w:styleId="Heading3">
    <w:name w:val="heading 3"/>
    <w:basedOn w:val="HeadingBase"/>
    <w:next w:val="Normal"/>
    <w:link w:val="Heading3Char"/>
    <w:qFormat/>
    <w:rsid w:val="00946BF4"/>
    <w:pPr>
      <w:spacing w:after="240"/>
      <w:outlineLvl w:val="2"/>
    </w:pPr>
    <w:rPr>
      <w:b/>
      <w:bCs/>
      <w:sz w:val="22"/>
      <w:szCs w:val="22"/>
    </w:rPr>
  </w:style>
  <w:style w:type="paragraph" w:styleId="Heading4">
    <w:name w:val="heading 4"/>
    <w:basedOn w:val="HeadingBase"/>
    <w:next w:val="Normal"/>
    <w:link w:val="Heading4Char"/>
    <w:qFormat/>
    <w:rsid w:val="00946BF4"/>
    <w:pPr>
      <w:spacing w:after="120"/>
      <w:outlineLvl w:val="3"/>
    </w:pPr>
    <w:rPr>
      <w:bCs/>
      <w:sz w:val="22"/>
      <w:szCs w:val="22"/>
    </w:rPr>
  </w:style>
  <w:style w:type="paragraph" w:styleId="Heading5">
    <w:name w:val="heading 5"/>
    <w:basedOn w:val="HeadingBase"/>
    <w:next w:val="Normal"/>
    <w:link w:val="Heading5Char"/>
    <w:qFormat/>
    <w:rsid w:val="00946BF4"/>
    <w:pPr>
      <w:spacing w:after="120"/>
      <w:outlineLvl w:val="4"/>
    </w:pPr>
    <w:rPr>
      <w:b/>
      <w:bCs/>
      <w:iCs/>
    </w:rPr>
  </w:style>
  <w:style w:type="paragraph" w:styleId="Heading6">
    <w:name w:val="heading 6"/>
    <w:basedOn w:val="HeadingBase"/>
    <w:next w:val="Normal"/>
    <w:link w:val="Heading6Char"/>
    <w:qFormat/>
    <w:rsid w:val="00946BF4"/>
    <w:pPr>
      <w:spacing w:after="120"/>
      <w:outlineLvl w:val="5"/>
    </w:pPr>
    <w:rPr>
      <w:bCs/>
      <w:szCs w:val="22"/>
    </w:rPr>
  </w:style>
  <w:style w:type="paragraph" w:styleId="Heading7">
    <w:name w:val="heading 7"/>
    <w:basedOn w:val="HeadingBase"/>
    <w:next w:val="Normal"/>
    <w:link w:val="Heading7Char"/>
    <w:qFormat/>
    <w:rsid w:val="00946BF4"/>
    <w:pPr>
      <w:spacing w:after="120"/>
      <w:outlineLvl w:val="6"/>
    </w:pPr>
    <w:rPr>
      <w:szCs w:val="24"/>
    </w:rPr>
  </w:style>
  <w:style w:type="paragraph" w:styleId="Heading8">
    <w:name w:val="heading 8"/>
    <w:basedOn w:val="HeadingBase"/>
    <w:next w:val="Normal"/>
    <w:link w:val="Heading8Char"/>
    <w:qFormat/>
    <w:rsid w:val="00946BF4"/>
    <w:pPr>
      <w:spacing w:after="120"/>
      <w:outlineLvl w:val="7"/>
    </w:pPr>
    <w:rPr>
      <w:iCs/>
      <w:szCs w:val="24"/>
    </w:rPr>
  </w:style>
  <w:style w:type="paragraph" w:styleId="Heading9">
    <w:name w:val="heading 9"/>
    <w:basedOn w:val="HeadingBase"/>
    <w:next w:val="Normal"/>
    <w:link w:val="Heading9Char"/>
    <w:qFormat/>
    <w:rsid w:val="00946BF4"/>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BF4"/>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paragraph" w:customStyle="1" w:styleId="Bullet">
    <w:name w:val="Bullet"/>
    <w:aliases w:val="b"/>
    <w:basedOn w:val="Normal"/>
    <w:link w:val="BulletChar"/>
    <w:rsid w:val="00946BF4"/>
    <w:pPr>
      <w:numPr>
        <w:numId w:val="15"/>
      </w:numPr>
      <w:tabs>
        <w:tab w:val="clear" w:pos="283"/>
        <w:tab w:val="num" w:pos="567"/>
      </w:tabs>
      <w:ind w:left="567" w:hanging="567"/>
    </w:pPr>
  </w:style>
  <w:style w:type="character" w:customStyle="1" w:styleId="BulletChar">
    <w:name w:val="Bullet Char"/>
    <w:basedOn w:val="DefaultParagraphFont"/>
    <w:link w:val="Bullet"/>
    <w:locked/>
    <w:rsid w:val="00FE769A"/>
    <w:rPr>
      <w:rFonts w:ascii="Times New Roman" w:eastAsia="Times New Roman" w:hAnsi="Times New Roman" w:cs="Times New Roman"/>
      <w:bCs/>
      <w:szCs w:val="20"/>
      <w:lang w:eastAsia="en-AU"/>
    </w:rPr>
  </w:style>
  <w:style w:type="paragraph" w:customStyle="1" w:styleId="SingleParagraph">
    <w:name w:val="Single Paragraph"/>
    <w:basedOn w:val="Normal"/>
    <w:rsid w:val="00946BF4"/>
    <w:pPr>
      <w:spacing w:after="0"/>
    </w:pPr>
  </w:style>
  <w:style w:type="character" w:customStyle="1" w:styleId="Heading3Char">
    <w:name w:val="Heading 3 Char"/>
    <w:basedOn w:val="DefaultParagraphFont"/>
    <w:link w:val="Heading3"/>
    <w:rsid w:val="00946BF4"/>
    <w:rPr>
      <w:rFonts w:ascii="Times New Roman" w:eastAsia="Times New Roman" w:hAnsi="Times New Roman" w:cs="Times New Roman"/>
      <w:b/>
      <w:bCs/>
      <w:color w:val="0000FF"/>
      <w:lang w:eastAsia="en-AU"/>
    </w:rPr>
  </w:style>
  <w:style w:type="paragraph" w:customStyle="1" w:styleId="TableMainHeading">
    <w:name w:val="Table Main Heading"/>
    <w:basedOn w:val="Normal"/>
    <w:next w:val="TableGraphic"/>
    <w:rsid w:val="00946BF4"/>
    <w:pPr>
      <w:keepNext/>
    </w:pPr>
    <w:rPr>
      <w:b/>
      <w:bCs w:val="0"/>
      <w:color w:val="0000FF"/>
    </w:rPr>
  </w:style>
  <w:style w:type="paragraph" w:customStyle="1" w:styleId="TableGraphic">
    <w:name w:val="Table Graphic"/>
    <w:basedOn w:val="HeadingBase"/>
    <w:next w:val="Normal"/>
    <w:rsid w:val="00946BF4"/>
  </w:style>
  <w:style w:type="paragraph" w:customStyle="1" w:styleId="Dash">
    <w:name w:val="Dash"/>
    <w:basedOn w:val="Normal"/>
    <w:rsid w:val="00946BF4"/>
    <w:pPr>
      <w:numPr>
        <w:ilvl w:val="1"/>
        <w:numId w:val="15"/>
      </w:numPr>
    </w:pPr>
  </w:style>
  <w:style w:type="paragraph" w:customStyle="1" w:styleId="DoubleDot">
    <w:name w:val="Double Dot"/>
    <w:basedOn w:val="Normal"/>
    <w:link w:val="DoubleDotChar"/>
    <w:rsid w:val="00946BF4"/>
    <w:pPr>
      <w:numPr>
        <w:ilvl w:val="2"/>
        <w:numId w:val="15"/>
      </w:numPr>
    </w:pPr>
  </w:style>
  <w:style w:type="paragraph" w:styleId="BalloonText">
    <w:name w:val="Balloon Text"/>
    <w:basedOn w:val="Normal"/>
    <w:link w:val="BalloonTextChar"/>
    <w:semiHidden/>
    <w:rsid w:val="00946BF4"/>
    <w:rPr>
      <w:rFonts w:ascii="Tahoma" w:hAnsi="Tahoma" w:cs="Tahoma"/>
      <w:sz w:val="16"/>
      <w:szCs w:val="16"/>
    </w:rPr>
  </w:style>
  <w:style w:type="character" w:customStyle="1" w:styleId="BalloonTextChar">
    <w:name w:val="Balloon Text Char"/>
    <w:basedOn w:val="DefaultParagraphFont"/>
    <w:link w:val="BalloonText"/>
    <w:semiHidden/>
    <w:rsid w:val="00946BF4"/>
    <w:rPr>
      <w:rFonts w:ascii="Tahoma" w:eastAsia="Times New Roman" w:hAnsi="Tahoma" w:cs="Tahoma"/>
      <w:bCs/>
      <w:sz w:val="16"/>
      <w:szCs w:val="16"/>
      <w:lang w:eastAsia="en-AU"/>
    </w:rPr>
  </w:style>
  <w:style w:type="paragraph" w:customStyle="1" w:styleId="ChartMainHeading">
    <w:name w:val="Chart Main Heading"/>
    <w:basedOn w:val="Normal"/>
    <w:next w:val="ChartGraphic"/>
    <w:rsid w:val="00946BF4"/>
    <w:pPr>
      <w:keepNext/>
      <w:jc w:val="center"/>
    </w:pPr>
    <w:rPr>
      <w:b/>
      <w:bCs w:val="0"/>
      <w:color w:val="0000FF"/>
    </w:rPr>
  </w:style>
  <w:style w:type="character" w:styleId="CommentReference">
    <w:name w:val="annotation reference"/>
    <w:basedOn w:val="DefaultParagraphFont"/>
    <w:semiHidden/>
    <w:rsid w:val="00946BF4"/>
    <w:rPr>
      <w:sz w:val="16"/>
      <w:szCs w:val="16"/>
    </w:rPr>
  </w:style>
  <w:style w:type="paragraph" w:styleId="CommentText">
    <w:name w:val="annotation text"/>
    <w:basedOn w:val="Normal"/>
    <w:link w:val="CommentTextChar"/>
    <w:semiHidden/>
    <w:rsid w:val="00946BF4"/>
  </w:style>
  <w:style w:type="character" w:customStyle="1" w:styleId="CommentTextChar">
    <w:name w:val="Comment Text Char"/>
    <w:basedOn w:val="DefaultParagraphFont"/>
    <w:link w:val="CommentText"/>
    <w:semiHidden/>
    <w:rsid w:val="00946BF4"/>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946BF4"/>
    <w:rPr>
      <w:b/>
      <w:bCs w:val="0"/>
    </w:rPr>
  </w:style>
  <w:style w:type="character" w:customStyle="1" w:styleId="CommentSubjectChar">
    <w:name w:val="Comment Subject Char"/>
    <w:basedOn w:val="CommentTextChar"/>
    <w:link w:val="CommentSubject"/>
    <w:semiHidden/>
    <w:rsid w:val="00946BF4"/>
    <w:rPr>
      <w:rFonts w:ascii="Times New Roman" w:eastAsia="Times New Roman" w:hAnsi="Times New Roman" w:cs="Times New Roman"/>
      <w:b/>
      <w:bCs w:val="0"/>
      <w:szCs w:val="20"/>
      <w:lang w:eastAsia="en-AU"/>
    </w:rPr>
  </w:style>
  <w:style w:type="paragraph" w:styleId="FootnoteText">
    <w:name w:val="footnote text"/>
    <w:basedOn w:val="Normal"/>
    <w:link w:val="FootnoteTextChar"/>
    <w:rsid w:val="00946BF4"/>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946BF4"/>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946BF4"/>
    <w:rPr>
      <w:vertAlign w:val="superscript"/>
    </w:rPr>
  </w:style>
  <w:style w:type="paragraph" w:styleId="Header">
    <w:name w:val="header"/>
    <w:basedOn w:val="HeadingBase"/>
    <w:link w:val="HeaderChar"/>
    <w:rsid w:val="00044069"/>
    <w:pPr>
      <w:spacing w:before="120"/>
      <w:jc w:val="right"/>
    </w:pPr>
    <w:rPr>
      <w:color w:val="000000" w:themeColor="text1"/>
      <w:sz w:val="18"/>
      <w:szCs w:val="18"/>
    </w:rPr>
  </w:style>
  <w:style w:type="character" w:customStyle="1" w:styleId="HeaderChar">
    <w:name w:val="Header Char"/>
    <w:basedOn w:val="DefaultParagraphFont"/>
    <w:link w:val="Header"/>
    <w:rsid w:val="00044069"/>
    <w:rPr>
      <w:rFonts w:ascii="Times New Roman" w:eastAsia="Times New Roman" w:hAnsi="Times New Roman" w:cs="Times New Roman"/>
      <w:color w:val="000000" w:themeColor="text1"/>
      <w:sz w:val="18"/>
      <w:szCs w:val="18"/>
      <w:lang w:eastAsia="en-AU"/>
    </w:rPr>
  </w:style>
  <w:style w:type="paragraph" w:styleId="Footer">
    <w:name w:val="footer"/>
    <w:basedOn w:val="HeadingBase"/>
    <w:link w:val="FooterChar"/>
    <w:uiPriority w:val="99"/>
    <w:rsid w:val="00946BF4"/>
    <w:rPr>
      <w:color w:val="auto"/>
      <w:sz w:val="18"/>
    </w:rPr>
  </w:style>
  <w:style w:type="character" w:customStyle="1" w:styleId="FooterChar">
    <w:name w:val="Footer Char"/>
    <w:basedOn w:val="DefaultParagraphFont"/>
    <w:link w:val="Footer"/>
    <w:uiPriority w:val="99"/>
    <w:rsid w:val="00946BF4"/>
    <w:rPr>
      <w:rFonts w:ascii="Times New Roman" w:eastAsia="Times New Roman" w:hAnsi="Times New Roman" w:cs="Times New Roman"/>
      <w:sz w:val="18"/>
      <w:szCs w:val="20"/>
      <w:lang w:eastAsia="en-AU"/>
    </w:rPr>
  </w:style>
  <w:style w:type="paragraph" w:styleId="Revision">
    <w:name w:val="Revision"/>
    <w:hidden/>
    <w:uiPriority w:val="99"/>
    <w:semiHidden/>
    <w:rsid w:val="00150FD7"/>
    <w:pPr>
      <w:spacing w:after="0" w:line="240" w:lineRule="auto"/>
    </w:pPr>
  </w:style>
  <w:style w:type="paragraph" w:styleId="PlainText">
    <w:name w:val="Plain Text"/>
    <w:basedOn w:val="Normal"/>
    <w:link w:val="PlainTextChar"/>
    <w:uiPriority w:val="99"/>
    <w:unhideWhenUsed/>
    <w:rsid w:val="000C0E08"/>
    <w:pPr>
      <w:spacing w:after="0" w:line="240" w:lineRule="auto"/>
    </w:pPr>
    <w:rPr>
      <w:rFonts w:ascii="Arial" w:hAnsi="Arial" w:cs="Arial"/>
      <w:sz w:val="20"/>
    </w:rPr>
  </w:style>
  <w:style w:type="character" w:customStyle="1" w:styleId="PlainTextChar">
    <w:name w:val="Plain Text Char"/>
    <w:basedOn w:val="DefaultParagraphFont"/>
    <w:link w:val="PlainText"/>
    <w:uiPriority w:val="99"/>
    <w:rsid w:val="000C0E08"/>
    <w:rPr>
      <w:rFonts w:ascii="Arial" w:hAnsi="Arial" w:cs="Arial"/>
      <w:sz w:val="20"/>
      <w:szCs w:val="20"/>
    </w:rPr>
  </w:style>
  <w:style w:type="character" w:customStyle="1" w:styleId="DoubleDotChar">
    <w:name w:val="Double Dot Char"/>
    <w:basedOn w:val="DefaultParagraphFont"/>
    <w:link w:val="DoubleDot"/>
    <w:rsid w:val="00F02BCE"/>
    <w:rPr>
      <w:rFonts w:ascii="Times New Roman" w:eastAsia="Times New Roman" w:hAnsi="Times New Roman" w:cs="Times New Roman"/>
      <w:bCs/>
      <w:szCs w:val="20"/>
      <w:lang w:eastAsia="en-AU"/>
    </w:rPr>
  </w:style>
  <w:style w:type="paragraph" w:customStyle="1" w:styleId="Footnotes">
    <w:name w:val="Footnotes"/>
    <w:basedOn w:val="Normal"/>
    <w:rsid w:val="004F0540"/>
    <w:pPr>
      <w:spacing w:after="0" w:line="240" w:lineRule="auto"/>
    </w:pPr>
    <w:rPr>
      <w:sz w:val="16"/>
    </w:rPr>
  </w:style>
  <w:style w:type="character" w:styleId="PlaceholderText">
    <w:name w:val="Placeholder Text"/>
    <w:basedOn w:val="DefaultParagraphFont"/>
    <w:uiPriority w:val="99"/>
    <w:semiHidden/>
    <w:rsid w:val="006A6C89"/>
    <w:rPr>
      <w:color w:val="808080"/>
    </w:rPr>
  </w:style>
  <w:style w:type="character" w:styleId="Strong">
    <w:name w:val="Strong"/>
    <w:basedOn w:val="DefaultParagraphFont"/>
    <w:uiPriority w:val="22"/>
    <w:qFormat/>
    <w:rsid w:val="00CB65A4"/>
    <w:rPr>
      <w:b/>
      <w:bCs/>
    </w:rPr>
  </w:style>
  <w:style w:type="character" w:styleId="Hyperlink">
    <w:name w:val="Hyperlink"/>
    <w:basedOn w:val="DefaultParagraphFont"/>
    <w:rsid w:val="00946BF4"/>
    <w:rPr>
      <w:color w:val="auto"/>
      <w:u w:val="none"/>
    </w:rPr>
  </w:style>
  <w:style w:type="character" w:customStyle="1" w:styleId="Heading1Char">
    <w:name w:val="Heading 1 Char"/>
    <w:basedOn w:val="DefaultParagraphFont"/>
    <w:link w:val="Heading1"/>
    <w:rsid w:val="00946BF4"/>
    <w:rPr>
      <w:rFonts w:ascii="Times New Roman" w:eastAsia="Times New Roman" w:hAnsi="Times New Roman" w:cs="Times New Roman"/>
      <w:b/>
      <w:bCs/>
      <w:color w:val="0000FF"/>
      <w:kern w:val="32"/>
      <w:sz w:val="24"/>
      <w:szCs w:val="24"/>
      <w:lang w:eastAsia="en-AU"/>
    </w:rPr>
  </w:style>
  <w:style w:type="character" w:customStyle="1" w:styleId="Heading2Char">
    <w:name w:val="Heading 2 Char"/>
    <w:basedOn w:val="DefaultParagraphFont"/>
    <w:link w:val="Heading2"/>
    <w:rsid w:val="00946BF4"/>
    <w:rPr>
      <w:rFonts w:ascii="Times New Roman" w:eastAsia="Times New Roman" w:hAnsi="Times New Roman" w:cs="Times New Roman"/>
      <w:b/>
      <w:bCs/>
      <w:iCs/>
      <w:color w:val="0000FF"/>
      <w:sz w:val="24"/>
      <w:szCs w:val="24"/>
      <w:lang w:eastAsia="en-AU"/>
    </w:rPr>
  </w:style>
  <w:style w:type="character" w:customStyle="1" w:styleId="Heading4Char">
    <w:name w:val="Heading 4 Char"/>
    <w:basedOn w:val="DefaultParagraphFont"/>
    <w:link w:val="Heading4"/>
    <w:rsid w:val="00946BF4"/>
    <w:rPr>
      <w:rFonts w:ascii="Times New Roman" w:eastAsia="Times New Roman" w:hAnsi="Times New Roman" w:cs="Times New Roman"/>
      <w:bCs/>
      <w:color w:val="0000FF"/>
      <w:lang w:eastAsia="en-AU"/>
    </w:rPr>
  </w:style>
  <w:style w:type="character" w:customStyle="1" w:styleId="Heading5Char">
    <w:name w:val="Heading 5 Char"/>
    <w:basedOn w:val="DefaultParagraphFont"/>
    <w:link w:val="Heading5"/>
    <w:rsid w:val="00946BF4"/>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946BF4"/>
    <w:rPr>
      <w:rFonts w:ascii="Times New Roman" w:eastAsia="Times New Roman" w:hAnsi="Times New Roman" w:cs="Times New Roman"/>
      <w:bCs/>
      <w:color w:val="0000FF"/>
      <w:sz w:val="20"/>
      <w:lang w:eastAsia="en-AU"/>
    </w:rPr>
  </w:style>
  <w:style w:type="character" w:customStyle="1" w:styleId="Heading7Char">
    <w:name w:val="Heading 7 Char"/>
    <w:basedOn w:val="DefaultParagraphFont"/>
    <w:link w:val="Heading7"/>
    <w:rsid w:val="00946BF4"/>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946BF4"/>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946BF4"/>
    <w:rPr>
      <w:rFonts w:ascii="Times New Roman" w:eastAsia="Times New Roman" w:hAnsi="Times New Roman" w:cs="Arial"/>
      <w:color w:val="0000FF"/>
      <w:sz w:val="20"/>
      <w:lang w:eastAsia="en-AU"/>
    </w:rPr>
  </w:style>
  <w:style w:type="paragraph" w:customStyle="1" w:styleId="HeadingBase">
    <w:name w:val="Heading Base"/>
    <w:next w:val="Normal"/>
    <w:rsid w:val="00946BF4"/>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946BF4"/>
    <w:pPr>
      <w:jc w:val="center"/>
    </w:pPr>
  </w:style>
  <w:style w:type="paragraph" w:customStyle="1" w:styleId="BoxTextBase">
    <w:name w:val="Box Text Base"/>
    <w:basedOn w:val="Normal"/>
    <w:rsid w:val="00946BF4"/>
  </w:style>
  <w:style w:type="paragraph" w:customStyle="1" w:styleId="BoxBullet">
    <w:name w:val="Box Bullet"/>
    <w:basedOn w:val="BoxTextBase"/>
    <w:rsid w:val="00946BF4"/>
    <w:pPr>
      <w:numPr>
        <w:numId w:val="16"/>
      </w:numPr>
      <w:ind w:left="284" w:hanging="284"/>
    </w:pPr>
  </w:style>
  <w:style w:type="paragraph" w:customStyle="1" w:styleId="BoxDash">
    <w:name w:val="Box Dash"/>
    <w:basedOn w:val="Normal"/>
    <w:rsid w:val="00946BF4"/>
    <w:pPr>
      <w:numPr>
        <w:ilvl w:val="1"/>
        <w:numId w:val="16"/>
      </w:numPr>
    </w:pPr>
  </w:style>
  <w:style w:type="paragraph" w:customStyle="1" w:styleId="BoxDoubleDot">
    <w:name w:val="Box Double Dot"/>
    <w:basedOn w:val="BoxTextBase"/>
    <w:rsid w:val="00946BF4"/>
    <w:pPr>
      <w:numPr>
        <w:ilvl w:val="2"/>
        <w:numId w:val="16"/>
      </w:numPr>
    </w:pPr>
  </w:style>
  <w:style w:type="paragraph" w:customStyle="1" w:styleId="BoxHeading">
    <w:name w:val="Box Heading"/>
    <w:basedOn w:val="HeadingBase"/>
    <w:next w:val="Normal"/>
    <w:rsid w:val="00946BF4"/>
    <w:pPr>
      <w:spacing w:before="240" w:after="120"/>
    </w:pPr>
    <w:rPr>
      <w:b/>
      <w:sz w:val="22"/>
    </w:rPr>
  </w:style>
  <w:style w:type="paragraph" w:customStyle="1" w:styleId="BoxText">
    <w:name w:val="Box Text"/>
    <w:basedOn w:val="BoxTextBase"/>
    <w:rsid w:val="00946BF4"/>
  </w:style>
  <w:style w:type="paragraph" w:styleId="NormalIndent">
    <w:name w:val="Normal Indent"/>
    <w:basedOn w:val="Normal"/>
    <w:rsid w:val="00946BF4"/>
    <w:pPr>
      <w:ind w:left="567"/>
    </w:pPr>
  </w:style>
  <w:style w:type="paragraph" w:customStyle="1" w:styleId="ChartandTableFootnoteAlpha">
    <w:name w:val="Chart and Table Footnote Alpha"/>
    <w:basedOn w:val="ChartorTableNote"/>
    <w:rsid w:val="00946BF4"/>
  </w:style>
  <w:style w:type="paragraph" w:customStyle="1" w:styleId="ChartorTableNote">
    <w:name w:val="Chart or Table Note"/>
    <w:basedOn w:val="FootnoteText"/>
    <w:next w:val="Normal"/>
    <w:rsid w:val="00946BF4"/>
    <w:rPr>
      <w:rFonts w:ascii="Times New Roman" w:hAnsi="Times New Roman"/>
    </w:rPr>
  </w:style>
  <w:style w:type="paragraph" w:customStyle="1" w:styleId="ChartSecondHeading">
    <w:name w:val="Chart Second Heading"/>
    <w:basedOn w:val="HeadingBase"/>
    <w:next w:val="ChartGraphic"/>
    <w:rsid w:val="00946BF4"/>
    <w:pPr>
      <w:spacing w:after="20"/>
      <w:jc w:val="center"/>
    </w:pPr>
  </w:style>
  <w:style w:type="paragraph" w:customStyle="1" w:styleId="Classification">
    <w:name w:val="Classification"/>
    <w:basedOn w:val="HeadingBase"/>
    <w:next w:val="Footer"/>
    <w:rsid w:val="00946BF4"/>
    <w:pPr>
      <w:spacing w:after="120"/>
      <w:jc w:val="center"/>
    </w:pPr>
    <w:rPr>
      <w:b/>
      <w:smallCaps/>
    </w:rPr>
  </w:style>
  <w:style w:type="paragraph" w:customStyle="1" w:styleId="ContentsHeading">
    <w:name w:val="Contents Heading"/>
    <w:basedOn w:val="HeadingBase"/>
    <w:next w:val="Normal"/>
    <w:rsid w:val="00946BF4"/>
    <w:pPr>
      <w:spacing w:after="360"/>
    </w:pPr>
    <w:rPr>
      <w:sz w:val="36"/>
      <w:szCs w:val="36"/>
    </w:rPr>
  </w:style>
  <w:style w:type="paragraph" w:customStyle="1" w:styleId="CoverTitleSub">
    <w:name w:val="Cover Title Sub"/>
    <w:basedOn w:val="HeadingBase"/>
    <w:rsid w:val="00946BF4"/>
    <w:pPr>
      <w:spacing w:after="360"/>
      <w:jc w:val="center"/>
    </w:pPr>
    <w:rPr>
      <w:sz w:val="36"/>
    </w:rPr>
  </w:style>
  <w:style w:type="paragraph" w:customStyle="1" w:styleId="Covertitlelevel3">
    <w:name w:val="Cover title level 3"/>
    <w:basedOn w:val="CoverTitleSub"/>
    <w:rsid w:val="00946BF4"/>
    <w:pPr>
      <w:spacing w:after="120"/>
    </w:pPr>
    <w:rPr>
      <w:sz w:val="28"/>
      <w:szCs w:val="28"/>
    </w:rPr>
  </w:style>
  <w:style w:type="paragraph" w:customStyle="1" w:styleId="CoverTitleMain">
    <w:name w:val="Cover Title Main"/>
    <w:basedOn w:val="HeadingBase"/>
    <w:next w:val="Normal"/>
    <w:rsid w:val="00946BF4"/>
    <w:pPr>
      <w:spacing w:after="480"/>
      <w:jc w:val="center"/>
    </w:pPr>
    <w:rPr>
      <w:b/>
      <w:sz w:val="48"/>
    </w:rPr>
  </w:style>
  <w:style w:type="paragraph" w:customStyle="1" w:styleId="Figuregraphic">
    <w:name w:val="Figure graphic"/>
    <w:basedOn w:val="Normal"/>
    <w:rsid w:val="00946BF4"/>
    <w:pPr>
      <w:spacing w:line="240" w:lineRule="auto"/>
      <w:jc w:val="center"/>
    </w:pPr>
  </w:style>
  <w:style w:type="paragraph" w:customStyle="1" w:styleId="FigureHeading">
    <w:name w:val="Figure Heading"/>
    <w:basedOn w:val="HeadingBase"/>
    <w:next w:val="Figuregraphic"/>
    <w:rsid w:val="00946BF4"/>
    <w:pPr>
      <w:spacing w:after="20"/>
      <w:jc w:val="center"/>
    </w:pPr>
    <w:rPr>
      <w:b/>
      <w:sz w:val="22"/>
      <w:szCs w:val="22"/>
    </w:rPr>
  </w:style>
  <w:style w:type="paragraph" w:customStyle="1" w:styleId="FigureSecondHeading">
    <w:name w:val="Figure Second Heading"/>
    <w:basedOn w:val="HeadingBase"/>
    <w:next w:val="Figuregraphic"/>
    <w:rsid w:val="00946BF4"/>
    <w:pPr>
      <w:spacing w:after="20"/>
      <w:jc w:val="center"/>
    </w:pPr>
  </w:style>
  <w:style w:type="paragraph" w:customStyle="1" w:styleId="FooterCentered">
    <w:name w:val="Footer Centered"/>
    <w:basedOn w:val="FooterOdd"/>
    <w:rsid w:val="00946BF4"/>
    <w:pPr>
      <w:jc w:val="center"/>
    </w:pPr>
  </w:style>
  <w:style w:type="paragraph" w:customStyle="1" w:styleId="FooterEven">
    <w:name w:val="Footer Even"/>
    <w:basedOn w:val="FooterCentered"/>
    <w:rsid w:val="00946BF4"/>
    <w:pPr>
      <w:jc w:val="left"/>
    </w:pPr>
  </w:style>
  <w:style w:type="paragraph" w:customStyle="1" w:styleId="FooterOdd">
    <w:name w:val="Footer Odd"/>
    <w:basedOn w:val="Footer"/>
    <w:rsid w:val="00946BF4"/>
    <w:pPr>
      <w:jc w:val="right"/>
    </w:pPr>
    <w:rPr>
      <w:szCs w:val="18"/>
    </w:rPr>
  </w:style>
  <w:style w:type="character" w:customStyle="1" w:styleId="FramedFooter">
    <w:name w:val="Framed Footer"/>
    <w:rsid w:val="00946BF4"/>
    <w:rPr>
      <w:rFonts w:ascii="Calibri" w:hAnsi="Calibri"/>
      <w:sz w:val="18"/>
    </w:rPr>
  </w:style>
  <w:style w:type="character" w:customStyle="1" w:styleId="FramedHeader">
    <w:name w:val="Framed Header"/>
    <w:basedOn w:val="DefaultParagraphFont"/>
    <w:rsid w:val="00946BF4"/>
    <w:rPr>
      <w:rFonts w:ascii="Times New Roman" w:hAnsi="Times New Roman"/>
      <w:dstrike w:val="0"/>
      <w:color w:val="auto"/>
      <w:sz w:val="18"/>
      <w:vertAlign w:val="baseline"/>
    </w:rPr>
  </w:style>
  <w:style w:type="paragraph" w:customStyle="1" w:styleId="HeaderEven">
    <w:name w:val="Header Even"/>
    <w:basedOn w:val="Header"/>
    <w:rsid w:val="00044069"/>
    <w:pPr>
      <w:tabs>
        <w:tab w:val="left" w:pos="2337"/>
      </w:tabs>
      <w:jc w:val="left"/>
    </w:pPr>
  </w:style>
  <w:style w:type="paragraph" w:customStyle="1" w:styleId="HeaderOdd">
    <w:name w:val="Header Odd"/>
    <w:basedOn w:val="Header"/>
    <w:rsid w:val="00946BF4"/>
  </w:style>
  <w:style w:type="character" w:customStyle="1" w:styleId="italic">
    <w:name w:val="italic"/>
    <w:basedOn w:val="DefaultParagraphFont"/>
    <w:rsid w:val="00946BF4"/>
    <w:rPr>
      <w:i/>
    </w:rPr>
  </w:style>
  <w:style w:type="paragraph" w:styleId="NormalWeb">
    <w:name w:val="Normal (Web)"/>
    <w:basedOn w:val="Normal"/>
    <w:rsid w:val="00946BF4"/>
    <w:pPr>
      <w:spacing w:line="312" w:lineRule="atLeast"/>
    </w:pPr>
    <w:rPr>
      <w:sz w:val="24"/>
      <w:szCs w:val="24"/>
    </w:rPr>
  </w:style>
  <w:style w:type="paragraph" w:customStyle="1" w:styleId="NormalIndentItalics">
    <w:name w:val="Normal Indent Italics"/>
    <w:basedOn w:val="NormalIndent"/>
    <w:rsid w:val="00946BF4"/>
    <w:rPr>
      <w:i/>
    </w:rPr>
  </w:style>
  <w:style w:type="paragraph" w:customStyle="1" w:styleId="OutlineNumbered1">
    <w:name w:val="Outline Numbered 1"/>
    <w:basedOn w:val="Normal"/>
    <w:rsid w:val="00946BF4"/>
    <w:pPr>
      <w:numPr>
        <w:numId w:val="25"/>
      </w:numPr>
    </w:pPr>
  </w:style>
  <w:style w:type="paragraph" w:customStyle="1" w:styleId="OneLevelNumberedParagraph">
    <w:name w:val="One Level Numbered Paragraph"/>
    <w:basedOn w:val="Normal"/>
    <w:rsid w:val="00946BF4"/>
    <w:pPr>
      <w:numPr>
        <w:numId w:val="24"/>
      </w:numPr>
    </w:pPr>
  </w:style>
  <w:style w:type="paragraph" w:customStyle="1" w:styleId="OutlineNumbered2">
    <w:name w:val="Outline Numbered 2"/>
    <w:basedOn w:val="Normal"/>
    <w:rsid w:val="00946BF4"/>
    <w:pPr>
      <w:numPr>
        <w:ilvl w:val="1"/>
        <w:numId w:val="25"/>
      </w:numPr>
    </w:pPr>
  </w:style>
  <w:style w:type="paragraph" w:customStyle="1" w:styleId="OutlineNumbered3">
    <w:name w:val="Outline Numbered 3"/>
    <w:basedOn w:val="Normal"/>
    <w:rsid w:val="00946BF4"/>
    <w:pPr>
      <w:numPr>
        <w:ilvl w:val="2"/>
        <w:numId w:val="25"/>
      </w:numPr>
    </w:pPr>
  </w:style>
  <w:style w:type="character" w:styleId="PageNumber">
    <w:name w:val="page number"/>
    <w:basedOn w:val="DefaultParagraphFont"/>
    <w:rsid w:val="00946BF4"/>
  </w:style>
  <w:style w:type="paragraph" w:customStyle="1" w:styleId="Principle">
    <w:name w:val="Principle"/>
    <w:basedOn w:val="Normal"/>
    <w:rsid w:val="00946BF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946BF4"/>
    <w:rPr>
      <w:i/>
    </w:rPr>
  </w:style>
  <w:style w:type="paragraph" w:customStyle="1" w:styleId="RecommendationBullet">
    <w:name w:val="Recommendation Bullet"/>
    <w:basedOn w:val="RecommendationTextBase"/>
    <w:rsid w:val="00946BF4"/>
    <w:pPr>
      <w:numPr>
        <w:numId w:val="26"/>
      </w:numPr>
    </w:pPr>
  </w:style>
  <w:style w:type="paragraph" w:customStyle="1" w:styleId="RecommendationDash">
    <w:name w:val="Recommendation Dash"/>
    <w:basedOn w:val="RecommendationTextBase"/>
    <w:rsid w:val="00946BF4"/>
    <w:pPr>
      <w:numPr>
        <w:ilvl w:val="1"/>
        <w:numId w:val="26"/>
      </w:numPr>
    </w:pPr>
  </w:style>
  <w:style w:type="paragraph" w:customStyle="1" w:styleId="RecommendationDoubleDot">
    <w:name w:val="Recommendation Double Dot"/>
    <w:basedOn w:val="RecommendationTextBase"/>
    <w:rsid w:val="00946BF4"/>
    <w:pPr>
      <w:numPr>
        <w:ilvl w:val="2"/>
        <w:numId w:val="26"/>
      </w:numPr>
    </w:pPr>
  </w:style>
  <w:style w:type="paragraph" w:customStyle="1" w:styleId="RecommendationHeading">
    <w:name w:val="Recommendation Heading"/>
    <w:basedOn w:val="HeadingBase"/>
    <w:next w:val="Normal"/>
    <w:rsid w:val="00946BF4"/>
    <w:pPr>
      <w:spacing w:before="120" w:after="240"/>
    </w:pPr>
    <w:rPr>
      <w:b/>
      <w:sz w:val="22"/>
    </w:rPr>
  </w:style>
  <w:style w:type="paragraph" w:customStyle="1" w:styleId="RecommendationText">
    <w:name w:val="Recommendation Text"/>
    <w:basedOn w:val="RecommendationTextBase"/>
    <w:rsid w:val="00946BF4"/>
  </w:style>
  <w:style w:type="paragraph" w:customStyle="1" w:styleId="Romannumeral">
    <w:name w:val="Roman numeral"/>
    <w:basedOn w:val="Normal"/>
    <w:rsid w:val="00946BF4"/>
    <w:pPr>
      <w:numPr>
        <w:numId w:val="27"/>
      </w:numPr>
    </w:pPr>
  </w:style>
  <w:style w:type="paragraph" w:customStyle="1" w:styleId="SingleParagraphIndent">
    <w:name w:val="Single Paragraph Indent"/>
    <w:basedOn w:val="SingleParagraph"/>
    <w:rsid w:val="00946BF4"/>
    <w:pPr>
      <w:ind w:left="567"/>
    </w:pPr>
  </w:style>
  <w:style w:type="paragraph" w:customStyle="1" w:styleId="TableSecondHeading">
    <w:name w:val="Table Second Heading"/>
    <w:basedOn w:val="HeadingBase"/>
    <w:next w:val="TableGraphic"/>
    <w:rsid w:val="00946BF4"/>
    <w:pPr>
      <w:spacing w:after="20"/>
    </w:pPr>
  </w:style>
  <w:style w:type="paragraph" w:customStyle="1" w:styleId="TableTextBase">
    <w:name w:val="Table Text Base"/>
    <w:rsid w:val="00946BF4"/>
    <w:pPr>
      <w:spacing w:before="40" w:after="40" w:line="240" w:lineRule="auto"/>
    </w:pPr>
    <w:rPr>
      <w:rFonts w:ascii="Arial" w:eastAsia="Times New Roman" w:hAnsi="Arial" w:cs="Times New Roman"/>
      <w:color w:val="0000FF"/>
      <w:sz w:val="16"/>
      <w:szCs w:val="20"/>
      <w:lang w:eastAsia="en-AU"/>
    </w:rPr>
  </w:style>
  <w:style w:type="paragraph" w:customStyle="1" w:styleId="TableColumnHeadingCentred">
    <w:name w:val="Table Column Heading Centred"/>
    <w:basedOn w:val="TableColumnHeadingBase"/>
    <w:rsid w:val="00946BF4"/>
    <w:pPr>
      <w:jc w:val="center"/>
    </w:pPr>
  </w:style>
  <w:style w:type="paragraph" w:customStyle="1" w:styleId="TableColumnHeadingBase">
    <w:name w:val="Table Column Heading Base"/>
    <w:basedOn w:val="Normal"/>
    <w:rsid w:val="00946BF4"/>
    <w:pPr>
      <w:spacing w:before="40" w:after="40" w:line="240" w:lineRule="auto"/>
    </w:pPr>
    <w:rPr>
      <w:rFonts w:ascii="Arial" w:hAnsi="Arial"/>
      <w:b/>
      <w:sz w:val="16"/>
    </w:rPr>
  </w:style>
  <w:style w:type="paragraph" w:customStyle="1" w:styleId="TableColumnHeadingLeft">
    <w:name w:val="Table Column Heading Left"/>
    <w:basedOn w:val="TableColumnHeadingBase"/>
    <w:rsid w:val="00946BF4"/>
    <w:rPr>
      <w:rFonts w:ascii="Calibri" w:hAnsi="Calibri"/>
      <w:sz w:val="18"/>
    </w:rPr>
  </w:style>
  <w:style w:type="paragraph" w:customStyle="1" w:styleId="TableColumnHeadingRight">
    <w:name w:val="Table Column Heading Right"/>
    <w:basedOn w:val="TableColumnHeadingBase"/>
    <w:rsid w:val="00946BF4"/>
    <w:pPr>
      <w:jc w:val="right"/>
    </w:pPr>
  </w:style>
  <w:style w:type="paragraph" w:customStyle="1" w:styleId="TableMainHeadingContd">
    <w:name w:val="Table Main Heading Contd"/>
    <w:basedOn w:val="HeadingBase"/>
    <w:next w:val="TableGraphic"/>
    <w:rsid w:val="00946BF4"/>
    <w:pPr>
      <w:pageBreakBefore/>
      <w:spacing w:after="20"/>
    </w:pPr>
    <w:rPr>
      <w:b/>
      <w:sz w:val="22"/>
    </w:rPr>
  </w:style>
  <w:style w:type="paragraph" w:customStyle="1" w:styleId="TableTextCentered">
    <w:name w:val="Table Text Centered"/>
    <w:basedOn w:val="TableTextBase"/>
    <w:rsid w:val="00946BF4"/>
    <w:pPr>
      <w:jc w:val="center"/>
    </w:pPr>
  </w:style>
  <w:style w:type="paragraph" w:customStyle="1" w:styleId="TableTextIndented">
    <w:name w:val="Table Text Indented"/>
    <w:basedOn w:val="TableTextBase"/>
    <w:rsid w:val="00946BF4"/>
    <w:pPr>
      <w:ind w:left="284"/>
    </w:pPr>
  </w:style>
  <w:style w:type="paragraph" w:customStyle="1" w:styleId="TableTextLeft">
    <w:name w:val="Table Text Left"/>
    <w:basedOn w:val="TableTextBase"/>
    <w:rsid w:val="00946BF4"/>
  </w:style>
  <w:style w:type="paragraph" w:customStyle="1" w:styleId="TableTextRight">
    <w:name w:val="Table Text Right"/>
    <w:basedOn w:val="TableTextBase"/>
    <w:rsid w:val="00946BF4"/>
    <w:pPr>
      <w:jc w:val="right"/>
    </w:pPr>
  </w:style>
  <w:style w:type="paragraph" w:styleId="TOC1">
    <w:name w:val="toc 1"/>
    <w:basedOn w:val="HeadingBase"/>
    <w:next w:val="Normal"/>
    <w:rsid w:val="00946BF4"/>
    <w:pPr>
      <w:tabs>
        <w:tab w:val="right" w:leader="dot" w:pos="9072"/>
      </w:tabs>
      <w:spacing w:before="180"/>
      <w:ind w:right="851"/>
    </w:pPr>
    <w:rPr>
      <w:b/>
      <w:sz w:val="22"/>
      <w:szCs w:val="22"/>
    </w:rPr>
  </w:style>
  <w:style w:type="paragraph" w:styleId="TOC2">
    <w:name w:val="toc 2"/>
    <w:basedOn w:val="HeadingBase"/>
    <w:next w:val="Normal"/>
    <w:rsid w:val="00946BF4"/>
    <w:pPr>
      <w:tabs>
        <w:tab w:val="right" w:leader="dot" w:pos="9072"/>
      </w:tabs>
      <w:spacing w:before="40" w:after="20"/>
      <w:ind w:right="851"/>
    </w:pPr>
    <w:rPr>
      <w:sz w:val="22"/>
    </w:rPr>
  </w:style>
  <w:style w:type="paragraph" w:styleId="TOC3">
    <w:name w:val="toc 3"/>
    <w:basedOn w:val="Normal"/>
    <w:next w:val="Normal"/>
    <w:rsid w:val="00946BF4"/>
    <w:pPr>
      <w:tabs>
        <w:tab w:val="right" w:leader="dot" w:pos="9072"/>
      </w:tabs>
      <w:spacing w:before="20" w:after="0" w:line="240" w:lineRule="auto"/>
      <w:ind w:left="284" w:right="851"/>
    </w:pPr>
  </w:style>
  <w:style w:type="paragraph" w:styleId="TOC4">
    <w:name w:val="toc 4"/>
    <w:basedOn w:val="Normal"/>
    <w:next w:val="Normal"/>
    <w:rsid w:val="00946BF4"/>
    <w:pPr>
      <w:tabs>
        <w:tab w:val="right" w:leader="dot" w:pos="9072"/>
      </w:tabs>
      <w:spacing w:after="0" w:line="240" w:lineRule="auto"/>
      <w:ind w:left="284" w:right="851"/>
    </w:pPr>
  </w:style>
  <w:style w:type="paragraph" w:styleId="BodyTextIndent2">
    <w:name w:val="Body Text Indent 2"/>
    <w:basedOn w:val="Normal"/>
    <w:link w:val="BodyTextIndent2Char"/>
    <w:rsid w:val="00946BF4"/>
    <w:pPr>
      <w:spacing w:line="480" w:lineRule="auto"/>
      <w:ind w:left="283"/>
    </w:pPr>
  </w:style>
  <w:style w:type="character" w:customStyle="1" w:styleId="BodyTextIndent2Char">
    <w:name w:val="Body Text Indent 2 Char"/>
    <w:basedOn w:val="DefaultParagraphFont"/>
    <w:link w:val="BodyTextIndent2"/>
    <w:rsid w:val="00946BF4"/>
    <w:rPr>
      <w:rFonts w:ascii="Times New Roman" w:eastAsia="Times New Roman" w:hAnsi="Times New Roman" w:cs="Times New Roman"/>
      <w:bCs/>
      <w:szCs w:val="20"/>
      <w:lang w:eastAsia="en-AU"/>
    </w:rPr>
  </w:style>
  <w:style w:type="paragraph" w:styleId="Caption">
    <w:name w:val="caption"/>
    <w:basedOn w:val="Normal"/>
    <w:next w:val="Normal"/>
    <w:qFormat/>
    <w:rsid w:val="00946BF4"/>
    <w:rPr>
      <w:b/>
      <w:bCs w:val="0"/>
    </w:rPr>
  </w:style>
  <w:style w:type="paragraph" w:styleId="DocumentMap">
    <w:name w:val="Document Map"/>
    <w:basedOn w:val="Normal"/>
    <w:link w:val="DocumentMapChar"/>
    <w:semiHidden/>
    <w:rsid w:val="00946BF4"/>
    <w:pPr>
      <w:shd w:val="clear" w:color="auto" w:fill="00CCFF"/>
    </w:pPr>
    <w:rPr>
      <w:rFonts w:ascii="Tahoma" w:hAnsi="Tahoma" w:cs="Tahoma"/>
    </w:rPr>
  </w:style>
  <w:style w:type="character" w:customStyle="1" w:styleId="DocumentMapChar">
    <w:name w:val="Document Map Char"/>
    <w:basedOn w:val="DefaultParagraphFont"/>
    <w:link w:val="DocumentMap"/>
    <w:semiHidden/>
    <w:rsid w:val="00946BF4"/>
    <w:rPr>
      <w:rFonts w:ascii="Tahoma" w:eastAsia="Times New Roman" w:hAnsi="Tahoma" w:cs="Tahoma"/>
      <w:bCs/>
      <w:szCs w:val="20"/>
      <w:shd w:val="clear" w:color="auto" w:fill="00CCFF"/>
      <w:lang w:eastAsia="en-AU"/>
    </w:rPr>
  </w:style>
  <w:style w:type="character" w:styleId="EndnoteReference">
    <w:name w:val="endnote reference"/>
    <w:basedOn w:val="DefaultParagraphFont"/>
    <w:semiHidden/>
    <w:rsid w:val="00946BF4"/>
    <w:rPr>
      <w:vertAlign w:val="superscript"/>
    </w:rPr>
  </w:style>
  <w:style w:type="paragraph" w:styleId="EndnoteText">
    <w:name w:val="endnote text"/>
    <w:basedOn w:val="Normal"/>
    <w:link w:val="EndnoteTextChar"/>
    <w:semiHidden/>
    <w:rsid w:val="00946BF4"/>
  </w:style>
  <w:style w:type="character" w:customStyle="1" w:styleId="EndnoteTextChar">
    <w:name w:val="Endnote Text Char"/>
    <w:basedOn w:val="DefaultParagraphFont"/>
    <w:link w:val="EndnoteText"/>
    <w:semiHidden/>
    <w:rsid w:val="00946BF4"/>
    <w:rPr>
      <w:rFonts w:ascii="Times New Roman" w:eastAsia="Times New Roman" w:hAnsi="Times New Roman" w:cs="Times New Roman"/>
      <w:bCs/>
      <w:szCs w:val="20"/>
      <w:lang w:eastAsia="en-AU"/>
    </w:rPr>
  </w:style>
  <w:style w:type="character" w:styleId="FollowedHyperlink">
    <w:name w:val="FollowedHyperlink"/>
    <w:basedOn w:val="DefaultParagraphFont"/>
    <w:rsid w:val="00946BF4"/>
    <w:rPr>
      <w:color w:val="auto"/>
      <w:u w:val="none"/>
    </w:rPr>
  </w:style>
  <w:style w:type="paragraph" w:styleId="Index1">
    <w:name w:val="index 1"/>
    <w:basedOn w:val="Normal"/>
    <w:next w:val="Normal"/>
    <w:autoRedefine/>
    <w:semiHidden/>
    <w:rsid w:val="00946BF4"/>
    <w:pPr>
      <w:ind w:left="200" w:hanging="200"/>
    </w:pPr>
  </w:style>
  <w:style w:type="paragraph" w:styleId="Index2">
    <w:name w:val="index 2"/>
    <w:basedOn w:val="Normal"/>
    <w:next w:val="Normal"/>
    <w:autoRedefine/>
    <w:semiHidden/>
    <w:rsid w:val="00946BF4"/>
    <w:pPr>
      <w:ind w:left="400" w:hanging="200"/>
    </w:pPr>
  </w:style>
  <w:style w:type="paragraph" w:styleId="Index3">
    <w:name w:val="index 3"/>
    <w:basedOn w:val="Normal"/>
    <w:next w:val="Normal"/>
    <w:autoRedefine/>
    <w:semiHidden/>
    <w:rsid w:val="00946BF4"/>
    <w:pPr>
      <w:ind w:left="600" w:hanging="200"/>
    </w:pPr>
  </w:style>
  <w:style w:type="paragraph" w:styleId="Index4">
    <w:name w:val="index 4"/>
    <w:basedOn w:val="Normal"/>
    <w:next w:val="Normal"/>
    <w:autoRedefine/>
    <w:semiHidden/>
    <w:rsid w:val="00946BF4"/>
    <w:pPr>
      <w:ind w:left="800" w:hanging="200"/>
    </w:pPr>
  </w:style>
  <w:style w:type="paragraph" w:styleId="Index5">
    <w:name w:val="index 5"/>
    <w:basedOn w:val="Normal"/>
    <w:next w:val="Normal"/>
    <w:autoRedefine/>
    <w:semiHidden/>
    <w:rsid w:val="00946BF4"/>
    <w:pPr>
      <w:ind w:left="1000" w:hanging="200"/>
    </w:pPr>
  </w:style>
  <w:style w:type="paragraph" w:styleId="Index6">
    <w:name w:val="index 6"/>
    <w:basedOn w:val="Normal"/>
    <w:next w:val="Normal"/>
    <w:autoRedefine/>
    <w:semiHidden/>
    <w:rsid w:val="00946BF4"/>
    <w:pPr>
      <w:ind w:left="1200" w:hanging="200"/>
    </w:pPr>
  </w:style>
  <w:style w:type="paragraph" w:styleId="Index7">
    <w:name w:val="index 7"/>
    <w:basedOn w:val="Normal"/>
    <w:next w:val="Normal"/>
    <w:autoRedefine/>
    <w:semiHidden/>
    <w:rsid w:val="00946BF4"/>
    <w:pPr>
      <w:ind w:left="1400" w:hanging="200"/>
    </w:pPr>
  </w:style>
  <w:style w:type="paragraph" w:styleId="Index8">
    <w:name w:val="index 8"/>
    <w:basedOn w:val="Normal"/>
    <w:next w:val="Normal"/>
    <w:autoRedefine/>
    <w:semiHidden/>
    <w:rsid w:val="00946BF4"/>
    <w:pPr>
      <w:ind w:left="1600" w:hanging="200"/>
    </w:pPr>
  </w:style>
  <w:style w:type="paragraph" w:styleId="Index9">
    <w:name w:val="index 9"/>
    <w:basedOn w:val="Normal"/>
    <w:next w:val="Normal"/>
    <w:autoRedefine/>
    <w:semiHidden/>
    <w:rsid w:val="00946BF4"/>
    <w:pPr>
      <w:ind w:left="1800" w:hanging="200"/>
    </w:pPr>
  </w:style>
  <w:style w:type="paragraph" w:styleId="IndexHeading">
    <w:name w:val="index heading"/>
    <w:basedOn w:val="Normal"/>
    <w:next w:val="Index1"/>
    <w:semiHidden/>
    <w:rsid w:val="00946BF4"/>
    <w:rPr>
      <w:rFonts w:ascii="Arial" w:hAnsi="Arial" w:cs="Arial"/>
      <w:b/>
      <w:bCs w:val="0"/>
    </w:rPr>
  </w:style>
  <w:style w:type="paragraph" w:styleId="MacroText">
    <w:name w:val="macro"/>
    <w:link w:val="MacroTextChar"/>
    <w:semiHidden/>
    <w:rsid w:val="00946BF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946BF4"/>
    <w:rPr>
      <w:rFonts w:ascii="Courier New" w:eastAsia="Times New Roman" w:hAnsi="Courier New" w:cs="Courier New"/>
      <w:color w:val="000000"/>
      <w:sz w:val="20"/>
      <w:szCs w:val="20"/>
      <w:lang w:eastAsia="en-AU"/>
    </w:rPr>
  </w:style>
  <w:style w:type="numbering" w:customStyle="1" w:styleId="OutlineList">
    <w:name w:val="OutlineList"/>
    <w:uiPriority w:val="99"/>
    <w:rsid w:val="00946BF4"/>
    <w:pPr>
      <w:numPr>
        <w:numId w:val="21"/>
      </w:numPr>
    </w:pPr>
  </w:style>
  <w:style w:type="paragraph" w:customStyle="1" w:styleId="PictureCentred">
    <w:name w:val="Picture Centred"/>
    <w:basedOn w:val="Normal"/>
    <w:rsid w:val="00946BF4"/>
    <w:pPr>
      <w:spacing w:line="240" w:lineRule="atLeast"/>
      <w:jc w:val="center"/>
    </w:pPr>
  </w:style>
  <w:style w:type="paragraph" w:customStyle="1" w:styleId="PictureLeft">
    <w:name w:val="Picture Left"/>
    <w:basedOn w:val="PictureCentred"/>
    <w:rsid w:val="00946BF4"/>
    <w:pPr>
      <w:jc w:val="left"/>
    </w:pPr>
  </w:style>
  <w:style w:type="paragraph" w:customStyle="1" w:styleId="PictureIndent">
    <w:name w:val="Picture Indent"/>
    <w:basedOn w:val="PictureLeft"/>
    <w:rsid w:val="00946BF4"/>
    <w:pPr>
      <w:ind w:left="284"/>
    </w:pPr>
  </w:style>
  <w:style w:type="paragraph" w:styleId="TableofAuthorities">
    <w:name w:val="table of authorities"/>
    <w:basedOn w:val="Normal"/>
    <w:next w:val="Normal"/>
    <w:rsid w:val="00946BF4"/>
    <w:pPr>
      <w:ind w:left="200" w:hanging="200"/>
    </w:pPr>
  </w:style>
  <w:style w:type="paragraph" w:styleId="TableofFigures">
    <w:name w:val="table of figures"/>
    <w:basedOn w:val="Normal"/>
    <w:next w:val="Normal"/>
    <w:rsid w:val="00946BF4"/>
  </w:style>
  <w:style w:type="paragraph" w:styleId="TOAHeading">
    <w:name w:val="toa heading"/>
    <w:basedOn w:val="Normal"/>
    <w:next w:val="Normal"/>
    <w:semiHidden/>
    <w:rsid w:val="00946BF4"/>
    <w:rPr>
      <w:rFonts w:ascii="Arial" w:hAnsi="Arial" w:cs="Arial"/>
      <w:b/>
      <w:bCs w:val="0"/>
      <w:sz w:val="24"/>
      <w:szCs w:val="24"/>
    </w:rPr>
  </w:style>
  <w:style w:type="paragraph" w:styleId="TOC5">
    <w:name w:val="toc 5"/>
    <w:basedOn w:val="Normal"/>
    <w:next w:val="Normal"/>
    <w:autoRedefine/>
    <w:semiHidden/>
    <w:rsid w:val="00946BF4"/>
    <w:pPr>
      <w:ind w:left="800"/>
    </w:pPr>
  </w:style>
  <w:style w:type="paragraph" w:styleId="TOC6">
    <w:name w:val="toc 6"/>
    <w:basedOn w:val="Normal"/>
    <w:next w:val="Normal"/>
    <w:autoRedefine/>
    <w:semiHidden/>
    <w:rsid w:val="00946BF4"/>
    <w:pPr>
      <w:ind w:left="1000"/>
    </w:pPr>
  </w:style>
  <w:style w:type="paragraph" w:styleId="TOC7">
    <w:name w:val="toc 7"/>
    <w:basedOn w:val="Normal"/>
    <w:next w:val="Normal"/>
    <w:autoRedefine/>
    <w:semiHidden/>
    <w:rsid w:val="00946BF4"/>
    <w:pPr>
      <w:ind w:left="1200"/>
    </w:pPr>
  </w:style>
  <w:style w:type="paragraph" w:styleId="TOC8">
    <w:name w:val="toc 8"/>
    <w:basedOn w:val="Normal"/>
    <w:next w:val="Normal"/>
    <w:autoRedefine/>
    <w:semiHidden/>
    <w:rsid w:val="00946BF4"/>
    <w:pPr>
      <w:ind w:left="1400"/>
    </w:pPr>
  </w:style>
  <w:style w:type="paragraph" w:styleId="TOC9">
    <w:name w:val="toc 9"/>
    <w:basedOn w:val="Normal"/>
    <w:next w:val="Normal"/>
    <w:autoRedefine/>
    <w:semiHidden/>
    <w:rsid w:val="00946BF4"/>
    <w:pPr>
      <w:ind w:left="1600"/>
    </w:pPr>
  </w:style>
  <w:style w:type="numbering" w:customStyle="1" w:styleId="BulletedList">
    <w:name w:val="Bulleted List"/>
    <w:uiPriority w:val="99"/>
    <w:rsid w:val="00946BF4"/>
    <w:pPr>
      <w:numPr>
        <w:numId w:val="15"/>
      </w:numPr>
    </w:pPr>
  </w:style>
  <w:style w:type="numbering" w:customStyle="1" w:styleId="BoxBulletedList">
    <w:name w:val="Box Bulleted List"/>
    <w:uiPriority w:val="99"/>
    <w:rsid w:val="00946BF4"/>
    <w:pPr>
      <w:numPr>
        <w:numId w:val="16"/>
      </w:numPr>
    </w:pPr>
  </w:style>
  <w:style w:type="numbering" w:customStyle="1" w:styleId="AlphaParagraphList">
    <w:name w:val="Alpha Paragraph List"/>
    <w:uiPriority w:val="99"/>
    <w:rsid w:val="00946BF4"/>
    <w:pPr>
      <w:numPr>
        <w:numId w:val="18"/>
      </w:numPr>
    </w:pPr>
  </w:style>
  <w:style w:type="numbering" w:customStyle="1" w:styleId="OneLevelList">
    <w:name w:val="OneLevelList"/>
    <w:uiPriority w:val="99"/>
    <w:rsid w:val="00946BF4"/>
    <w:pPr>
      <w:numPr>
        <w:numId w:val="20"/>
      </w:numPr>
    </w:pPr>
  </w:style>
  <w:style w:type="numbering" w:customStyle="1" w:styleId="RecommendationBulletList">
    <w:name w:val="RecommendationBulletList"/>
    <w:uiPriority w:val="99"/>
    <w:rsid w:val="00946BF4"/>
    <w:pPr>
      <w:numPr>
        <w:numId w:val="22"/>
      </w:numPr>
    </w:pPr>
  </w:style>
  <w:style w:type="numbering" w:customStyle="1" w:styleId="RomanNumeralList">
    <w:name w:val="RomanNumeralList"/>
    <w:uiPriority w:val="99"/>
    <w:rsid w:val="00946BF4"/>
    <w:pPr>
      <w:numPr>
        <w:numId w:val="23"/>
      </w:numPr>
    </w:pPr>
  </w:style>
  <w:style w:type="numbering" w:customStyle="1" w:styleId="ChartandTableFootnoteAlphaList">
    <w:name w:val="ChartandTableFootnoteAlphaList"/>
    <w:uiPriority w:val="99"/>
    <w:rsid w:val="00946BF4"/>
    <w:pPr>
      <w:numPr>
        <w:numId w:val="28"/>
      </w:numPr>
    </w:pPr>
  </w:style>
  <w:style w:type="paragraph" w:customStyle="1" w:styleId="TableTextBullet">
    <w:name w:val="Table Text Bullet"/>
    <w:basedOn w:val="TableTextBase"/>
    <w:rsid w:val="00946BF4"/>
    <w:pPr>
      <w:numPr>
        <w:numId w:val="30"/>
      </w:numPr>
    </w:pPr>
  </w:style>
  <w:style w:type="numbering" w:customStyle="1" w:styleId="TableTestBulletList">
    <w:name w:val="Table Test Bullet List"/>
    <w:uiPriority w:val="99"/>
    <w:rsid w:val="00946BF4"/>
    <w:pPr>
      <w:numPr>
        <w:numId w:val="29"/>
      </w:numPr>
    </w:pPr>
  </w:style>
  <w:style w:type="numbering" w:customStyle="1" w:styleId="TableTextBulletList">
    <w:name w:val="Table Text Bullet List"/>
    <w:uiPriority w:val="99"/>
    <w:rsid w:val="00946BF4"/>
    <w:pPr>
      <w:numPr>
        <w:numId w:val="30"/>
      </w:numPr>
    </w:pPr>
  </w:style>
  <w:style w:type="paragraph" w:customStyle="1" w:styleId="StyleTableTextBulletLinespacingExactly13pt">
    <w:name w:val="Style Table Text Bullet + Line spacing:  Exactly 13 pt"/>
    <w:basedOn w:val="TableTextBullet"/>
    <w:rsid w:val="00946BF4"/>
    <w:pPr>
      <w:numPr>
        <w:numId w:val="0"/>
      </w:numPr>
      <w:spacing w:after="80" w:line="260" w:lineRule="exact"/>
    </w:pPr>
  </w:style>
  <w:style w:type="paragraph" w:styleId="ListParagraph">
    <w:name w:val="List Paragraph"/>
    <w:basedOn w:val="Normal"/>
    <w:uiPriority w:val="34"/>
    <w:qFormat/>
    <w:rsid w:val="00946BF4"/>
    <w:pPr>
      <w:spacing w:after="0" w:line="240" w:lineRule="auto"/>
      <w:ind w:left="720"/>
    </w:pPr>
    <w:rPr>
      <w:rFonts w:ascii="Calibri" w:eastAsiaTheme="minorHAnsi" w:hAnsi="Calibri" w:cs="Calibri"/>
      <w:szCs w:val="22"/>
      <w:lang w:eastAsia="en-US"/>
    </w:rPr>
  </w:style>
  <w:style w:type="paragraph" w:customStyle="1" w:styleId="Reference">
    <w:name w:val="Reference"/>
    <w:basedOn w:val="Normal"/>
    <w:qFormat/>
    <w:rsid w:val="00946BF4"/>
    <w:rPr>
      <w:sz w:val="20"/>
    </w:rPr>
  </w:style>
  <w:style w:type="paragraph" w:customStyle="1" w:styleId="rightFooter">
    <w:name w:val="right Footer"/>
    <w:basedOn w:val="Footer"/>
    <w:rsid w:val="00946BF4"/>
  </w:style>
  <w:style w:type="paragraph" w:customStyle="1" w:styleId="Footerright">
    <w:name w:val="Footer right"/>
    <w:basedOn w:val="FooterCentered"/>
    <w:rsid w:val="00946BF4"/>
    <w:pPr>
      <w:jc w:val="right"/>
    </w:pPr>
  </w:style>
  <w:style w:type="paragraph" w:customStyle="1" w:styleId="Chaptertitle">
    <w:name w:val="Chapter title"/>
    <w:basedOn w:val="Heading1"/>
    <w:rsid w:val="00946BF4"/>
    <w:pPr>
      <w:spacing w:before="5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F4"/>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946BF4"/>
    <w:pPr>
      <w:spacing w:after="360"/>
      <w:outlineLvl w:val="0"/>
    </w:pPr>
    <w:rPr>
      <w:b/>
      <w:bCs/>
      <w:kern w:val="32"/>
      <w:sz w:val="24"/>
      <w:szCs w:val="24"/>
    </w:rPr>
  </w:style>
  <w:style w:type="paragraph" w:styleId="Heading2">
    <w:name w:val="heading 2"/>
    <w:basedOn w:val="HeadingBase"/>
    <w:next w:val="Normal"/>
    <w:link w:val="Heading2Char"/>
    <w:qFormat/>
    <w:rsid w:val="00946BF4"/>
    <w:pPr>
      <w:spacing w:after="240"/>
      <w:outlineLvl w:val="1"/>
    </w:pPr>
    <w:rPr>
      <w:b/>
      <w:bCs/>
      <w:iCs/>
      <w:sz w:val="24"/>
      <w:szCs w:val="24"/>
    </w:rPr>
  </w:style>
  <w:style w:type="paragraph" w:styleId="Heading3">
    <w:name w:val="heading 3"/>
    <w:basedOn w:val="HeadingBase"/>
    <w:next w:val="Normal"/>
    <w:link w:val="Heading3Char"/>
    <w:qFormat/>
    <w:rsid w:val="00946BF4"/>
    <w:pPr>
      <w:spacing w:after="240"/>
      <w:outlineLvl w:val="2"/>
    </w:pPr>
    <w:rPr>
      <w:b/>
      <w:bCs/>
      <w:sz w:val="22"/>
      <w:szCs w:val="22"/>
    </w:rPr>
  </w:style>
  <w:style w:type="paragraph" w:styleId="Heading4">
    <w:name w:val="heading 4"/>
    <w:basedOn w:val="HeadingBase"/>
    <w:next w:val="Normal"/>
    <w:link w:val="Heading4Char"/>
    <w:qFormat/>
    <w:rsid w:val="00946BF4"/>
    <w:pPr>
      <w:spacing w:after="120"/>
      <w:outlineLvl w:val="3"/>
    </w:pPr>
    <w:rPr>
      <w:bCs/>
      <w:sz w:val="22"/>
      <w:szCs w:val="22"/>
    </w:rPr>
  </w:style>
  <w:style w:type="paragraph" w:styleId="Heading5">
    <w:name w:val="heading 5"/>
    <w:basedOn w:val="HeadingBase"/>
    <w:next w:val="Normal"/>
    <w:link w:val="Heading5Char"/>
    <w:qFormat/>
    <w:rsid w:val="00946BF4"/>
    <w:pPr>
      <w:spacing w:after="120"/>
      <w:outlineLvl w:val="4"/>
    </w:pPr>
    <w:rPr>
      <w:b/>
      <w:bCs/>
      <w:iCs/>
    </w:rPr>
  </w:style>
  <w:style w:type="paragraph" w:styleId="Heading6">
    <w:name w:val="heading 6"/>
    <w:basedOn w:val="HeadingBase"/>
    <w:next w:val="Normal"/>
    <w:link w:val="Heading6Char"/>
    <w:qFormat/>
    <w:rsid w:val="00946BF4"/>
    <w:pPr>
      <w:spacing w:after="120"/>
      <w:outlineLvl w:val="5"/>
    </w:pPr>
    <w:rPr>
      <w:bCs/>
      <w:szCs w:val="22"/>
    </w:rPr>
  </w:style>
  <w:style w:type="paragraph" w:styleId="Heading7">
    <w:name w:val="heading 7"/>
    <w:basedOn w:val="HeadingBase"/>
    <w:next w:val="Normal"/>
    <w:link w:val="Heading7Char"/>
    <w:qFormat/>
    <w:rsid w:val="00946BF4"/>
    <w:pPr>
      <w:spacing w:after="120"/>
      <w:outlineLvl w:val="6"/>
    </w:pPr>
    <w:rPr>
      <w:szCs w:val="24"/>
    </w:rPr>
  </w:style>
  <w:style w:type="paragraph" w:styleId="Heading8">
    <w:name w:val="heading 8"/>
    <w:basedOn w:val="HeadingBase"/>
    <w:next w:val="Normal"/>
    <w:link w:val="Heading8Char"/>
    <w:qFormat/>
    <w:rsid w:val="00946BF4"/>
    <w:pPr>
      <w:spacing w:after="120"/>
      <w:outlineLvl w:val="7"/>
    </w:pPr>
    <w:rPr>
      <w:iCs/>
      <w:szCs w:val="24"/>
    </w:rPr>
  </w:style>
  <w:style w:type="paragraph" w:styleId="Heading9">
    <w:name w:val="heading 9"/>
    <w:basedOn w:val="HeadingBase"/>
    <w:next w:val="Normal"/>
    <w:link w:val="Heading9Char"/>
    <w:qFormat/>
    <w:rsid w:val="00946BF4"/>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BF4"/>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paragraph" w:customStyle="1" w:styleId="Bullet">
    <w:name w:val="Bullet"/>
    <w:aliases w:val="b"/>
    <w:basedOn w:val="Normal"/>
    <w:link w:val="BulletChar"/>
    <w:rsid w:val="00946BF4"/>
    <w:pPr>
      <w:numPr>
        <w:numId w:val="15"/>
      </w:numPr>
      <w:tabs>
        <w:tab w:val="clear" w:pos="283"/>
        <w:tab w:val="num" w:pos="567"/>
      </w:tabs>
      <w:ind w:left="567" w:hanging="567"/>
    </w:pPr>
  </w:style>
  <w:style w:type="character" w:customStyle="1" w:styleId="BulletChar">
    <w:name w:val="Bullet Char"/>
    <w:basedOn w:val="DefaultParagraphFont"/>
    <w:link w:val="Bullet"/>
    <w:locked/>
    <w:rsid w:val="00FE769A"/>
    <w:rPr>
      <w:rFonts w:ascii="Times New Roman" w:eastAsia="Times New Roman" w:hAnsi="Times New Roman" w:cs="Times New Roman"/>
      <w:bCs/>
      <w:szCs w:val="20"/>
      <w:lang w:eastAsia="en-AU"/>
    </w:rPr>
  </w:style>
  <w:style w:type="paragraph" w:customStyle="1" w:styleId="SingleParagraph">
    <w:name w:val="Single Paragraph"/>
    <w:basedOn w:val="Normal"/>
    <w:rsid w:val="00946BF4"/>
    <w:pPr>
      <w:spacing w:after="0"/>
    </w:pPr>
  </w:style>
  <w:style w:type="character" w:customStyle="1" w:styleId="Heading3Char">
    <w:name w:val="Heading 3 Char"/>
    <w:basedOn w:val="DefaultParagraphFont"/>
    <w:link w:val="Heading3"/>
    <w:rsid w:val="00946BF4"/>
    <w:rPr>
      <w:rFonts w:ascii="Times New Roman" w:eastAsia="Times New Roman" w:hAnsi="Times New Roman" w:cs="Times New Roman"/>
      <w:b/>
      <w:bCs/>
      <w:color w:val="0000FF"/>
      <w:lang w:eastAsia="en-AU"/>
    </w:rPr>
  </w:style>
  <w:style w:type="paragraph" w:customStyle="1" w:styleId="TableMainHeading">
    <w:name w:val="Table Main Heading"/>
    <w:basedOn w:val="Normal"/>
    <w:next w:val="TableGraphic"/>
    <w:rsid w:val="00946BF4"/>
    <w:pPr>
      <w:keepNext/>
    </w:pPr>
    <w:rPr>
      <w:b/>
      <w:bCs w:val="0"/>
      <w:color w:val="0000FF"/>
    </w:rPr>
  </w:style>
  <w:style w:type="paragraph" w:customStyle="1" w:styleId="TableGraphic">
    <w:name w:val="Table Graphic"/>
    <w:basedOn w:val="HeadingBase"/>
    <w:next w:val="Normal"/>
    <w:rsid w:val="00946BF4"/>
  </w:style>
  <w:style w:type="paragraph" w:customStyle="1" w:styleId="Dash">
    <w:name w:val="Dash"/>
    <w:basedOn w:val="Normal"/>
    <w:rsid w:val="00946BF4"/>
    <w:pPr>
      <w:numPr>
        <w:ilvl w:val="1"/>
        <w:numId w:val="15"/>
      </w:numPr>
    </w:pPr>
  </w:style>
  <w:style w:type="paragraph" w:customStyle="1" w:styleId="DoubleDot">
    <w:name w:val="Double Dot"/>
    <w:basedOn w:val="Normal"/>
    <w:link w:val="DoubleDotChar"/>
    <w:rsid w:val="00946BF4"/>
    <w:pPr>
      <w:numPr>
        <w:ilvl w:val="2"/>
        <w:numId w:val="15"/>
      </w:numPr>
    </w:pPr>
  </w:style>
  <w:style w:type="paragraph" w:styleId="BalloonText">
    <w:name w:val="Balloon Text"/>
    <w:basedOn w:val="Normal"/>
    <w:link w:val="BalloonTextChar"/>
    <w:semiHidden/>
    <w:rsid w:val="00946BF4"/>
    <w:rPr>
      <w:rFonts w:ascii="Tahoma" w:hAnsi="Tahoma" w:cs="Tahoma"/>
      <w:sz w:val="16"/>
      <w:szCs w:val="16"/>
    </w:rPr>
  </w:style>
  <w:style w:type="character" w:customStyle="1" w:styleId="BalloonTextChar">
    <w:name w:val="Balloon Text Char"/>
    <w:basedOn w:val="DefaultParagraphFont"/>
    <w:link w:val="BalloonText"/>
    <w:semiHidden/>
    <w:rsid w:val="00946BF4"/>
    <w:rPr>
      <w:rFonts w:ascii="Tahoma" w:eastAsia="Times New Roman" w:hAnsi="Tahoma" w:cs="Tahoma"/>
      <w:bCs/>
      <w:sz w:val="16"/>
      <w:szCs w:val="16"/>
      <w:lang w:eastAsia="en-AU"/>
    </w:rPr>
  </w:style>
  <w:style w:type="paragraph" w:customStyle="1" w:styleId="ChartMainHeading">
    <w:name w:val="Chart Main Heading"/>
    <w:basedOn w:val="Normal"/>
    <w:next w:val="ChartGraphic"/>
    <w:rsid w:val="00946BF4"/>
    <w:pPr>
      <w:keepNext/>
      <w:jc w:val="center"/>
    </w:pPr>
    <w:rPr>
      <w:b/>
      <w:bCs w:val="0"/>
      <w:color w:val="0000FF"/>
    </w:rPr>
  </w:style>
  <w:style w:type="character" w:styleId="CommentReference">
    <w:name w:val="annotation reference"/>
    <w:basedOn w:val="DefaultParagraphFont"/>
    <w:semiHidden/>
    <w:rsid w:val="00946BF4"/>
    <w:rPr>
      <w:sz w:val="16"/>
      <w:szCs w:val="16"/>
    </w:rPr>
  </w:style>
  <w:style w:type="paragraph" w:styleId="CommentText">
    <w:name w:val="annotation text"/>
    <w:basedOn w:val="Normal"/>
    <w:link w:val="CommentTextChar"/>
    <w:semiHidden/>
    <w:rsid w:val="00946BF4"/>
  </w:style>
  <w:style w:type="character" w:customStyle="1" w:styleId="CommentTextChar">
    <w:name w:val="Comment Text Char"/>
    <w:basedOn w:val="DefaultParagraphFont"/>
    <w:link w:val="CommentText"/>
    <w:semiHidden/>
    <w:rsid w:val="00946BF4"/>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946BF4"/>
    <w:rPr>
      <w:b/>
      <w:bCs w:val="0"/>
    </w:rPr>
  </w:style>
  <w:style w:type="character" w:customStyle="1" w:styleId="CommentSubjectChar">
    <w:name w:val="Comment Subject Char"/>
    <w:basedOn w:val="CommentTextChar"/>
    <w:link w:val="CommentSubject"/>
    <w:semiHidden/>
    <w:rsid w:val="00946BF4"/>
    <w:rPr>
      <w:rFonts w:ascii="Times New Roman" w:eastAsia="Times New Roman" w:hAnsi="Times New Roman" w:cs="Times New Roman"/>
      <w:b/>
      <w:bCs w:val="0"/>
      <w:szCs w:val="20"/>
      <w:lang w:eastAsia="en-AU"/>
    </w:rPr>
  </w:style>
  <w:style w:type="paragraph" w:styleId="FootnoteText">
    <w:name w:val="footnote text"/>
    <w:basedOn w:val="Normal"/>
    <w:link w:val="FootnoteTextChar"/>
    <w:rsid w:val="00946BF4"/>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946BF4"/>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946BF4"/>
    <w:rPr>
      <w:vertAlign w:val="superscript"/>
    </w:rPr>
  </w:style>
  <w:style w:type="paragraph" w:styleId="Header">
    <w:name w:val="header"/>
    <w:basedOn w:val="HeadingBase"/>
    <w:link w:val="HeaderChar"/>
    <w:rsid w:val="00044069"/>
    <w:pPr>
      <w:spacing w:before="120"/>
      <w:jc w:val="right"/>
    </w:pPr>
    <w:rPr>
      <w:color w:val="000000" w:themeColor="text1"/>
      <w:sz w:val="18"/>
      <w:szCs w:val="18"/>
    </w:rPr>
  </w:style>
  <w:style w:type="character" w:customStyle="1" w:styleId="HeaderChar">
    <w:name w:val="Header Char"/>
    <w:basedOn w:val="DefaultParagraphFont"/>
    <w:link w:val="Header"/>
    <w:rsid w:val="00044069"/>
    <w:rPr>
      <w:rFonts w:ascii="Times New Roman" w:eastAsia="Times New Roman" w:hAnsi="Times New Roman" w:cs="Times New Roman"/>
      <w:color w:val="000000" w:themeColor="text1"/>
      <w:sz w:val="18"/>
      <w:szCs w:val="18"/>
      <w:lang w:eastAsia="en-AU"/>
    </w:rPr>
  </w:style>
  <w:style w:type="paragraph" w:styleId="Footer">
    <w:name w:val="footer"/>
    <w:basedOn w:val="HeadingBase"/>
    <w:link w:val="FooterChar"/>
    <w:uiPriority w:val="99"/>
    <w:rsid w:val="00946BF4"/>
    <w:rPr>
      <w:color w:val="auto"/>
      <w:sz w:val="18"/>
    </w:rPr>
  </w:style>
  <w:style w:type="character" w:customStyle="1" w:styleId="FooterChar">
    <w:name w:val="Footer Char"/>
    <w:basedOn w:val="DefaultParagraphFont"/>
    <w:link w:val="Footer"/>
    <w:uiPriority w:val="99"/>
    <w:rsid w:val="00946BF4"/>
    <w:rPr>
      <w:rFonts w:ascii="Times New Roman" w:eastAsia="Times New Roman" w:hAnsi="Times New Roman" w:cs="Times New Roman"/>
      <w:sz w:val="18"/>
      <w:szCs w:val="20"/>
      <w:lang w:eastAsia="en-AU"/>
    </w:rPr>
  </w:style>
  <w:style w:type="paragraph" w:styleId="Revision">
    <w:name w:val="Revision"/>
    <w:hidden/>
    <w:uiPriority w:val="99"/>
    <w:semiHidden/>
    <w:rsid w:val="00150FD7"/>
    <w:pPr>
      <w:spacing w:after="0" w:line="240" w:lineRule="auto"/>
    </w:pPr>
  </w:style>
  <w:style w:type="paragraph" w:styleId="PlainText">
    <w:name w:val="Plain Text"/>
    <w:basedOn w:val="Normal"/>
    <w:link w:val="PlainTextChar"/>
    <w:uiPriority w:val="99"/>
    <w:unhideWhenUsed/>
    <w:rsid w:val="000C0E08"/>
    <w:pPr>
      <w:spacing w:after="0" w:line="240" w:lineRule="auto"/>
    </w:pPr>
    <w:rPr>
      <w:rFonts w:ascii="Arial" w:hAnsi="Arial" w:cs="Arial"/>
      <w:sz w:val="20"/>
    </w:rPr>
  </w:style>
  <w:style w:type="character" w:customStyle="1" w:styleId="PlainTextChar">
    <w:name w:val="Plain Text Char"/>
    <w:basedOn w:val="DefaultParagraphFont"/>
    <w:link w:val="PlainText"/>
    <w:uiPriority w:val="99"/>
    <w:rsid w:val="000C0E08"/>
    <w:rPr>
      <w:rFonts w:ascii="Arial" w:hAnsi="Arial" w:cs="Arial"/>
      <w:sz w:val="20"/>
      <w:szCs w:val="20"/>
    </w:rPr>
  </w:style>
  <w:style w:type="character" w:customStyle="1" w:styleId="DoubleDotChar">
    <w:name w:val="Double Dot Char"/>
    <w:basedOn w:val="DefaultParagraphFont"/>
    <w:link w:val="DoubleDot"/>
    <w:rsid w:val="00F02BCE"/>
    <w:rPr>
      <w:rFonts w:ascii="Times New Roman" w:eastAsia="Times New Roman" w:hAnsi="Times New Roman" w:cs="Times New Roman"/>
      <w:bCs/>
      <w:szCs w:val="20"/>
      <w:lang w:eastAsia="en-AU"/>
    </w:rPr>
  </w:style>
  <w:style w:type="paragraph" w:customStyle="1" w:styleId="Footnotes">
    <w:name w:val="Footnotes"/>
    <w:basedOn w:val="Normal"/>
    <w:rsid w:val="004F0540"/>
    <w:pPr>
      <w:spacing w:after="0" w:line="240" w:lineRule="auto"/>
    </w:pPr>
    <w:rPr>
      <w:sz w:val="16"/>
    </w:rPr>
  </w:style>
  <w:style w:type="character" w:styleId="PlaceholderText">
    <w:name w:val="Placeholder Text"/>
    <w:basedOn w:val="DefaultParagraphFont"/>
    <w:uiPriority w:val="99"/>
    <w:semiHidden/>
    <w:rsid w:val="006A6C89"/>
    <w:rPr>
      <w:color w:val="808080"/>
    </w:rPr>
  </w:style>
  <w:style w:type="character" w:styleId="Strong">
    <w:name w:val="Strong"/>
    <w:basedOn w:val="DefaultParagraphFont"/>
    <w:uiPriority w:val="22"/>
    <w:qFormat/>
    <w:rsid w:val="00CB65A4"/>
    <w:rPr>
      <w:b/>
      <w:bCs/>
    </w:rPr>
  </w:style>
  <w:style w:type="character" w:styleId="Hyperlink">
    <w:name w:val="Hyperlink"/>
    <w:basedOn w:val="DefaultParagraphFont"/>
    <w:rsid w:val="00946BF4"/>
    <w:rPr>
      <w:color w:val="auto"/>
      <w:u w:val="none"/>
    </w:rPr>
  </w:style>
  <w:style w:type="character" w:customStyle="1" w:styleId="Heading1Char">
    <w:name w:val="Heading 1 Char"/>
    <w:basedOn w:val="DefaultParagraphFont"/>
    <w:link w:val="Heading1"/>
    <w:rsid w:val="00946BF4"/>
    <w:rPr>
      <w:rFonts w:ascii="Times New Roman" w:eastAsia="Times New Roman" w:hAnsi="Times New Roman" w:cs="Times New Roman"/>
      <w:b/>
      <w:bCs/>
      <w:color w:val="0000FF"/>
      <w:kern w:val="32"/>
      <w:sz w:val="24"/>
      <w:szCs w:val="24"/>
      <w:lang w:eastAsia="en-AU"/>
    </w:rPr>
  </w:style>
  <w:style w:type="character" w:customStyle="1" w:styleId="Heading2Char">
    <w:name w:val="Heading 2 Char"/>
    <w:basedOn w:val="DefaultParagraphFont"/>
    <w:link w:val="Heading2"/>
    <w:rsid w:val="00946BF4"/>
    <w:rPr>
      <w:rFonts w:ascii="Times New Roman" w:eastAsia="Times New Roman" w:hAnsi="Times New Roman" w:cs="Times New Roman"/>
      <w:b/>
      <w:bCs/>
      <w:iCs/>
      <w:color w:val="0000FF"/>
      <w:sz w:val="24"/>
      <w:szCs w:val="24"/>
      <w:lang w:eastAsia="en-AU"/>
    </w:rPr>
  </w:style>
  <w:style w:type="character" w:customStyle="1" w:styleId="Heading4Char">
    <w:name w:val="Heading 4 Char"/>
    <w:basedOn w:val="DefaultParagraphFont"/>
    <w:link w:val="Heading4"/>
    <w:rsid w:val="00946BF4"/>
    <w:rPr>
      <w:rFonts w:ascii="Times New Roman" w:eastAsia="Times New Roman" w:hAnsi="Times New Roman" w:cs="Times New Roman"/>
      <w:bCs/>
      <w:color w:val="0000FF"/>
      <w:lang w:eastAsia="en-AU"/>
    </w:rPr>
  </w:style>
  <w:style w:type="character" w:customStyle="1" w:styleId="Heading5Char">
    <w:name w:val="Heading 5 Char"/>
    <w:basedOn w:val="DefaultParagraphFont"/>
    <w:link w:val="Heading5"/>
    <w:rsid w:val="00946BF4"/>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946BF4"/>
    <w:rPr>
      <w:rFonts w:ascii="Times New Roman" w:eastAsia="Times New Roman" w:hAnsi="Times New Roman" w:cs="Times New Roman"/>
      <w:bCs/>
      <w:color w:val="0000FF"/>
      <w:sz w:val="20"/>
      <w:lang w:eastAsia="en-AU"/>
    </w:rPr>
  </w:style>
  <w:style w:type="character" w:customStyle="1" w:styleId="Heading7Char">
    <w:name w:val="Heading 7 Char"/>
    <w:basedOn w:val="DefaultParagraphFont"/>
    <w:link w:val="Heading7"/>
    <w:rsid w:val="00946BF4"/>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946BF4"/>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946BF4"/>
    <w:rPr>
      <w:rFonts w:ascii="Times New Roman" w:eastAsia="Times New Roman" w:hAnsi="Times New Roman" w:cs="Arial"/>
      <w:color w:val="0000FF"/>
      <w:sz w:val="20"/>
      <w:lang w:eastAsia="en-AU"/>
    </w:rPr>
  </w:style>
  <w:style w:type="paragraph" w:customStyle="1" w:styleId="HeadingBase">
    <w:name w:val="Heading Base"/>
    <w:next w:val="Normal"/>
    <w:rsid w:val="00946BF4"/>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946BF4"/>
    <w:pPr>
      <w:jc w:val="center"/>
    </w:pPr>
  </w:style>
  <w:style w:type="paragraph" w:customStyle="1" w:styleId="BoxTextBase">
    <w:name w:val="Box Text Base"/>
    <w:basedOn w:val="Normal"/>
    <w:rsid w:val="00946BF4"/>
  </w:style>
  <w:style w:type="paragraph" w:customStyle="1" w:styleId="BoxBullet">
    <w:name w:val="Box Bullet"/>
    <w:basedOn w:val="BoxTextBase"/>
    <w:rsid w:val="00946BF4"/>
    <w:pPr>
      <w:numPr>
        <w:numId w:val="16"/>
      </w:numPr>
      <w:ind w:left="284" w:hanging="284"/>
    </w:pPr>
  </w:style>
  <w:style w:type="paragraph" w:customStyle="1" w:styleId="BoxDash">
    <w:name w:val="Box Dash"/>
    <w:basedOn w:val="Normal"/>
    <w:rsid w:val="00946BF4"/>
    <w:pPr>
      <w:numPr>
        <w:ilvl w:val="1"/>
        <w:numId w:val="16"/>
      </w:numPr>
    </w:pPr>
  </w:style>
  <w:style w:type="paragraph" w:customStyle="1" w:styleId="BoxDoubleDot">
    <w:name w:val="Box Double Dot"/>
    <w:basedOn w:val="BoxTextBase"/>
    <w:rsid w:val="00946BF4"/>
    <w:pPr>
      <w:numPr>
        <w:ilvl w:val="2"/>
        <w:numId w:val="16"/>
      </w:numPr>
    </w:pPr>
  </w:style>
  <w:style w:type="paragraph" w:customStyle="1" w:styleId="BoxHeading">
    <w:name w:val="Box Heading"/>
    <w:basedOn w:val="HeadingBase"/>
    <w:next w:val="Normal"/>
    <w:rsid w:val="00946BF4"/>
    <w:pPr>
      <w:spacing w:before="240" w:after="120"/>
    </w:pPr>
    <w:rPr>
      <w:b/>
      <w:sz w:val="22"/>
    </w:rPr>
  </w:style>
  <w:style w:type="paragraph" w:customStyle="1" w:styleId="BoxText">
    <w:name w:val="Box Text"/>
    <w:basedOn w:val="BoxTextBase"/>
    <w:rsid w:val="00946BF4"/>
  </w:style>
  <w:style w:type="paragraph" w:styleId="NormalIndent">
    <w:name w:val="Normal Indent"/>
    <w:basedOn w:val="Normal"/>
    <w:rsid w:val="00946BF4"/>
    <w:pPr>
      <w:ind w:left="567"/>
    </w:pPr>
  </w:style>
  <w:style w:type="paragraph" w:customStyle="1" w:styleId="ChartandTableFootnoteAlpha">
    <w:name w:val="Chart and Table Footnote Alpha"/>
    <w:basedOn w:val="ChartorTableNote"/>
    <w:rsid w:val="00946BF4"/>
  </w:style>
  <w:style w:type="paragraph" w:customStyle="1" w:styleId="ChartorTableNote">
    <w:name w:val="Chart or Table Note"/>
    <w:basedOn w:val="FootnoteText"/>
    <w:next w:val="Normal"/>
    <w:rsid w:val="00946BF4"/>
    <w:rPr>
      <w:rFonts w:ascii="Times New Roman" w:hAnsi="Times New Roman"/>
    </w:rPr>
  </w:style>
  <w:style w:type="paragraph" w:customStyle="1" w:styleId="ChartSecondHeading">
    <w:name w:val="Chart Second Heading"/>
    <w:basedOn w:val="HeadingBase"/>
    <w:next w:val="ChartGraphic"/>
    <w:rsid w:val="00946BF4"/>
    <w:pPr>
      <w:spacing w:after="20"/>
      <w:jc w:val="center"/>
    </w:pPr>
  </w:style>
  <w:style w:type="paragraph" w:customStyle="1" w:styleId="Classification">
    <w:name w:val="Classification"/>
    <w:basedOn w:val="HeadingBase"/>
    <w:next w:val="Footer"/>
    <w:rsid w:val="00946BF4"/>
    <w:pPr>
      <w:spacing w:after="120"/>
      <w:jc w:val="center"/>
    </w:pPr>
    <w:rPr>
      <w:b/>
      <w:smallCaps/>
    </w:rPr>
  </w:style>
  <w:style w:type="paragraph" w:customStyle="1" w:styleId="ContentsHeading">
    <w:name w:val="Contents Heading"/>
    <w:basedOn w:val="HeadingBase"/>
    <w:next w:val="Normal"/>
    <w:rsid w:val="00946BF4"/>
    <w:pPr>
      <w:spacing w:after="360"/>
    </w:pPr>
    <w:rPr>
      <w:sz w:val="36"/>
      <w:szCs w:val="36"/>
    </w:rPr>
  </w:style>
  <w:style w:type="paragraph" w:customStyle="1" w:styleId="CoverTitleSub">
    <w:name w:val="Cover Title Sub"/>
    <w:basedOn w:val="HeadingBase"/>
    <w:rsid w:val="00946BF4"/>
    <w:pPr>
      <w:spacing w:after="360"/>
      <w:jc w:val="center"/>
    </w:pPr>
    <w:rPr>
      <w:sz w:val="36"/>
    </w:rPr>
  </w:style>
  <w:style w:type="paragraph" w:customStyle="1" w:styleId="Covertitlelevel3">
    <w:name w:val="Cover title level 3"/>
    <w:basedOn w:val="CoverTitleSub"/>
    <w:rsid w:val="00946BF4"/>
    <w:pPr>
      <w:spacing w:after="120"/>
    </w:pPr>
    <w:rPr>
      <w:sz w:val="28"/>
      <w:szCs w:val="28"/>
    </w:rPr>
  </w:style>
  <w:style w:type="paragraph" w:customStyle="1" w:styleId="CoverTitleMain">
    <w:name w:val="Cover Title Main"/>
    <w:basedOn w:val="HeadingBase"/>
    <w:next w:val="Normal"/>
    <w:rsid w:val="00946BF4"/>
    <w:pPr>
      <w:spacing w:after="480"/>
      <w:jc w:val="center"/>
    </w:pPr>
    <w:rPr>
      <w:b/>
      <w:sz w:val="48"/>
    </w:rPr>
  </w:style>
  <w:style w:type="paragraph" w:customStyle="1" w:styleId="Figuregraphic">
    <w:name w:val="Figure graphic"/>
    <w:basedOn w:val="Normal"/>
    <w:rsid w:val="00946BF4"/>
    <w:pPr>
      <w:spacing w:line="240" w:lineRule="auto"/>
      <w:jc w:val="center"/>
    </w:pPr>
  </w:style>
  <w:style w:type="paragraph" w:customStyle="1" w:styleId="FigureHeading">
    <w:name w:val="Figure Heading"/>
    <w:basedOn w:val="HeadingBase"/>
    <w:next w:val="Figuregraphic"/>
    <w:rsid w:val="00946BF4"/>
    <w:pPr>
      <w:spacing w:after="20"/>
      <w:jc w:val="center"/>
    </w:pPr>
    <w:rPr>
      <w:b/>
      <w:sz w:val="22"/>
      <w:szCs w:val="22"/>
    </w:rPr>
  </w:style>
  <w:style w:type="paragraph" w:customStyle="1" w:styleId="FigureSecondHeading">
    <w:name w:val="Figure Second Heading"/>
    <w:basedOn w:val="HeadingBase"/>
    <w:next w:val="Figuregraphic"/>
    <w:rsid w:val="00946BF4"/>
    <w:pPr>
      <w:spacing w:after="20"/>
      <w:jc w:val="center"/>
    </w:pPr>
  </w:style>
  <w:style w:type="paragraph" w:customStyle="1" w:styleId="FooterCentered">
    <w:name w:val="Footer Centered"/>
    <w:basedOn w:val="FooterOdd"/>
    <w:rsid w:val="00946BF4"/>
    <w:pPr>
      <w:jc w:val="center"/>
    </w:pPr>
  </w:style>
  <w:style w:type="paragraph" w:customStyle="1" w:styleId="FooterEven">
    <w:name w:val="Footer Even"/>
    <w:basedOn w:val="FooterCentered"/>
    <w:rsid w:val="00946BF4"/>
    <w:pPr>
      <w:jc w:val="left"/>
    </w:pPr>
  </w:style>
  <w:style w:type="paragraph" w:customStyle="1" w:styleId="FooterOdd">
    <w:name w:val="Footer Odd"/>
    <w:basedOn w:val="Footer"/>
    <w:rsid w:val="00946BF4"/>
    <w:pPr>
      <w:jc w:val="right"/>
    </w:pPr>
    <w:rPr>
      <w:szCs w:val="18"/>
    </w:rPr>
  </w:style>
  <w:style w:type="character" w:customStyle="1" w:styleId="FramedFooter">
    <w:name w:val="Framed Footer"/>
    <w:rsid w:val="00946BF4"/>
    <w:rPr>
      <w:rFonts w:ascii="Calibri" w:hAnsi="Calibri"/>
      <w:sz w:val="18"/>
    </w:rPr>
  </w:style>
  <w:style w:type="character" w:customStyle="1" w:styleId="FramedHeader">
    <w:name w:val="Framed Header"/>
    <w:basedOn w:val="DefaultParagraphFont"/>
    <w:rsid w:val="00946BF4"/>
    <w:rPr>
      <w:rFonts w:ascii="Times New Roman" w:hAnsi="Times New Roman"/>
      <w:dstrike w:val="0"/>
      <w:color w:val="auto"/>
      <w:sz w:val="18"/>
      <w:vertAlign w:val="baseline"/>
    </w:rPr>
  </w:style>
  <w:style w:type="paragraph" w:customStyle="1" w:styleId="HeaderEven">
    <w:name w:val="Header Even"/>
    <w:basedOn w:val="Header"/>
    <w:rsid w:val="00044069"/>
    <w:pPr>
      <w:tabs>
        <w:tab w:val="left" w:pos="2337"/>
      </w:tabs>
      <w:jc w:val="left"/>
    </w:pPr>
  </w:style>
  <w:style w:type="paragraph" w:customStyle="1" w:styleId="HeaderOdd">
    <w:name w:val="Header Odd"/>
    <w:basedOn w:val="Header"/>
    <w:rsid w:val="00946BF4"/>
  </w:style>
  <w:style w:type="character" w:customStyle="1" w:styleId="italic">
    <w:name w:val="italic"/>
    <w:basedOn w:val="DefaultParagraphFont"/>
    <w:rsid w:val="00946BF4"/>
    <w:rPr>
      <w:i/>
    </w:rPr>
  </w:style>
  <w:style w:type="paragraph" w:styleId="NormalWeb">
    <w:name w:val="Normal (Web)"/>
    <w:basedOn w:val="Normal"/>
    <w:rsid w:val="00946BF4"/>
    <w:pPr>
      <w:spacing w:line="312" w:lineRule="atLeast"/>
    </w:pPr>
    <w:rPr>
      <w:sz w:val="24"/>
      <w:szCs w:val="24"/>
    </w:rPr>
  </w:style>
  <w:style w:type="paragraph" w:customStyle="1" w:styleId="NormalIndentItalics">
    <w:name w:val="Normal Indent Italics"/>
    <w:basedOn w:val="NormalIndent"/>
    <w:rsid w:val="00946BF4"/>
    <w:rPr>
      <w:i/>
    </w:rPr>
  </w:style>
  <w:style w:type="paragraph" w:customStyle="1" w:styleId="OutlineNumbered1">
    <w:name w:val="Outline Numbered 1"/>
    <w:basedOn w:val="Normal"/>
    <w:rsid w:val="00946BF4"/>
    <w:pPr>
      <w:numPr>
        <w:numId w:val="25"/>
      </w:numPr>
    </w:pPr>
  </w:style>
  <w:style w:type="paragraph" w:customStyle="1" w:styleId="OneLevelNumberedParagraph">
    <w:name w:val="One Level Numbered Paragraph"/>
    <w:basedOn w:val="Normal"/>
    <w:rsid w:val="00946BF4"/>
    <w:pPr>
      <w:numPr>
        <w:numId w:val="24"/>
      </w:numPr>
    </w:pPr>
  </w:style>
  <w:style w:type="paragraph" w:customStyle="1" w:styleId="OutlineNumbered2">
    <w:name w:val="Outline Numbered 2"/>
    <w:basedOn w:val="Normal"/>
    <w:rsid w:val="00946BF4"/>
    <w:pPr>
      <w:numPr>
        <w:ilvl w:val="1"/>
        <w:numId w:val="25"/>
      </w:numPr>
    </w:pPr>
  </w:style>
  <w:style w:type="paragraph" w:customStyle="1" w:styleId="OutlineNumbered3">
    <w:name w:val="Outline Numbered 3"/>
    <w:basedOn w:val="Normal"/>
    <w:rsid w:val="00946BF4"/>
    <w:pPr>
      <w:numPr>
        <w:ilvl w:val="2"/>
        <w:numId w:val="25"/>
      </w:numPr>
    </w:pPr>
  </w:style>
  <w:style w:type="character" w:styleId="PageNumber">
    <w:name w:val="page number"/>
    <w:basedOn w:val="DefaultParagraphFont"/>
    <w:rsid w:val="00946BF4"/>
  </w:style>
  <w:style w:type="paragraph" w:customStyle="1" w:styleId="Principle">
    <w:name w:val="Principle"/>
    <w:basedOn w:val="Normal"/>
    <w:rsid w:val="00946BF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946BF4"/>
    <w:rPr>
      <w:i/>
    </w:rPr>
  </w:style>
  <w:style w:type="paragraph" w:customStyle="1" w:styleId="RecommendationBullet">
    <w:name w:val="Recommendation Bullet"/>
    <w:basedOn w:val="RecommendationTextBase"/>
    <w:rsid w:val="00946BF4"/>
    <w:pPr>
      <w:numPr>
        <w:numId w:val="26"/>
      </w:numPr>
    </w:pPr>
  </w:style>
  <w:style w:type="paragraph" w:customStyle="1" w:styleId="RecommendationDash">
    <w:name w:val="Recommendation Dash"/>
    <w:basedOn w:val="RecommendationTextBase"/>
    <w:rsid w:val="00946BF4"/>
    <w:pPr>
      <w:numPr>
        <w:ilvl w:val="1"/>
        <w:numId w:val="26"/>
      </w:numPr>
    </w:pPr>
  </w:style>
  <w:style w:type="paragraph" w:customStyle="1" w:styleId="RecommendationDoubleDot">
    <w:name w:val="Recommendation Double Dot"/>
    <w:basedOn w:val="RecommendationTextBase"/>
    <w:rsid w:val="00946BF4"/>
    <w:pPr>
      <w:numPr>
        <w:ilvl w:val="2"/>
        <w:numId w:val="26"/>
      </w:numPr>
    </w:pPr>
  </w:style>
  <w:style w:type="paragraph" w:customStyle="1" w:styleId="RecommendationHeading">
    <w:name w:val="Recommendation Heading"/>
    <w:basedOn w:val="HeadingBase"/>
    <w:next w:val="Normal"/>
    <w:rsid w:val="00946BF4"/>
    <w:pPr>
      <w:spacing w:before="120" w:after="240"/>
    </w:pPr>
    <w:rPr>
      <w:b/>
      <w:sz w:val="22"/>
    </w:rPr>
  </w:style>
  <w:style w:type="paragraph" w:customStyle="1" w:styleId="RecommendationText">
    <w:name w:val="Recommendation Text"/>
    <w:basedOn w:val="RecommendationTextBase"/>
    <w:rsid w:val="00946BF4"/>
  </w:style>
  <w:style w:type="paragraph" w:customStyle="1" w:styleId="Romannumeral">
    <w:name w:val="Roman numeral"/>
    <w:basedOn w:val="Normal"/>
    <w:rsid w:val="00946BF4"/>
    <w:pPr>
      <w:numPr>
        <w:numId w:val="27"/>
      </w:numPr>
    </w:pPr>
  </w:style>
  <w:style w:type="paragraph" w:customStyle="1" w:styleId="SingleParagraphIndent">
    <w:name w:val="Single Paragraph Indent"/>
    <w:basedOn w:val="SingleParagraph"/>
    <w:rsid w:val="00946BF4"/>
    <w:pPr>
      <w:ind w:left="567"/>
    </w:pPr>
  </w:style>
  <w:style w:type="paragraph" w:customStyle="1" w:styleId="TableSecondHeading">
    <w:name w:val="Table Second Heading"/>
    <w:basedOn w:val="HeadingBase"/>
    <w:next w:val="TableGraphic"/>
    <w:rsid w:val="00946BF4"/>
    <w:pPr>
      <w:spacing w:after="20"/>
    </w:pPr>
  </w:style>
  <w:style w:type="paragraph" w:customStyle="1" w:styleId="TableTextBase">
    <w:name w:val="Table Text Base"/>
    <w:rsid w:val="00946BF4"/>
    <w:pPr>
      <w:spacing w:before="40" w:after="40" w:line="240" w:lineRule="auto"/>
    </w:pPr>
    <w:rPr>
      <w:rFonts w:ascii="Arial" w:eastAsia="Times New Roman" w:hAnsi="Arial" w:cs="Times New Roman"/>
      <w:color w:val="0000FF"/>
      <w:sz w:val="16"/>
      <w:szCs w:val="20"/>
      <w:lang w:eastAsia="en-AU"/>
    </w:rPr>
  </w:style>
  <w:style w:type="paragraph" w:customStyle="1" w:styleId="TableColumnHeadingCentred">
    <w:name w:val="Table Column Heading Centred"/>
    <w:basedOn w:val="TableColumnHeadingBase"/>
    <w:rsid w:val="00946BF4"/>
    <w:pPr>
      <w:jc w:val="center"/>
    </w:pPr>
  </w:style>
  <w:style w:type="paragraph" w:customStyle="1" w:styleId="TableColumnHeadingBase">
    <w:name w:val="Table Column Heading Base"/>
    <w:basedOn w:val="Normal"/>
    <w:rsid w:val="00946BF4"/>
    <w:pPr>
      <w:spacing w:before="40" w:after="40" w:line="240" w:lineRule="auto"/>
    </w:pPr>
    <w:rPr>
      <w:rFonts w:ascii="Arial" w:hAnsi="Arial"/>
      <w:b/>
      <w:sz w:val="16"/>
    </w:rPr>
  </w:style>
  <w:style w:type="paragraph" w:customStyle="1" w:styleId="TableColumnHeadingLeft">
    <w:name w:val="Table Column Heading Left"/>
    <w:basedOn w:val="TableColumnHeadingBase"/>
    <w:rsid w:val="00946BF4"/>
    <w:rPr>
      <w:rFonts w:ascii="Calibri" w:hAnsi="Calibri"/>
      <w:sz w:val="18"/>
    </w:rPr>
  </w:style>
  <w:style w:type="paragraph" w:customStyle="1" w:styleId="TableColumnHeadingRight">
    <w:name w:val="Table Column Heading Right"/>
    <w:basedOn w:val="TableColumnHeadingBase"/>
    <w:rsid w:val="00946BF4"/>
    <w:pPr>
      <w:jc w:val="right"/>
    </w:pPr>
  </w:style>
  <w:style w:type="paragraph" w:customStyle="1" w:styleId="TableMainHeadingContd">
    <w:name w:val="Table Main Heading Contd"/>
    <w:basedOn w:val="HeadingBase"/>
    <w:next w:val="TableGraphic"/>
    <w:rsid w:val="00946BF4"/>
    <w:pPr>
      <w:pageBreakBefore/>
      <w:spacing w:after="20"/>
    </w:pPr>
    <w:rPr>
      <w:b/>
      <w:sz w:val="22"/>
    </w:rPr>
  </w:style>
  <w:style w:type="paragraph" w:customStyle="1" w:styleId="TableTextCentered">
    <w:name w:val="Table Text Centered"/>
    <w:basedOn w:val="TableTextBase"/>
    <w:rsid w:val="00946BF4"/>
    <w:pPr>
      <w:jc w:val="center"/>
    </w:pPr>
  </w:style>
  <w:style w:type="paragraph" w:customStyle="1" w:styleId="TableTextIndented">
    <w:name w:val="Table Text Indented"/>
    <w:basedOn w:val="TableTextBase"/>
    <w:rsid w:val="00946BF4"/>
    <w:pPr>
      <w:ind w:left="284"/>
    </w:pPr>
  </w:style>
  <w:style w:type="paragraph" w:customStyle="1" w:styleId="TableTextLeft">
    <w:name w:val="Table Text Left"/>
    <w:basedOn w:val="TableTextBase"/>
    <w:rsid w:val="00946BF4"/>
  </w:style>
  <w:style w:type="paragraph" w:customStyle="1" w:styleId="TableTextRight">
    <w:name w:val="Table Text Right"/>
    <w:basedOn w:val="TableTextBase"/>
    <w:rsid w:val="00946BF4"/>
    <w:pPr>
      <w:jc w:val="right"/>
    </w:pPr>
  </w:style>
  <w:style w:type="paragraph" w:styleId="TOC1">
    <w:name w:val="toc 1"/>
    <w:basedOn w:val="HeadingBase"/>
    <w:next w:val="Normal"/>
    <w:rsid w:val="00946BF4"/>
    <w:pPr>
      <w:tabs>
        <w:tab w:val="right" w:leader="dot" w:pos="9072"/>
      </w:tabs>
      <w:spacing w:before="180"/>
      <w:ind w:right="851"/>
    </w:pPr>
    <w:rPr>
      <w:b/>
      <w:sz w:val="22"/>
      <w:szCs w:val="22"/>
    </w:rPr>
  </w:style>
  <w:style w:type="paragraph" w:styleId="TOC2">
    <w:name w:val="toc 2"/>
    <w:basedOn w:val="HeadingBase"/>
    <w:next w:val="Normal"/>
    <w:rsid w:val="00946BF4"/>
    <w:pPr>
      <w:tabs>
        <w:tab w:val="right" w:leader="dot" w:pos="9072"/>
      </w:tabs>
      <w:spacing w:before="40" w:after="20"/>
      <w:ind w:right="851"/>
    </w:pPr>
    <w:rPr>
      <w:sz w:val="22"/>
    </w:rPr>
  </w:style>
  <w:style w:type="paragraph" w:styleId="TOC3">
    <w:name w:val="toc 3"/>
    <w:basedOn w:val="Normal"/>
    <w:next w:val="Normal"/>
    <w:rsid w:val="00946BF4"/>
    <w:pPr>
      <w:tabs>
        <w:tab w:val="right" w:leader="dot" w:pos="9072"/>
      </w:tabs>
      <w:spacing w:before="20" w:after="0" w:line="240" w:lineRule="auto"/>
      <w:ind w:left="284" w:right="851"/>
    </w:pPr>
  </w:style>
  <w:style w:type="paragraph" w:styleId="TOC4">
    <w:name w:val="toc 4"/>
    <w:basedOn w:val="Normal"/>
    <w:next w:val="Normal"/>
    <w:rsid w:val="00946BF4"/>
    <w:pPr>
      <w:tabs>
        <w:tab w:val="right" w:leader="dot" w:pos="9072"/>
      </w:tabs>
      <w:spacing w:after="0" w:line="240" w:lineRule="auto"/>
      <w:ind w:left="284" w:right="851"/>
    </w:pPr>
  </w:style>
  <w:style w:type="paragraph" w:styleId="BodyTextIndent2">
    <w:name w:val="Body Text Indent 2"/>
    <w:basedOn w:val="Normal"/>
    <w:link w:val="BodyTextIndent2Char"/>
    <w:rsid w:val="00946BF4"/>
    <w:pPr>
      <w:spacing w:line="480" w:lineRule="auto"/>
      <w:ind w:left="283"/>
    </w:pPr>
  </w:style>
  <w:style w:type="character" w:customStyle="1" w:styleId="BodyTextIndent2Char">
    <w:name w:val="Body Text Indent 2 Char"/>
    <w:basedOn w:val="DefaultParagraphFont"/>
    <w:link w:val="BodyTextIndent2"/>
    <w:rsid w:val="00946BF4"/>
    <w:rPr>
      <w:rFonts w:ascii="Times New Roman" w:eastAsia="Times New Roman" w:hAnsi="Times New Roman" w:cs="Times New Roman"/>
      <w:bCs/>
      <w:szCs w:val="20"/>
      <w:lang w:eastAsia="en-AU"/>
    </w:rPr>
  </w:style>
  <w:style w:type="paragraph" w:styleId="Caption">
    <w:name w:val="caption"/>
    <w:basedOn w:val="Normal"/>
    <w:next w:val="Normal"/>
    <w:qFormat/>
    <w:rsid w:val="00946BF4"/>
    <w:rPr>
      <w:b/>
      <w:bCs w:val="0"/>
    </w:rPr>
  </w:style>
  <w:style w:type="paragraph" w:styleId="DocumentMap">
    <w:name w:val="Document Map"/>
    <w:basedOn w:val="Normal"/>
    <w:link w:val="DocumentMapChar"/>
    <w:semiHidden/>
    <w:rsid w:val="00946BF4"/>
    <w:pPr>
      <w:shd w:val="clear" w:color="auto" w:fill="00CCFF"/>
    </w:pPr>
    <w:rPr>
      <w:rFonts w:ascii="Tahoma" w:hAnsi="Tahoma" w:cs="Tahoma"/>
    </w:rPr>
  </w:style>
  <w:style w:type="character" w:customStyle="1" w:styleId="DocumentMapChar">
    <w:name w:val="Document Map Char"/>
    <w:basedOn w:val="DefaultParagraphFont"/>
    <w:link w:val="DocumentMap"/>
    <w:semiHidden/>
    <w:rsid w:val="00946BF4"/>
    <w:rPr>
      <w:rFonts w:ascii="Tahoma" w:eastAsia="Times New Roman" w:hAnsi="Tahoma" w:cs="Tahoma"/>
      <w:bCs/>
      <w:szCs w:val="20"/>
      <w:shd w:val="clear" w:color="auto" w:fill="00CCFF"/>
      <w:lang w:eastAsia="en-AU"/>
    </w:rPr>
  </w:style>
  <w:style w:type="character" w:styleId="EndnoteReference">
    <w:name w:val="endnote reference"/>
    <w:basedOn w:val="DefaultParagraphFont"/>
    <w:semiHidden/>
    <w:rsid w:val="00946BF4"/>
    <w:rPr>
      <w:vertAlign w:val="superscript"/>
    </w:rPr>
  </w:style>
  <w:style w:type="paragraph" w:styleId="EndnoteText">
    <w:name w:val="endnote text"/>
    <w:basedOn w:val="Normal"/>
    <w:link w:val="EndnoteTextChar"/>
    <w:semiHidden/>
    <w:rsid w:val="00946BF4"/>
  </w:style>
  <w:style w:type="character" w:customStyle="1" w:styleId="EndnoteTextChar">
    <w:name w:val="Endnote Text Char"/>
    <w:basedOn w:val="DefaultParagraphFont"/>
    <w:link w:val="EndnoteText"/>
    <w:semiHidden/>
    <w:rsid w:val="00946BF4"/>
    <w:rPr>
      <w:rFonts w:ascii="Times New Roman" w:eastAsia="Times New Roman" w:hAnsi="Times New Roman" w:cs="Times New Roman"/>
      <w:bCs/>
      <w:szCs w:val="20"/>
      <w:lang w:eastAsia="en-AU"/>
    </w:rPr>
  </w:style>
  <w:style w:type="character" w:styleId="FollowedHyperlink">
    <w:name w:val="FollowedHyperlink"/>
    <w:basedOn w:val="DefaultParagraphFont"/>
    <w:rsid w:val="00946BF4"/>
    <w:rPr>
      <w:color w:val="auto"/>
      <w:u w:val="none"/>
    </w:rPr>
  </w:style>
  <w:style w:type="paragraph" w:styleId="Index1">
    <w:name w:val="index 1"/>
    <w:basedOn w:val="Normal"/>
    <w:next w:val="Normal"/>
    <w:autoRedefine/>
    <w:semiHidden/>
    <w:rsid w:val="00946BF4"/>
    <w:pPr>
      <w:ind w:left="200" w:hanging="200"/>
    </w:pPr>
  </w:style>
  <w:style w:type="paragraph" w:styleId="Index2">
    <w:name w:val="index 2"/>
    <w:basedOn w:val="Normal"/>
    <w:next w:val="Normal"/>
    <w:autoRedefine/>
    <w:semiHidden/>
    <w:rsid w:val="00946BF4"/>
    <w:pPr>
      <w:ind w:left="400" w:hanging="200"/>
    </w:pPr>
  </w:style>
  <w:style w:type="paragraph" w:styleId="Index3">
    <w:name w:val="index 3"/>
    <w:basedOn w:val="Normal"/>
    <w:next w:val="Normal"/>
    <w:autoRedefine/>
    <w:semiHidden/>
    <w:rsid w:val="00946BF4"/>
    <w:pPr>
      <w:ind w:left="600" w:hanging="200"/>
    </w:pPr>
  </w:style>
  <w:style w:type="paragraph" w:styleId="Index4">
    <w:name w:val="index 4"/>
    <w:basedOn w:val="Normal"/>
    <w:next w:val="Normal"/>
    <w:autoRedefine/>
    <w:semiHidden/>
    <w:rsid w:val="00946BF4"/>
    <w:pPr>
      <w:ind w:left="800" w:hanging="200"/>
    </w:pPr>
  </w:style>
  <w:style w:type="paragraph" w:styleId="Index5">
    <w:name w:val="index 5"/>
    <w:basedOn w:val="Normal"/>
    <w:next w:val="Normal"/>
    <w:autoRedefine/>
    <w:semiHidden/>
    <w:rsid w:val="00946BF4"/>
    <w:pPr>
      <w:ind w:left="1000" w:hanging="200"/>
    </w:pPr>
  </w:style>
  <w:style w:type="paragraph" w:styleId="Index6">
    <w:name w:val="index 6"/>
    <w:basedOn w:val="Normal"/>
    <w:next w:val="Normal"/>
    <w:autoRedefine/>
    <w:semiHidden/>
    <w:rsid w:val="00946BF4"/>
    <w:pPr>
      <w:ind w:left="1200" w:hanging="200"/>
    </w:pPr>
  </w:style>
  <w:style w:type="paragraph" w:styleId="Index7">
    <w:name w:val="index 7"/>
    <w:basedOn w:val="Normal"/>
    <w:next w:val="Normal"/>
    <w:autoRedefine/>
    <w:semiHidden/>
    <w:rsid w:val="00946BF4"/>
    <w:pPr>
      <w:ind w:left="1400" w:hanging="200"/>
    </w:pPr>
  </w:style>
  <w:style w:type="paragraph" w:styleId="Index8">
    <w:name w:val="index 8"/>
    <w:basedOn w:val="Normal"/>
    <w:next w:val="Normal"/>
    <w:autoRedefine/>
    <w:semiHidden/>
    <w:rsid w:val="00946BF4"/>
    <w:pPr>
      <w:ind w:left="1600" w:hanging="200"/>
    </w:pPr>
  </w:style>
  <w:style w:type="paragraph" w:styleId="Index9">
    <w:name w:val="index 9"/>
    <w:basedOn w:val="Normal"/>
    <w:next w:val="Normal"/>
    <w:autoRedefine/>
    <w:semiHidden/>
    <w:rsid w:val="00946BF4"/>
    <w:pPr>
      <w:ind w:left="1800" w:hanging="200"/>
    </w:pPr>
  </w:style>
  <w:style w:type="paragraph" w:styleId="IndexHeading">
    <w:name w:val="index heading"/>
    <w:basedOn w:val="Normal"/>
    <w:next w:val="Index1"/>
    <w:semiHidden/>
    <w:rsid w:val="00946BF4"/>
    <w:rPr>
      <w:rFonts w:ascii="Arial" w:hAnsi="Arial" w:cs="Arial"/>
      <w:b/>
      <w:bCs w:val="0"/>
    </w:rPr>
  </w:style>
  <w:style w:type="paragraph" w:styleId="MacroText">
    <w:name w:val="macro"/>
    <w:link w:val="MacroTextChar"/>
    <w:semiHidden/>
    <w:rsid w:val="00946BF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946BF4"/>
    <w:rPr>
      <w:rFonts w:ascii="Courier New" w:eastAsia="Times New Roman" w:hAnsi="Courier New" w:cs="Courier New"/>
      <w:color w:val="000000"/>
      <w:sz w:val="20"/>
      <w:szCs w:val="20"/>
      <w:lang w:eastAsia="en-AU"/>
    </w:rPr>
  </w:style>
  <w:style w:type="numbering" w:customStyle="1" w:styleId="OutlineList">
    <w:name w:val="OutlineList"/>
    <w:uiPriority w:val="99"/>
    <w:rsid w:val="00946BF4"/>
    <w:pPr>
      <w:numPr>
        <w:numId w:val="21"/>
      </w:numPr>
    </w:pPr>
  </w:style>
  <w:style w:type="paragraph" w:customStyle="1" w:styleId="PictureCentred">
    <w:name w:val="Picture Centred"/>
    <w:basedOn w:val="Normal"/>
    <w:rsid w:val="00946BF4"/>
    <w:pPr>
      <w:spacing w:line="240" w:lineRule="atLeast"/>
      <w:jc w:val="center"/>
    </w:pPr>
  </w:style>
  <w:style w:type="paragraph" w:customStyle="1" w:styleId="PictureLeft">
    <w:name w:val="Picture Left"/>
    <w:basedOn w:val="PictureCentred"/>
    <w:rsid w:val="00946BF4"/>
    <w:pPr>
      <w:jc w:val="left"/>
    </w:pPr>
  </w:style>
  <w:style w:type="paragraph" w:customStyle="1" w:styleId="PictureIndent">
    <w:name w:val="Picture Indent"/>
    <w:basedOn w:val="PictureLeft"/>
    <w:rsid w:val="00946BF4"/>
    <w:pPr>
      <w:ind w:left="284"/>
    </w:pPr>
  </w:style>
  <w:style w:type="paragraph" w:styleId="TableofAuthorities">
    <w:name w:val="table of authorities"/>
    <w:basedOn w:val="Normal"/>
    <w:next w:val="Normal"/>
    <w:rsid w:val="00946BF4"/>
    <w:pPr>
      <w:ind w:left="200" w:hanging="200"/>
    </w:pPr>
  </w:style>
  <w:style w:type="paragraph" w:styleId="TableofFigures">
    <w:name w:val="table of figures"/>
    <w:basedOn w:val="Normal"/>
    <w:next w:val="Normal"/>
    <w:rsid w:val="00946BF4"/>
  </w:style>
  <w:style w:type="paragraph" w:styleId="TOAHeading">
    <w:name w:val="toa heading"/>
    <w:basedOn w:val="Normal"/>
    <w:next w:val="Normal"/>
    <w:semiHidden/>
    <w:rsid w:val="00946BF4"/>
    <w:rPr>
      <w:rFonts w:ascii="Arial" w:hAnsi="Arial" w:cs="Arial"/>
      <w:b/>
      <w:bCs w:val="0"/>
      <w:sz w:val="24"/>
      <w:szCs w:val="24"/>
    </w:rPr>
  </w:style>
  <w:style w:type="paragraph" w:styleId="TOC5">
    <w:name w:val="toc 5"/>
    <w:basedOn w:val="Normal"/>
    <w:next w:val="Normal"/>
    <w:autoRedefine/>
    <w:semiHidden/>
    <w:rsid w:val="00946BF4"/>
    <w:pPr>
      <w:ind w:left="800"/>
    </w:pPr>
  </w:style>
  <w:style w:type="paragraph" w:styleId="TOC6">
    <w:name w:val="toc 6"/>
    <w:basedOn w:val="Normal"/>
    <w:next w:val="Normal"/>
    <w:autoRedefine/>
    <w:semiHidden/>
    <w:rsid w:val="00946BF4"/>
    <w:pPr>
      <w:ind w:left="1000"/>
    </w:pPr>
  </w:style>
  <w:style w:type="paragraph" w:styleId="TOC7">
    <w:name w:val="toc 7"/>
    <w:basedOn w:val="Normal"/>
    <w:next w:val="Normal"/>
    <w:autoRedefine/>
    <w:semiHidden/>
    <w:rsid w:val="00946BF4"/>
    <w:pPr>
      <w:ind w:left="1200"/>
    </w:pPr>
  </w:style>
  <w:style w:type="paragraph" w:styleId="TOC8">
    <w:name w:val="toc 8"/>
    <w:basedOn w:val="Normal"/>
    <w:next w:val="Normal"/>
    <w:autoRedefine/>
    <w:semiHidden/>
    <w:rsid w:val="00946BF4"/>
    <w:pPr>
      <w:ind w:left="1400"/>
    </w:pPr>
  </w:style>
  <w:style w:type="paragraph" w:styleId="TOC9">
    <w:name w:val="toc 9"/>
    <w:basedOn w:val="Normal"/>
    <w:next w:val="Normal"/>
    <w:autoRedefine/>
    <w:semiHidden/>
    <w:rsid w:val="00946BF4"/>
    <w:pPr>
      <w:ind w:left="1600"/>
    </w:pPr>
  </w:style>
  <w:style w:type="numbering" w:customStyle="1" w:styleId="BulletedList">
    <w:name w:val="Bulleted List"/>
    <w:uiPriority w:val="99"/>
    <w:rsid w:val="00946BF4"/>
    <w:pPr>
      <w:numPr>
        <w:numId w:val="15"/>
      </w:numPr>
    </w:pPr>
  </w:style>
  <w:style w:type="numbering" w:customStyle="1" w:styleId="BoxBulletedList">
    <w:name w:val="Box Bulleted List"/>
    <w:uiPriority w:val="99"/>
    <w:rsid w:val="00946BF4"/>
    <w:pPr>
      <w:numPr>
        <w:numId w:val="16"/>
      </w:numPr>
    </w:pPr>
  </w:style>
  <w:style w:type="numbering" w:customStyle="1" w:styleId="AlphaParagraphList">
    <w:name w:val="Alpha Paragraph List"/>
    <w:uiPriority w:val="99"/>
    <w:rsid w:val="00946BF4"/>
    <w:pPr>
      <w:numPr>
        <w:numId w:val="18"/>
      </w:numPr>
    </w:pPr>
  </w:style>
  <w:style w:type="numbering" w:customStyle="1" w:styleId="OneLevelList">
    <w:name w:val="OneLevelList"/>
    <w:uiPriority w:val="99"/>
    <w:rsid w:val="00946BF4"/>
    <w:pPr>
      <w:numPr>
        <w:numId w:val="20"/>
      </w:numPr>
    </w:pPr>
  </w:style>
  <w:style w:type="numbering" w:customStyle="1" w:styleId="RecommendationBulletList">
    <w:name w:val="RecommendationBulletList"/>
    <w:uiPriority w:val="99"/>
    <w:rsid w:val="00946BF4"/>
    <w:pPr>
      <w:numPr>
        <w:numId w:val="22"/>
      </w:numPr>
    </w:pPr>
  </w:style>
  <w:style w:type="numbering" w:customStyle="1" w:styleId="RomanNumeralList">
    <w:name w:val="RomanNumeralList"/>
    <w:uiPriority w:val="99"/>
    <w:rsid w:val="00946BF4"/>
    <w:pPr>
      <w:numPr>
        <w:numId w:val="23"/>
      </w:numPr>
    </w:pPr>
  </w:style>
  <w:style w:type="numbering" w:customStyle="1" w:styleId="ChartandTableFootnoteAlphaList">
    <w:name w:val="ChartandTableFootnoteAlphaList"/>
    <w:uiPriority w:val="99"/>
    <w:rsid w:val="00946BF4"/>
    <w:pPr>
      <w:numPr>
        <w:numId w:val="28"/>
      </w:numPr>
    </w:pPr>
  </w:style>
  <w:style w:type="paragraph" w:customStyle="1" w:styleId="TableTextBullet">
    <w:name w:val="Table Text Bullet"/>
    <w:basedOn w:val="TableTextBase"/>
    <w:rsid w:val="00946BF4"/>
    <w:pPr>
      <w:numPr>
        <w:numId w:val="30"/>
      </w:numPr>
    </w:pPr>
  </w:style>
  <w:style w:type="numbering" w:customStyle="1" w:styleId="TableTestBulletList">
    <w:name w:val="Table Test Bullet List"/>
    <w:uiPriority w:val="99"/>
    <w:rsid w:val="00946BF4"/>
    <w:pPr>
      <w:numPr>
        <w:numId w:val="29"/>
      </w:numPr>
    </w:pPr>
  </w:style>
  <w:style w:type="numbering" w:customStyle="1" w:styleId="TableTextBulletList">
    <w:name w:val="Table Text Bullet List"/>
    <w:uiPriority w:val="99"/>
    <w:rsid w:val="00946BF4"/>
    <w:pPr>
      <w:numPr>
        <w:numId w:val="30"/>
      </w:numPr>
    </w:pPr>
  </w:style>
  <w:style w:type="paragraph" w:customStyle="1" w:styleId="StyleTableTextBulletLinespacingExactly13pt">
    <w:name w:val="Style Table Text Bullet + Line spacing:  Exactly 13 pt"/>
    <w:basedOn w:val="TableTextBullet"/>
    <w:rsid w:val="00946BF4"/>
    <w:pPr>
      <w:numPr>
        <w:numId w:val="0"/>
      </w:numPr>
      <w:spacing w:after="80" w:line="260" w:lineRule="exact"/>
    </w:pPr>
  </w:style>
  <w:style w:type="paragraph" w:styleId="ListParagraph">
    <w:name w:val="List Paragraph"/>
    <w:basedOn w:val="Normal"/>
    <w:uiPriority w:val="34"/>
    <w:qFormat/>
    <w:rsid w:val="00946BF4"/>
    <w:pPr>
      <w:spacing w:after="0" w:line="240" w:lineRule="auto"/>
      <w:ind w:left="720"/>
    </w:pPr>
    <w:rPr>
      <w:rFonts w:ascii="Calibri" w:eastAsiaTheme="minorHAnsi" w:hAnsi="Calibri" w:cs="Calibri"/>
      <w:szCs w:val="22"/>
      <w:lang w:eastAsia="en-US"/>
    </w:rPr>
  </w:style>
  <w:style w:type="paragraph" w:customStyle="1" w:styleId="Reference">
    <w:name w:val="Reference"/>
    <w:basedOn w:val="Normal"/>
    <w:qFormat/>
    <w:rsid w:val="00946BF4"/>
    <w:rPr>
      <w:sz w:val="20"/>
    </w:rPr>
  </w:style>
  <w:style w:type="paragraph" w:customStyle="1" w:styleId="rightFooter">
    <w:name w:val="right Footer"/>
    <w:basedOn w:val="Footer"/>
    <w:rsid w:val="00946BF4"/>
  </w:style>
  <w:style w:type="paragraph" w:customStyle="1" w:styleId="Footerright">
    <w:name w:val="Footer right"/>
    <w:basedOn w:val="FooterCentered"/>
    <w:rsid w:val="00946BF4"/>
    <w:pPr>
      <w:jc w:val="right"/>
    </w:pPr>
  </w:style>
  <w:style w:type="paragraph" w:customStyle="1" w:styleId="Chaptertitle">
    <w:name w:val="Chapter title"/>
    <w:basedOn w:val="Heading1"/>
    <w:rsid w:val="00946BF4"/>
    <w:pPr>
      <w:spacing w:before="5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337">
      <w:bodyDiv w:val="1"/>
      <w:marLeft w:val="0"/>
      <w:marRight w:val="0"/>
      <w:marTop w:val="0"/>
      <w:marBottom w:val="0"/>
      <w:divBdr>
        <w:top w:val="none" w:sz="0" w:space="0" w:color="auto"/>
        <w:left w:val="none" w:sz="0" w:space="0" w:color="auto"/>
        <w:bottom w:val="none" w:sz="0" w:space="0" w:color="auto"/>
        <w:right w:val="none" w:sz="0" w:space="0" w:color="auto"/>
      </w:divBdr>
    </w:div>
    <w:div w:id="167670780">
      <w:bodyDiv w:val="1"/>
      <w:marLeft w:val="0"/>
      <w:marRight w:val="0"/>
      <w:marTop w:val="0"/>
      <w:marBottom w:val="0"/>
      <w:divBdr>
        <w:top w:val="none" w:sz="0" w:space="0" w:color="auto"/>
        <w:left w:val="none" w:sz="0" w:space="0" w:color="auto"/>
        <w:bottom w:val="none" w:sz="0" w:space="0" w:color="auto"/>
        <w:right w:val="none" w:sz="0" w:space="0" w:color="auto"/>
      </w:divBdr>
    </w:div>
    <w:div w:id="365830833">
      <w:bodyDiv w:val="1"/>
      <w:marLeft w:val="0"/>
      <w:marRight w:val="0"/>
      <w:marTop w:val="0"/>
      <w:marBottom w:val="0"/>
      <w:divBdr>
        <w:top w:val="none" w:sz="0" w:space="0" w:color="auto"/>
        <w:left w:val="none" w:sz="0" w:space="0" w:color="auto"/>
        <w:bottom w:val="none" w:sz="0" w:space="0" w:color="auto"/>
        <w:right w:val="none" w:sz="0" w:space="0" w:color="auto"/>
      </w:divBdr>
    </w:div>
    <w:div w:id="474640224">
      <w:bodyDiv w:val="1"/>
      <w:marLeft w:val="0"/>
      <w:marRight w:val="0"/>
      <w:marTop w:val="0"/>
      <w:marBottom w:val="0"/>
      <w:divBdr>
        <w:top w:val="none" w:sz="0" w:space="0" w:color="auto"/>
        <w:left w:val="none" w:sz="0" w:space="0" w:color="auto"/>
        <w:bottom w:val="none" w:sz="0" w:space="0" w:color="auto"/>
        <w:right w:val="none" w:sz="0" w:space="0" w:color="auto"/>
      </w:divBdr>
    </w:div>
    <w:div w:id="665322275">
      <w:bodyDiv w:val="1"/>
      <w:marLeft w:val="0"/>
      <w:marRight w:val="0"/>
      <w:marTop w:val="0"/>
      <w:marBottom w:val="0"/>
      <w:divBdr>
        <w:top w:val="none" w:sz="0" w:space="0" w:color="auto"/>
        <w:left w:val="none" w:sz="0" w:space="0" w:color="auto"/>
        <w:bottom w:val="none" w:sz="0" w:space="0" w:color="auto"/>
        <w:right w:val="none" w:sz="0" w:space="0" w:color="auto"/>
      </w:divBdr>
    </w:div>
    <w:div w:id="979268531">
      <w:bodyDiv w:val="1"/>
      <w:marLeft w:val="0"/>
      <w:marRight w:val="0"/>
      <w:marTop w:val="0"/>
      <w:marBottom w:val="0"/>
      <w:divBdr>
        <w:top w:val="none" w:sz="0" w:space="0" w:color="auto"/>
        <w:left w:val="none" w:sz="0" w:space="0" w:color="auto"/>
        <w:bottom w:val="none" w:sz="0" w:space="0" w:color="auto"/>
        <w:right w:val="none" w:sz="0" w:space="0" w:color="auto"/>
      </w:divBdr>
    </w:div>
    <w:div w:id="1200389680">
      <w:bodyDiv w:val="1"/>
      <w:marLeft w:val="0"/>
      <w:marRight w:val="0"/>
      <w:marTop w:val="0"/>
      <w:marBottom w:val="0"/>
      <w:divBdr>
        <w:top w:val="none" w:sz="0" w:space="0" w:color="auto"/>
        <w:left w:val="none" w:sz="0" w:space="0" w:color="auto"/>
        <w:bottom w:val="none" w:sz="0" w:space="0" w:color="auto"/>
        <w:right w:val="none" w:sz="0" w:space="0" w:color="auto"/>
      </w:divBdr>
    </w:div>
    <w:div w:id="1208757767">
      <w:bodyDiv w:val="1"/>
      <w:marLeft w:val="0"/>
      <w:marRight w:val="0"/>
      <w:marTop w:val="0"/>
      <w:marBottom w:val="0"/>
      <w:divBdr>
        <w:top w:val="none" w:sz="0" w:space="0" w:color="auto"/>
        <w:left w:val="none" w:sz="0" w:space="0" w:color="auto"/>
        <w:bottom w:val="none" w:sz="0" w:space="0" w:color="auto"/>
        <w:right w:val="none" w:sz="0" w:space="0" w:color="auto"/>
      </w:divBdr>
    </w:div>
    <w:div w:id="1221939502">
      <w:bodyDiv w:val="1"/>
      <w:marLeft w:val="0"/>
      <w:marRight w:val="0"/>
      <w:marTop w:val="0"/>
      <w:marBottom w:val="0"/>
      <w:divBdr>
        <w:top w:val="none" w:sz="0" w:space="0" w:color="auto"/>
        <w:left w:val="none" w:sz="0" w:space="0" w:color="auto"/>
        <w:bottom w:val="none" w:sz="0" w:space="0" w:color="auto"/>
        <w:right w:val="none" w:sz="0" w:space="0" w:color="auto"/>
      </w:divBdr>
    </w:div>
    <w:div w:id="1457408232">
      <w:bodyDiv w:val="1"/>
      <w:marLeft w:val="0"/>
      <w:marRight w:val="0"/>
      <w:marTop w:val="0"/>
      <w:marBottom w:val="0"/>
      <w:divBdr>
        <w:top w:val="none" w:sz="0" w:space="0" w:color="auto"/>
        <w:left w:val="none" w:sz="0" w:space="0" w:color="auto"/>
        <w:bottom w:val="none" w:sz="0" w:space="0" w:color="auto"/>
        <w:right w:val="none" w:sz="0" w:space="0" w:color="auto"/>
      </w:divBdr>
    </w:div>
    <w:div w:id="1549682757">
      <w:bodyDiv w:val="1"/>
      <w:marLeft w:val="0"/>
      <w:marRight w:val="0"/>
      <w:marTop w:val="0"/>
      <w:marBottom w:val="0"/>
      <w:divBdr>
        <w:top w:val="none" w:sz="0" w:space="0" w:color="auto"/>
        <w:left w:val="none" w:sz="0" w:space="0" w:color="auto"/>
        <w:bottom w:val="none" w:sz="0" w:space="0" w:color="auto"/>
        <w:right w:val="none" w:sz="0" w:space="0" w:color="auto"/>
      </w:divBdr>
    </w:div>
    <w:div w:id="1853227559">
      <w:bodyDiv w:val="1"/>
      <w:marLeft w:val="0"/>
      <w:marRight w:val="0"/>
      <w:marTop w:val="0"/>
      <w:marBottom w:val="0"/>
      <w:divBdr>
        <w:top w:val="none" w:sz="0" w:space="0" w:color="auto"/>
        <w:left w:val="none" w:sz="0" w:space="0" w:color="auto"/>
        <w:bottom w:val="none" w:sz="0" w:space="0" w:color="auto"/>
        <w:right w:val="none" w:sz="0" w:space="0" w:color="auto"/>
      </w:divBdr>
    </w:div>
    <w:div w:id="1944846347">
      <w:bodyDiv w:val="1"/>
      <w:marLeft w:val="0"/>
      <w:marRight w:val="0"/>
      <w:marTop w:val="0"/>
      <w:marBottom w:val="0"/>
      <w:divBdr>
        <w:top w:val="none" w:sz="0" w:space="0" w:color="auto"/>
        <w:left w:val="none" w:sz="0" w:space="0" w:color="auto"/>
        <w:bottom w:val="none" w:sz="0" w:space="0" w:color="auto"/>
        <w:right w:val="none" w:sz="0" w:space="0" w:color="auto"/>
      </w:divBdr>
    </w:div>
    <w:div w:id="2034376950">
      <w:bodyDiv w:val="1"/>
      <w:marLeft w:val="0"/>
      <w:marRight w:val="0"/>
      <w:marTop w:val="0"/>
      <w:marBottom w:val="0"/>
      <w:divBdr>
        <w:top w:val="none" w:sz="0" w:space="0" w:color="auto"/>
        <w:left w:val="none" w:sz="0" w:space="0" w:color="auto"/>
        <w:bottom w:val="none" w:sz="0" w:space="0" w:color="auto"/>
        <w:right w:val="none" w:sz="0" w:space="0" w:color="auto"/>
      </w:divBdr>
    </w:div>
    <w:div w:id="21387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romulus\priv_info$\Forecasting%20Review\Report%20Charts%20&amp;%20Tables\Nominal%20Economy%20Attachment\DAT%20-%20Forecasting%20Performance%20-%20GDP(E)%20Components%20performance%20tables%20V01.xls!Sheet1!R22C1:R38C8" TargetMode="External"/><Relationship Id="rId26" Type="http://schemas.openxmlformats.org/officeDocument/2006/relationships/oleObject" Target="file:///\\romulus\priv_info$\Forecasting%20Review\Report%20Charts%20&amp;%20Tables\Nominal%20Economy%20Attachment\050329%20analysis%20-%20PGTM%20-%20updated.xls!CHART!%5b050329%20analysis%20-%20PGTM%20-%20updated.xls%5dCHART%20Chart%203" TargetMode="External"/><Relationship Id="rId39" Type="http://schemas.openxmlformats.org/officeDocument/2006/relationships/image" Target="media/image18.emf"/><Relationship Id="rId21" Type="http://schemas.openxmlformats.org/officeDocument/2006/relationships/image" Target="media/image7.emf"/><Relationship Id="rId34" Type="http://schemas.openxmlformats.org/officeDocument/2006/relationships/image" Target="media/image15.emf"/><Relationship Id="rId42" Type="http://schemas.openxmlformats.org/officeDocument/2006/relationships/oleObject" Target="file:///\\romulus\priv_info$\Forecasting%20Review\Report%20Charts%20&amp;%20Tables\Revenue%20forecasting%20analysis\120803%20Historical%20forecasts.xlsx!ANALYSIS%20(includes%20GST)!R319C83:R337C97" TargetMode="External"/><Relationship Id="rId47" Type="http://schemas.openxmlformats.org/officeDocument/2006/relationships/image" Target="media/image22.wmf"/><Relationship Id="rId50" Type="http://schemas.openxmlformats.org/officeDocument/2006/relationships/oleObject" Target="file:///\\romulus\priv_info$\Forecasting%20Review\Report%20Charts%20&amp;%20Tables\Revenue%20forecasting%20analysis\120702%20params%20and%20HoR.xlsx!More%20Charts!%5b120702%20params%20and%20HoR.xlsx%5dMore%20Charts%20Chart%202" TargetMode="External"/><Relationship Id="rId55" Type="http://schemas.openxmlformats.org/officeDocument/2006/relationships/oleObject" Target="file:///\\romulus\priv_info$\Forecasting%20Review\Report%20Charts%20&amp;%20Tables\Revenue%20forecasting%20analysis\120919%20Trend%20performance%20-%20underlying.xlsx!SUMMARY%20TABLES!R41C20:R58C23" TargetMode="External"/><Relationship Id="rId63" Type="http://schemas.openxmlformats.org/officeDocument/2006/relationships/image" Target="media/image28.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file:///\\romulus\priv_info$\Forecasting%20Review\Report%20Charts%20&amp;%20Tables\Nominal%20Economy%20Attachment\050329%20analysis%20-%20GTM%20(a)%20-%20updated.xls!CHART!%5b050329%20analysis%20-%20GTM%20(a)%20-%20updated.xls%5dCHART%20Chart%203" TargetMode="External"/><Relationship Id="rId20" Type="http://schemas.openxmlformats.org/officeDocument/2006/relationships/oleObject" Target="file:///\\romulus\priv_info$\Forecasting%20Review\Report%20Charts%20&amp;%20Tables\Nominal%20Economy%20Attachment\Case%20study%20-%20ToT\120814%20analysis%20-%20XNF.xls!CHART!%5b120814%20analysis%20-%20XNF.xls%5dCHART%20Chart%203" TargetMode="External"/><Relationship Id="rId29" Type="http://schemas.openxmlformats.org/officeDocument/2006/relationships/image" Target="media/image12.wmf"/><Relationship Id="rId41" Type="http://schemas.openxmlformats.org/officeDocument/2006/relationships/image" Target="media/image19.emf"/><Relationship Id="rId54" Type="http://schemas.openxmlformats.org/officeDocument/2006/relationships/image" Target="media/image26.emf"/><Relationship Id="rId62" Type="http://schemas.openxmlformats.org/officeDocument/2006/relationships/oleObject" Target="file:///\\romulus\priv_info$\Forecasting%20Review\Report%20Charts%20&amp;%20Tables\Nominal%20Economy%20Attachment\120817%20-%20DAT%20-%20Forecast%20comparison%20with%20RBA%20and%20Access.xlsx!Nominal%20GDP!%5b120817%20-%20DAT%20-%20Forecast%20comparison%20with%20RBA%20and%20Access.xlsx%5dNominal%20GDP%20Chart%2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file:///\\romulus\priv_info$\Forecasting%20Review\Report%20Charts%20&amp;%20Tables\Nominal%20Economy%20Attachment\050329%20analysis%20-%20PGTM%20-%20updated.xls!TABLE!R23C1:R40C15" TargetMode="External"/><Relationship Id="rId32" Type="http://schemas.openxmlformats.org/officeDocument/2006/relationships/oleObject" Target="file:///\\romulus\priv_info$\Forecasting%20Review\Report%20Charts%20&amp;%20Tables\Nominal%20Economy%20Attachment\120614%20-%20DAT%20-%20Consensus%20forecasts%20vs%20TSY%20calendar%20year.xlsx!analysis!R19C2:R30C11" TargetMode="External"/><Relationship Id="rId37" Type="http://schemas.openxmlformats.org/officeDocument/2006/relationships/image" Target="media/image17.emf"/><Relationship Id="rId40" Type="http://schemas.openxmlformats.org/officeDocument/2006/relationships/oleObject" Target="file:///\\romulus\priv_info$\Forecasting%20Review\Report%20Charts%20&amp;%20Tables\Revenue%20forecasting%20analysis\120829%20Forecasts%20error%20and%20forecast%20evolution.xlsx!CHART!%5b120829%20Forecasts%20error%20and%20forecast%20evolution.xlsx%5dCHART%20Chart%203" TargetMode="External"/><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footer" Target="footer1.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file:///\\romulus\priv_info$\Forecasting%20Review\Report%20Charts%20&amp;%20Tables\Nominal%20Economy%20Attachment\041108%20analysis%20-%20Access%20Economics%20forecasts%20vs%20current%20updated.xls!Table_updated!R10C13:R45C22" TargetMode="External"/><Relationship Id="rId36" Type="http://schemas.openxmlformats.org/officeDocument/2006/relationships/oleObject" Target="file:///\\romulus\ECD_PRO$\BRIEFING\NAFF\Ad-hoc\2012\10%20October\DAT%20-%20International%20deflator%20and%20tot%20comparison%20-%20121029.xlsx!Charts!%5bDAT%20-%20International%20deflator%20and%20tot%20comparison%20-%20121029.xlsx%5dCharts%20Chart%201" TargetMode="External"/><Relationship Id="rId49" Type="http://schemas.openxmlformats.org/officeDocument/2006/relationships/image" Target="media/image23.emf"/><Relationship Id="rId57" Type="http://schemas.openxmlformats.org/officeDocument/2006/relationships/header" Target="header2.xml"/><Relationship Id="rId61" Type="http://schemas.openxmlformats.org/officeDocument/2006/relationships/image" Target="media/image27.emf"/><Relationship Id="rId10" Type="http://schemas.openxmlformats.org/officeDocument/2006/relationships/oleObject" Target="file:///\\romulus\priv_info$\Forecasting%20Review\Report%20Charts%20&amp;%20Tables\Nominal%20Economy%20Attachment\050329%20analysis%20-%20GTM$%20-%20updated.xls!TABLE!R23C2:R40C16" TargetMode="External"/><Relationship Id="rId19" Type="http://schemas.openxmlformats.org/officeDocument/2006/relationships/image" Target="media/image6.emf"/><Relationship Id="rId31" Type="http://schemas.openxmlformats.org/officeDocument/2006/relationships/image" Target="media/image13.emf"/><Relationship Id="rId44" Type="http://schemas.openxmlformats.org/officeDocument/2006/relationships/oleObject" Target="file:///\\romulus\priv_info$\Forecasting%20Review\Report%20Charts%20&amp;%20Tables\Revenue%20forecasting%20analysis\120702%20params%20and%20HoR.xlsx!Charts!%5b120702%20params%20and%20HoR.xlsx%5dCharts%20Chart%2014" TargetMode="External"/><Relationship Id="rId52" Type="http://schemas.openxmlformats.org/officeDocument/2006/relationships/oleObject" Target="file:///\\romulus\priv_info$\Forecasting%20Review\Report%20Charts%20&amp;%20Tables\Revenue%20forecasting%20analysis\120716%20Chart%20on%2021%20year%20revenue%20forecasts.xlsx!Sheet1!%5b120716%20Chart%20on%2021%20year%20revenue%20forecasts.xlsx%5dSheet1%20Chart%203" TargetMode="External"/><Relationship Id="rId60" Type="http://schemas.openxmlformats.org/officeDocument/2006/relationships/footer" Target="footer3.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romulus\priv_info$\Forecasting%20Review\Report%20Charts%20&amp;%20Tables\Nominal%20Economy%20Attachment\050329%20analysis%20-%20GTM%20(a)%20-%20updated.xls!TABLE!R20C1:R37C15" TargetMode="External"/><Relationship Id="rId22" Type="http://schemas.openxmlformats.org/officeDocument/2006/relationships/oleObject" Target="file:///\\romulus\priv_info$\Forecasting%20Review\Report%20Charts%20&amp;%20Tables\Nominal%20Economy%20Attachment\120821%20analysis%20-%20IEC_NEW.xls!CHART!%5b120821%20analysis%20-%20IEC_NEW.xls%5dCHART%20Chart%203" TargetMode="External"/><Relationship Id="rId27" Type="http://schemas.openxmlformats.org/officeDocument/2006/relationships/image" Target="media/image11.wmf"/><Relationship Id="rId30" Type="http://schemas.openxmlformats.org/officeDocument/2006/relationships/oleObject" Target="file:///\\romulus\priv_info$\Forecasting%20Review\Report%20Charts%20&amp;%20Tables\Nominal%20Economy%20Attachment\120817%20-%20DAT%20-%20Forecast%20comparison%20with%20RBA%20and%20Access.xlsx!Real%20GDP!%5b120817%20-%20DAT%20-%20Forecast%20comparison%20with%20RBA%20and%20Access.xlsx%5dReal%20GDP%20Chart%201" TargetMode="External"/><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file:///\\romulus\priv_info$\Forecasting%20Review\Report%20Charts%20&amp;%20Tables\Revenue%20forecasting%20analysis\120702%20params%20and%20HoR.xlsx!Simple%20Table!%5b120702%20params%20and%20HoR.xlsx%5dSimple%20Table%20Chart%203" TargetMode="External"/><Relationship Id="rId56" Type="http://schemas.openxmlformats.org/officeDocument/2006/relationships/header" Target="header1.xml"/><Relationship Id="rId64" Type="http://schemas.openxmlformats.org/officeDocument/2006/relationships/oleObject" Target="file:///\\romulus\priv_info$\Forecasting%20Review\Report%20Charts%20&amp;%20Tables\Nominal%20Economy%20Attachment\120817%20-%20DAT%20-%20Forecast%20comparison%20with%20RBA%20and%20Access.xlsx!ToT!%5b120817%20-%20DAT%20-%20Forecast%20comparison%20with%20RBA%20and%20Access.xlsx%5dToT%20Chart%201" TargetMode="Externa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file:///\\romulus\priv_info$\Forecasting%20Review\Report%20Charts%20&amp;%20Tables\Nominal%20Economy%20Attachment\050329%20analysis%20-%20GTM$%20-%20updated.xls!CHART!%5b050329%20analysis%20-%20GTM$%20-%20updated.xls%5dCHART%20Chart%203" TargetMode="Externa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emf"/><Relationship Id="rId38" Type="http://schemas.openxmlformats.org/officeDocument/2006/relationships/oleObject" Target="file:///\\romulus\priv_info$\Forecasting%20Review\Report%20Charts%20&amp;%20Tables\Nominal%20Economy%20Attachment\120828%20-%20DAT%20-%20naive%20forecasts.xlsx!Table!R41C1:R60C10" TargetMode="External"/><Relationship Id="rId46" Type="http://schemas.openxmlformats.org/officeDocument/2006/relationships/oleObject" Target="file:///\\romulus\priv_info$\Forecasting%20Review\Report%20Charts%20&amp;%20Tables\Revenue%20forecasting%20analysis\120702%20params%20and%20HoR.xlsx!Simple%20Table!%5b120702%20params%20and%20HoR.xlsx%5dSimple%20Table%20Chart%202"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56C2-3C59-4E8D-800A-439AEEE5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6018</TotalTime>
  <Pages>18</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Review of Treasury Macroeconomic and Revenue Forecasting</vt:lpstr>
    </vt:vector>
  </TitlesOfParts>
  <Company>Australian Government - The Treasury</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Treasury Macroeconomic and Revenue Forecasting</dc:title>
  <dc:subject/>
  <dc:creator/>
  <cp:keywords/>
  <dc:description/>
  <cp:lastModifiedBy>Schumann, Vicky</cp:lastModifiedBy>
  <cp:revision>1391</cp:revision>
  <cp:lastPrinted>2013-02-20T04:50:00Z</cp:lastPrinted>
  <dcterms:created xsi:type="dcterms:W3CDTF">2012-08-21T03:35:00Z</dcterms:created>
  <dcterms:modified xsi:type="dcterms:W3CDTF">2013-02-21T00:32:00Z</dcterms:modified>
</cp:coreProperties>
</file>