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B39F" w14:textId="77777777" w:rsidR="00966A66" w:rsidRDefault="00966A66" w:rsidP="00966A66">
      <w:pPr>
        <w:spacing w:before="360"/>
        <w:jc w:val="center"/>
      </w:pPr>
      <w:bookmarkStart w:id="0" w:name="_GoBack"/>
      <w:bookmarkEnd w:id="0"/>
      <w:r>
        <w:rPr>
          <w:caps/>
          <w:noProof/>
          <w:lang w:eastAsia="en-AU"/>
        </w:rPr>
        <w:drawing>
          <wp:inline distT="0" distB="0" distL="0" distR="0" wp14:anchorId="339E8A67" wp14:editId="643053A7">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5B46D99D" w14:textId="0BCCCB4E" w:rsidR="00966A66" w:rsidRDefault="00966A66" w:rsidP="00966A66">
      <w:pPr>
        <w:spacing w:before="36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Senate Economics References Committee</w:t>
      </w:r>
      <w:r w:rsidRPr="009B57C6">
        <w:rPr>
          <w:sz w:val="36"/>
          <w:szCs w:val="36"/>
        </w:rPr>
        <w:t xml:space="preserve"> report</w:t>
      </w:r>
      <w:r>
        <w:rPr>
          <w:sz w:val="36"/>
          <w:szCs w:val="36"/>
        </w:rPr>
        <w:t>:</w:t>
      </w:r>
    </w:p>
    <w:p w14:paraId="481749BB" w14:textId="77777777" w:rsidR="00966A66" w:rsidRDefault="00966A66" w:rsidP="00966A66">
      <w:pPr>
        <w:spacing w:before="240"/>
        <w:jc w:val="center"/>
        <w:rPr>
          <w:sz w:val="36"/>
          <w:szCs w:val="36"/>
        </w:rPr>
      </w:pPr>
      <w:r>
        <w:rPr>
          <w:sz w:val="36"/>
          <w:szCs w:val="36"/>
        </w:rPr>
        <w:t>Foreign Investment Review Framework</w:t>
      </w:r>
    </w:p>
    <w:p w14:paraId="407461C7" w14:textId="7EE27A85" w:rsidR="00966A66" w:rsidRPr="0040025C" w:rsidRDefault="005B110C" w:rsidP="00966A66">
      <w:pPr>
        <w:spacing w:before="8520" w:after="360"/>
        <w:jc w:val="right"/>
        <w:rPr>
          <w:caps/>
          <w:sz w:val="28"/>
          <w:szCs w:val="28"/>
        </w:rPr>
      </w:pPr>
      <w:r>
        <w:rPr>
          <w:sz w:val="28"/>
          <w:szCs w:val="28"/>
        </w:rPr>
        <w:t>February 2017</w:t>
      </w:r>
    </w:p>
    <w:p w14:paraId="4BD7D6C6" w14:textId="77777777" w:rsidR="00966A66" w:rsidRDefault="00966A66">
      <w:pPr>
        <w:sectPr w:rsidR="00966A66">
          <w:pgSz w:w="11906" w:h="16838"/>
          <w:pgMar w:top="1440" w:right="1440" w:bottom="1440" w:left="1440" w:header="708" w:footer="708" w:gutter="0"/>
          <w:cols w:space="708"/>
          <w:docGrid w:linePitch="360"/>
        </w:sectPr>
      </w:pPr>
    </w:p>
    <w:p w14:paraId="24409AB3" w14:textId="77777777" w:rsidR="0043092E" w:rsidRDefault="0043092E">
      <w:pPr>
        <w:rPr>
          <w:b/>
          <w:sz w:val="28"/>
        </w:rPr>
        <w:sectPr w:rsidR="0043092E" w:rsidSect="0043092E">
          <w:footerReference w:type="default" r:id="rId15"/>
          <w:type w:val="continuous"/>
          <w:pgSz w:w="11906" w:h="16838"/>
          <w:pgMar w:top="1440" w:right="1440" w:bottom="1440" w:left="1440" w:header="708" w:footer="708" w:gutter="0"/>
          <w:pgNumType w:fmt="lowerRoman" w:start="1"/>
          <w:cols w:space="708"/>
          <w:docGrid w:linePitch="360"/>
        </w:sectPr>
      </w:pPr>
    </w:p>
    <w:p w14:paraId="32574EB6" w14:textId="3DDB61B8" w:rsidR="000A4503" w:rsidRDefault="00966A66">
      <w:pPr>
        <w:rPr>
          <w:b/>
          <w:sz w:val="28"/>
        </w:rPr>
      </w:pPr>
      <w:r w:rsidRPr="0075349B">
        <w:rPr>
          <w:b/>
          <w:sz w:val="28"/>
        </w:rPr>
        <w:lastRenderedPageBreak/>
        <w:t>Contents</w:t>
      </w:r>
    </w:p>
    <w:p w14:paraId="1683340A" w14:textId="77777777" w:rsidR="0075349B" w:rsidRDefault="0075349B">
      <w:pPr>
        <w:rPr>
          <w:b/>
          <w:sz w:val="28"/>
        </w:rPr>
      </w:pPr>
    </w:p>
    <w:p w14:paraId="044FAEEC" w14:textId="77777777" w:rsidR="0032783D" w:rsidRDefault="0075349B">
      <w:pPr>
        <w:pStyle w:val="TOC1"/>
        <w:tabs>
          <w:tab w:val="right" w:leader="dot" w:pos="9016"/>
        </w:tabs>
        <w:rPr>
          <w:rFonts w:asciiTheme="minorHAnsi" w:eastAsiaTheme="minorEastAsia" w:hAnsiTheme="minorHAnsi" w:cstheme="minorBidi"/>
          <w:noProof/>
          <w:sz w:val="22"/>
          <w:szCs w:val="22"/>
          <w:lang w:eastAsia="en-AU"/>
        </w:rPr>
      </w:pPr>
      <w:r>
        <w:rPr>
          <w:b/>
          <w:sz w:val="28"/>
        </w:rPr>
        <w:fldChar w:fldCharType="begin"/>
      </w:r>
      <w:r>
        <w:rPr>
          <w:b/>
          <w:sz w:val="28"/>
        </w:rPr>
        <w:instrText xml:space="preserve"> TOC \h \z \u \t "Heading 1,2,Title,1" </w:instrText>
      </w:r>
      <w:r>
        <w:rPr>
          <w:b/>
          <w:sz w:val="28"/>
        </w:rPr>
        <w:fldChar w:fldCharType="separate"/>
      </w:r>
      <w:hyperlink w:anchor="_Toc467683062" w:history="1">
        <w:r w:rsidR="0032783D" w:rsidRPr="00F47841">
          <w:rPr>
            <w:rStyle w:val="Hyperlink"/>
            <w:noProof/>
          </w:rPr>
          <w:t>Response to Recommendations</w:t>
        </w:r>
        <w:r w:rsidR="0032783D">
          <w:rPr>
            <w:noProof/>
            <w:webHidden/>
          </w:rPr>
          <w:tab/>
        </w:r>
        <w:r w:rsidR="0032783D">
          <w:rPr>
            <w:noProof/>
            <w:webHidden/>
          </w:rPr>
          <w:fldChar w:fldCharType="begin"/>
        </w:r>
        <w:r w:rsidR="0032783D">
          <w:rPr>
            <w:noProof/>
            <w:webHidden/>
          </w:rPr>
          <w:instrText xml:space="preserve"> PAGEREF _Toc467683062 \h </w:instrText>
        </w:r>
        <w:r w:rsidR="0032783D">
          <w:rPr>
            <w:noProof/>
            <w:webHidden/>
          </w:rPr>
        </w:r>
        <w:r w:rsidR="0032783D">
          <w:rPr>
            <w:noProof/>
            <w:webHidden/>
          </w:rPr>
          <w:fldChar w:fldCharType="separate"/>
        </w:r>
        <w:r w:rsidR="0032783D">
          <w:rPr>
            <w:noProof/>
            <w:webHidden/>
          </w:rPr>
          <w:t>1</w:t>
        </w:r>
        <w:r w:rsidR="0032783D">
          <w:rPr>
            <w:noProof/>
            <w:webHidden/>
          </w:rPr>
          <w:fldChar w:fldCharType="end"/>
        </w:r>
      </w:hyperlink>
    </w:p>
    <w:p w14:paraId="7FF638AC" w14:textId="77777777" w:rsidR="0032783D" w:rsidRDefault="003D17D1">
      <w:pPr>
        <w:pStyle w:val="TOC2"/>
        <w:tabs>
          <w:tab w:val="right" w:leader="dot" w:pos="9016"/>
        </w:tabs>
        <w:rPr>
          <w:rFonts w:asciiTheme="minorHAnsi" w:eastAsiaTheme="minorEastAsia" w:hAnsiTheme="minorHAnsi" w:cstheme="minorBidi"/>
          <w:noProof/>
          <w:sz w:val="22"/>
          <w:szCs w:val="22"/>
          <w:lang w:eastAsia="en-AU"/>
        </w:rPr>
      </w:pPr>
      <w:hyperlink w:anchor="_Toc467683063" w:history="1">
        <w:r w:rsidR="0032783D" w:rsidRPr="00F47841">
          <w:rPr>
            <w:rStyle w:val="Hyperlink"/>
            <w:noProof/>
          </w:rPr>
          <w:t>Recommendation 1</w:t>
        </w:r>
        <w:r w:rsidR="0032783D">
          <w:rPr>
            <w:noProof/>
            <w:webHidden/>
          </w:rPr>
          <w:tab/>
        </w:r>
        <w:r w:rsidR="0032783D">
          <w:rPr>
            <w:noProof/>
            <w:webHidden/>
          </w:rPr>
          <w:fldChar w:fldCharType="begin"/>
        </w:r>
        <w:r w:rsidR="0032783D">
          <w:rPr>
            <w:noProof/>
            <w:webHidden/>
          </w:rPr>
          <w:instrText xml:space="preserve"> PAGEREF _Toc467683063 \h </w:instrText>
        </w:r>
        <w:r w:rsidR="0032783D">
          <w:rPr>
            <w:noProof/>
            <w:webHidden/>
          </w:rPr>
        </w:r>
        <w:r w:rsidR="0032783D">
          <w:rPr>
            <w:noProof/>
            <w:webHidden/>
          </w:rPr>
          <w:fldChar w:fldCharType="separate"/>
        </w:r>
        <w:r w:rsidR="0032783D">
          <w:rPr>
            <w:noProof/>
            <w:webHidden/>
          </w:rPr>
          <w:t>1</w:t>
        </w:r>
        <w:r w:rsidR="0032783D">
          <w:rPr>
            <w:noProof/>
            <w:webHidden/>
          </w:rPr>
          <w:fldChar w:fldCharType="end"/>
        </w:r>
      </w:hyperlink>
    </w:p>
    <w:p w14:paraId="23E90D61" w14:textId="77777777" w:rsidR="0032783D" w:rsidRDefault="003D17D1">
      <w:pPr>
        <w:pStyle w:val="TOC2"/>
        <w:tabs>
          <w:tab w:val="right" w:leader="dot" w:pos="9016"/>
        </w:tabs>
        <w:rPr>
          <w:rFonts w:asciiTheme="minorHAnsi" w:eastAsiaTheme="minorEastAsia" w:hAnsiTheme="minorHAnsi" w:cstheme="minorBidi"/>
          <w:noProof/>
          <w:sz w:val="22"/>
          <w:szCs w:val="22"/>
          <w:lang w:eastAsia="en-AU"/>
        </w:rPr>
      </w:pPr>
      <w:hyperlink w:anchor="_Toc467683064" w:history="1">
        <w:r w:rsidR="0032783D" w:rsidRPr="00F47841">
          <w:rPr>
            <w:rStyle w:val="Hyperlink"/>
            <w:noProof/>
          </w:rPr>
          <w:t>Recommendation 2</w:t>
        </w:r>
        <w:r w:rsidR="0032783D">
          <w:rPr>
            <w:noProof/>
            <w:webHidden/>
          </w:rPr>
          <w:tab/>
        </w:r>
        <w:r w:rsidR="0032783D">
          <w:rPr>
            <w:noProof/>
            <w:webHidden/>
          </w:rPr>
          <w:fldChar w:fldCharType="begin"/>
        </w:r>
        <w:r w:rsidR="0032783D">
          <w:rPr>
            <w:noProof/>
            <w:webHidden/>
          </w:rPr>
          <w:instrText xml:space="preserve"> PAGEREF _Toc467683064 \h </w:instrText>
        </w:r>
        <w:r w:rsidR="0032783D">
          <w:rPr>
            <w:noProof/>
            <w:webHidden/>
          </w:rPr>
        </w:r>
        <w:r w:rsidR="0032783D">
          <w:rPr>
            <w:noProof/>
            <w:webHidden/>
          </w:rPr>
          <w:fldChar w:fldCharType="separate"/>
        </w:r>
        <w:r w:rsidR="0032783D">
          <w:rPr>
            <w:noProof/>
            <w:webHidden/>
          </w:rPr>
          <w:t>1</w:t>
        </w:r>
        <w:r w:rsidR="0032783D">
          <w:rPr>
            <w:noProof/>
            <w:webHidden/>
          </w:rPr>
          <w:fldChar w:fldCharType="end"/>
        </w:r>
      </w:hyperlink>
    </w:p>
    <w:p w14:paraId="3EB3157C" w14:textId="77777777" w:rsidR="0032783D" w:rsidRDefault="003D17D1">
      <w:pPr>
        <w:pStyle w:val="TOC2"/>
        <w:tabs>
          <w:tab w:val="right" w:leader="dot" w:pos="9016"/>
        </w:tabs>
        <w:rPr>
          <w:rFonts w:asciiTheme="minorHAnsi" w:eastAsiaTheme="minorEastAsia" w:hAnsiTheme="minorHAnsi" w:cstheme="minorBidi"/>
          <w:noProof/>
          <w:sz w:val="22"/>
          <w:szCs w:val="22"/>
          <w:lang w:eastAsia="en-AU"/>
        </w:rPr>
      </w:pPr>
      <w:hyperlink w:anchor="_Toc467683065" w:history="1">
        <w:r w:rsidR="0032783D" w:rsidRPr="00F47841">
          <w:rPr>
            <w:rStyle w:val="Hyperlink"/>
            <w:noProof/>
          </w:rPr>
          <w:t>Recommendation 3</w:t>
        </w:r>
        <w:r w:rsidR="0032783D">
          <w:rPr>
            <w:noProof/>
            <w:webHidden/>
          </w:rPr>
          <w:tab/>
        </w:r>
        <w:r w:rsidR="0032783D">
          <w:rPr>
            <w:noProof/>
            <w:webHidden/>
          </w:rPr>
          <w:fldChar w:fldCharType="begin"/>
        </w:r>
        <w:r w:rsidR="0032783D">
          <w:rPr>
            <w:noProof/>
            <w:webHidden/>
          </w:rPr>
          <w:instrText xml:space="preserve"> PAGEREF _Toc467683065 \h </w:instrText>
        </w:r>
        <w:r w:rsidR="0032783D">
          <w:rPr>
            <w:noProof/>
            <w:webHidden/>
          </w:rPr>
        </w:r>
        <w:r w:rsidR="0032783D">
          <w:rPr>
            <w:noProof/>
            <w:webHidden/>
          </w:rPr>
          <w:fldChar w:fldCharType="separate"/>
        </w:r>
        <w:r w:rsidR="0032783D">
          <w:rPr>
            <w:noProof/>
            <w:webHidden/>
          </w:rPr>
          <w:t>1</w:t>
        </w:r>
        <w:r w:rsidR="0032783D">
          <w:rPr>
            <w:noProof/>
            <w:webHidden/>
          </w:rPr>
          <w:fldChar w:fldCharType="end"/>
        </w:r>
      </w:hyperlink>
    </w:p>
    <w:p w14:paraId="774C0851" w14:textId="77777777" w:rsidR="0032783D" w:rsidRDefault="003D17D1">
      <w:pPr>
        <w:pStyle w:val="TOC1"/>
        <w:tabs>
          <w:tab w:val="right" w:leader="dot" w:pos="9016"/>
        </w:tabs>
        <w:rPr>
          <w:rFonts w:asciiTheme="minorHAnsi" w:eastAsiaTheme="minorEastAsia" w:hAnsiTheme="minorHAnsi" w:cstheme="minorBidi"/>
          <w:noProof/>
          <w:sz w:val="22"/>
          <w:szCs w:val="22"/>
          <w:lang w:eastAsia="en-AU"/>
        </w:rPr>
      </w:pPr>
      <w:hyperlink w:anchor="_Toc467683066" w:history="1">
        <w:r w:rsidR="0032783D" w:rsidRPr="00F47841">
          <w:rPr>
            <w:rStyle w:val="Hyperlink"/>
            <w:noProof/>
          </w:rPr>
          <w:t>Response to Senator Xenophon’s Recommendations</w:t>
        </w:r>
        <w:r w:rsidR="0032783D">
          <w:rPr>
            <w:noProof/>
            <w:webHidden/>
          </w:rPr>
          <w:tab/>
        </w:r>
        <w:r w:rsidR="0032783D">
          <w:rPr>
            <w:noProof/>
            <w:webHidden/>
          </w:rPr>
          <w:fldChar w:fldCharType="begin"/>
        </w:r>
        <w:r w:rsidR="0032783D">
          <w:rPr>
            <w:noProof/>
            <w:webHidden/>
          </w:rPr>
          <w:instrText xml:space="preserve"> PAGEREF _Toc467683066 \h </w:instrText>
        </w:r>
        <w:r w:rsidR="0032783D">
          <w:rPr>
            <w:noProof/>
            <w:webHidden/>
          </w:rPr>
        </w:r>
        <w:r w:rsidR="0032783D">
          <w:rPr>
            <w:noProof/>
            <w:webHidden/>
          </w:rPr>
          <w:fldChar w:fldCharType="separate"/>
        </w:r>
        <w:r w:rsidR="0032783D">
          <w:rPr>
            <w:noProof/>
            <w:webHidden/>
          </w:rPr>
          <w:t>2</w:t>
        </w:r>
        <w:r w:rsidR="0032783D">
          <w:rPr>
            <w:noProof/>
            <w:webHidden/>
          </w:rPr>
          <w:fldChar w:fldCharType="end"/>
        </w:r>
      </w:hyperlink>
    </w:p>
    <w:p w14:paraId="3AE7F633" w14:textId="77777777" w:rsidR="0032783D" w:rsidRDefault="003D17D1">
      <w:pPr>
        <w:pStyle w:val="TOC2"/>
        <w:tabs>
          <w:tab w:val="right" w:leader="dot" w:pos="9016"/>
        </w:tabs>
        <w:rPr>
          <w:rFonts w:asciiTheme="minorHAnsi" w:eastAsiaTheme="minorEastAsia" w:hAnsiTheme="minorHAnsi" w:cstheme="minorBidi"/>
          <w:noProof/>
          <w:sz w:val="22"/>
          <w:szCs w:val="22"/>
          <w:lang w:eastAsia="en-AU"/>
        </w:rPr>
      </w:pPr>
      <w:hyperlink w:anchor="_Toc467683067" w:history="1">
        <w:r w:rsidR="0032783D" w:rsidRPr="00F47841">
          <w:rPr>
            <w:rStyle w:val="Hyperlink"/>
            <w:noProof/>
          </w:rPr>
          <w:t>Recommendation 1</w:t>
        </w:r>
        <w:r w:rsidR="0032783D">
          <w:rPr>
            <w:noProof/>
            <w:webHidden/>
          </w:rPr>
          <w:tab/>
        </w:r>
        <w:r w:rsidR="0032783D">
          <w:rPr>
            <w:noProof/>
            <w:webHidden/>
          </w:rPr>
          <w:fldChar w:fldCharType="begin"/>
        </w:r>
        <w:r w:rsidR="0032783D">
          <w:rPr>
            <w:noProof/>
            <w:webHidden/>
          </w:rPr>
          <w:instrText xml:space="preserve"> PAGEREF _Toc467683067 \h </w:instrText>
        </w:r>
        <w:r w:rsidR="0032783D">
          <w:rPr>
            <w:noProof/>
            <w:webHidden/>
          </w:rPr>
        </w:r>
        <w:r w:rsidR="0032783D">
          <w:rPr>
            <w:noProof/>
            <w:webHidden/>
          </w:rPr>
          <w:fldChar w:fldCharType="separate"/>
        </w:r>
        <w:r w:rsidR="0032783D">
          <w:rPr>
            <w:noProof/>
            <w:webHidden/>
          </w:rPr>
          <w:t>2</w:t>
        </w:r>
        <w:r w:rsidR="0032783D">
          <w:rPr>
            <w:noProof/>
            <w:webHidden/>
          </w:rPr>
          <w:fldChar w:fldCharType="end"/>
        </w:r>
      </w:hyperlink>
    </w:p>
    <w:p w14:paraId="6FDCD638" w14:textId="77777777" w:rsidR="0032783D" w:rsidRDefault="003D17D1">
      <w:pPr>
        <w:pStyle w:val="TOC2"/>
        <w:tabs>
          <w:tab w:val="right" w:leader="dot" w:pos="9016"/>
        </w:tabs>
        <w:rPr>
          <w:rFonts w:asciiTheme="minorHAnsi" w:eastAsiaTheme="minorEastAsia" w:hAnsiTheme="minorHAnsi" w:cstheme="minorBidi"/>
          <w:noProof/>
          <w:sz w:val="22"/>
          <w:szCs w:val="22"/>
          <w:lang w:eastAsia="en-AU"/>
        </w:rPr>
      </w:pPr>
      <w:hyperlink w:anchor="_Toc467683068" w:history="1">
        <w:r w:rsidR="0032783D" w:rsidRPr="00F47841">
          <w:rPr>
            <w:rStyle w:val="Hyperlink"/>
            <w:noProof/>
          </w:rPr>
          <w:t>Recommendation 2</w:t>
        </w:r>
        <w:r w:rsidR="0032783D">
          <w:rPr>
            <w:noProof/>
            <w:webHidden/>
          </w:rPr>
          <w:tab/>
        </w:r>
        <w:r w:rsidR="0032783D">
          <w:rPr>
            <w:noProof/>
            <w:webHidden/>
          </w:rPr>
          <w:fldChar w:fldCharType="begin"/>
        </w:r>
        <w:r w:rsidR="0032783D">
          <w:rPr>
            <w:noProof/>
            <w:webHidden/>
          </w:rPr>
          <w:instrText xml:space="preserve"> PAGEREF _Toc467683068 \h </w:instrText>
        </w:r>
        <w:r w:rsidR="0032783D">
          <w:rPr>
            <w:noProof/>
            <w:webHidden/>
          </w:rPr>
        </w:r>
        <w:r w:rsidR="0032783D">
          <w:rPr>
            <w:noProof/>
            <w:webHidden/>
          </w:rPr>
          <w:fldChar w:fldCharType="separate"/>
        </w:r>
        <w:r w:rsidR="0032783D">
          <w:rPr>
            <w:noProof/>
            <w:webHidden/>
          </w:rPr>
          <w:t>2</w:t>
        </w:r>
        <w:r w:rsidR="0032783D">
          <w:rPr>
            <w:noProof/>
            <w:webHidden/>
          </w:rPr>
          <w:fldChar w:fldCharType="end"/>
        </w:r>
      </w:hyperlink>
    </w:p>
    <w:p w14:paraId="235E92E5" w14:textId="77777777" w:rsidR="0075349B" w:rsidRDefault="0075349B">
      <w:pPr>
        <w:rPr>
          <w:b/>
          <w:sz w:val="28"/>
        </w:rPr>
      </w:pPr>
      <w:r>
        <w:rPr>
          <w:b/>
          <w:sz w:val="28"/>
        </w:rPr>
        <w:fldChar w:fldCharType="end"/>
      </w:r>
    </w:p>
    <w:p w14:paraId="21E7FAF0" w14:textId="234547A2" w:rsidR="00427902" w:rsidRPr="00427902" w:rsidRDefault="00427902" w:rsidP="00427902">
      <w:pPr>
        <w:rPr>
          <w:sz w:val="22"/>
          <w:szCs w:val="22"/>
        </w:rPr>
      </w:pPr>
    </w:p>
    <w:p w14:paraId="4DF5BC37" w14:textId="168414DD" w:rsidR="001275F2" w:rsidRPr="00427902" w:rsidRDefault="001275F2" w:rsidP="001275F2">
      <w:pPr>
        <w:autoSpaceDE w:val="0"/>
        <w:autoSpaceDN w:val="0"/>
        <w:adjustRightInd w:val="0"/>
        <w:rPr>
          <w:bCs/>
          <w:color w:val="FF0000"/>
          <w:sz w:val="22"/>
          <w:szCs w:val="22"/>
        </w:rPr>
        <w:sectPr w:rsidR="001275F2" w:rsidRPr="00427902" w:rsidSect="0043092E">
          <w:pgSz w:w="11906" w:h="16838"/>
          <w:pgMar w:top="1440" w:right="1440" w:bottom="1440" w:left="1440" w:header="708" w:footer="708" w:gutter="0"/>
          <w:pgNumType w:fmt="lowerRoman" w:start="1"/>
          <w:cols w:space="708"/>
          <w:docGrid w:linePitch="360"/>
        </w:sectPr>
      </w:pPr>
    </w:p>
    <w:p w14:paraId="70B1B967" w14:textId="621CDD6C" w:rsidR="00966A66" w:rsidRPr="00966A66" w:rsidRDefault="00966A66" w:rsidP="0075349B">
      <w:pPr>
        <w:pStyle w:val="Title"/>
      </w:pPr>
      <w:bookmarkStart w:id="1" w:name="_Toc467683062"/>
      <w:r w:rsidRPr="00966A66">
        <w:lastRenderedPageBreak/>
        <w:t>Response to Recommendations</w:t>
      </w:r>
      <w:bookmarkEnd w:id="1"/>
    </w:p>
    <w:p w14:paraId="6D2286CC" w14:textId="77777777" w:rsidR="00966A66" w:rsidRPr="00966A66" w:rsidRDefault="00966A66">
      <w:pPr>
        <w:rPr>
          <w:sz w:val="22"/>
          <w:szCs w:val="22"/>
        </w:rPr>
      </w:pPr>
    </w:p>
    <w:p w14:paraId="609A2CFB" w14:textId="77777777" w:rsidR="00966A66" w:rsidRPr="0075349B" w:rsidRDefault="00966A66" w:rsidP="0069013F">
      <w:pPr>
        <w:pStyle w:val="Heading1"/>
        <w:pBdr>
          <w:top w:val="single" w:sz="4" w:space="1" w:color="auto"/>
          <w:left w:val="single" w:sz="4" w:space="4" w:color="auto"/>
          <w:bottom w:val="single" w:sz="4" w:space="1" w:color="auto"/>
          <w:right w:val="single" w:sz="4" w:space="4" w:color="auto"/>
        </w:pBdr>
      </w:pPr>
      <w:bookmarkStart w:id="2" w:name="_Toc467683063"/>
      <w:r w:rsidRPr="0075349B">
        <w:t>Recommendation 1</w:t>
      </w:r>
      <w:bookmarkEnd w:id="2"/>
    </w:p>
    <w:p w14:paraId="15BC702E" w14:textId="77777777" w:rsidR="00966A66" w:rsidRPr="00966A66" w:rsidRDefault="00966A66" w:rsidP="0069013F">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Cs/>
          <w:i/>
          <w:sz w:val="22"/>
          <w:szCs w:val="22"/>
        </w:rPr>
      </w:pPr>
      <w:r w:rsidRPr="00966A66">
        <w:rPr>
          <w:rFonts w:eastAsiaTheme="minorHAnsi"/>
          <w:bCs/>
          <w:i/>
          <w:sz w:val="22"/>
          <w:szCs w:val="22"/>
        </w:rPr>
        <w:t>The committee recommends that Treasury publish guidance about the foreign investment review assessment process including information on the steps and features of the process.</w:t>
      </w:r>
    </w:p>
    <w:p w14:paraId="2F24802D" w14:textId="5132AAF1" w:rsidR="006602E0" w:rsidRPr="006602E0" w:rsidRDefault="006602E0" w:rsidP="006602E0">
      <w:pPr>
        <w:pStyle w:val="Bullet"/>
      </w:pPr>
      <w:r>
        <w:t>Agree.</w:t>
      </w:r>
      <w:r w:rsidR="0069013F" w:rsidRPr="006602E0">
        <w:t xml:space="preserve"> Treasury </w:t>
      </w:r>
      <w:r w:rsidR="00992936">
        <w:t>will</w:t>
      </w:r>
      <w:r w:rsidR="0069013F" w:rsidRPr="006602E0">
        <w:t xml:space="preserve"> </w:t>
      </w:r>
      <w:r w:rsidR="00E40454">
        <w:t xml:space="preserve">review the Foreign Investment Review Board’s website and publish additional information about the assessment and screening process for foreign investment proposals.   </w:t>
      </w:r>
    </w:p>
    <w:p w14:paraId="5CE2D50A" w14:textId="276B2390" w:rsidR="003E040A" w:rsidRDefault="003E040A" w:rsidP="00966A66">
      <w:pPr>
        <w:autoSpaceDE w:val="0"/>
        <w:autoSpaceDN w:val="0"/>
        <w:adjustRightInd w:val="0"/>
        <w:rPr>
          <w:rFonts w:eastAsiaTheme="minorHAnsi"/>
          <w:b/>
          <w:bCs/>
          <w:sz w:val="22"/>
          <w:szCs w:val="22"/>
        </w:rPr>
      </w:pPr>
    </w:p>
    <w:p w14:paraId="18BC92BE" w14:textId="3C381F50" w:rsidR="00966A66" w:rsidRPr="00966A66" w:rsidRDefault="00966A66" w:rsidP="0069013F">
      <w:pPr>
        <w:pStyle w:val="Heading1"/>
        <w:pBdr>
          <w:top w:val="single" w:sz="4" w:space="1" w:color="auto"/>
          <w:left w:val="single" w:sz="4" w:space="4" w:color="auto"/>
          <w:bottom w:val="single" w:sz="4" w:space="1" w:color="auto"/>
          <w:right w:val="single" w:sz="4" w:space="4" w:color="auto"/>
        </w:pBdr>
      </w:pPr>
      <w:bookmarkStart w:id="3" w:name="_Toc467683064"/>
      <w:r w:rsidRPr="00966A66">
        <w:t>Recommendation 2</w:t>
      </w:r>
      <w:bookmarkEnd w:id="3"/>
    </w:p>
    <w:p w14:paraId="15564317" w14:textId="77777777" w:rsidR="00966A66" w:rsidRPr="00966A66" w:rsidRDefault="00966A66" w:rsidP="0069013F">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Cs/>
          <w:i/>
          <w:sz w:val="22"/>
          <w:szCs w:val="22"/>
        </w:rPr>
      </w:pPr>
      <w:r w:rsidRPr="00966A66">
        <w:rPr>
          <w:rFonts w:eastAsiaTheme="minorHAnsi"/>
          <w:bCs/>
          <w:i/>
          <w:sz w:val="22"/>
          <w:szCs w:val="22"/>
        </w:rPr>
        <w:t>The committee recommends that the Treasury publish the Treasurer's rationale behind both positive and negative decisions regarding foreign investment, in order to inform the public and to instil public and investor confidence in the review process.</w:t>
      </w:r>
    </w:p>
    <w:p w14:paraId="29588872" w14:textId="77777777" w:rsidR="00966A66" w:rsidRDefault="00966A66" w:rsidP="00966A66">
      <w:pPr>
        <w:autoSpaceDE w:val="0"/>
        <w:autoSpaceDN w:val="0"/>
        <w:adjustRightInd w:val="0"/>
        <w:rPr>
          <w:rFonts w:eastAsiaTheme="minorHAnsi"/>
          <w:b/>
          <w:bCs/>
          <w:sz w:val="22"/>
          <w:szCs w:val="22"/>
        </w:rPr>
      </w:pPr>
    </w:p>
    <w:p w14:paraId="4480C1D1" w14:textId="22574C7F" w:rsidR="0096567A" w:rsidRDefault="001C0C80" w:rsidP="006602E0">
      <w:pPr>
        <w:pStyle w:val="Bullet"/>
      </w:pPr>
      <w:r>
        <w:t>Noted</w:t>
      </w:r>
      <w:r w:rsidR="0069013F">
        <w:t>.</w:t>
      </w:r>
      <w:r w:rsidR="0069013F" w:rsidRPr="0069013F">
        <w:t xml:space="preserve"> </w:t>
      </w:r>
      <w:r w:rsidR="00E40454">
        <w:t xml:space="preserve">The Government will continue its practice of considering </w:t>
      </w:r>
      <w:r w:rsidR="003E4DFF">
        <w:t>issuing</w:t>
      </w:r>
      <w:r w:rsidR="00E40454">
        <w:t xml:space="preserve"> a press release when making a decision on a significant foreign investment proposal that is in the public domain. </w:t>
      </w:r>
      <w:r>
        <w:t>However, the Government does not comment on matters of national security.</w:t>
      </w:r>
    </w:p>
    <w:p w14:paraId="6E90FA15" w14:textId="7D574C29" w:rsidR="0091507C" w:rsidRPr="00F10B68" w:rsidRDefault="0091507C" w:rsidP="0091507C">
      <w:pPr>
        <w:pStyle w:val="Bullet"/>
      </w:pPr>
      <w:r>
        <w:t xml:space="preserve">The Foreign Investment Review Board and Treasury will continue to engage with foreign investors, their representatives and Australian businesses to provide information on the operation of the </w:t>
      </w:r>
      <w:r w:rsidR="003E4DFF">
        <w:t>foreign</w:t>
      </w:r>
      <w:r>
        <w:t xml:space="preserve"> investment framework. </w:t>
      </w:r>
    </w:p>
    <w:p w14:paraId="752D4E6F" w14:textId="6286EC29" w:rsidR="00B45A7A" w:rsidRDefault="0096567A" w:rsidP="006602E0">
      <w:pPr>
        <w:pStyle w:val="Bullet"/>
      </w:pPr>
      <w:r w:rsidRPr="00053C40">
        <w:t xml:space="preserve">Maintaining confidentiality is fundamental to the operation of the foreign investment framework as information provided by applicants is one of the key sources of information used to assess the national interest. </w:t>
      </w:r>
      <w:r w:rsidR="00B45A7A" w:rsidRPr="00053C40">
        <w:t xml:space="preserve">Publishing the rationale behind </w:t>
      </w:r>
      <w:r w:rsidR="00B45A7A">
        <w:t xml:space="preserve">the Treasurer’s decision on </w:t>
      </w:r>
      <w:r w:rsidR="00272DDA">
        <w:t>every</w:t>
      </w:r>
      <w:r w:rsidR="00272DDA" w:rsidRPr="00053C40">
        <w:t xml:space="preserve"> foreign</w:t>
      </w:r>
      <w:r w:rsidR="00B45A7A" w:rsidRPr="00053C40">
        <w:t xml:space="preserve"> investment proposal could cause harm for </w:t>
      </w:r>
      <w:r w:rsidR="0047772F">
        <w:t xml:space="preserve">both </w:t>
      </w:r>
      <w:r w:rsidR="00B45A7A" w:rsidRPr="00053C40">
        <w:t>foreign investors</w:t>
      </w:r>
      <w:r w:rsidR="0047772F">
        <w:t xml:space="preserve"> and Australian businesses</w:t>
      </w:r>
      <w:r w:rsidR="00B45A7A" w:rsidRPr="00053C40">
        <w:t xml:space="preserve"> and discourage future disclosure of information.</w:t>
      </w:r>
      <w:r w:rsidR="00B45A7A">
        <w:t xml:space="preserve"> </w:t>
      </w:r>
      <w:r w:rsidR="00B45A7A" w:rsidRPr="00053C40">
        <w:t xml:space="preserve">This would hinder the Government’s ability to assess the national interest. </w:t>
      </w:r>
    </w:p>
    <w:p w14:paraId="5BD3B231" w14:textId="5D15E4A0" w:rsidR="003C4820" w:rsidRPr="00053C40" w:rsidRDefault="006A3C8F" w:rsidP="006602E0">
      <w:pPr>
        <w:pStyle w:val="Bullet"/>
      </w:pPr>
      <w:r>
        <w:t xml:space="preserve">The </w:t>
      </w:r>
      <w:r>
        <w:rPr>
          <w:i/>
          <w:iCs/>
        </w:rPr>
        <w:t xml:space="preserve">Foreign Acquisitions and Takeovers Act 1975 </w:t>
      </w:r>
      <w:r>
        <w:t>limits the disclosure of identifying information obtained by Treasury in administering that Act, except in certain limited circumstances such as where the information is already in the public domain.  The Commissioner of Taxation undertakes certain functions under the Act under a delegation from the Treasurer.  When he does so, the information the Commissioner obtains is protected by the taxpayer confidentiality provisions in taxation law.  These rules also generally operate to prohibit the disclosure of identifying information to the public.</w:t>
      </w:r>
      <w:r w:rsidR="003E4DFF">
        <w:t xml:space="preserve"> </w:t>
      </w:r>
    </w:p>
    <w:p w14:paraId="5F3ABE46" w14:textId="77777777" w:rsidR="00D51458" w:rsidRDefault="00D51458" w:rsidP="00966A66">
      <w:pPr>
        <w:autoSpaceDE w:val="0"/>
        <w:autoSpaceDN w:val="0"/>
        <w:adjustRightInd w:val="0"/>
        <w:rPr>
          <w:rFonts w:eastAsiaTheme="minorHAnsi"/>
          <w:b/>
          <w:bCs/>
          <w:sz w:val="22"/>
          <w:szCs w:val="22"/>
        </w:rPr>
      </w:pPr>
    </w:p>
    <w:p w14:paraId="44775501" w14:textId="7B8A9D79" w:rsidR="00966A66" w:rsidRPr="00966A66" w:rsidRDefault="00966A66" w:rsidP="0069013F">
      <w:pPr>
        <w:pStyle w:val="Heading1"/>
        <w:pBdr>
          <w:top w:val="single" w:sz="4" w:space="1" w:color="auto"/>
          <w:left w:val="single" w:sz="4" w:space="4" w:color="auto"/>
          <w:bottom w:val="single" w:sz="4" w:space="1" w:color="auto"/>
          <w:right w:val="single" w:sz="4" w:space="4" w:color="auto"/>
        </w:pBdr>
      </w:pPr>
      <w:bookmarkStart w:id="4" w:name="_Toc467683065"/>
      <w:r w:rsidRPr="00966A66">
        <w:t>Recommendation 3</w:t>
      </w:r>
      <w:bookmarkEnd w:id="4"/>
    </w:p>
    <w:p w14:paraId="3104EE2B" w14:textId="77777777" w:rsidR="00966A66" w:rsidRPr="00966A66" w:rsidRDefault="00966A66" w:rsidP="0069013F">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Cs/>
          <w:i/>
          <w:sz w:val="22"/>
          <w:szCs w:val="22"/>
        </w:rPr>
      </w:pPr>
      <w:r w:rsidRPr="00966A66">
        <w:rPr>
          <w:rFonts w:eastAsiaTheme="minorHAnsi"/>
          <w:bCs/>
          <w:i/>
          <w:sz w:val="22"/>
          <w:szCs w:val="22"/>
        </w:rPr>
        <w:t>The committee recommends that the Australian Government establish a publicly available Agricultural Land Register for all foreign-owned agricultural land to increase public confidence in Australia's foreign investment review framework and its effectiveness in safeguarding Australia’s long term economic and security interests.</w:t>
      </w:r>
    </w:p>
    <w:p w14:paraId="2531A331" w14:textId="77777777" w:rsidR="00966A66" w:rsidRPr="00966A66" w:rsidRDefault="00966A66" w:rsidP="00966A66">
      <w:pPr>
        <w:rPr>
          <w:rFonts w:eastAsiaTheme="minorHAnsi"/>
          <w:b/>
          <w:bCs/>
          <w:sz w:val="22"/>
          <w:szCs w:val="22"/>
        </w:rPr>
      </w:pPr>
    </w:p>
    <w:p w14:paraId="1E3809FD" w14:textId="1B1C1F3A" w:rsidR="009C4FA4" w:rsidRPr="003D13FB" w:rsidRDefault="001C0C80" w:rsidP="006602E0">
      <w:pPr>
        <w:pStyle w:val="Bullet"/>
      </w:pPr>
      <w:r>
        <w:t>Partly a</w:t>
      </w:r>
      <w:r w:rsidR="0069013F">
        <w:t xml:space="preserve">gree. </w:t>
      </w:r>
      <w:r w:rsidR="009C4FA4" w:rsidRPr="0041148A">
        <w:t xml:space="preserve">The </w:t>
      </w:r>
      <w:r w:rsidR="00A26618" w:rsidRPr="0041148A">
        <w:t>Government</w:t>
      </w:r>
      <w:r w:rsidR="00A26618">
        <w:t xml:space="preserve"> has </w:t>
      </w:r>
      <w:r w:rsidR="009C4FA4">
        <w:t xml:space="preserve">recognised </w:t>
      </w:r>
      <w:r w:rsidR="009C4FA4" w:rsidRPr="0041148A">
        <w:t xml:space="preserve">community concern around foreign ownership of Australia’s agricultural </w:t>
      </w:r>
      <w:r w:rsidR="00A26618">
        <w:t xml:space="preserve">land. On 1 July 2015 the </w:t>
      </w:r>
      <w:r w:rsidR="00A26618" w:rsidRPr="00214AF7">
        <w:rPr>
          <w:i/>
        </w:rPr>
        <w:t xml:space="preserve">Register of Foreign Ownership of Agricultural Land </w:t>
      </w:r>
      <w:r w:rsidR="00A26618" w:rsidRPr="00214AF7">
        <w:t>(Agricultural Land Register)</w:t>
      </w:r>
      <w:r w:rsidR="00A26618">
        <w:rPr>
          <w:i/>
        </w:rPr>
        <w:t xml:space="preserve"> </w:t>
      </w:r>
      <w:r w:rsidR="00A26618">
        <w:t xml:space="preserve">was established and is administered by the Australian Taxation Office.  </w:t>
      </w:r>
    </w:p>
    <w:p w14:paraId="4B060DF2" w14:textId="31C145D8" w:rsidR="00053C40" w:rsidRDefault="00053C40" w:rsidP="006602E0">
      <w:pPr>
        <w:pStyle w:val="Bullet"/>
      </w:pPr>
      <w:r>
        <w:t xml:space="preserve">On 7 </w:t>
      </w:r>
      <w:r w:rsidR="003D13FB" w:rsidRPr="003D13FB">
        <w:t>September</w:t>
      </w:r>
      <w:r w:rsidR="00A26618">
        <w:t xml:space="preserve"> 2016</w:t>
      </w:r>
      <w:r w:rsidR="003D13FB" w:rsidRPr="003D13FB">
        <w:t xml:space="preserve"> t</w:t>
      </w:r>
      <w:r w:rsidR="0041148A" w:rsidRPr="003D13FB">
        <w:t xml:space="preserve">he </w:t>
      </w:r>
      <w:r w:rsidR="003D13FB" w:rsidRPr="003D13FB">
        <w:t xml:space="preserve">Government </w:t>
      </w:r>
      <w:r w:rsidR="007C3922">
        <w:t xml:space="preserve">released </w:t>
      </w:r>
      <w:r w:rsidR="00A26618">
        <w:t xml:space="preserve">the first </w:t>
      </w:r>
      <w:r w:rsidR="0041148A" w:rsidRPr="003D13FB">
        <w:t>report</w:t>
      </w:r>
      <w:r w:rsidR="003D13FB" w:rsidRPr="003D13FB">
        <w:t xml:space="preserve"> </w:t>
      </w:r>
      <w:r w:rsidR="0041148A" w:rsidRPr="003D13FB">
        <w:t xml:space="preserve">on the </w:t>
      </w:r>
      <w:r w:rsidR="00A26618">
        <w:t xml:space="preserve">Agricultural Land Register. </w:t>
      </w:r>
      <w:r>
        <w:t xml:space="preserve">The report </w:t>
      </w:r>
      <w:r w:rsidRPr="003D13FB">
        <w:t>include</w:t>
      </w:r>
      <w:r w:rsidR="009C4FA4">
        <w:t>d</w:t>
      </w:r>
      <w:r w:rsidRPr="003D13FB">
        <w:t xml:space="preserve"> aggregated data collected through the </w:t>
      </w:r>
      <w:r w:rsidR="00272DDA">
        <w:t xml:space="preserve">Agricultural Land </w:t>
      </w:r>
      <w:r w:rsidRPr="003D13FB">
        <w:t>Register on the number of properties that are foreign owned, by land size, by state and territory, and by land use</w:t>
      </w:r>
      <w:r w:rsidR="00A26618">
        <w:t xml:space="preserve"> as at 30 June 2016</w:t>
      </w:r>
      <w:r w:rsidRPr="003D13FB">
        <w:t>.</w:t>
      </w:r>
    </w:p>
    <w:p w14:paraId="68D2940C" w14:textId="6C9EB14C" w:rsidR="006A3C8F" w:rsidRDefault="006A3C8F" w:rsidP="006602E0">
      <w:pPr>
        <w:pStyle w:val="Bullet"/>
      </w:pPr>
      <w:r>
        <w:lastRenderedPageBreak/>
        <w:t xml:space="preserve">The rules for the protection of taxpayer information in Division 355 of Schedule 1 to the </w:t>
      </w:r>
      <w:r>
        <w:rPr>
          <w:i/>
          <w:iCs/>
        </w:rPr>
        <w:t>Taxation Administration Act 1953</w:t>
      </w:r>
      <w:r>
        <w:t xml:space="preserve"> apply to information in the Agricultural Land Register. These rules, together with the Register publication and reporting requirements in the </w:t>
      </w:r>
      <w:r>
        <w:rPr>
          <w:i/>
          <w:iCs/>
        </w:rPr>
        <w:t>Register of Foreign Ownership of Water or Agricultural Land Act 2015</w:t>
      </w:r>
      <w:r>
        <w:t>, strictly limit the disclosure of any information that might identify any investor. This means that the Commissioner of Taxation, the Treasurer and the Minister for Agriculture are generally prohibited from disclosing identifying information from the Register to the public. </w:t>
      </w:r>
      <w:r w:rsidR="00050248">
        <w:rPr>
          <w:rStyle w:val="CommentReference"/>
          <w:lang w:eastAsia="en-US"/>
        </w:rPr>
        <w:t xml:space="preserve"> </w:t>
      </w:r>
    </w:p>
    <w:p w14:paraId="124F7D7C" w14:textId="77777777" w:rsidR="00196A99" w:rsidRDefault="00196A99" w:rsidP="00196A99">
      <w:pPr>
        <w:pStyle w:val="OutlineNumbered1"/>
        <w:numPr>
          <w:ilvl w:val="0"/>
          <w:numId w:val="0"/>
        </w:numPr>
        <w:ind w:left="360" w:hanging="360"/>
        <w:rPr>
          <w:rFonts w:eastAsiaTheme="minorHAnsi"/>
        </w:rPr>
      </w:pPr>
    </w:p>
    <w:p w14:paraId="7C4E51C9" w14:textId="35DC698E" w:rsidR="00966A66" w:rsidRPr="00966A66" w:rsidRDefault="00966A66" w:rsidP="00200051">
      <w:pPr>
        <w:pStyle w:val="OutlineNumbered1"/>
        <w:numPr>
          <w:ilvl w:val="0"/>
          <w:numId w:val="0"/>
        </w:numPr>
        <w:rPr>
          <w:rFonts w:eastAsiaTheme="minorHAnsi"/>
        </w:rPr>
      </w:pPr>
      <w:r w:rsidRPr="00966A66">
        <w:rPr>
          <w:rFonts w:eastAsiaTheme="minorHAnsi"/>
        </w:rPr>
        <w:br w:type="page"/>
      </w:r>
    </w:p>
    <w:p w14:paraId="63A474B1" w14:textId="77777777" w:rsidR="00966A66" w:rsidRPr="00966A66" w:rsidRDefault="00966A66" w:rsidP="0075349B">
      <w:pPr>
        <w:pStyle w:val="Title"/>
      </w:pPr>
      <w:bookmarkStart w:id="5" w:name="_Toc467683066"/>
      <w:r w:rsidRPr="00966A66">
        <w:t>Response to Senator Xenophon’s Recommendations</w:t>
      </w:r>
      <w:bookmarkEnd w:id="5"/>
    </w:p>
    <w:p w14:paraId="371DA110" w14:textId="77777777" w:rsidR="00966A66" w:rsidRPr="00966A66" w:rsidRDefault="00966A66" w:rsidP="00966A66">
      <w:pPr>
        <w:autoSpaceDE w:val="0"/>
        <w:autoSpaceDN w:val="0"/>
        <w:adjustRightInd w:val="0"/>
        <w:rPr>
          <w:rFonts w:eastAsiaTheme="minorHAnsi"/>
          <w:b/>
          <w:bCs/>
          <w:sz w:val="22"/>
          <w:szCs w:val="22"/>
        </w:rPr>
      </w:pPr>
    </w:p>
    <w:p w14:paraId="06B8B8D6" w14:textId="77777777" w:rsidR="00966A66" w:rsidRPr="00966A66" w:rsidRDefault="00966A66" w:rsidP="0069013F">
      <w:pPr>
        <w:pStyle w:val="Heading1"/>
        <w:pBdr>
          <w:top w:val="single" w:sz="4" w:space="1" w:color="auto"/>
          <w:left w:val="single" w:sz="4" w:space="4" w:color="auto"/>
          <w:bottom w:val="single" w:sz="4" w:space="1" w:color="auto"/>
          <w:right w:val="single" w:sz="4" w:space="4" w:color="auto"/>
        </w:pBdr>
      </w:pPr>
      <w:bookmarkStart w:id="6" w:name="_Toc467683067"/>
      <w:r w:rsidRPr="00966A66">
        <w:t>Recommendation 1</w:t>
      </w:r>
      <w:bookmarkEnd w:id="6"/>
    </w:p>
    <w:p w14:paraId="77978AEF" w14:textId="77777777" w:rsidR="00966A66" w:rsidRPr="00966A66" w:rsidRDefault="00966A66" w:rsidP="0069013F">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i/>
          <w:sz w:val="22"/>
          <w:szCs w:val="22"/>
        </w:rPr>
      </w:pPr>
      <w:r w:rsidRPr="00966A66">
        <w:rPr>
          <w:rFonts w:eastAsiaTheme="minorHAnsi"/>
          <w:i/>
          <w:sz w:val="22"/>
          <w:szCs w:val="22"/>
        </w:rPr>
        <w:t>That Australia adopt a national interest test modelled on New Zealand laws that set out national interest criteria, including the economic effects of foreign versus local investment for a particular project, and a robust consideration of defence and national security issues for strategically sensitive assets including ports, water and electricity utilities.</w:t>
      </w:r>
    </w:p>
    <w:p w14:paraId="0BB9DE93" w14:textId="77777777" w:rsidR="00966A66" w:rsidRPr="00966A66" w:rsidRDefault="00966A66" w:rsidP="00966A66">
      <w:pPr>
        <w:autoSpaceDE w:val="0"/>
        <w:autoSpaceDN w:val="0"/>
        <w:adjustRightInd w:val="0"/>
        <w:rPr>
          <w:rFonts w:eastAsiaTheme="minorHAnsi"/>
          <w:b/>
          <w:bCs/>
          <w:sz w:val="22"/>
          <w:szCs w:val="22"/>
        </w:rPr>
      </w:pPr>
    </w:p>
    <w:p w14:paraId="1E0B917B" w14:textId="353BCAB4" w:rsidR="001C0C80" w:rsidRPr="00050248" w:rsidRDefault="001C0C80" w:rsidP="001C0C80">
      <w:pPr>
        <w:pStyle w:val="Bullet"/>
        <w:rPr>
          <w:szCs w:val="22"/>
        </w:rPr>
      </w:pPr>
      <w:r w:rsidRPr="00050248">
        <w:rPr>
          <w:szCs w:val="22"/>
        </w:rPr>
        <w:t xml:space="preserve">Noted.  </w:t>
      </w:r>
      <w:r w:rsidRPr="00050248">
        <w:t xml:space="preserve">The current national interest test is broad and the Treasurer can and does take into account a range of factors when considering whether a proposal </w:t>
      </w:r>
      <w:r w:rsidR="005337FF" w:rsidRPr="00050248">
        <w:t>may be</w:t>
      </w:r>
      <w:r w:rsidRPr="00050248">
        <w:t xml:space="preserve"> contrary to the national interest. The factors considered as part of the national interest test are not legislated and doing so would limit the flexibility of the framework.</w:t>
      </w:r>
    </w:p>
    <w:p w14:paraId="7D5356EB" w14:textId="7C900E4B" w:rsidR="001C0C80" w:rsidRPr="00050248" w:rsidRDefault="001C0C80" w:rsidP="001C0C80">
      <w:pPr>
        <w:pStyle w:val="Bullet"/>
        <w:rPr>
          <w:szCs w:val="22"/>
        </w:rPr>
      </w:pPr>
      <w:r w:rsidRPr="00050248">
        <w:rPr>
          <w:szCs w:val="22"/>
        </w:rPr>
        <w:t xml:space="preserve">On </w:t>
      </w:r>
      <w:r w:rsidR="00FF4296" w:rsidRPr="00050248">
        <w:rPr>
          <w:szCs w:val="22"/>
        </w:rPr>
        <w:t xml:space="preserve">23 January 2017, </w:t>
      </w:r>
      <w:r w:rsidRPr="00050248">
        <w:rPr>
          <w:szCs w:val="22"/>
        </w:rPr>
        <w:t>the Government announced a new strategy to identify and manage national security ris</w:t>
      </w:r>
      <w:r w:rsidR="00200051" w:rsidRPr="00050248">
        <w:rPr>
          <w:szCs w:val="22"/>
        </w:rPr>
        <w:t>ks in critical infrastructure.</w:t>
      </w:r>
    </w:p>
    <w:p w14:paraId="3F96B540" w14:textId="51DC195B" w:rsidR="00200051" w:rsidRPr="00050248" w:rsidRDefault="001C0C80" w:rsidP="00200051">
      <w:pPr>
        <w:pStyle w:val="Bullet"/>
        <w:rPr>
          <w:szCs w:val="22"/>
        </w:rPr>
      </w:pPr>
      <w:r w:rsidRPr="00050248">
        <w:rPr>
          <w:szCs w:val="22"/>
        </w:rPr>
        <w:t xml:space="preserve">A new Critical Infrastructure Centre </w:t>
      </w:r>
      <w:r w:rsidR="00D51490" w:rsidRPr="00050248">
        <w:rPr>
          <w:szCs w:val="22"/>
        </w:rPr>
        <w:t xml:space="preserve">has </w:t>
      </w:r>
      <w:r w:rsidRPr="00050248">
        <w:rPr>
          <w:szCs w:val="22"/>
        </w:rPr>
        <w:t>be</w:t>
      </w:r>
      <w:r w:rsidR="00D51490" w:rsidRPr="00050248">
        <w:rPr>
          <w:szCs w:val="22"/>
        </w:rPr>
        <w:t>en</w:t>
      </w:r>
      <w:r w:rsidRPr="00050248">
        <w:rPr>
          <w:szCs w:val="22"/>
        </w:rPr>
        <w:t xml:space="preserve"> established within the Attorney-General’s Department to work collaboratively with states, territories and industry, providing coordinated national security advice to government and assistance to industry on threats and risk management strategies. The Government will also consult with states, territories and industry on measures to support the Critical Infrastructure Centre, with a view to gaining a clearer picture of infrastructure ownership in Australia and ensuring appropriate actions are taken to prot</w:t>
      </w:r>
      <w:r w:rsidR="00200051" w:rsidRPr="00050248">
        <w:rPr>
          <w:szCs w:val="22"/>
        </w:rPr>
        <w:t>ect our most critical assets.</w:t>
      </w:r>
    </w:p>
    <w:p w14:paraId="1DD45243" w14:textId="13B4323E" w:rsidR="00196A99" w:rsidRPr="00050248" w:rsidRDefault="001C0C80" w:rsidP="00200051">
      <w:pPr>
        <w:pStyle w:val="Bullet"/>
        <w:rPr>
          <w:szCs w:val="22"/>
        </w:rPr>
      </w:pPr>
      <w:r w:rsidRPr="00050248">
        <w:rPr>
          <w:szCs w:val="22"/>
        </w:rPr>
        <w:t xml:space="preserve">The Government’s reforms will improve certainty for businesses and investors, by providing clarity about national security review processes for critical infrastructure, including through the foreign investment framework. </w:t>
      </w:r>
    </w:p>
    <w:p w14:paraId="742FA359" w14:textId="5E261AD5" w:rsidR="003E040A" w:rsidRPr="00050248" w:rsidRDefault="003E040A" w:rsidP="003E040A">
      <w:pPr>
        <w:autoSpaceDE w:val="0"/>
        <w:autoSpaceDN w:val="0"/>
        <w:adjustRightInd w:val="0"/>
        <w:rPr>
          <w:bCs/>
          <w:sz w:val="22"/>
          <w:szCs w:val="22"/>
        </w:rPr>
      </w:pPr>
    </w:p>
    <w:p w14:paraId="7EC5DCAC" w14:textId="0DA27044" w:rsidR="00966A66" w:rsidRPr="00050248" w:rsidRDefault="00966A66" w:rsidP="0069013F">
      <w:pPr>
        <w:pStyle w:val="Heading1"/>
        <w:pBdr>
          <w:top w:val="single" w:sz="4" w:space="1" w:color="auto"/>
          <w:left w:val="single" w:sz="4" w:space="4" w:color="auto"/>
          <w:bottom w:val="single" w:sz="4" w:space="1" w:color="auto"/>
          <w:right w:val="single" w:sz="4" w:space="4" w:color="auto"/>
        </w:pBdr>
      </w:pPr>
      <w:bookmarkStart w:id="7" w:name="_Toc467683068"/>
      <w:r w:rsidRPr="00050248">
        <w:t>Recommendation 2</w:t>
      </w:r>
      <w:bookmarkEnd w:id="7"/>
    </w:p>
    <w:p w14:paraId="07AFBD08" w14:textId="77777777" w:rsidR="00966A66" w:rsidRPr="00050248" w:rsidRDefault="00966A66" w:rsidP="0069013F">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22"/>
          <w:szCs w:val="22"/>
        </w:rPr>
      </w:pPr>
      <w:r w:rsidRPr="00050248">
        <w:rPr>
          <w:rFonts w:eastAsiaTheme="minorHAnsi"/>
          <w:i/>
          <w:sz w:val="22"/>
          <w:szCs w:val="22"/>
        </w:rPr>
        <w:t xml:space="preserve">The </w:t>
      </w:r>
      <w:r w:rsidRPr="00050248">
        <w:rPr>
          <w:rFonts w:eastAsiaTheme="minorHAnsi"/>
          <w:i/>
          <w:iCs/>
          <w:sz w:val="22"/>
          <w:szCs w:val="22"/>
        </w:rPr>
        <w:t xml:space="preserve">Foreign Acquisitions and Takeovers Act 1975 </w:t>
      </w:r>
      <w:r w:rsidRPr="00050248">
        <w:rPr>
          <w:rFonts w:eastAsiaTheme="minorHAnsi"/>
          <w:i/>
          <w:sz w:val="22"/>
          <w:szCs w:val="22"/>
        </w:rPr>
        <w:t>should be amended to require any credible locally based bid for an asset to be taken into account before approving any foreign based bid.</w:t>
      </w:r>
    </w:p>
    <w:p w14:paraId="7BF389D5" w14:textId="77777777" w:rsidR="00966A66" w:rsidRPr="00050248" w:rsidRDefault="00966A66" w:rsidP="00966A66">
      <w:pPr>
        <w:autoSpaceDE w:val="0"/>
        <w:autoSpaceDN w:val="0"/>
        <w:adjustRightInd w:val="0"/>
        <w:rPr>
          <w:rFonts w:eastAsiaTheme="minorHAnsi"/>
          <w:sz w:val="22"/>
          <w:szCs w:val="22"/>
        </w:rPr>
      </w:pPr>
    </w:p>
    <w:p w14:paraId="36E9CE42" w14:textId="361EA167" w:rsidR="00A82FF8" w:rsidRPr="00050248" w:rsidRDefault="001C0C80" w:rsidP="001E558A">
      <w:pPr>
        <w:pStyle w:val="Bullet"/>
      </w:pPr>
      <w:r w:rsidRPr="00050248">
        <w:t>Noted</w:t>
      </w:r>
      <w:r w:rsidR="00647CE6" w:rsidRPr="00050248">
        <w:t xml:space="preserve">. </w:t>
      </w:r>
      <w:r w:rsidR="00970F2D" w:rsidRPr="00050248">
        <w:t>T</w:t>
      </w:r>
      <w:r w:rsidR="001E558A" w:rsidRPr="00050248">
        <w:t xml:space="preserve">he national interest test is broad and the Treasurer can and does take into account a range of factors when considering whether a proposal is not contrary to the national interest. </w:t>
      </w:r>
      <w:r w:rsidR="00970F2D" w:rsidRPr="00050248">
        <w:t xml:space="preserve">This includes considering the entire </w:t>
      </w:r>
      <w:r w:rsidR="00FF4296" w:rsidRPr="00050248">
        <w:t xml:space="preserve">sale </w:t>
      </w:r>
      <w:r w:rsidR="00384570" w:rsidRPr="00050248">
        <w:t>process</w:t>
      </w:r>
      <w:r w:rsidR="00970F2D" w:rsidRPr="00050248">
        <w:t>. The factors considered as part of the national interest test are not legislated</w:t>
      </w:r>
      <w:r w:rsidR="005A72CC" w:rsidRPr="00050248">
        <w:t xml:space="preserve"> and </w:t>
      </w:r>
      <w:r w:rsidR="00970F2D" w:rsidRPr="00050248">
        <w:t xml:space="preserve">doing so would limit the flexibility of the framework. </w:t>
      </w:r>
      <w:r w:rsidR="00647CE6" w:rsidRPr="00050248">
        <w:t xml:space="preserve">The Government does not think the </w:t>
      </w:r>
      <w:r w:rsidR="001E558A" w:rsidRPr="00050248">
        <w:rPr>
          <w:i/>
        </w:rPr>
        <w:t>Foreign Acquisitions and Takeovers Act 1975</w:t>
      </w:r>
      <w:r w:rsidR="001E558A" w:rsidRPr="00050248">
        <w:t xml:space="preserve"> </w:t>
      </w:r>
      <w:r w:rsidR="00647CE6" w:rsidRPr="00050248">
        <w:t xml:space="preserve">needs to be amended </w:t>
      </w:r>
      <w:r w:rsidR="001E558A" w:rsidRPr="00050248">
        <w:t xml:space="preserve">to </w:t>
      </w:r>
      <w:r w:rsidR="00992936" w:rsidRPr="00050248">
        <w:t xml:space="preserve">require formal </w:t>
      </w:r>
      <w:r w:rsidR="001E558A" w:rsidRPr="00050248">
        <w:t>consider</w:t>
      </w:r>
      <w:r w:rsidR="00992936" w:rsidRPr="00050248">
        <w:t>ation of</w:t>
      </w:r>
      <w:r w:rsidR="001E558A" w:rsidRPr="00050248">
        <w:t xml:space="preserve"> the bidding environment. </w:t>
      </w:r>
    </w:p>
    <w:p w14:paraId="4ECE943F" w14:textId="77777777" w:rsidR="00196A99" w:rsidRDefault="00196A99" w:rsidP="00196A99"/>
    <w:sectPr w:rsidR="00196A99" w:rsidSect="0043092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B394E" w14:textId="77777777" w:rsidR="001C0C80" w:rsidRDefault="001C0C80" w:rsidP="00966A66">
      <w:r>
        <w:separator/>
      </w:r>
    </w:p>
  </w:endnote>
  <w:endnote w:type="continuationSeparator" w:id="0">
    <w:p w14:paraId="21EE4783" w14:textId="77777777" w:rsidR="001C0C80" w:rsidRDefault="001C0C80" w:rsidP="00966A66">
      <w:r>
        <w:continuationSeparator/>
      </w:r>
    </w:p>
  </w:endnote>
  <w:endnote w:type="continuationNotice" w:id="1">
    <w:p w14:paraId="4C628186" w14:textId="77777777" w:rsidR="001C0C80" w:rsidRDefault="001C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C9FB" w14:textId="5F5C37D2" w:rsidR="001C0C80" w:rsidRPr="00966A66" w:rsidRDefault="005B110C" w:rsidP="00966A66">
    <w:pPr>
      <w:pBdr>
        <w:top w:val="single" w:sz="4" w:space="1" w:color="auto"/>
      </w:pBdr>
      <w:tabs>
        <w:tab w:val="right" w:pos="9072"/>
      </w:tabs>
      <w:rPr>
        <w:sz w:val="16"/>
        <w:szCs w:val="16"/>
      </w:rPr>
    </w:pPr>
    <w:r>
      <w:rPr>
        <w:sz w:val="16"/>
        <w:szCs w:val="16"/>
      </w:rPr>
      <w:t>February 2017</w:t>
    </w:r>
    <w:r w:rsidR="001C0C80">
      <w:rPr>
        <w:sz w:val="16"/>
        <w:szCs w:val="16"/>
      </w:rPr>
      <w:tab/>
    </w:r>
    <w:r w:rsidR="001C0C80" w:rsidRPr="00966A66">
      <w:rPr>
        <w:sz w:val="16"/>
        <w:szCs w:val="16"/>
      </w:rPr>
      <w:fldChar w:fldCharType="begin"/>
    </w:r>
    <w:r w:rsidR="001C0C80" w:rsidRPr="00966A66">
      <w:rPr>
        <w:sz w:val="16"/>
        <w:szCs w:val="16"/>
      </w:rPr>
      <w:instrText xml:space="preserve"> PAGE   \* MERGEFORMAT </w:instrText>
    </w:r>
    <w:r w:rsidR="001C0C80" w:rsidRPr="00966A66">
      <w:rPr>
        <w:sz w:val="16"/>
        <w:szCs w:val="16"/>
      </w:rPr>
      <w:fldChar w:fldCharType="separate"/>
    </w:r>
    <w:r w:rsidR="003D17D1">
      <w:rPr>
        <w:noProof/>
        <w:sz w:val="16"/>
        <w:szCs w:val="16"/>
      </w:rPr>
      <w:t>i</w:t>
    </w:r>
    <w:r w:rsidR="001C0C80" w:rsidRPr="00966A66">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F7B34" w14:textId="77777777" w:rsidR="001C0C80" w:rsidRDefault="001C0C80" w:rsidP="00966A66">
      <w:r>
        <w:separator/>
      </w:r>
    </w:p>
  </w:footnote>
  <w:footnote w:type="continuationSeparator" w:id="0">
    <w:p w14:paraId="35A9B91E" w14:textId="77777777" w:rsidR="001C0C80" w:rsidRDefault="001C0C80" w:rsidP="00966A66">
      <w:r>
        <w:continuationSeparator/>
      </w:r>
    </w:p>
  </w:footnote>
  <w:footnote w:type="continuationNotice" w:id="1">
    <w:p w14:paraId="7A6BBCAF" w14:textId="77777777" w:rsidR="001C0C80" w:rsidRDefault="001C0C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D65873C4"/>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5644C00"/>
    <w:multiLevelType w:val="singleLevel"/>
    <w:tmpl w:val="60227450"/>
    <w:name w:val="StandardNumberedParagraphList"/>
    <w:lvl w:ilvl="0">
      <w:start w:val="2"/>
      <w:numFmt w:val="decimal"/>
      <w:pStyle w:val="NumberedParagraph"/>
      <w:lvlText w:val="%1."/>
      <w:lvlJc w:val="left"/>
      <w:pPr>
        <w:tabs>
          <w:tab w:val="num" w:pos="567"/>
        </w:tabs>
        <w:ind w:left="0" w:firstLine="0"/>
      </w:pPr>
    </w:lvl>
  </w:abstractNum>
  <w:abstractNum w:abstractNumId="2">
    <w:nsid w:val="1ADF06BE"/>
    <w:multiLevelType w:val="multilevel"/>
    <w:tmpl w:val="17B4AC4E"/>
    <w:lvl w:ilvl="0">
      <w:start w:val="1"/>
      <w:numFmt w:val="bullet"/>
      <w:lvlText w:val="•"/>
      <w:lvlJc w:val="left"/>
      <w:pPr>
        <w:tabs>
          <w:tab w:val="num" w:pos="378"/>
        </w:tabs>
        <w:ind w:left="378" w:hanging="378"/>
      </w:pPr>
      <w:rPr>
        <w:rFonts w:ascii="Times New Roman" w:hAnsi="Times New Roman" w:cs="Times New Roman"/>
      </w:rPr>
    </w:lvl>
    <w:lvl w:ilvl="1">
      <w:start w:val="1"/>
      <w:numFmt w:val="bullet"/>
      <w:lvlText w:val="–"/>
      <w:lvlJc w:val="left"/>
      <w:pPr>
        <w:tabs>
          <w:tab w:val="num" w:pos="756"/>
        </w:tabs>
        <w:ind w:left="756" w:hanging="378"/>
      </w:pPr>
      <w:rPr>
        <w:rFonts w:ascii="Times New Roman" w:hAnsi="Times New Roman" w:cs="Times New Roman"/>
      </w:rPr>
    </w:lvl>
    <w:lvl w:ilvl="2">
      <w:start w:val="1"/>
      <w:numFmt w:val="bullet"/>
      <w:lvlText w:val=":"/>
      <w:lvlJc w:val="left"/>
      <w:pPr>
        <w:tabs>
          <w:tab w:val="num" w:pos="1134"/>
        </w:tabs>
        <w:ind w:left="1134" w:hanging="378"/>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D665DFA"/>
    <w:multiLevelType w:val="singleLevel"/>
    <w:tmpl w:val="CD7CAA94"/>
    <w:lvl w:ilvl="0">
      <w:start w:val="1"/>
      <w:numFmt w:val="lowerLetter"/>
      <w:lvlRestart w:val="0"/>
      <w:pStyle w:val="OutlineNumbered3"/>
      <w:lvlText w:val="(%1)"/>
      <w:lvlJc w:val="left"/>
      <w:pPr>
        <w:tabs>
          <w:tab w:val="num" w:pos="567"/>
        </w:tabs>
        <w:ind w:left="567" w:hanging="567"/>
      </w:pPr>
      <w:rPr>
        <w:rFonts w:ascii="Book Antiqua" w:hAnsi="Book Antiqua"/>
        <w:b w:val="0"/>
        <w:i w:val="0"/>
        <w:sz w:val="24"/>
      </w:rPr>
    </w:lvl>
  </w:abstractNum>
  <w:abstractNum w:abstractNumId="4">
    <w:nsid w:val="50FD4C91"/>
    <w:multiLevelType w:val="multilevel"/>
    <w:tmpl w:val="0BC024B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8101827"/>
    <w:multiLevelType w:val="multilevel"/>
    <w:tmpl w:val="072C6E52"/>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68A6786B"/>
    <w:multiLevelType w:val="multilevel"/>
    <w:tmpl w:val="0A14FC9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37F0E70"/>
    <w:multiLevelType w:val="hybridMultilevel"/>
    <w:tmpl w:val="A3C8CEAA"/>
    <w:lvl w:ilvl="0" w:tplc="A420E8EE">
      <w:start w:val="1"/>
      <w:numFmt w:val="decimal"/>
      <w:lvlText w:val="%1."/>
      <w:lvlJc w:val="left"/>
      <w:pPr>
        <w:tabs>
          <w:tab w:val="num" w:pos="567"/>
        </w:tabs>
        <w:ind w:left="567" w:hanging="567"/>
      </w:pPr>
      <w:rPr>
        <w:rFonts w:ascii="Times New Roman" w:hAnsi="Times New Roman" w:cs="Times New Roman" w:hint="default"/>
        <w:b w:val="0"/>
        <w:sz w:val="22"/>
      </w:rPr>
    </w:lvl>
    <w:lvl w:ilvl="1" w:tplc="09E86D96">
      <w:start w:val="1"/>
      <w:numFmt w:val="lowerLetter"/>
      <w:pStyle w:val="OutlineNumbered1"/>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7"/>
    <w:lvlOverride w:ilvl="0">
      <w:startOverride w:val="1"/>
    </w:lvlOverride>
  </w:num>
  <w:num w:numId="8">
    <w:abstractNumId w:val="0"/>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66"/>
    <w:rsid w:val="00004046"/>
    <w:rsid w:val="0002533A"/>
    <w:rsid w:val="00037943"/>
    <w:rsid w:val="00050248"/>
    <w:rsid w:val="00051C77"/>
    <w:rsid w:val="00053C40"/>
    <w:rsid w:val="000A4503"/>
    <w:rsid w:val="000A7A1E"/>
    <w:rsid w:val="000C432D"/>
    <w:rsid w:val="000D48DA"/>
    <w:rsid w:val="000E6F60"/>
    <w:rsid w:val="0011464D"/>
    <w:rsid w:val="00115EDD"/>
    <w:rsid w:val="001275F2"/>
    <w:rsid w:val="00130D89"/>
    <w:rsid w:val="00142B2D"/>
    <w:rsid w:val="001765F3"/>
    <w:rsid w:val="00196A99"/>
    <w:rsid w:val="001A205E"/>
    <w:rsid w:val="001C0C80"/>
    <w:rsid w:val="001C1F61"/>
    <w:rsid w:val="001E558A"/>
    <w:rsid w:val="001F52FF"/>
    <w:rsid w:val="001F7E9F"/>
    <w:rsid w:val="00200051"/>
    <w:rsid w:val="002053F0"/>
    <w:rsid w:val="00214AF7"/>
    <w:rsid w:val="002156DA"/>
    <w:rsid w:val="00217B57"/>
    <w:rsid w:val="00242096"/>
    <w:rsid w:val="00245F02"/>
    <w:rsid w:val="0026480C"/>
    <w:rsid w:val="002675E3"/>
    <w:rsid w:val="00272DDA"/>
    <w:rsid w:val="00280A2F"/>
    <w:rsid w:val="002A320A"/>
    <w:rsid w:val="002A3511"/>
    <w:rsid w:val="002A6FBA"/>
    <w:rsid w:val="002D07F7"/>
    <w:rsid w:val="0032783D"/>
    <w:rsid w:val="00334BF8"/>
    <w:rsid w:val="00384570"/>
    <w:rsid w:val="003C4820"/>
    <w:rsid w:val="003D051F"/>
    <w:rsid w:val="003D13FB"/>
    <w:rsid w:val="003D17D1"/>
    <w:rsid w:val="003E040A"/>
    <w:rsid w:val="003E4DFF"/>
    <w:rsid w:val="0040232A"/>
    <w:rsid w:val="00406285"/>
    <w:rsid w:val="0040730A"/>
    <w:rsid w:val="0041148A"/>
    <w:rsid w:val="00427902"/>
    <w:rsid w:val="0043092E"/>
    <w:rsid w:val="0047772F"/>
    <w:rsid w:val="00495C11"/>
    <w:rsid w:val="004B2210"/>
    <w:rsid w:val="004C7F15"/>
    <w:rsid w:val="004E7B91"/>
    <w:rsid w:val="005337FF"/>
    <w:rsid w:val="00574024"/>
    <w:rsid w:val="005A72CC"/>
    <w:rsid w:val="005B110C"/>
    <w:rsid w:val="005B3CC5"/>
    <w:rsid w:val="005E0988"/>
    <w:rsid w:val="0061085A"/>
    <w:rsid w:val="00647CE6"/>
    <w:rsid w:val="00647FB5"/>
    <w:rsid w:val="006602E0"/>
    <w:rsid w:val="0069013F"/>
    <w:rsid w:val="006A3C8F"/>
    <w:rsid w:val="006C5B44"/>
    <w:rsid w:val="006D101B"/>
    <w:rsid w:val="006F002A"/>
    <w:rsid w:val="006F2D67"/>
    <w:rsid w:val="0075349B"/>
    <w:rsid w:val="00793245"/>
    <w:rsid w:val="007A1DB0"/>
    <w:rsid w:val="007B6060"/>
    <w:rsid w:val="007C264D"/>
    <w:rsid w:val="007C3922"/>
    <w:rsid w:val="007D1AD8"/>
    <w:rsid w:val="00834E63"/>
    <w:rsid w:val="00861F9E"/>
    <w:rsid w:val="00891AB3"/>
    <w:rsid w:val="008945C1"/>
    <w:rsid w:val="00894AC6"/>
    <w:rsid w:val="008A1ED0"/>
    <w:rsid w:val="008A3FA9"/>
    <w:rsid w:val="008C336E"/>
    <w:rsid w:val="0091507C"/>
    <w:rsid w:val="009336AE"/>
    <w:rsid w:val="009364D4"/>
    <w:rsid w:val="0094059C"/>
    <w:rsid w:val="00946030"/>
    <w:rsid w:val="0096567A"/>
    <w:rsid w:val="00966A66"/>
    <w:rsid w:val="00970F2D"/>
    <w:rsid w:val="00981A9E"/>
    <w:rsid w:val="00992936"/>
    <w:rsid w:val="009C4FA4"/>
    <w:rsid w:val="009D3794"/>
    <w:rsid w:val="009F6363"/>
    <w:rsid w:val="00A01BDA"/>
    <w:rsid w:val="00A26618"/>
    <w:rsid w:val="00A33AD1"/>
    <w:rsid w:val="00A505D4"/>
    <w:rsid w:val="00A740D6"/>
    <w:rsid w:val="00A82FF8"/>
    <w:rsid w:val="00AA551A"/>
    <w:rsid w:val="00AD70CB"/>
    <w:rsid w:val="00AE016A"/>
    <w:rsid w:val="00B1323C"/>
    <w:rsid w:val="00B13C24"/>
    <w:rsid w:val="00B45A7A"/>
    <w:rsid w:val="00B5674D"/>
    <w:rsid w:val="00BB32A7"/>
    <w:rsid w:val="00BC071D"/>
    <w:rsid w:val="00C15A07"/>
    <w:rsid w:val="00C2530E"/>
    <w:rsid w:val="00D1003F"/>
    <w:rsid w:val="00D12D7F"/>
    <w:rsid w:val="00D223B2"/>
    <w:rsid w:val="00D51458"/>
    <w:rsid w:val="00D51490"/>
    <w:rsid w:val="00DA3DCA"/>
    <w:rsid w:val="00DB7D40"/>
    <w:rsid w:val="00DE6AE9"/>
    <w:rsid w:val="00E243BC"/>
    <w:rsid w:val="00E40454"/>
    <w:rsid w:val="00E40C9C"/>
    <w:rsid w:val="00E4550E"/>
    <w:rsid w:val="00E72E8C"/>
    <w:rsid w:val="00E97DCD"/>
    <w:rsid w:val="00ED04DA"/>
    <w:rsid w:val="00EE6259"/>
    <w:rsid w:val="00F013D0"/>
    <w:rsid w:val="00F02766"/>
    <w:rsid w:val="00F02E84"/>
    <w:rsid w:val="00F37125"/>
    <w:rsid w:val="00F829D0"/>
    <w:rsid w:val="00FA38B0"/>
    <w:rsid w:val="00FB4B51"/>
    <w:rsid w:val="00FE5D96"/>
    <w:rsid w:val="00FF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69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66"/>
    <w:rPr>
      <w:rFonts w:eastAsia="Times New Roman"/>
      <w:sz w:val="24"/>
      <w:szCs w:val="24"/>
    </w:rPr>
  </w:style>
  <w:style w:type="paragraph" w:styleId="Heading1">
    <w:name w:val="heading 1"/>
    <w:basedOn w:val="Normal"/>
    <w:next w:val="Normal"/>
    <w:link w:val="Heading1Char"/>
    <w:uiPriority w:val="9"/>
    <w:qFormat/>
    <w:rsid w:val="0075349B"/>
    <w:pPr>
      <w:autoSpaceDE w:val="0"/>
      <w:autoSpaceDN w:val="0"/>
      <w:adjustRightInd w:val="0"/>
      <w:outlineLvl w:val="0"/>
    </w:pPr>
    <w:rPr>
      <w:rFonts w:eastAsiaTheme="minorHAnsi"/>
      <w:b/>
      <w:sz w:val="22"/>
      <w:szCs w:val="22"/>
    </w:rPr>
  </w:style>
  <w:style w:type="paragraph" w:styleId="Heading2">
    <w:name w:val="heading 2"/>
    <w:basedOn w:val="Normal"/>
    <w:next w:val="Normal"/>
    <w:link w:val="Heading2Char"/>
    <w:uiPriority w:val="9"/>
    <w:semiHidden/>
    <w:unhideWhenUsed/>
    <w:qFormat/>
    <w:rsid w:val="00753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34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A66"/>
    <w:rPr>
      <w:rFonts w:ascii="Tahoma" w:hAnsi="Tahoma" w:cs="Tahoma"/>
      <w:sz w:val="16"/>
      <w:szCs w:val="16"/>
    </w:rPr>
  </w:style>
  <w:style w:type="character" w:customStyle="1" w:styleId="BalloonTextChar">
    <w:name w:val="Balloon Text Char"/>
    <w:basedOn w:val="DefaultParagraphFont"/>
    <w:link w:val="BalloonText"/>
    <w:uiPriority w:val="99"/>
    <w:semiHidden/>
    <w:rsid w:val="00966A66"/>
    <w:rPr>
      <w:rFonts w:ascii="Tahoma" w:eastAsia="Times New Roman" w:hAnsi="Tahoma" w:cs="Tahoma"/>
      <w:sz w:val="16"/>
      <w:szCs w:val="16"/>
    </w:rPr>
  </w:style>
  <w:style w:type="paragraph" w:styleId="Header">
    <w:name w:val="header"/>
    <w:basedOn w:val="Normal"/>
    <w:link w:val="HeaderChar"/>
    <w:uiPriority w:val="99"/>
    <w:unhideWhenUsed/>
    <w:rsid w:val="00966A66"/>
    <w:pPr>
      <w:tabs>
        <w:tab w:val="center" w:pos="4513"/>
        <w:tab w:val="right" w:pos="9026"/>
      </w:tabs>
    </w:pPr>
  </w:style>
  <w:style w:type="character" w:customStyle="1" w:styleId="HeaderChar">
    <w:name w:val="Header Char"/>
    <w:basedOn w:val="DefaultParagraphFont"/>
    <w:link w:val="Header"/>
    <w:uiPriority w:val="99"/>
    <w:rsid w:val="00966A66"/>
    <w:rPr>
      <w:rFonts w:eastAsia="Times New Roman"/>
      <w:sz w:val="24"/>
      <w:szCs w:val="24"/>
    </w:rPr>
  </w:style>
  <w:style w:type="paragraph" w:styleId="Footer">
    <w:name w:val="footer"/>
    <w:basedOn w:val="Normal"/>
    <w:link w:val="FooterChar"/>
    <w:uiPriority w:val="99"/>
    <w:unhideWhenUsed/>
    <w:rsid w:val="00966A66"/>
    <w:pPr>
      <w:tabs>
        <w:tab w:val="center" w:pos="4513"/>
        <w:tab w:val="right" w:pos="9026"/>
      </w:tabs>
    </w:pPr>
  </w:style>
  <w:style w:type="character" w:customStyle="1" w:styleId="FooterChar">
    <w:name w:val="Footer Char"/>
    <w:basedOn w:val="DefaultParagraphFont"/>
    <w:link w:val="Footer"/>
    <w:uiPriority w:val="99"/>
    <w:rsid w:val="00966A66"/>
    <w:rPr>
      <w:rFonts w:eastAsia="Times New Roman"/>
      <w:sz w:val="24"/>
      <w:szCs w:val="24"/>
    </w:rPr>
  </w:style>
  <w:style w:type="paragraph" w:customStyle="1" w:styleId="Bullet">
    <w:name w:val="Bullet"/>
    <w:aliases w:val="b,b1,b + line,Body,level 1,Bullet + line"/>
    <w:basedOn w:val="Normal"/>
    <w:link w:val="BulletChar"/>
    <w:qFormat/>
    <w:rsid w:val="006602E0"/>
    <w:pPr>
      <w:numPr>
        <w:numId w:val="1"/>
      </w:numPr>
      <w:spacing w:before="120" w:after="120"/>
    </w:pPr>
    <w:rPr>
      <w:sz w:val="22"/>
      <w:szCs w:val="20"/>
      <w:lang w:eastAsia="en-AU"/>
    </w:rPr>
  </w:style>
  <w:style w:type="character" w:customStyle="1" w:styleId="BulletChar">
    <w:name w:val="Bullet Char"/>
    <w:aliases w:val="b Char,b + line Char Char,b Char Char"/>
    <w:basedOn w:val="DefaultParagraphFont"/>
    <w:link w:val="Bullet"/>
    <w:rsid w:val="006602E0"/>
    <w:rPr>
      <w:rFonts w:eastAsia="Times New Roman"/>
      <w:sz w:val="22"/>
      <w:lang w:eastAsia="en-AU"/>
    </w:rPr>
  </w:style>
  <w:style w:type="paragraph" w:customStyle="1" w:styleId="Dash">
    <w:name w:val="Dash"/>
    <w:basedOn w:val="Normal"/>
    <w:link w:val="DashChar"/>
    <w:qFormat/>
    <w:rsid w:val="00D51458"/>
    <w:pPr>
      <w:numPr>
        <w:ilvl w:val="1"/>
        <w:numId w:val="1"/>
      </w:numPr>
      <w:spacing w:after="200"/>
    </w:pPr>
    <w:rPr>
      <w:szCs w:val="20"/>
      <w:lang w:eastAsia="en-AU"/>
    </w:rPr>
  </w:style>
  <w:style w:type="character" w:customStyle="1" w:styleId="DashChar">
    <w:name w:val="Dash Char"/>
    <w:basedOn w:val="DefaultParagraphFont"/>
    <w:link w:val="Dash"/>
    <w:uiPriority w:val="99"/>
    <w:rsid w:val="00D51458"/>
    <w:rPr>
      <w:rFonts w:eastAsia="Times New Roman"/>
      <w:sz w:val="24"/>
      <w:lang w:eastAsia="en-AU"/>
    </w:rPr>
  </w:style>
  <w:style w:type="paragraph" w:customStyle="1" w:styleId="DoubleDot">
    <w:name w:val="Double Dot"/>
    <w:basedOn w:val="Normal"/>
    <w:link w:val="DoubleDotChar"/>
    <w:qFormat/>
    <w:rsid w:val="00D51458"/>
    <w:pPr>
      <w:numPr>
        <w:ilvl w:val="2"/>
        <w:numId w:val="1"/>
      </w:numPr>
      <w:spacing w:after="200"/>
    </w:pPr>
    <w:rPr>
      <w:szCs w:val="20"/>
      <w:lang w:eastAsia="en-AU"/>
    </w:rPr>
  </w:style>
  <w:style w:type="character" w:customStyle="1" w:styleId="DoubleDotChar">
    <w:name w:val="Double Dot Char"/>
    <w:basedOn w:val="DefaultParagraphFont"/>
    <w:link w:val="DoubleDot"/>
    <w:uiPriority w:val="99"/>
    <w:rsid w:val="00D51458"/>
    <w:rPr>
      <w:rFonts w:eastAsia="Times New Roman"/>
      <w:sz w:val="24"/>
      <w:lang w:eastAsia="en-AU"/>
    </w:rPr>
  </w:style>
  <w:style w:type="paragraph" w:customStyle="1" w:styleId="OutlineNumbered1">
    <w:name w:val="Outline Numbered 1"/>
    <w:basedOn w:val="Normal"/>
    <w:rsid w:val="00142B2D"/>
    <w:pPr>
      <w:numPr>
        <w:ilvl w:val="1"/>
        <w:numId w:val="3"/>
      </w:numPr>
      <w:spacing w:before="120" w:after="120"/>
      <w:jc w:val="both"/>
    </w:pPr>
    <w:rPr>
      <w:color w:val="000000" w:themeColor="text1"/>
      <w:sz w:val="22"/>
      <w:szCs w:val="22"/>
      <w:lang w:val="en-US" w:eastAsia="en-AU"/>
    </w:rPr>
  </w:style>
  <w:style w:type="paragraph" w:customStyle="1" w:styleId="Quote1">
    <w:name w:val="Quote 1"/>
    <w:basedOn w:val="Normal"/>
    <w:rsid w:val="003C4820"/>
    <w:pPr>
      <w:tabs>
        <w:tab w:val="num" w:pos="1134"/>
      </w:tabs>
      <w:spacing w:after="240"/>
      <w:ind w:left="1134" w:right="567"/>
      <w:jc w:val="both"/>
    </w:pPr>
    <w:rPr>
      <w:rFonts w:asciiTheme="minorHAnsi" w:hAnsiTheme="minorHAnsi"/>
      <w:i/>
      <w:color w:val="000000" w:themeColor="text1"/>
      <w:sz w:val="22"/>
      <w:szCs w:val="20"/>
      <w:lang w:eastAsia="en-AU"/>
    </w:rPr>
  </w:style>
  <w:style w:type="paragraph" w:customStyle="1" w:styleId="BoxBullet">
    <w:name w:val="Box Bullet"/>
    <w:basedOn w:val="Normal"/>
    <w:rsid w:val="003C4820"/>
    <w:pPr>
      <w:numPr>
        <w:numId w:val="4"/>
      </w:numPr>
      <w:spacing w:after="240"/>
      <w:jc w:val="both"/>
    </w:pPr>
    <w:rPr>
      <w:rFonts w:asciiTheme="minorHAnsi" w:hAnsiTheme="minorHAnsi"/>
      <w:color w:val="000000" w:themeColor="text1"/>
      <w:sz w:val="22"/>
      <w:szCs w:val="20"/>
      <w:lang w:eastAsia="en-AU"/>
    </w:rPr>
  </w:style>
  <w:style w:type="paragraph" w:customStyle="1" w:styleId="BoxDash">
    <w:name w:val="Box Dash"/>
    <w:basedOn w:val="Normal"/>
    <w:rsid w:val="003C4820"/>
    <w:pPr>
      <w:numPr>
        <w:ilvl w:val="1"/>
        <w:numId w:val="4"/>
      </w:numPr>
      <w:spacing w:after="240"/>
      <w:jc w:val="both"/>
    </w:pPr>
    <w:rPr>
      <w:rFonts w:asciiTheme="minorHAnsi" w:hAnsiTheme="minorHAnsi"/>
      <w:color w:val="000000" w:themeColor="text1"/>
      <w:sz w:val="22"/>
      <w:szCs w:val="20"/>
      <w:lang w:eastAsia="en-AU"/>
    </w:rPr>
  </w:style>
  <w:style w:type="paragraph" w:customStyle="1" w:styleId="BoxDoubleDot">
    <w:name w:val="Box Double Dot"/>
    <w:basedOn w:val="Normal"/>
    <w:rsid w:val="003C4820"/>
    <w:pPr>
      <w:numPr>
        <w:ilvl w:val="2"/>
        <w:numId w:val="4"/>
      </w:numPr>
      <w:spacing w:after="240"/>
      <w:jc w:val="both"/>
    </w:pPr>
    <w:rPr>
      <w:rFonts w:asciiTheme="minorHAnsi" w:hAnsiTheme="minorHAnsi"/>
      <w:color w:val="000000" w:themeColor="text1"/>
      <w:sz w:val="22"/>
      <w:szCs w:val="20"/>
      <w:lang w:eastAsia="en-AU"/>
    </w:rPr>
  </w:style>
  <w:style w:type="paragraph" w:customStyle="1" w:styleId="OutlineNumbered3">
    <w:name w:val="Outline Numbered 3"/>
    <w:basedOn w:val="Normal"/>
    <w:rsid w:val="003C4820"/>
    <w:pPr>
      <w:numPr>
        <w:numId w:val="6"/>
      </w:numPr>
      <w:tabs>
        <w:tab w:val="clear" w:pos="567"/>
        <w:tab w:val="num" w:pos="360"/>
      </w:tabs>
      <w:spacing w:after="240"/>
      <w:ind w:left="0" w:firstLine="0"/>
      <w:jc w:val="both"/>
    </w:pPr>
    <w:rPr>
      <w:rFonts w:asciiTheme="minorHAnsi" w:hAnsiTheme="minorHAnsi"/>
      <w:color w:val="000000" w:themeColor="text1"/>
      <w:sz w:val="22"/>
      <w:szCs w:val="20"/>
      <w:lang w:eastAsia="en-AU"/>
    </w:rPr>
  </w:style>
  <w:style w:type="paragraph" w:customStyle="1" w:styleId="NumberedParagraph">
    <w:name w:val="Numbered Paragraph"/>
    <w:basedOn w:val="Normal"/>
    <w:rsid w:val="003C4820"/>
    <w:pPr>
      <w:numPr>
        <w:numId w:val="5"/>
      </w:numPr>
      <w:spacing w:after="240"/>
      <w:jc w:val="both"/>
    </w:pPr>
    <w:rPr>
      <w:rFonts w:asciiTheme="minorHAnsi" w:hAnsiTheme="minorHAnsi" w:cs="Arial"/>
      <w:color w:val="000000" w:themeColor="text1"/>
      <w:kern w:val="32"/>
      <w:sz w:val="22"/>
      <w:szCs w:val="36"/>
      <w:lang w:eastAsia="en-AU"/>
    </w:rPr>
  </w:style>
  <w:style w:type="paragraph" w:styleId="ListParagraph">
    <w:name w:val="List Paragraph"/>
    <w:basedOn w:val="Normal"/>
    <w:uiPriority w:val="34"/>
    <w:qFormat/>
    <w:rsid w:val="00245F02"/>
    <w:pPr>
      <w:ind w:left="720"/>
      <w:contextualSpacing/>
    </w:pPr>
  </w:style>
  <w:style w:type="table" w:styleId="TableGrid">
    <w:name w:val="Table Grid"/>
    <w:basedOn w:val="TableNormal"/>
    <w:uiPriority w:val="59"/>
    <w:rsid w:val="004C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349B"/>
    <w:rPr>
      <w:b/>
      <w:sz w:val="22"/>
      <w:szCs w:val="22"/>
    </w:rPr>
  </w:style>
  <w:style w:type="paragraph" w:styleId="Title">
    <w:name w:val="Title"/>
    <w:basedOn w:val="Heading1"/>
    <w:next w:val="Normal"/>
    <w:link w:val="TitleChar"/>
    <w:uiPriority w:val="10"/>
    <w:qFormat/>
    <w:rsid w:val="0075349B"/>
    <w:rPr>
      <w:sz w:val="28"/>
    </w:rPr>
  </w:style>
  <w:style w:type="character" w:customStyle="1" w:styleId="TitleChar">
    <w:name w:val="Title Char"/>
    <w:basedOn w:val="DefaultParagraphFont"/>
    <w:link w:val="Title"/>
    <w:uiPriority w:val="10"/>
    <w:rsid w:val="0075349B"/>
    <w:rPr>
      <w:b/>
      <w:sz w:val="28"/>
      <w:szCs w:val="22"/>
    </w:rPr>
  </w:style>
  <w:style w:type="character" w:customStyle="1" w:styleId="Heading3Char">
    <w:name w:val="Heading 3 Char"/>
    <w:basedOn w:val="DefaultParagraphFont"/>
    <w:link w:val="Heading3"/>
    <w:uiPriority w:val="9"/>
    <w:semiHidden/>
    <w:rsid w:val="0075349B"/>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75349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5349B"/>
    <w:pPr>
      <w:spacing w:after="100"/>
    </w:pPr>
  </w:style>
  <w:style w:type="paragraph" w:styleId="TOC2">
    <w:name w:val="toc 2"/>
    <w:basedOn w:val="Normal"/>
    <w:next w:val="Normal"/>
    <w:autoRedefine/>
    <w:uiPriority w:val="39"/>
    <w:unhideWhenUsed/>
    <w:rsid w:val="0075349B"/>
    <w:pPr>
      <w:spacing w:after="100"/>
      <w:ind w:left="240"/>
    </w:pPr>
  </w:style>
  <w:style w:type="character" w:styleId="Hyperlink">
    <w:name w:val="Hyperlink"/>
    <w:basedOn w:val="DefaultParagraphFont"/>
    <w:uiPriority w:val="99"/>
    <w:unhideWhenUsed/>
    <w:rsid w:val="0075349B"/>
    <w:rPr>
      <w:color w:val="0000FF" w:themeColor="hyperlink"/>
      <w:u w:val="single"/>
    </w:rPr>
  </w:style>
  <w:style w:type="character" w:styleId="CommentReference">
    <w:name w:val="annotation reference"/>
    <w:basedOn w:val="DefaultParagraphFont"/>
    <w:uiPriority w:val="99"/>
    <w:semiHidden/>
    <w:unhideWhenUsed/>
    <w:rsid w:val="00E40454"/>
    <w:rPr>
      <w:sz w:val="16"/>
      <w:szCs w:val="16"/>
    </w:rPr>
  </w:style>
  <w:style w:type="paragraph" w:styleId="CommentText">
    <w:name w:val="annotation text"/>
    <w:basedOn w:val="Normal"/>
    <w:link w:val="CommentTextChar"/>
    <w:uiPriority w:val="99"/>
    <w:semiHidden/>
    <w:unhideWhenUsed/>
    <w:rsid w:val="00E40454"/>
    <w:rPr>
      <w:sz w:val="20"/>
      <w:szCs w:val="20"/>
    </w:rPr>
  </w:style>
  <w:style w:type="character" w:customStyle="1" w:styleId="CommentTextChar">
    <w:name w:val="Comment Text Char"/>
    <w:basedOn w:val="DefaultParagraphFont"/>
    <w:link w:val="CommentText"/>
    <w:uiPriority w:val="99"/>
    <w:semiHidden/>
    <w:rsid w:val="00E40454"/>
    <w:rPr>
      <w:rFonts w:eastAsia="Times New Roman"/>
    </w:rPr>
  </w:style>
  <w:style w:type="paragraph" w:styleId="CommentSubject">
    <w:name w:val="annotation subject"/>
    <w:basedOn w:val="CommentText"/>
    <w:next w:val="CommentText"/>
    <w:link w:val="CommentSubjectChar"/>
    <w:uiPriority w:val="99"/>
    <w:semiHidden/>
    <w:unhideWhenUsed/>
    <w:rsid w:val="00E40454"/>
    <w:rPr>
      <w:b/>
      <w:bCs/>
    </w:rPr>
  </w:style>
  <w:style w:type="character" w:customStyle="1" w:styleId="CommentSubjectChar">
    <w:name w:val="Comment Subject Char"/>
    <w:basedOn w:val="CommentTextChar"/>
    <w:link w:val="CommentSubject"/>
    <w:uiPriority w:val="99"/>
    <w:semiHidden/>
    <w:rsid w:val="00E40454"/>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66"/>
    <w:rPr>
      <w:rFonts w:eastAsia="Times New Roman"/>
      <w:sz w:val="24"/>
      <w:szCs w:val="24"/>
    </w:rPr>
  </w:style>
  <w:style w:type="paragraph" w:styleId="Heading1">
    <w:name w:val="heading 1"/>
    <w:basedOn w:val="Normal"/>
    <w:next w:val="Normal"/>
    <w:link w:val="Heading1Char"/>
    <w:uiPriority w:val="9"/>
    <w:qFormat/>
    <w:rsid w:val="0075349B"/>
    <w:pPr>
      <w:autoSpaceDE w:val="0"/>
      <w:autoSpaceDN w:val="0"/>
      <w:adjustRightInd w:val="0"/>
      <w:outlineLvl w:val="0"/>
    </w:pPr>
    <w:rPr>
      <w:rFonts w:eastAsiaTheme="minorHAnsi"/>
      <w:b/>
      <w:sz w:val="22"/>
      <w:szCs w:val="22"/>
    </w:rPr>
  </w:style>
  <w:style w:type="paragraph" w:styleId="Heading2">
    <w:name w:val="heading 2"/>
    <w:basedOn w:val="Normal"/>
    <w:next w:val="Normal"/>
    <w:link w:val="Heading2Char"/>
    <w:uiPriority w:val="9"/>
    <w:semiHidden/>
    <w:unhideWhenUsed/>
    <w:qFormat/>
    <w:rsid w:val="00753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34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A66"/>
    <w:rPr>
      <w:rFonts w:ascii="Tahoma" w:hAnsi="Tahoma" w:cs="Tahoma"/>
      <w:sz w:val="16"/>
      <w:szCs w:val="16"/>
    </w:rPr>
  </w:style>
  <w:style w:type="character" w:customStyle="1" w:styleId="BalloonTextChar">
    <w:name w:val="Balloon Text Char"/>
    <w:basedOn w:val="DefaultParagraphFont"/>
    <w:link w:val="BalloonText"/>
    <w:uiPriority w:val="99"/>
    <w:semiHidden/>
    <w:rsid w:val="00966A66"/>
    <w:rPr>
      <w:rFonts w:ascii="Tahoma" w:eastAsia="Times New Roman" w:hAnsi="Tahoma" w:cs="Tahoma"/>
      <w:sz w:val="16"/>
      <w:szCs w:val="16"/>
    </w:rPr>
  </w:style>
  <w:style w:type="paragraph" w:styleId="Header">
    <w:name w:val="header"/>
    <w:basedOn w:val="Normal"/>
    <w:link w:val="HeaderChar"/>
    <w:uiPriority w:val="99"/>
    <w:unhideWhenUsed/>
    <w:rsid w:val="00966A66"/>
    <w:pPr>
      <w:tabs>
        <w:tab w:val="center" w:pos="4513"/>
        <w:tab w:val="right" w:pos="9026"/>
      </w:tabs>
    </w:pPr>
  </w:style>
  <w:style w:type="character" w:customStyle="1" w:styleId="HeaderChar">
    <w:name w:val="Header Char"/>
    <w:basedOn w:val="DefaultParagraphFont"/>
    <w:link w:val="Header"/>
    <w:uiPriority w:val="99"/>
    <w:rsid w:val="00966A66"/>
    <w:rPr>
      <w:rFonts w:eastAsia="Times New Roman"/>
      <w:sz w:val="24"/>
      <w:szCs w:val="24"/>
    </w:rPr>
  </w:style>
  <w:style w:type="paragraph" w:styleId="Footer">
    <w:name w:val="footer"/>
    <w:basedOn w:val="Normal"/>
    <w:link w:val="FooterChar"/>
    <w:uiPriority w:val="99"/>
    <w:unhideWhenUsed/>
    <w:rsid w:val="00966A66"/>
    <w:pPr>
      <w:tabs>
        <w:tab w:val="center" w:pos="4513"/>
        <w:tab w:val="right" w:pos="9026"/>
      </w:tabs>
    </w:pPr>
  </w:style>
  <w:style w:type="character" w:customStyle="1" w:styleId="FooterChar">
    <w:name w:val="Footer Char"/>
    <w:basedOn w:val="DefaultParagraphFont"/>
    <w:link w:val="Footer"/>
    <w:uiPriority w:val="99"/>
    <w:rsid w:val="00966A66"/>
    <w:rPr>
      <w:rFonts w:eastAsia="Times New Roman"/>
      <w:sz w:val="24"/>
      <w:szCs w:val="24"/>
    </w:rPr>
  </w:style>
  <w:style w:type="paragraph" w:customStyle="1" w:styleId="Bullet">
    <w:name w:val="Bullet"/>
    <w:aliases w:val="b,b1,b + line,Body,level 1,Bullet + line"/>
    <w:basedOn w:val="Normal"/>
    <w:link w:val="BulletChar"/>
    <w:qFormat/>
    <w:rsid w:val="006602E0"/>
    <w:pPr>
      <w:numPr>
        <w:numId w:val="1"/>
      </w:numPr>
      <w:spacing w:before="120" w:after="120"/>
    </w:pPr>
    <w:rPr>
      <w:sz w:val="22"/>
      <w:szCs w:val="20"/>
      <w:lang w:eastAsia="en-AU"/>
    </w:rPr>
  </w:style>
  <w:style w:type="character" w:customStyle="1" w:styleId="BulletChar">
    <w:name w:val="Bullet Char"/>
    <w:aliases w:val="b Char,b + line Char Char,b Char Char"/>
    <w:basedOn w:val="DefaultParagraphFont"/>
    <w:link w:val="Bullet"/>
    <w:rsid w:val="006602E0"/>
    <w:rPr>
      <w:rFonts w:eastAsia="Times New Roman"/>
      <w:sz w:val="22"/>
      <w:lang w:eastAsia="en-AU"/>
    </w:rPr>
  </w:style>
  <w:style w:type="paragraph" w:customStyle="1" w:styleId="Dash">
    <w:name w:val="Dash"/>
    <w:basedOn w:val="Normal"/>
    <w:link w:val="DashChar"/>
    <w:qFormat/>
    <w:rsid w:val="00D51458"/>
    <w:pPr>
      <w:numPr>
        <w:ilvl w:val="1"/>
        <w:numId w:val="1"/>
      </w:numPr>
      <w:spacing w:after="200"/>
    </w:pPr>
    <w:rPr>
      <w:szCs w:val="20"/>
      <w:lang w:eastAsia="en-AU"/>
    </w:rPr>
  </w:style>
  <w:style w:type="character" w:customStyle="1" w:styleId="DashChar">
    <w:name w:val="Dash Char"/>
    <w:basedOn w:val="DefaultParagraphFont"/>
    <w:link w:val="Dash"/>
    <w:uiPriority w:val="99"/>
    <w:rsid w:val="00D51458"/>
    <w:rPr>
      <w:rFonts w:eastAsia="Times New Roman"/>
      <w:sz w:val="24"/>
      <w:lang w:eastAsia="en-AU"/>
    </w:rPr>
  </w:style>
  <w:style w:type="paragraph" w:customStyle="1" w:styleId="DoubleDot">
    <w:name w:val="Double Dot"/>
    <w:basedOn w:val="Normal"/>
    <w:link w:val="DoubleDotChar"/>
    <w:qFormat/>
    <w:rsid w:val="00D51458"/>
    <w:pPr>
      <w:numPr>
        <w:ilvl w:val="2"/>
        <w:numId w:val="1"/>
      </w:numPr>
      <w:spacing w:after="200"/>
    </w:pPr>
    <w:rPr>
      <w:szCs w:val="20"/>
      <w:lang w:eastAsia="en-AU"/>
    </w:rPr>
  </w:style>
  <w:style w:type="character" w:customStyle="1" w:styleId="DoubleDotChar">
    <w:name w:val="Double Dot Char"/>
    <w:basedOn w:val="DefaultParagraphFont"/>
    <w:link w:val="DoubleDot"/>
    <w:uiPriority w:val="99"/>
    <w:rsid w:val="00D51458"/>
    <w:rPr>
      <w:rFonts w:eastAsia="Times New Roman"/>
      <w:sz w:val="24"/>
      <w:lang w:eastAsia="en-AU"/>
    </w:rPr>
  </w:style>
  <w:style w:type="paragraph" w:customStyle="1" w:styleId="OutlineNumbered1">
    <w:name w:val="Outline Numbered 1"/>
    <w:basedOn w:val="Normal"/>
    <w:rsid w:val="00142B2D"/>
    <w:pPr>
      <w:numPr>
        <w:ilvl w:val="1"/>
        <w:numId w:val="3"/>
      </w:numPr>
      <w:spacing w:before="120" w:after="120"/>
      <w:jc w:val="both"/>
    </w:pPr>
    <w:rPr>
      <w:color w:val="000000" w:themeColor="text1"/>
      <w:sz w:val="22"/>
      <w:szCs w:val="22"/>
      <w:lang w:val="en-US" w:eastAsia="en-AU"/>
    </w:rPr>
  </w:style>
  <w:style w:type="paragraph" w:customStyle="1" w:styleId="Quote1">
    <w:name w:val="Quote 1"/>
    <w:basedOn w:val="Normal"/>
    <w:rsid w:val="003C4820"/>
    <w:pPr>
      <w:tabs>
        <w:tab w:val="num" w:pos="1134"/>
      </w:tabs>
      <w:spacing w:after="240"/>
      <w:ind w:left="1134" w:right="567"/>
      <w:jc w:val="both"/>
    </w:pPr>
    <w:rPr>
      <w:rFonts w:asciiTheme="minorHAnsi" w:hAnsiTheme="minorHAnsi"/>
      <w:i/>
      <w:color w:val="000000" w:themeColor="text1"/>
      <w:sz w:val="22"/>
      <w:szCs w:val="20"/>
      <w:lang w:eastAsia="en-AU"/>
    </w:rPr>
  </w:style>
  <w:style w:type="paragraph" w:customStyle="1" w:styleId="BoxBullet">
    <w:name w:val="Box Bullet"/>
    <w:basedOn w:val="Normal"/>
    <w:rsid w:val="003C4820"/>
    <w:pPr>
      <w:numPr>
        <w:numId w:val="4"/>
      </w:numPr>
      <w:spacing w:after="240"/>
      <w:jc w:val="both"/>
    </w:pPr>
    <w:rPr>
      <w:rFonts w:asciiTheme="minorHAnsi" w:hAnsiTheme="minorHAnsi"/>
      <w:color w:val="000000" w:themeColor="text1"/>
      <w:sz w:val="22"/>
      <w:szCs w:val="20"/>
      <w:lang w:eastAsia="en-AU"/>
    </w:rPr>
  </w:style>
  <w:style w:type="paragraph" w:customStyle="1" w:styleId="BoxDash">
    <w:name w:val="Box Dash"/>
    <w:basedOn w:val="Normal"/>
    <w:rsid w:val="003C4820"/>
    <w:pPr>
      <w:numPr>
        <w:ilvl w:val="1"/>
        <w:numId w:val="4"/>
      </w:numPr>
      <w:spacing w:after="240"/>
      <w:jc w:val="both"/>
    </w:pPr>
    <w:rPr>
      <w:rFonts w:asciiTheme="minorHAnsi" w:hAnsiTheme="minorHAnsi"/>
      <w:color w:val="000000" w:themeColor="text1"/>
      <w:sz w:val="22"/>
      <w:szCs w:val="20"/>
      <w:lang w:eastAsia="en-AU"/>
    </w:rPr>
  </w:style>
  <w:style w:type="paragraph" w:customStyle="1" w:styleId="BoxDoubleDot">
    <w:name w:val="Box Double Dot"/>
    <w:basedOn w:val="Normal"/>
    <w:rsid w:val="003C4820"/>
    <w:pPr>
      <w:numPr>
        <w:ilvl w:val="2"/>
        <w:numId w:val="4"/>
      </w:numPr>
      <w:spacing w:after="240"/>
      <w:jc w:val="both"/>
    </w:pPr>
    <w:rPr>
      <w:rFonts w:asciiTheme="minorHAnsi" w:hAnsiTheme="minorHAnsi"/>
      <w:color w:val="000000" w:themeColor="text1"/>
      <w:sz w:val="22"/>
      <w:szCs w:val="20"/>
      <w:lang w:eastAsia="en-AU"/>
    </w:rPr>
  </w:style>
  <w:style w:type="paragraph" w:customStyle="1" w:styleId="OutlineNumbered3">
    <w:name w:val="Outline Numbered 3"/>
    <w:basedOn w:val="Normal"/>
    <w:rsid w:val="003C4820"/>
    <w:pPr>
      <w:numPr>
        <w:numId w:val="6"/>
      </w:numPr>
      <w:tabs>
        <w:tab w:val="clear" w:pos="567"/>
        <w:tab w:val="num" w:pos="360"/>
      </w:tabs>
      <w:spacing w:after="240"/>
      <w:ind w:left="0" w:firstLine="0"/>
      <w:jc w:val="both"/>
    </w:pPr>
    <w:rPr>
      <w:rFonts w:asciiTheme="minorHAnsi" w:hAnsiTheme="minorHAnsi"/>
      <w:color w:val="000000" w:themeColor="text1"/>
      <w:sz w:val="22"/>
      <w:szCs w:val="20"/>
      <w:lang w:eastAsia="en-AU"/>
    </w:rPr>
  </w:style>
  <w:style w:type="paragraph" w:customStyle="1" w:styleId="NumberedParagraph">
    <w:name w:val="Numbered Paragraph"/>
    <w:basedOn w:val="Normal"/>
    <w:rsid w:val="003C4820"/>
    <w:pPr>
      <w:numPr>
        <w:numId w:val="5"/>
      </w:numPr>
      <w:spacing w:after="240"/>
      <w:jc w:val="both"/>
    </w:pPr>
    <w:rPr>
      <w:rFonts w:asciiTheme="minorHAnsi" w:hAnsiTheme="minorHAnsi" w:cs="Arial"/>
      <w:color w:val="000000" w:themeColor="text1"/>
      <w:kern w:val="32"/>
      <w:sz w:val="22"/>
      <w:szCs w:val="36"/>
      <w:lang w:eastAsia="en-AU"/>
    </w:rPr>
  </w:style>
  <w:style w:type="paragraph" w:styleId="ListParagraph">
    <w:name w:val="List Paragraph"/>
    <w:basedOn w:val="Normal"/>
    <w:uiPriority w:val="34"/>
    <w:qFormat/>
    <w:rsid w:val="00245F02"/>
    <w:pPr>
      <w:ind w:left="720"/>
      <w:contextualSpacing/>
    </w:pPr>
  </w:style>
  <w:style w:type="table" w:styleId="TableGrid">
    <w:name w:val="Table Grid"/>
    <w:basedOn w:val="TableNormal"/>
    <w:uiPriority w:val="59"/>
    <w:rsid w:val="004C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349B"/>
    <w:rPr>
      <w:b/>
      <w:sz w:val="22"/>
      <w:szCs w:val="22"/>
    </w:rPr>
  </w:style>
  <w:style w:type="paragraph" w:styleId="Title">
    <w:name w:val="Title"/>
    <w:basedOn w:val="Heading1"/>
    <w:next w:val="Normal"/>
    <w:link w:val="TitleChar"/>
    <w:uiPriority w:val="10"/>
    <w:qFormat/>
    <w:rsid w:val="0075349B"/>
    <w:rPr>
      <w:sz w:val="28"/>
    </w:rPr>
  </w:style>
  <w:style w:type="character" w:customStyle="1" w:styleId="TitleChar">
    <w:name w:val="Title Char"/>
    <w:basedOn w:val="DefaultParagraphFont"/>
    <w:link w:val="Title"/>
    <w:uiPriority w:val="10"/>
    <w:rsid w:val="0075349B"/>
    <w:rPr>
      <w:b/>
      <w:sz w:val="28"/>
      <w:szCs w:val="22"/>
    </w:rPr>
  </w:style>
  <w:style w:type="character" w:customStyle="1" w:styleId="Heading3Char">
    <w:name w:val="Heading 3 Char"/>
    <w:basedOn w:val="DefaultParagraphFont"/>
    <w:link w:val="Heading3"/>
    <w:uiPriority w:val="9"/>
    <w:semiHidden/>
    <w:rsid w:val="0075349B"/>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75349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5349B"/>
    <w:pPr>
      <w:spacing w:after="100"/>
    </w:pPr>
  </w:style>
  <w:style w:type="paragraph" w:styleId="TOC2">
    <w:name w:val="toc 2"/>
    <w:basedOn w:val="Normal"/>
    <w:next w:val="Normal"/>
    <w:autoRedefine/>
    <w:uiPriority w:val="39"/>
    <w:unhideWhenUsed/>
    <w:rsid w:val="0075349B"/>
    <w:pPr>
      <w:spacing w:after="100"/>
      <w:ind w:left="240"/>
    </w:pPr>
  </w:style>
  <w:style w:type="character" w:styleId="Hyperlink">
    <w:name w:val="Hyperlink"/>
    <w:basedOn w:val="DefaultParagraphFont"/>
    <w:uiPriority w:val="99"/>
    <w:unhideWhenUsed/>
    <w:rsid w:val="0075349B"/>
    <w:rPr>
      <w:color w:val="0000FF" w:themeColor="hyperlink"/>
      <w:u w:val="single"/>
    </w:rPr>
  </w:style>
  <w:style w:type="character" w:styleId="CommentReference">
    <w:name w:val="annotation reference"/>
    <w:basedOn w:val="DefaultParagraphFont"/>
    <w:uiPriority w:val="99"/>
    <w:semiHidden/>
    <w:unhideWhenUsed/>
    <w:rsid w:val="00E40454"/>
    <w:rPr>
      <w:sz w:val="16"/>
      <w:szCs w:val="16"/>
    </w:rPr>
  </w:style>
  <w:style w:type="paragraph" w:styleId="CommentText">
    <w:name w:val="annotation text"/>
    <w:basedOn w:val="Normal"/>
    <w:link w:val="CommentTextChar"/>
    <w:uiPriority w:val="99"/>
    <w:semiHidden/>
    <w:unhideWhenUsed/>
    <w:rsid w:val="00E40454"/>
    <w:rPr>
      <w:sz w:val="20"/>
      <w:szCs w:val="20"/>
    </w:rPr>
  </w:style>
  <w:style w:type="character" w:customStyle="1" w:styleId="CommentTextChar">
    <w:name w:val="Comment Text Char"/>
    <w:basedOn w:val="DefaultParagraphFont"/>
    <w:link w:val="CommentText"/>
    <w:uiPriority w:val="99"/>
    <w:semiHidden/>
    <w:rsid w:val="00E40454"/>
    <w:rPr>
      <w:rFonts w:eastAsia="Times New Roman"/>
    </w:rPr>
  </w:style>
  <w:style w:type="paragraph" w:styleId="CommentSubject">
    <w:name w:val="annotation subject"/>
    <w:basedOn w:val="CommentText"/>
    <w:next w:val="CommentText"/>
    <w:link w:val="CommentSubjectChar"/>
    <w:uiPriority w:val="99"/>
    <w:semiHidden/>
    <w:unhideWhenUsed/>
    <w:rsid w:val="00E40454"/>
    <w:rPr>
      <w:b/>
      <w:bCs/>
    </w:rPr>
  </w:style>
  <w:style w:type="character" w:customStyle="1" w:styleId="CommentSubjectChar">
    <w:name w:val="Comment Subject Char"/>
    <w:basedOn w:val="CommentTextChar"/>
    <w:link w:val="CommentSubject"/>
    <w:uiPriority w:val="99"/>
    <w:semiHidden/>
    <w:rsid w:val="00E40454"/>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1848">
      <w:bodyDiv w:val="1"/>
      <w:marLeft w:val="0"/>
      <w:marRight w:val="0"/>
      <w:marTop w:val="0"/>
      <w:marBottom w:val="0"/>
      <w:divBdr>
        <w:top w:val="none" w:sz="0" w:space="0" w:color="auto"/>
        <w:left w:val="none" w:sz="0" w:space="0" w:color="auto"/>
        <w:bottom w:val="none" w:sz="0" w:space="0" w:color="auto"/>
        <w:right w:val="none" w:sz="0" w:space="0" w:color="auto"/>
      </w:divBdr>
    </w:div>
    <w:div w:id="295527325">
      <w:bodyDiv w:val="1"/>
      <w:marLeft w:val="0"/>
      <w:marRight w:val="0"/>
      <w:marTop w:val="0"/>
      <w:marBottom w:val="0"/>
      <w:divBdr>
        <w:top w:val="none" w:sz="0" w:space="0" w:color="auto"/>
        <w:left w:val="none" w:sz="0" w:space="0" w:color="auto"/>
        <w:bottom w:val="none" w:sz="0" w:space="0" w:color="auto"/>
        <w:right w:val="none" w:sz="0" w:space="0" w:color="auto"/>
      </w:divBdr>
    </w:div>
    <w:div w:id="319890016">
      <w:bodyDiv w:val="1"/>
      <w:marLeft w:val="0"/>
      <w:marRight w:val="0"/>
      <w:marTop w:val="0"/>
      <w:marBottom w:val="0"/>
      <w:divBdr>
        <w:top w:val="none" w:sz="0" w:space="0" w:color="auto"/>
        <w:left w:val="none" w:sz="0" w:space="0" w:color="auto"/>
        <w:bottom w:val="none" w:sz="0" w:space="0" w:color="auto"/>
        <w:right w:val="none" w:sz="0" w:space="0" w:color="auto"/>
      </w:divBdr>
    </w:div>
    <w:div w:id="465927303">
      <w:bodyDiv w:val="1"/>
      <w:marLeft w:val="0"/>
      <w:marRight w:val="0"/>
      <w:marTop w:val="0"/>
      <w:marBottom w:val="0"/>
      <w:divBdr>
        <w:top w:val="none" w:sz="0" w:space="0" w:color="auto"/>
        <w:left w:val="none" w:sz="0" w:space="0" w:color="auto"/>
        <w:bottom w:val="none" w:sz="0" w:space="0" w:color="auto"/>
        <w:right w:val="none" w:sz="0" w:space="0" w:color="auto"/>
      </w:divBdr>
    </w:div>
    <w:div w:id="511796672">
      <w:bodyDiv w:val="1"/>
      <w:marLeft w:val="0"/>
      <w:marRight w:val="0"/>
      <w:marTop w:val="0"/>
      <w:marBottom w:val="0"/>
      <w:divBdr>
        <w:top w:val="none" w:sz="0" w:space="0" w:color="auto"/>
        <w:left w:val="none" w:sz="0" w:space="0" w:color="auto"/>
        <w:bottom w:val="none" w:sz="0" w:space="0" w:color="auto"/>
        <w:right w:val="none" w:sz="0" w:space="0" w:color="auto"/>
      </w:divBdr>
    </w:div>
    <w:div w:id="589656218">
      <w:bodyDiv w:val="1"/>
      <w:marLeft w:val="0"/>
      <w:marRight w:val="0"/>
      <w:marTop w:val="0"/>
      <w:marBottom w:val="0"/>
      <w:divBdr>
        <w:top w:val="none" w:sz="0" w:space="0" w:color="auto"/>
        <w:left w:val="none" w:sz="0" w:space="0" w:color="auto"/>
        <w:bottom w:val="none" w:sz="0" w:space="0" w:color="auto"/>
        <w:right w:val="none" w:sz="0" w:space="0" w:color="auto"/>
      </w:divBdr>
    </w:div>
    <w:div w:id="1207794783">
      <w:bodyDiv w:val="1"/>
      <w:marLeft w:val="0"/>
      <w:marRight w:val="0"/>
      <w:marTop w:val="0"/>
      <w:marBottom w:val="0"/>
      <w:divBdr>
        <w:top w:val="none" w:sz="0" w:space="0" w:color="auto"/>
        <w:left w:val="none" w:sz="0" w:space="0" w:color="auto"/>
        <w:bottom w:val="none" w:sz="0" w:space="0" w:color="auto"/>
        <w:right w:val="none" w:sz="0" w:space="0" w:color="auto"/>
      </w:divBdr>
    </w:div>
    <w:div w:id="1389845337">
      <w:bodyDiv w:val="1"/>
      <w:marLeft w:val="0"/>
      <w:marRight w:val="0"/>
      <w:marTop w:val="0"/>
      <w:marBottom w:val="0"/>
      <w:divBdr>
        <w:top w:val="none" w:sz="0" w:space="0" w:color="auto"/>
        <w:left w:val="none" w:sz="0" w:space="0" w:color="auto"/>
        <w:bottom w:val="none" w:sz="0" w:space="0" w:color="auto"/>
        <w:right w:val="none" w:sz="0" w:space="0" w:color="auto"/>
      </w:divBdr>
    </w:div>
    <w:div w:id="1467578336">
      <w:bodyDiv w:val="1"/>
      <w:marLeft w:val="0"/>
      <w:marRight w:val="0"/>
      <w:marTop w:val="0"/>
      <w:marBottom w:val="0"/>
      <w:divBdr>
        <w:top w:val="none" w:sz="0" w:space="0" w:color="auto"/>
        <w:left w:val="none" w:sz="0" w:space="0" w:color="auto"/>
        <w:bottom w:val="none" w:sz="0" w:space="0" w:color="auto"/>
        <w:right w:val="none" w:sz="0" w:space="0" w:color="auto"/>
      </w:divBdr>
    </w:div>
    <w:div w:id="1722359890">
      <w:bodyDiv w:val="1"/>
      <w:marLeft w:val="0"/>
      <w:marRight w:val="0"/>
      <w:marTop w:val="0"/>
      <w:marBottom w:val="0"/>
      <w:divBdr>
        <w:top w:val="none" w:sz="0" w:space="0" w:color="auto"/>
        <w:left w:val="none" w:sz="0" w:space="0" w:color="auto"/>
        <w:bottom w:val="none" w:sz="0" w:space="0" w:color="auto"/>
        <w:right w:val="none" w:sz="0" w:space="0" w:color="auto"/>
      </w:divBdr>
    </w:div>
    <w:div w:id="1731540389">
      <w:bodyDiv w:val="1"/>
      <w:marLeft w:val="0"/>
      <w:marRight w:val="0"/>
      <w:marTop w:val="0"/>
      <w:marBottom w:val="0"/>
      <w:divBdr>
        <w:top w:val="none" w:sz="0" w:space="0" w:color="auto"/>
        <w:left w:val="none" w:sz="0" w:space="0" w:color="auto"/>
        <w:bottom w:val="none" w:sz="0" w:space="0" w:color="auto"/>
        <w:right w:val="none" w:sz="0" w:space="0" w:color="auto"/>
      </w:divBdr>
    </w:div>
    <w:div w:id="1768043034">
      <w:bodyDiv w:val="1"/>
      <w:marLeft w:val="0"/>
      <w:marRight w:val="0"/>
      <w:marTop w:val="0"/>
      <w:marBottom w:val="0"/>
      <w:divBdr>
        <w:top w:val="none" w:sz="0" w:space="0" w:color="auto"/>
        <w:left w:val="none" w:sz="0" w:space="0" w:color="auto"/>
        <w:bottom w:val="none" w:sz="0" w:space="0" w:color="auto"/>
        <w:right w:val="none" w:sz="0" w:space="0" w:color="auto"/>
      </w:divBdr>
    </w:div>
    <w:div w:id="20131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B296F03498E9448202E36B7829D846" ma:contentTypeVersion="1661" ma:contentTypeDescription=" " ma:contentTypeScope="" ma:versionID="a07b29131e082d15151304756d0c651a">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ba8feda4465506ef6155df3883c50c75"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b508a4dc5e84436a0fe496b536466aa" ma:index="12" nillable="true" ma:taxonomy="true" ma:internalName="lb508a4dc5e84436a0fe496b536466aa" ma:taxonomyFieldName="TSYRecordClass" ma:displayName="Record Class" ma:readOnly="false" ma:default="16;#TSY RA-8909 - Retain as national archives|783df9f6-6a3b-4626-95aa-7d6467e087f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16</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RA-8909 - Retain as national archives</TermName>
          <TermId xmlns="http://schemas.microsoft.com/office/infopath/2007/PartnerControls">783df9f6-6a3b-4626-95aa-7d6467e087f0</TermId>
        </TermInfo>
      </Terms>
    </lb508a4dc5e84436a0fe496b536466aa>
    <_dlc_DocId xmlns="d4dd4adf-ddb3-46a3-8d7c-fab3fb2a6bc7">2016MG-107-9921</_dlc_DocId>
    <_dlc_DocIdUrl xmlns="d4dd4adf-ddb3-46a3-8d7c-fab3fb2a6bc7">
      <Url>http://tweb/sites/mg/fitpd/_layouts/15/DocIdRedir.aspx?ID=2016MG-107-9921</Url>
      <Description>2016MG-107-9921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ACD2-58EC-4B6A-8E90-502C3CDD9860}">
  <ds:schemaRefs>
    <ds:schemaRef ds:uri="office.server.policy"/>
  </ds:schemaRefs>
</ds:datastoreItem>
</file>

<file path=customXml/itemProps2.xml><?xml version="1.0" encoding="utf-8"?>
<ds:datastoreItem xmlns:ds="http://schemas.openxmlformats.org/officeDocument/2006/customXml" ds:itemID="{74457888-A80D-44C6-892E-7F77E3189234}">
  <ds:schemaRefs>
    <ds:schemaRef ds:uri="http://schemas.microsoft.com/sharepoint/events"/>
  </ds:schemaRefs>
</ds:datastoreItem>
</file>

<file path=customXml/itemProps3.xml><?xml version="1.0" encoding="utf-8"?>
<ds:datastoreItem xmlns:ds="http://schemas.openxmlformats.org/officeDocument/2006/customXml" ds:itemID="{94612DFE-BA10-4064-9987-DD6349CE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48805-183E-416B-AB07-1B7851C57547}">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d4dd4adf-ddb3-46a3-8d7c-fab3fb2a6bc7"/>
    <ds:schemaRef ds:uri="http://schemas.openxmlformats.org/package/2006/metadata/core-properties"/>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8F1780ED-BEBA-401F-B39F-4972AF500558}">
  <ds:schemaRefs>
    <ds:schemaRef ds:uri="http://schemas.microsoft.com/sharepoint/v3/contenttype/forms"/>
  </ds:schemaRefs>
</ds:datastoreItem>
</file>

<file path=customXml/itemProps6.xml><?xml version="1.0" encoding="utf-8"?>
<ds:datastoreItem xmlns:ds="http://schemas.openxmlformats.org/officeDocument/2006/customXml" ds:itemID="{2DDCB890-C753-4D8F-A934-191A1255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1015</Words>
  <Characters>6066</Characters>
  <Application>Microsoft Office Word</Application>
  <DocSecurity>0</DocSecurity>
  <Lines>121</Lines>
  <Paragraphs>45</Paragraphs>
  <ScaleCrop>false</ScaleCrop>
  <HeadingPairs>
    <vt:vector size="2" baseType="variant">
      <vt:variant>
        <vt:lpstr>Title</vt:lpstr>
      </vt:variant>
      <vt:variant>
        <vt:i4>1</vt:i4>
      </vt:variant>
    </vt:vector>
  </HeadingPairs>
  <TitlesOfParts>
    <vt:vector size="1" baseType="lpstr">
      <vt:lpstr>Australian Government response to the Senate Economics References Committee report: Foreign Investment Review Framework</vt:lpstr>
    </vt:vector>
  </TitlesOfParts>
  <Company>Australian Government - The Treasury</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Economics References Committee report: Foreign Investment Review Framework</dc:title>
  <dc:creator>Australian Government</dc:creator>
  <cp:lastModifiedBy>Hill, Christine</cp:lastModifiedBy>
  <cp:revision>18</cp:revision>
  <cp:lastPrinted>2016-11-23T01:35:00Z</cp:lastPrinted>
  <dcterms:created xsi:type="dcterms:W3CDTF">2016-12-08T02:20:00Z</dcterms:created>
  <dcterms:modified xsi:type="dcterms:W3CDTF">2017-04-10T07:20:00Z</dcterms:modified>
</cp:coreProperties>
</file>