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69DA5" w14:textId="77777777" w:rsidR="00010521" w:rsidRDefault="00010521" w:rsidP="00010521">
      <w:pPr>
        <w:spacing w:before="360"/>
        <w:jc w:val="center"/>
      </w:pPr>
      <w:bookmarkStart w:id="0" w:name="_GoBack"/>
      <w:bookmarkEnd w:id="0"/>
      <w:r>
        <w:rPr>
          <w:caps/>
          <w:noProof/>
        </w:rPr>
        <w:drawing>
          <wp:inline distT="0" distB="0" distL="0" distR="0" wp14:anchorId="3C06A7AA" wp14:editId="665B07A9">
            <wp:extent cx="246697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2AAA913E" w14:textId="77777777" w:rsidR="00010521" w:rsidRDefault="00010521" w:rsidP="00010521">
      <w:pPr>
        <w:spacing w:before="360"/>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t xml:space="preserve">Senate Economics Reference Committee </w:t>
      </w:r>
      <w:r w:rsidRPr="009B57C6">
        <w:rPr>
          <w:sz w:val="36"/>
          <w:szCs w:val="36"/>
        </w:rPr>
        <w:t>report</w:t>
      </w:r>
      <w:r>
        <w:rPr>
          <w:sz w:val="36"/>
          <w:szCs w:val="36"/>
        </w:rPr>
        <w:t>:</w:t>
      </w:r>
    </w:p>
    <w:p w14:paraId="6C92CA3E" w14:textId="77777777" w:rsidR="00010521" w:rsidRPr="0016252E" w:rsidRDefault="00010521" w:rsidP="00010521">
      <w:pPr>
        <w:spacing w:before="240"/>
        <w:jc w:val="center"/>
        <w:rPr>
          <w:i/>
          <w:sz w:val="36"/>
          <w:szCs w:val="36"/>
        </w:rPr>
      </w:pPr>
      <w:r>
        <w:rPr>
          <w:i/>
          <w:sz w:val="36"/>
          <w:szCs w:val="36"/>
        </w:rPr>
        <w:t xml:space="preserve">Carbon risk: a burning issue </w:t>
      </w:r>
    </w:p>
    <w:p w14:paraId="56659ABE" w14:textId="77777777" w:rsidR="00010521" w:rsidRDefault="00010521" w:rsidP="00010521">
      <w:pPr>
        <w:spacing w:before="240"/>
        <w:jc w:val="right"/>
        <w:rPr>
          <w:caps/>
          <w:sz w:val="28"/>
          <w:szCs w:val="28"/>
        </w:rPr>
      </w:pPr>
    </w:p>
    <w:p w14:paraId="12EE4C5C" w14:textId="77777777" w:rsidR="00010521" w:rsidRDefault="00010521" w:rsidP="00010521">
      <w:pPr>
        <w:spacing w:before="240"/>
        <w:jc w:val="right"/>
        <w:rPr>
          <w:caps/>
          <w:sz w:val="28"/>
          <w:szCs w:val="28"/>
        </w:rPr>
      </w:pPr>
    </w:p>
    <w:p w14:paraId="5AF41706" w14:textId="77777777" w:rsidR="00010521" w:rsidRDefault="00010521" w:rsidP="00010521">
      <w:pPr>
        <w:spacing w:before="240"/>
        <w:jc w:val="right"/>
        <w:rPr>
          <w:caps/>
          <w:sz w:val="28"/>
          <w:szCs w:val="28"/>
        </w:rPr>
      </w:pPr>
    </w:p>
    <w:p w14:paraId="61242475" w14:textId="77777777" w:rsidR="00010521" w:rsidRDefault="00010521" w:rsidP="00010521">
      <w:pPr>
        <w:spacing w:before="240"/>
        <w:jc w:val="right"/>
        <w:rPr>
          <w:caps/>
          <w:sz w:val="28"/>
          <w:szCs w:val="28"/>
        </w:rPr>
      </w:pPr>
    </w:p>
    <w:p w14:paraId="42979031" w14:textId="77777777" w:rsidR="00010521" w:rsidRDefault="00010521" w:rsidP="00010521">
      <w:pPr>
        <w:spacing w:before="240"/>
        <w:jc w:val="right"/>
        <w:rPr>
          <w:caps/>
          <w:sz w:val="28"/>
          <w:szCs w:val="28"/>
        </w:rPr>
      </w:pPr>
    </w:p>
    <w:p w14:paraId="4B839306" w14:textId="77777777" w:rsidR="00010521" w:rsidRDefault="00010521" w:rsidP="00010521">
      <w:pPr>
        <w:spacing w:before="240"/>
        <w:jc w:val="right"/>
        <w:rPr>
          <w:caps/>
          <w:sz w:val="28"/>
          <w:szCs w:val="28"/>
        </w:rPr>
      </w:pPr>
    </w:p>
    <w:p w14:paraId="11AC2440" w14:textId="77777777" w:rsidR="00010521" w:rsidRDefault="00010521" w:rsidP="00010521">
      <w:pPr>
        <w:spacing w:before="240"/>
        <w:jc w:val="right"/>
        <w:rPr>
          <w:caps/>
          <w:sz w:val="28"/>
          <w:szCs w:val="28"/>
        </w:rPr>
      </w:pPr>
    </w:p>
    <w:p w14:paraId="13F76147" w14:textId="77777777" w:rsidR="00010521" w:rsidRDefault="00010521" w:rsidP="00010521">
      <w:pPr>
        <w:spacing w:before="240"/>
        <w:jc w:val="right"/>
        <w:rPr>
          <w:caps/>
          <w:sz w:val="28"/>
          <w:szCs w:val="28"/>
        </w:rPr>
      </w:pPr>
    </w:p>
    <w:p w14:paraId="145B92D9" w14:textId="77777777" w:rsidR="00010521" w:rsidRDefault="00010521" w:rsidP="00010521">
      <w:pPr>
        <w:spacing w:before="240"/>
        <w:jc w:val="right"/>
        <w:rPr>
          <w:caps/>
          <w:sz w:val="28"/>
          <w:szCs w:val="28"/>
        </w:rPr>
      </w:pPr>
    </w:p>
    <w:p w14:paraId="181D4F33" w14:textId="77777777" w:rsidR="00010521" w:rsidRDefault="00010521" w:rsidP="00010521">
      <w:pPr>
        <w:spacing w:before="240"/>
        <w:jc w:val="right"/>
        <w:rPr>
          <w:caps/>
          <w:sz w:val="28"/>
          <w:szCs w:val="28"/>
        </w:rPr>
      </w:pPr>
    </w:p>
    <w:p w14:paraId="37740C21" w14:textId="77777777" w:rsidR="00010521" w:rsidRDefault="00010521" w:rsidP="00010521">
      <w:pPr>
        <w:spacing w:before="240"/>
        <w:jc w:val="right"/>
        <w:rPr>
          <w:caps/>
          <w:sz w:val="28"/>
          <w:szCs w:val="28"/>
        </w:rPr>
      </w:pPr>
    </w:p>
    <w:p w14:paraId="7A021518" w14:textId="77777777" w:rsidR="00010521" w:rsidRDefault="00010521" w:rsidP="00010521">
      <w:pPr>
        <w:spacing w:before="240"/>
        <w:jc w:val="right"/>
        <w:rPr>
          <w:caps/>
          <w:sz w:val="28"/>
          <w:szCs w:val="28"/>
        </w:rPr>
      </w:pPr>
    </w:p>
    <w:p w14:paraId="3CF02205" w14:textId="77777777" w:rsidR="00010521" w:rsidRDefault="00010521" w:rsidP="00010521">
      <w:pPr>
        <w:spacing w:before="240"/>
        <w:jc w:val="right"/>
        <w:rPr>
          <w:caps/>
          <w:sz w:val="28"/>
          <w:szCs w:val="28"/>
        </w:rPr>
      </w:pPr>
    </w:p>
    <w:p w14:paraId="6355EDA9" w14:textId="77777777" w:rsidR="00010521" w:rsidRDefault="00010521" w:rsidP="00010521">
      <w:pPr>
        <w:spacing w:before="240"/>
        <w:jc w:val="right"/>
        <w:rPr>
          <w:caps/>
          <w:sz w:val="28"/>
          <w:szCs w:val="28"/>
        </w:rPr>
      </w:pPr>
    </w:p>
    <w:p w14:paraId="728B500C" w14:textId="582F0006" w:rsidR="00010521" w:rsidRDefault="00985238" w:rsidP="00010521">
      <w:pPr>
        <w:spacing w:before="240"/>
        <w:jc w:val="right"/>
        <w:rPr>
          <w:caps/>
          <w:sz w:val="28"/>
          <w:szCs w:val="28"/>
        </w:rPr>
      </w:pPr>
      <w:r>
        <w:rPr>
          <w:caps/>
          <w:sz w:val="28"/>
          <w:szCs w:val="28"/>
        </w:rPr>
        <w:t>MARCH</w:t>
      </w:r>
      <w:r w:rsidR="00AF54EB">
        <w:rPr>
          <w:caps/>
          <w:sz w:val="28"/>
          <w:szCs w:val="28"/>
        </w:rPr>
        <w:t xml:space="preserve"> 2018</w:t>
      </w:r>
    </w:p>
    <w:p w14:paraId="658ACC86" w14:textId="77777777" w:rsidR="00010521" w:rsidRPr="000929AA" w:rsidRDefault="00010521" w:rsidP="00010521">
      <w:pPr>
        <w:jc w:val="center"/>
        <w:rPr>
          <w:b/>
        </w:rPr>
      </w:pPr>
      <w:r>
        <w:rPr>
          <w:caps/>
          <w:sz w:val="28"/>
          <w:szCs w:val="28"/>
        </w:rPr>
        <w:br w:type="page"/>
      </w:r>
      <w:r>
        <w:rPr>
          <w:b/>
        </w:rPr>
        <w:lastRenderedPageBreak/>
        <w:t xml:space="preserve">Senate Economics Reference </w:t>
      </w:r>
      <w:r w:rsidRPr="000929AA">
        <w:rPr>
          <w:b/>
        </w:rPr>
        <w:t xml:space="preserve">Committee </w:t>
      </w:r>
    </w:p>
    <w:p w14:paraId="18D52DBD" w14:textId="77777777" w:rsidR="00010521" w:rsidRPr="000929AA" w:rsidRDefault="00010521" w:rsidP="00010521">
      <w:pPr>
        <w:jc w:val="center"/>
        <w:rPr>
          <w:b/>
        </w:rPr>
      </w:pPr>
    </w:p>
    <w:p w14:paraId="45486535" w14:textId="37956AB8" w:rsidR="00010521" w:rsidRPr="000929AA" w:rsidRDefault="00010521" w:rsidP="00010521">
      <w:pPr>
        <w:jc w:val="center"/>
        <w:rPr>
          <w:i/>
        </w:rPr>
      </w:pPr>
      <w:r>
        <w:rPr>
          <w:i/>
        </w:rPr>
        <w:t xml:space="preserve">Carbon risk: a burning issue </w:t>
      </w:r>
    </w:p>
    <w:p w14:paraId="055F68EA" w14:textId="77777777" w:rsidR="00010521" w:rsidRPr="000929AA" w:rsidRDefault="00010521" w:rsidP="00010521">
      <w:pPr>
        <w:jc w:val="center"/>
        <w:rPr>
          <w:b/>
        </w:rPr>
      </w:pPr>
    </w:p>
    <w:p w14:paraId="38489780" w14:textId="77777777" w:rsidR="00010521" w:rsidRDefault="00010521" w:rsidP="00010521">
      <w:pPr>
        <w:jc w:val="center"/>
      </w:pPr>
      <w:r>
        <w:t>Tabled 21 April 2017</w:t>
      </w:r>
    </w:p>
    <w:p w14:paraId="53E8CFB5" w14:textId="77777777" w:rsidR="00010521" w:rsidRDefault="00010521" w:rsidP="00010521">
      <w:pPr>
        <w:jc w:val="center"/>
      </w:pPr>
    </w:p>
    <w:p w14:paraId="2575342A" w14:textId="77777777" w:rsidR="00010521" w:rsidRPr="00405CAF" w:rsidRDefault="00010521" w:rsidP="00010521">
      <w:pPr>
        <w:jc w:val="center"/>
        <w:rPr>
          <w:b/>
        </w:rPr>
      </w:pPr>
      <w:r w:rsidRPr="00405CAF">
        <w:rPr>
          <w:b/>
        </w:rPr>
        <w:t>Government’s Response to Committee’s Recommendations:</w:t>
      </w:r>
    </w:p>
    <w:p w14:paraId="1C5EE7D5" w14:textId="77777777" w:rsidR="00010521" w:rsidRDefault="00010521" w:rsidP="00010521">
      <w:pPr>
        <w:jc w:val="center"/>
      </w:pPr>
    </w:p>
    <w:p w14:paraId="7FF08F2C" w14:textId="77777777" w:rsidR="00010521" w:rsidRDefault="00010521" w:rsidP="00010521">
      <w:pPr>
        <w:autoSpaceDE w:val="0"/>
        <w:autoSpaceDN w:val="0"/>
        <w:rPr>
          <w:b/>
          <w:bCs/>
          <w:iCs/>
          <w:color w:val="000000"/>
        </w:rPr>
      </w:pPr>
    </w:p>
    <w:tbl>
      <w:tblPr>
        <w:tblStyle w:val="TableGrid"/>
        <w:tblW w:w="0" w:type="auto"/>
        <w:tblLook w:val="04A0" w:firstRow="1" w:lastRow="0" w:firstColumn="1" w:lastColumn="0" w:noHBand="0" w:noVBand="1"/>
      </w:tblPr>
      <w:tblGrid>
        <w:gridCol w:w="9242"/>
      </w:tblGrid>
      <w:tr w:rsidR="00010521" w14:paraId="50EE1C94" w14:textId="77777777" w:rsidTr="00B70566">
        <w:tc>
          <w:tcPr>
            <w:tcW w:w="9242" w:type="dxa"/>
          </w:tcPr>
          <w:p w14:paraId="1663D723" w14:textId="7A2BE1A4" w:rsidR="00010521" w:rsidRDefault="00010521" w:rsidP="00B70566">
            <w:pPr>
              <w:autoSpaceDE w:val="0"/>
              <w:autoSpaceDN w:val="0"/>
              <w:rPr>
                <w:b/>
                <w:bCs/>
                <w:iCs/>
                <w:color w:val="000000"/>
              </w:rPr>
            </w:pPr>
            <w:r w:rsidRPr="000929AA">
              <w:rPr>
                <w:b/>
                <w:bCs/>
                <w:iCs/>
                <w:color w:val="000000"/>
              </w:rPr>
              <w:t>Recommendation 1</w:t>
            </w:r>
          </w:p>
          <w:p w14:paraId="0F412326" w14:textId="77777777" w:rsidR="00010521" w:rsidRDefault="00010521" w:rsidP="00B70566">
            <w:pPr>
              <w:autoSpaceDE w:val="0"/>
              <w:autoSpaceDN w:val="0"/>
              <w:rPr>
                <w:b/>
                <w:bCs/>
                <w:iCs/>
                <w:color w:val="000000"/>
              </w:rPr>
            </w:pPr>
            <w:r w:rsidRPr="005047ED">
              <w:t>That the Australian Securities and Investments Commission review its guidance to directors to ensure that it provides a proper understanding of the manifestations of carbon risk, and reflects evolving asset measurement implications of carbon risk.</w:t>
            </w:r>
          </w:p>
        </w:tc>
      </w:tr>
    </w:tbl>
    <w:p w14:paraId="59CB474F" w14:textId="77777777" w:rsidR="00010521" w:rsidRDefault="00010521" w:rsidP="00010521">
      <w:pPr>
        <w:autoSpaceDE w:val="0"/>
        <w:autoSpaceDN w:val="0"/>
        <w:rPr>
          <w:b/>
          <w:bCs/>
          <w:iCs/>
          <w:color w:val="000000"/>
        </w:rPr>
      </w:pPr>
    </w:p>
    <w:p w14:paraId="2D7549D2" w14:textId="3D3F2E4D" w:rsidR="00010521" w:rsidRDefault="00010521" w:rsidP="00010521">
      <w:r>
        <w:t xml:space="preserve">The Government </w:t>
      </w:r>
      <w:r w:rsidRPr="00BD4246">
        <w:rPr>
          <w:b/>
        </w:rPr>
        <w:t>agrees in principle</w:t>
      </w:r>
      <w:r>
        <w:t xml:space="preserve"> with this recommendation.</w:t>
      </w:r>
    </w:p>
    <w:p w14:paraId="491A0F49" w14:textId="3BE019BD" w:rsidR="00010521" w:rsidRDefault="00010521" w:rsidP="00010521">
      <w:r>
        <w:t xml:space="preserve">The Government encourages the Australian Securities and Investments Commission (ASIC) to review its guidance material to ensure that it continues to provide appropriate principles and high level guidance that stakeholders can apply in meeting their disclosure obligations under the </w:t>
      </w:r>
      <w:r w:rsidRPr="00BD4246">
        <w:rPr>
          <w:i/>
        </w:rPr>
        <w:t>Corporations Act 2001</w:t>
      </w:r>
      <w:r>
        <w:t>.</w:t>
      </w:r>
    </w:p>
    <w:tbl>
      <w:tblPr>
        <w:tblStyle w:val="TableGrid"/>
        <w:tblW w:w="0" w:type="auto"/>
        <w:tblLook w:val="04A0" w:firstRow="1" w:lastRow="0" w:firstColumn="1" w:lastColumn="0" w:noHBand="0" w:noVBand="1"/>
      </w:tblPr>
      <w:tblGrid>
        <w:gridCol w:w="9242"/>
      </w:tblGrid>
      <w:tr w:rsidR="00010521" w14:paraId="17B415BD" w14:textId="77777777" w:rsidTr="00B70566">
        <w:tc>
          <w:tcPr>
            <w:tcW w:w="9242" w:type="dxa"/>
          </w:tcPr>
          <w:p w14:paraId="50716B01" w14:textId="1F483DD4" w:rsidR="00010521" w:rsidRPr="00010521" w:rsidRDefault="00010521" w:rsidP="00B70566">
            <w:pPr>
              <w:autoSpaceDE w:val="0"/>
              <w:autoSpaceDN w:val="0"/>
              <w:rPr>
                <w:b/>
                <w:bCs/>
                <w:iCs/>
                <w:color w:val="000000"/>
              </w:rPr>
            </w:pPr>
            <w:r>
              <w:rPr>
                <w:b/>
                <w:bCs/>
                <w:iCs/>
                <w:color w:val="000000"/>
              </w:rPr>
              <w:t>Recommendation 2</w:t>
            </w:r>
          </w:p>
          <w:p w14:paraId="2A22E4E6" w14:textId="0CC7D58E" w:rsidR="00010521" w:rsidRDefault="00010521" w:rsidP="00B70566">
            <w:pPr>
              <w:autoSpaceDE w:val="0"/>
              <w:autoSpaceDN w:val="0"/>
            </w:pPr>
            <w:r w:rsidRPr="00BD4246">
              <w:t xml:space="preserve">That the Australian Stock Exchange </w:t>
            </w:r>
            <w:proofErr w:type="gramStart"/>
            <w:r w:rsidRPr="00BD4246">
              <w:t>provide</w:t>
            </w:r>
            <w:proofErr w:type="gramEnd"/>
            <w:r w:rsidRPr="00BD4246">
              <w:t xml:space="preserve"> guidance regarding the circumstances in which a listed entity's exposure to carbon risk requires disclosure under Recommendation 7.4 of the Australian Stock Exchange Corporate Governance</w:t>
            </w:r>
            <w:r>
              <w:t xml:space="preserve"> Principles and Recommendations.</w:t>
            </w:r>
          </w:p>
        </w:tc>
      </w:tr>
    </w:tbl>
    <w:p w14:paraId="72B2A064" w14:textId="77777777" w:rsidR="00010521" w:rsidRDefault="00010521" w:rsidP="00010521"/>
    <w:p w14:paraId="66DA6431" w14:textId="01293CF3" w:rsidR="00010521" w:rsidRDefault="00010521" w:rsidP="00010521">
      <w:r>
        <w:t xml:space="preserve">The Government </w:t>
      </w:r>
      <w:r w:rsidRPr="00BD4246">
        <w:rPr>
          <w:b/>
        </w:rPr>
        <w:t>agrees in principle</w:t>
      </w:r>
      <w:r>
        <w:t xml:space="preserve"> with this recommendation.</w:t>
      </w:r>
    </w:p>
    <w:p w14:paraId="0EC22011" w14:textId="64D8E456" w:rsidR="00010521" w:rsidRDefault="00010521" w:rsidP="00010521">
      <w:r>
        <w:t xml:space="preserve">The Government notes however that responsibility for the Corporate Governance Principles and Recommendations (‘the Principles and Recommendations’) rests with the ASX Corporate Governance Council (the Council). The Council brings together a wide range of business, </w:t>
      </w:r>
      <w:proofErr w:type="gramStart"/>
      <w:r>
        <w:t>shareholder</w:t>
      </w:r>
      <w:proofErr w:type="gramEnd"/>
      <w:r>
        <w:t xml:space="preserve"> industry groups who have developed and issued the Principles and Recommendations.</w:t>
      </w:r>
    </w:p>
    <w:p w14:paraId="4854DED4" w14:textId="77777777" w:rsidR="00010521" w:rsidRDefault="00010521" w:rsidP="00010521">
      <w:r>
        <w:t>The Government encourages the Council to continue to keep the Principles and Recommendations and the guidance material under review to ensure it provides an appropriate framework to ensure the corporate governance of ASX listed entities remains best practice.</w:t>
      </w:r>
    </w:p>
    <w:tbl>
      <w:tblPr>
        <w:tblStyle w:val="TableGrid"/>
        <w:tblW w:w="0" w:type="auto"/>
        <w:tblLook w:val="04A0" w:firstRow="1" w:lastRow="0" w:firstColumn="1" w:lastColumn="0" w:noHBand="0" w:noVBand="1"/>
      </w:tblPr>
      <w:tblGrid>
        <w:gridCol w:w="9242"/>
      </w:tblGrid>
      <w:tr w:rsidR="00010521" w14:paraId="764AC6A3" w14:textId="77777777" w:rsidTr="00B70566">
        <w:tc>
          <w:tcPr>
            <w:tcW w:w="9242" w:type="dxa"/>
          </w:tcPr>
          <w:p w14:paraId="14ED9FA2" w14:textId="6FBCA738" w:rsidR="00010521" w:rsidRDefault="00010521" w:rsidP="00B70566">
            <w:pPr>
              <w:autoSpaceDE w:val="0"/>
              <w:autoSpaceDN w:val="0"/>
              <w:rPr>
                <w:b/>
                <w:bCs/>
                <w:iCs/>
                <w:color w:val="000000"/>
              </w:rPr>
            </w:pPr>
            <w:r>
              <w:rPr>
                <w:b/>
                <w:bCs/>
                <w:iCs/>
                <w:color w:val="000000"/>
              </w:rPr>
              <w:t>Recommendation 3</w:t>
            </w:r>
          </w:p>
          <w:p w14:paraId="7B11D5FA" w14:textId="77777777" w:rsidR="00010521" w:rsidRPr="00BD4246" w:rsidRDefault="00010521" w:rsidP="00B70566">
            <w:pPr>
              <w:rPr>
                <w:b/>
              </w:rPr>
            </w:pPr>
            <w:r w:rsidRPr="005047ED">
              <w:t>That the government nominate a single government entity to have primary responsibility for coordinating the response to the recommendations of the Financial Stability Board Task Force on Climate-related Financial Disclosures.</w:t>
            </w:r>
          </w:p>
        </w:tc>
      </w:tr>
    </w:tbl>
    <w:p w14:paraId="2DB34DEE" w14:textId="77777777" w:rsidR="00010521" w:rsidRDefault="00010521" w:rsidP="00010521">
      <w:pPr>
        <w:autoSpaceDE w:val="0"/>
        <w:autoSpaceDN w:val="0"/>
        <w:rPr>
          <w:b/>
          <w:bCs/>
          <w:iCs/>
          <w:color w:val="000000"/>
        </w:rPr>
      </w:pPr>
    </w:p>
    <w:p w14:paraId="647ABE6F" w14:textId="39F2A1FD" w:rsidR="00010521" w:rsidRDefault="00010521" w:rsidP="00010521">
      <w:r>
        <w:t xml:space="preserve">The Government </w:t>
      </w:r>
      <w:r>
        <w:rPr>
          <w:b/>
        </w:rPr>
        <w:t>notes</w:t>
      </w:r>
      <w:r>
        <w:t xml:space="preserve"> this recommendation.</w:t>
      </w:r>
    </w:p>
    <w:p w14:paraId="1E9EDFD7" w14:textId="4514F57B" w:rsidR="00010521" w:rsidRPr="00010521" w:rsidRDefault="00010521" w:rsidP="00010521">
      <w:r>
        <w:t>Refer to the Government response to recommendation 4.</w:t>
      </w:r>
    </w:p>
    <w:tbl>
      <w:tblPr>
        <w:tblStyle w:val="TableGrid"/>
        <w:tblW w:w="0" w:type="auto"/>
        <w:tblLook w:val="04A0" w:firstRow="1" w:lastRow="0" w:firstColumn="1" w:lastColumn="0" w:noHBand="0" w:noVBand="1"/>
      </w:tblPr>
      <w:tblGrid>
        <w:gridCol w:w="9242"/>
      </w:tblGrid>
      <w:tr w:rsidR="00010521" w14:paraId="67EAA407" w14:textId="77777777" w:rsidTr="00B70566">
        <w:tc>
          <w:tcPr>
            <w:tcW w:w="9242" w:type="dxa"/>
          </w:tcPr>
          <w:p w14:paraId="5D040CCC" w14:textId="3ED009FC" w:rsidR="00010521" w:rsidRDefault="00010521" w:rsidP="00B70566">
            <w:pPr>
              <w:autoSpaceDE w:val="0"/>
              <w:autoSpaceDN w:val="0"/>
              <w:rPr>
                <w:b/>
                <w:bCs/>
                <w:iCs/>
                <w:color w:val="000000"/>
              </w:rPr>
            </w:pPr>
            <w:r>
              <w:rPr>
                <w:b/>
                <w:bCs/>
                <w:iCs/>
                <w:color w:val="000000"/>
              </w:rPr>
              <w:t>Recommendation 4</w:t>
            </w:r>
          </w:p>
          <w:p w14:paraId="7F6BDC2D" w14:textId="77777777" w:rsidR="00010521" w:rsidRDefault="00010521" w:rsidP="00B70566">
            <w:pPr>
              <w:autoSpaceDE w:val="0"/>
              <w:autoSpaceDN w:val="0"/>
              <w:rPr>
                <w:b/>
                <w:bCs/>
                <w:iCs/>
                <w:color w:val="000000"/>
              </w:rPr>
            </w:pPr>
            <w:r w:rsidRPr="005047ED">
              <w:t>That the government commit to implementing the recommendations of the Financial Stability Board Task Force on Climate-related Financial Disclosures where appropriate, and undertaking the necessary law reform to give them effect</w:t>
            </w:r>
            <w:r>
              <w:t>.</w:t>
            </w:r>
          </w:p>
        </w:tc>
      </w:tr>
    </w:tbl>
    <w:p w14:paraId="2FA3A026" w14:textId="77777777" w:rsidR="00010521" w:rsidRDefault="00010521" w:rsidP="00010521">
      <w:pPr>
        <w:autoSpaceDE w:val="0"/>
        <w:autoSpaceDN w:val="0"/>
        <w:rPr>
          <w:b/>
          <w:bCs/>
          <w:iCs/>
          <w:color w:val="000000"/>
        </w:rPr>
      </w:pPr>
    </w:p>
    <w:p w14:paraId="424876B7" w14:textId="6E243CFF" w:rsidR="00010521" w:rsidRDefault="00010521" w:rsidP="00010521">
      <w:r>
        <w:t xml:space="preserve">The Government </w:t>
      </w:r>
      <w:r w:rsidR="002B52DD">
        <w:rPr>
          <w:b/>
        </w:rPr>
        <w:t>notes</w:t>
      </w:r>
      <w:r>
        <w:t xml:space="preserve"> this recommendation.</w:t>
      </w:r>
    </w:p>
    <w:p w14:paraId="04F0A8AF" w14:textId="1C619D51" w:rsidR="00010521" w:rsidRDefault="00010521" w:rsidP="00010521">
      <w:r>
        <w:t xml:space="preserve">The Government welcomes the release of the Final Report of the Taskforce, which provides a framework for investors and companies to appropriately assess and price climate-related risk and opportunities. </w:t>
      </w:r>
    </w:p>
    <w:p w14:paraId="2400C989" w14:textId="1F63F425" w:rsidR="00010521" w:rsidRDefault="00010521" w:rsidP="00010521">
      <w:r>
        <w:t xml:space="preserve">The Government encourages all stakeholders to carefully consider the recommendations of the Taskforce. </w:t>
      </w:r>
    </w:p>
    <w:p w14:paraId="3760265E" w14:textId="7F0C7495" w:rsidR="00010521" w:rsidRDefault="00010521" w:rsidP="00010521">
      <w:pPr>
        <w:autoSpaceDE w:val="0"/>
        <w:autoSpaceDN w:val="0"/>
      </w:pPr>
      <w:r>
        <w:t>The Government does not consider further law</w:t>
      </w:r>
      <w:r w:rsidR="00C23480">
        <w:t xml:space="preserve"> </w:t>
      </w:r>
      <w:r>
        <w:t xml:space="preserve">reform is required however, as the disclosure requirements in the </w:t>
      </w:r>
      <w:r w:rsidRPr="00200EC4">
        <w:rPr>
          <w:i/>
        </w:rPr>
        <w:t>Corporations Act 2001</w:t>
      </w:r>
      <w:r>
        <w:t xml:space="preserve"> are principles-based and do not impede the implementation of the Taskforce’s recommendations by stakeholders.</w:t>
      </w:r>
    </w:p>
    <w:tbl>
      <w:tblPr>
        <w:tblStyle w:val="TableGrid"/>
        <w:tblW w:w="0" w:type="auto"/>
        <w:tblLook w:val="04A0" w:firstRow="1" w:lastRow="0" w:firstColumn="1" w:lastColumn="0" w:noHBand="0" w:noVBand="1"/>
      </w:tblPr>
      <w:tblGrid>
        <w:gridCol w:w="9242"/>
      </w:tblGrid>
      <w:tr w:rsidR="00010521" w14:paraId="61ECACEE" w14:textId="77777777" w:rsidTr="00B70566">
        <w:tc>
          <w:tcPr>
            <w:tcW w:w="9242" w:type="dxa"/>
          </w:tcPr>
          <w:p w14:paraId="41890109" w14:textId="1292F2DD" w:rsidR="00010521" w:rsidRDefault="00010521" w:rsidP="00B70566">
            <w:pPr>
              <w:autoSpaceDE w:val="0"/>
              <w:autoSpaceDN w:val="0"/>
              <w:rPr>
                <w:b/>
                <w:bCs/>
                <w:iCs/>
                <w:color w:val="000000"/>
              </w:rPr>
            </w:pPr>
            <w:r>
              <w:rPr>
                <w:b/>
                <w:bCs/>
                <w:iCs/>
                <w:color w:val="000000"/>
              </w:rPr>
              <w:t>Recommendation 5</w:t>
            </w:r>
          </w:p>
          <w:p w14:paraId="3FF98193" w14:textId="77777777" w:rsidR="00010521" w:rsidRDefault="00010521" w:rsidP="00B70566">
            <w:pPr>
              <w:autoSpaceDE w:val="0"/>
              <w:autoSpaceDN w:val="0"/>
              <w:rPr>
                <w:b/>
                <w:bCs/>
                <w:iCs/>
                <w:color w:val="000000"/>
              </w:rPr>
            </w:pPr>
            <w:r w:rsidRPr="005047ED">
              <w:t xml:space="preserve">That the government review the </w:t>
            </w:r>
            <w:r w:rsidRPr="005047ED">
              <w:rPr>
                <w:i/>
              </w:rPr>
              <w:t>Corporations Act 2001</w:t>
            </w:r>
            <w:r w:rsidRPr="005047ED">
              <w:t xml:space="preserve"> to consider whether the obligations for financial disclosure should require holistic consideration of a company's prospects, including the viability of its business model.</w:t>
            </w:r>
          </w:p>
        </w:tc>
      </w:tr>
    </w:tbl>
    <w:p w14:paraId="4FB32012" w14:textId="77777777" w:rsidR="00010521" w:rsidRDefault="00010521" w:rsidP="00010521">
      <w:pPr>
        <w:autoSpaceDE w:val="0"/>
        <w:autoSpaceDN w:val="0"/>
        <w:rPr>
          <w:b/>
          <w:bCs/>
          <w:iCs/>
          <w:color w:val="000000"/>
        </w:rPr>
      </w:pPr>
    </w:p>
    <w:p w14:paraId="6FAB03F8" w14:textId="16EAF51E" w:rsidR="00010521" w:rsidRPr="00BD4246" w:rsidRDefault="00010521" w:rsidP="00010521">
      <w:r w:rsidRPr="00BD4246">
        <w:t xml:space="preserve">The Government </w:t>
      </w:r>
      <w:r w:rsidR="002B52DD">
        <w:rPr>
          <w:b/>
        </w:rPr>
        <w:t>notes</w:t>
      </w:r>
      <w:r>
        <w:t xml:space="preserve"> this recommendation.</w:t>
      </w:r>
    </w:p>
    <w:p w14:paraId="191B3D05" w14:textId="48D2B721" w:rsidR="00010521" w:rsidRPr="00BD4246" w:rsidRDefault="00010521" w:rsidP="00010521">
      <w:r w:rsidRPr="00BD4246">
        <w:t xml:space="preserve">The financial disclosure requirements contained in the </w:t>
      </w:r>
      <w:r w:rsidRPr="00E02448">
        <w:rPr>
          <w:i/>
        </w:rPr>
        <w:t>Corporations Act 2001</w:t>
      </w:r>
      <w:r w:rsidRPr="00BD4246">
        <w:t xml:space="preserve"> are principles-based and provide a flexible frame</w:t>
      </w:r>
      <w:r>
        <w:t xml:space="preserve">work for financial disclosure. </w:t>
      </w:r>
    </w:p>
    <w:p w14:paraId="42EBE141" w14:textId="5A861961" w:rsidR="00010521" w:rsidRPr="00010521" w:rsidRDefault="00010521" w:rsidP="00010521">
      <w:r w:rsidRPr="00BD4246">
        <w:t>On this basis the Government believes that the current requirements are sufficient and do not requi</w:t>
      </w:r>
      <w:r>
        <w:t>re further review at this time.</w:t>
      </w:r>
    </w:p>
    <w:tbl>
      <w:tblPr>
        <w:tblStyle w:val="TableGrid"/>
        <w:tblW w:w="0" w:type="auto"/>
        <w:tblLook w:val="04A0" w:firstRow="1" w:lastRow="0" w:firstColumn="1" w:lastColumn="0" w:noHBand="0" w:noVBand="1"/>
      </w:tblPr>
      <w:tblGrid>
        <w:gridCol w:w="9242"/>
      </w:tblGrid>
      <w:tr w:rsidR="00010521" w14:paraId="1C1DCBE5" w14:textId="77777777" w:rsidTr="00B70566">
        <w:tc>
          <w:tcPr>
            <w:tcW w:w="9242" w:type="dxa"/>
          </w:tcPr>
          <w:p w14:paraId="5D808721" w14:textId="65887ED2" w:rsidR="00010521" w:rsidRPr="001427E9" w:rsidRDefault="00010521" w:rsidP="00B70566">
            <w:pPr>
              <w:rPr>
                <w:b/>
              </w:rPr>
            </w:pPr>
            <w:r w:rsidRPr="001427E9">
              <w:rPr>
                <w:b/>
              </w:rPr>
              <w:t>Recommendation 6</w:t>
            </w:r>
          </w:p>
          <w:p w14:paraId="26CCDBED" w14:textId="77777777" w:rsidR="00010521" w:rsidRDefault="00010521" w:rsidP="00B70566">
            <w:r>
              <w:t>That the government end the uncertainty regarding climate change policy, and develop a stable and consistent policy (such as an emissions intensity scheme for the electricity sector).</w:t>
            </w:r>
          </w:p>
        </w:tc>
      </w:tr>
    </w:tbl>
    <w:p w14:paraId="3E23DDE4" w14:textId="77777777" w:rsidR="00010521" w:rsidRDefault="00010521" w:rsidP="00010521"/>
    <w:p w14:paraId="1F3832DF" w14:textId="0E4ED2BD" w:rsidR="00010521" w:rsidRDefault="00010521" w:rsidP="00010521">
      <w:r>
        <w:t xml:space="preserve">The Government </w:t>
      </w:r>
      <w:r w:rsidRPr="00405CAF">
        <w:rPr>
          <w:b/>
        </w:rPr>
        <w:t>notes</w:t>
      </w:r>
      <w:r>
        <w:t xml:space="preserve"> this recommendation.</w:t>
      </w:r>
    </w:p>
    <w:p w14:paraId="220758F5" w14:textId="2E1A1A3D" w:rsidR="00010521" w:rsidRDefault="00010521" w:rsidP="00010521">
      <w:r>
        <w:t xml:space="preserve">The Government has a policy toolkit that is reducing Australia’s emissions. This includes the Emissions Reduction Fund and its Safeguard mechanism, the Renewable Energy Target, the National Energy Productivity Plan, the Ministerial Forum on Vehicle Emissions, and the phase-down of hydrofluorocarbons. </w:t>
      </w:r>
    </w:p>
    <w:p w14:paraId="4594B697" w14:textId="27163A3E" w:rsidR="00010521" w:rsidRDefault="00010521" w:rsidP="00010521">
      <w:r>
        <w:lastRenderedPageBreak/>
        <w:t>The Emissions R</w:t>
      </w:r>
      <w:r w:rsidR="00814C43">
        <w:t>eduction Fund has contracted 192</w:t>
      </w:r>
      <w:r>
        <w:t xml:space="preserve"> million tonnes of emissions reductions at</w:t>
      </w:r>
      <w:r w:rsidR="00814C43">
        <w:t xml:space="preserve"> an average price of just $11.90</w:t>
      </w:r>
      <w:r>
        <w:t xml:space="preserve"> a tonne. The Renewable Energy Target will increase renewable energy to around 23 per cent of Australia’s electricity by 2020. The National Energy Productivity Plan will improve Australia’s energy productivity by 40 per cent by 2030. The Ministerial Forum on Vehicle Emissions is considering proposals to reduce emissions from vehicles while saving consumers money on fuel. Under the Montreal Protocol, Australia is phasing down imports of hydrofluorocarbons to reach a reduction of 85 per cent on 2011-2013 levels by 2036. </w:t>
      </w:r>
    </w:p>
    <w:p w14:paraId="752D9372" w14:textId="77777777" w:rsidR="00010521" w:rsidRDefault="00010521" w:rsidP="00010521">
      <w:r>
        <w:t xml:space="preserve">The Government intends to introduce a National Energy Guarantee, consisting of dual requirements that will require energy retailers and some large energy users across the National Electricity Market to deliver reliable and lower emissions energy generation each year.  </w:t>
      </w:r>
    </w:p>
    <w:p w14:paraId="707E7F63" w14:textId="77777777" w:rsidR="00010521" w:rsidRDefault="00010521" w:rsidP="00010521"/>
    <w:p w14:paraId="3FE9E649" w14:textId="77777777" w:rsidR="00010521" w:rsidRDefault="00010521" w:rsidP="00010521">
      <w:pPr>
        <w:spacing w:line="276" w:lineRule="auto"/>
      </w:pPr>
      <w:r>
        <w:br w:type="page"/>
      </w:r>
    </w:p>
    <w:p w14:paraId="0B3458F6" w14:textId="77777777" w:rsidR="00010521" w:rsidRDefault="00010521" w:rsidP="00010521"/>
    <w:p w14:paraId="7245920E" w14:textId="77777777" w:rsidR="00010521" w:rsidRDefault="00010521" w:rsidP="00010521">
      <w:pPr>
        <w:jc w:val="center"/>
        <w:rPr>
          <w:b/>
        </w:rPr>
      </w:pPr>
      <w:r w:rsidRPr="005047ED">
        <w:rPr>
          <w:b/>
        </w:rPr>
        <w:t>Additional recommendations by the Australian Greens</w:t>
      </w:r>
      <w:r>
        <w:rPr>
          <w:b/>
        </w:rPr>
        <w:t xml:space="preserve"> – Government response</w:t>
      </w:r>
    </w:p>
    <w:p w14:paraId="7201283B" w14:textId="77777777" w:rsidR="00010521" w:rsidRPr="005047ED" w:rsidRDefault="00010521" w:rsidP="00010521">
      <w:pPr>
        <w:jc w:val="center"/>
        <w:rPr>
          <w:b/>
        </w:rPr>
      </w:pPr>
    </w:p>
    <w:tbl>
      <w:tblPr>
        <w:tblStyle w:val="TableGrid"/>
        <w:tblW w:w="0" w:type="auto"/>
        <w:tblLook w:val="04A0" w:firstRow="1" w:lastRow="0" w:firstColumn="1" w:lastColumn="0" w:noHBand="0" w:noVBand="1"/>
      </w:tblPr>
      <w:tblGrid>
        <w:gridCol w:w="9242"/>
      </w:tblGrid>
      <w:tr w:rsidR="00010521" w14:paraId="4DBF248F" w14:textId="77777777" w:rsidTr="00B70566">
        <w:tc>
          <w:tcPr>
            <w:tcW w:w="9242" w:type="dxa"/>
          </w:tcPr>
          <w:p w14:paraId="642710B4" w14:textId="01940561" w:rsidR="00010521" w:rsidRPr="00010521" w:rsidRDefault="00010521" w:rsidP="00B70566">
            <w:pPr>
              <w:rPr>
                <w:b/>
              </w:rPr>
            </w:pPr>
            <w:r>
              <w:rPr>
                <w:b/>
              </w:rPr>
              <w:t>Recommendation 1</w:t>
            </w:r>
          </w:p>
          <w:p w14:paraId="49B8B330" w14:textId="77777777" w:rsidR="00010521" w:rsidRPr="00405CAF" w:rsidRDefault="00010521" w:rsidP="00B70566">
            <w:pPr>
              <w:rPr>
                <w:b/>
              </w:rPr>
            </w:pPr>
            <w:r w:rsidRPr="005047ED">
              <w:t>The government reintroduce a price on carbon pollution.</w:t>
            </w:r>
          </w:p>
        </w:tc>
      </w:tr>
    </w:tbl>
    <w:p w14:paraId="38EA5FE9" w14:textId="77777777" w:rsidR="00010521" w:rsidRDefault="00010521" w:rsidP="00010521"/>
    <w:p w14:paraId="2A718077" w14:textId="3C517483" w:rsidR="00010521" w:rsidRDefault="00010521" w:rsidP="00010521">
      <w:r>
        <w:t xml:space="preserve">The Government </w:t>
      </w:r>
      <w:r w:rsidRPr="00405CAF">
        <w:rPr>
          <w:b/>
        </w:rPr>
        <w:t>does not agree</w:t>
      </w:r>
      <w:r>
        <w:t xml:space="preserve"> with this recommendation.</w:t>
      </w:r>
    </w:p>
    <w:p w14:paraId="1D65C9E9" w14:textId="50E29655" w:rsidR="00010521" w:rsidRDefault="00010521" w:rsidP="00010521">
      <w:r>
        <w:t>The Government has been clear it will not introduce a carbon pricing mechanism such as a carbon tax, an emissions trading scheme or an emissions intensity scheme.</w:t>
      </w:r>
    </w:p>
    <w:tbl>
      <w:tblPr>
        <w:tblStyle w:val="TableGrid"/>
        <w:tblW w:w="0" w:type="auto"/>
        <w:tblLook w:val="04A0" w:firstRow="1" w:lastRow="0" w:firstColumn="1" w:lastColumn="0" w:noHBand="0" w:noVBand="1"/>
      </w:tblPr>
      <w:tblGrid>
        <w:gridCol w:w="9242"/>
      </w:tblGrid>
      <w:tr w:rsidR="00010521" w14:paraId="12104D59" w14:textId="77777777" w:rsidTr="00B70566">
        <w:tc>
          <w:tcPr>
            <w:tcW w:w="9242" w:type="dxa"/>
          </w:tcPr>
          <w:p w14:paraId="3EB16778" w14:textId="1FAE177E" w:rsidR="00010521" w:rsidRPr="00010521" w:rsidRDefault="00010521" w:rsidP="00B70566">
            <w:pPr>
              <w:rPr>
                <w:b/>
              </w:rPr>
            </w:pPr>
            <w:r>
              <w:rPr>
                <w:b/>
              </w:rPr>
              <w:t>Recommendation 2</w:t>
            </w:r>
          </w:p>
          <w:p w14:paraId="36DB31BF" w14:textId="77777777" w:rsidR="00010521" w:rsidRPr="00405CAF" w:rsidRDefault="00010521" w:rsidP="00B70566">
            <w:pPr>
              <w:rPr>
                <w:b/>
              </w:rPr>
            </w:pPr>
            <w:r w:rsidRPr="005047ED">
              <w:t>The government require that annual public reporting by Australian companies include the price paid for carbon pollution and the associated greenhouse gas emissions, including from global operations and interests.</w:t>
            </w:r>
          </w:p>
        </w:tc>
      </w:tr>
    </w:tbl>
    <w:p w14:paraId="16740476" w14:textId="77777777" w:rsidR="00010521" w:rsidRDefault="00010521" w:rsidP="00010521"/>
    <w:p w14:paraId="3A7BADFF" w14:textId="3843F74C" w:rsidR="00010521" w:rsidRDefault="00010521" w:rsidP="00010521">
      <w:r>
        <w:t xml:space="preserve">The Government </w:t>
      </w:r>
      <w:r w:rsidRPr="009007B2">
        <w:rPr>
          <w:b/>
        </w:rPr>
        <w:t>does not agree</w:t>
      </w:r>
      <w:r>
        <w:t xml:space="preserve"> with this recommendation.</w:t>
      </w:r>
    </w:p>
    <w:p w14:paraId="5D6144AE" w14:textId="30086192" w:rsidR="00010521" w:rsidRDefault="00010521" w:rsidP="00010521">
      <w:r w:rsidRPr="00200EC4">
        <w:t>The Government does not consider furthe</w:t>
      </w:r>
      <w:r>
        <w:t>r legislative requirements are required</w:t>
      </w:r>
      <w:r w:rsidRPr="00200EC4">
        <w:t xml:space="preserve"> as the </w:t>
      </w:r>
      <w:r>
        <w:t xml:space="preserve">current </w:t>
      </w:r>
      <w:r w:rsidRPr="00200EC4">
        <w:t xml:space="preserve">disclosure requirements in the </w:t>
      </w:r>
      <w:r w:rsidRPr="00200EC4">
        <w:rPr>
          <w:i/>
        </w:rPr>
        <w:t>Corporations Act 2001</w:t>
      </w:r>
      <w:r w:rsidRPr="00200EC4">
        <w:t xml:space="preserve"> are princip</w:t>
      </w:r>
      <w:r>
        <w:t>les-based and do not impede any inclusion of such information in public reporting.</w:t>
      </w:r>
    </w:p>
    <w:tbl>
      <w:tblPr>
        <w:tblStyle w:val="TableGrid"/>
        <w:tblW w:w="0" w:type="auto"/>
        <w:tblLook w:val="04A0" w:firstRow="1" w:lastRow="0" w:firstColumn="1" w:lastColumn="0" w:noHBand="0" w:noVBand="1"/>
      </w:tblPr>
      <w:tblGrid>
        <w:gridCol w:w="9242"/>
      </w:tblGrid>
      <w:tr w:rsidR="00010521" w14:paraId="5AB83311" w14:textId="77777777" w:rsidTr="00B70566">
        <w:tc>
          <w:tcPr>
            <w:tcW w:w="9242" w:type="dxa"/>
          </w:tcPr>
          <w:p w14:paraId="200F5210" w14:textId="4C93EEE3" w:rsidR="00010521" w:rsidRPr="00010521" w:rsidRDefault="00010521" w:rsidP="00B70566">
            <w:pPr>
              <w:rPr>
                <w:b/>
              </w:rPr>
            </w:pPr>
            <w:r>
              <w:rPr>
                <w:b/>
              </w:rPr>
              <w:t>Recommendation 3</w:t>
            </w:r>
          </w:p>
          <w:p w14:paraId="06CBFD11" w14:textId="77777777" w:rsidR="00010521" w:rsidRDefault="00010521" w:rsidP="00B70566">
            <w:r w:rsidRPr="005047ED">
              <w:t>The government commit to bringing into effect the recommendations of the Financial Systems Board Task Force on Climate Related Financial Disclosure without exception.</w:t>
            </w:r>
          </w:p>
        </w:tc>
      </w:tr>
    </w:tbl>
    <w:p w14:paraId="678BEE5D" w14:textId="77777777" w:rsidR="00010521" w:rsidRDefault="00010521" w:rsidP="00010521"/>
    <w:p w14:paraId="1B9D0B0D" w14:textId="58E0A6A7" w:rsidR="00010521" w:rsidRDefault="00010521" w:rsidP="00010521">
      <w:r>
        <w:t xml:space="preserve">The Government </w:t>
      </w:r>
      <w:r w:rsidRPr="009007B2">
        <w:rPr>
          <w:b/>
        </w:rPr>
        <w:t>does not agree</w:t>
      </w:r>
      <w:r>
        <w:t xml:space="preserve"> with this recommendation.</w:t>
      </w:r>
    </w:p>
    <w:p w14:paraId="6FBF6F79" w14:textId="1718401D" w:rsidR="00010521" w:rsidRDefault="00010521" w:rsidP="00010521">
      <w:r>
        <w:t>Refer to the Government response to Recommendation 4 in the main report.</w:t>
      </w:r>
    </w:p>
    <w:tbl>
      <w:tblPr>
        <w:tblStyle w:val="TableGrid"/>
        <w:tblW w:w="0" w:type="auto"/>
        <w:tblLook w:val="04A0" w:firstRow="1" w:lastRow="0" w:firstColumn="1" w:lastColumn="0" w:noHBand="0" w:noVBand="1"/>
      </w:tblPr>
      <w:tblGrid>
        <w:gridCol w:w="9242"/>
      </w:tblGrid>
      <w:tr w:rsidR="00010521" w14:paraId="6C9F0918" w14:textId="77777777" w:rsidTr="00B70566">
        <w:tc>
          <w:tcPr>
            <w:tcW w:w="9242" w:type="dxa"/>
          </w:tcPr>
          <w:p w14:paraId="76E640B1" w14:textId="41D7FAAF" w:rsidR="00010521" w:rsidRPr="00010521" w:rsidRDefault="00010521" w:rsidP="00B70566">
            <w:pPr>
              <w:rPr>
                <w:b/>
              </w:rPr>
            </w:pPr>
            <w:r w:rsidRPr="00405CAF">
              <w:rPr>
                <w:b/>
              </w:rPr>
              <w:t>Recommendation</w:t>
            </w:r>
            <w:r>
              <w:rPr>
                <w:b/>
              </w:rPr>
              <w:t xml:space="preserve"> 4</w:t>
            </w:r>
          </w:p>
          <w:p w14:paraId="7A4CBA96" w14:textId="77777777" w:rsidR="00010521" w:rsidRPr="00405CAF" w:rsidRDefault="00010521" w:rsidP="00B70566">
            <w:pPr>
              <w:rPr>
                <w:b/>
              </w:rPr>
            </w:pPr>
            <w:r w:rsidRPr="005047ED">
              <w:t>The Council of Financial Regulators develop a standard definition of 'carbon risk' for the purposes of disclosure that incorporates policy, technological, market and physical risk dimensions.</w:t>
            </w:r>
          </w:p>
        </w:tc>
      </w:tr>
    </w:tbl>
    <w:p w14:paraId="2C2CE09F" w14:textId="77777777" w:rsidR="00010521" w:rsidRDefault="00010521" w:rsidP="00010521"/>
    <w:p w14:paraId="55E3CB1B" w14:textId="1AA906F4" w:rsidR="00010521" w:rsidRDefault="00010521" w:rsidP="00010521">
      <w:r>
        <w:t xml:space="preserve">The Government </w:t>
      </w:r>
      <w:r w:rsidRPr="009007B2">
        <w:rPr>
          <w:b/>
        </w:rPr>
        <w:t>does not agree</w:t>
      </w:r>
      <w:r>
        <w:t xml:space="preserve"> with this recommendation.</w:t>
      </w:r>
    </w:p>
    <w:p w14:paraId="03AA09DC" w14:textId="70ECC930" w:rsidR="00010521" w:rsidRDefault="00010521" w:rsidP="00010521">
      <w:r>
        <w:t xml:space="preserve">The Government believes that the current </w:t>
      </w:r>
      <w:r w:rsidRPr="00D03965">
        <w:t xml:space="preserve">requirements in the </w:t>
      </w:r>
      <w:r w:rsidRPr="00E02448">
        <w:rPr>
          <w:i/>
        </w:rPr>
        <w:t>Corporations Act 2001</w:t>
      </w:r>
      <w:r w:rsidRPr="00D03965">
        <w:t xml:space="preserve"> </w:t>
      </w:r>
      <w:r>
        <w:t xml:space="preserve">provide an adequate and flexible framework for such disclosure to evolve according to the development of the market. </w:t>
      </w:r>
    </w:p>
    <w:p w14:paraId="1D634727" w14:textId="46EF1C7D" w:rsidR="00010521" w:rsidRDefault="00010521" w:rsidP="00010521">
      <w:r>
        <w:lastRenderedPageBreak/>
        <w:t>For example,</w:t>
      </w:r>
      <w:r w:rsidRPr="00D03965">
        <w:t xml:space="preserve"> the Financial Stability Board Task Force on Climate-related Financial Disclosures provides a framework for investors and companies to appropriately assess and price climate-related risk and opportunities.</w:t>
      </w:r>
    </w:p>
    <w:tbl>
      <w:tblPr>
        <w:tblStyle w:val="TableGrid"/>
        <w:tblW w:w="0" w:type="auto"/>
        <w:tblLook w:val="04A0" w:firstRow="1" w:lastRow="0" w:firstColumn="1" w:lastColumn="0" w:noHBand="0" w:noVBand="1"/>
      </w:tblPr>
      <w:tblGrid>
        <w:gridCol w:w="9242"/>
      </w:tblGrid>
      <w:tr w:rsidR="00010521" w14:paraId="750472E3" w14:textId="77777777" w:rsidTr="00B70566">
        <w:tc>
          <w:tcPr>
            <w:tcW w:w="9242" w:type="dxa"/>
          </w:tcPr>
          <w:p w14:paraId="0D3477D4" w14:textId="5E24D062" w:rsidR="00010521" w:rsidRPr="00010521" w:rsidRDefault="00010521" w:rsidP="00B70566">
            <w:pPr>
              <w:rPr>
                <w:b/>
              </w:rPr>
            </w:pPr>
            <w:r>
              <w:rPr>
                <w:b/>
              </w:rPr>
              <w:t>Recommendation 5</w:t>
            </w:r>
          </w:p>
          <w:p w14:paraId="30E5A555" w14:textId="77777777" w:rsidR="00010521" w:rsidRPr="00405CAF" w:rsidRDefault="00010521" w:rsidP="00B70566">
            <w:pPr>
              <w:rPr>
                <w:b/>
              </w:rPr>
            </w:pPr>
            <w:r w:rsidRPr="005047ED">
              <w:t xml:space="preserve">The Council of Financial Regulators </w:t>
            </w:r>
            <w:proofErr w:type="gramStart"/>
            <w:r w:rsidRPr="005047ED">
              <w:t>develop</w:t>
            </w:r>
            <w:proofErr w:type="gramEnd"/>
            <w:r w:rsidRPr="005047ED">
              <w:t xml:space="preserve"> guidelines for mandatory annual public reporting of carbon risk by Australian public companies and by proprietary companies with financially material carbon risk exposures.</w:t>
            </w:r>
          </w:p>
        </w:tc>
      </w:tr>
    </w:tbl>
    <w:p w14:paraId="46B85378" w14:textId="77777777" w:rsidR="00010521" w:rsidRDefault="00010521" w:rsidP="00010521"/>
    <w:p w14:paraId="111489D4" w14:textId="55AC1609" w:rsidR="00010521" w:rsidRDefault="00010521" w:rsidP="00010521">
      <w:r>
        <w:t xml:space="preserve">The Government </w:t>
      </w:r>
      <w:r w:rsidRPr="009007B2">
        <w:rPr>
          <w:b/>
        </w:rPr>
        <w:t>does not agree</w:t>
      </w:r>
      <w:r>
        <w:t xml:space="preserve"> with this recommendation.</w:t>
      </w:r>
    </w:p>
    <w:p w14:paraId="5E3C125B" w14:textId="4900C47C" w:rsidR="00010521" w:rsidRDefault="00010521" w:rsidP="00010521">
      <w:r>
        <w:t>Refer to the Government response to Recommendation 2 by the Australian Greens.</w:t>
      </w:r>
    </w:p>
    <w:tbl>
      <w:tblPr>
        <w:tblStyle w:val="TableGrid"/>
        <w:tblW w:w="0" w:type="auto"/>
        <w:tblLook w:val="04A0" w:firstRow="1" w:lastRow="0" w:firstColumn="1" w:lastColumn="0" w:noHBand="0" w:noVBand="1"/>
      </w:tblPr>
      <w:tblGrid>
        <w:gridCol w:w="9242"/>
      </w:tblGrid>
      <w:tr w:rsidR="00010521" w14:paraId="2821CD5B" w14:textId="77777777" w:rsidTr="00B70566">
        <w:tc>
          <w:tcPr>
            <w:tcW w:w="9242" w:type="dxa"/>
          </w:tcPr>
          <w:p w14:paraId="2A2B4EE1" w14:textId="3D7EA85B" w:rsidR="00010521" w:rsidRPr="00010521" w:rsidRDefault="00010521" w:rsidP="00B70566">
            <w:pPr>
              <w:rPr>
                <w:b/>
              </w:rPr>
            </w:pPr>
            <w:r>
              <w:rPr>
                <w:b/>
              </w:rPr>
              <w:t>Recommendation 6</w:t>
            </w:r>
          </w:p>
          <w:p w14:paraId="5A7DD358" w14:textId="77777777" w:rsidR="00010521" w:rsidRPr="00405CAF" w:rsidRDefault="00010521" w:rsidP="00B70566">
            <w:pPr>
              <w:rPr>
                <w:b/>
              </w:rPr>
            </w:pPr>
            <w:r w:rsidRPr="001F1290">
              <w:t>Amend the National Greenhouse and Energy Reporting Scheme to include public disclosure of equity exposures above a materiality threshold.</w:t>
            </w:r>
          </w:p>
        </w:tc>
      </w:tr>
    </w:tbl>
    <w:p w14:paraId="33CFF599" w14:textId="77777777" w:rsidR="00010521" w:rsidRDefault="00010521" w:rsidP="00010521"/>
    <w:p w14:paraId="4827C4E6" w14:textId="04F53A20" w:rsidR="00010521" w:rsidRDefault="00010521" w:rsidP="00010521">
      <w:r>
        <w:t xml:space="preserve">The Government </w:t>
      </w:r>
      <w:r w:rsidRPr="00405CAF">
        <w:rPr>
          <w:b/>
        </w:rPr>
        <w:t>does not agree</w:t>
      </w:r>
      <w:r>
        <w:t xml:space="preserve"> with this recommendation.</w:t>
      </w:r>
    </w:p>
    <w:p w14:paraId="3E483BFF" w14:textId="41FE08F5" w:rsidR="00010521" w:rsidRDefault="00010521" w:rsidP="00010521">
      <w:r>
        <w:t xml:space="preserve">Such an amendment would not be consistent with the Scheme’s existing objectives and design. </w:t>
      </w:r>
    </w:p>
    <w:p w14:paraId="7432774E" w14:textId="77777777" w:rsidR="00010521" w:rsidRDefault="00010521" w:rsidP="00010521">
      <w:r>
        <w:t xml:space="preserve">The Scheme was introduced primarily to support Australia’s international greenhouse gas emissions reporting obligations. It discharges this objective through a single national framework for the reporting and dissemination of data on greenhouse gas emissions, energy consumption and production from corporations that meet legislated emissions and energy thresholds. The Scheme’s data estimation and reporting requirements align with internationally agreed rules and guidelines to ensure Australia’s compliance with its international obligations. </w:t>
      </w:r>
    </w:p>
    <w:p w14:paraId="63A29FA7" w14:textId="2E632BB1" w:rsidR="00010521" w:rsidRDefault="00010521" w:rsidP="00010521">
      <w:r>
        <w:t xml:space="preserve">As a result, it would be a significant deviation from the Scheme’s original purpose to accommodate this recommendation. </w:t>
      </w:r>
    </w:p>
    <w:p w14:paraId="06E32DF9" w14:textId="0487446E" w:rsidR="00010521" w:rsidRDefault="00010521" w:rsidP="00010521">
      <w:r>
        <w:t>The Government agrees with the Senate Economics References Committee’s assessment (section 4.23 refers) that, “Accounting for the risk arising from carbon is categorically different from the accounting of carbon emissions themselves”.</w:t>
      </w:r>
    </w:p>
    <w:tbl>
      <w:tblPr>
        <w:tblStyle w:val="TableGrid"/>
        <w:tblW w:w="0" w:type="auto"/>
        <w:tblLook w:val="04A0" w:firstRow="1" w:lastRow="0" w:firstColumn="1" w:lastColumn="0" w:noHBand="0" w:noVBand="1"/>
      </w:tblPr>
      <w:tblGrid>
        <w:gridCol w:w="9242"/>
      </w:tblGrid>
      <w:tr w:rsidR="00010521" w14:paraId="334F77B8" w14:textId="77777777" w:rsidTr="00B70566">
        <w:tc>
          <w:tcPr>
            <w:tcW w:w="9242" w:type="dxa"/>
          </w:tcPr>
          <w:p w14:paraId="1D848191" w14:textId="5458F438" w:rsidR="00010521" w:rsidRPr="001F1290" w:rsidRDefault="00010521" w:rsidP="00B70566">
            <w:pPr>
              <w:rPr>
                <w:b/>
              </w:rPr>
            </w:pPr>
            <w:r>
              <w:rPr>
                <w:b/>
              </w:rPr>
              <w:t>Recommendation 7</w:t>
            </w:r>
          </w:p>
          <w:p w14:paraId="5399188B" w14:textId="33275FAA" w:rsidR="00010521" w:rsidRPr="00010521" w:rsidRDefault="00010521" w:rsidP="00B70566">
            <w:pPr>
              <w:rPr>
                <w:b/>
              </w:rPr>
            </w:pPr>
            <w:r w:rsidRPr="001F1290">
              <w:t>Amend the National Greenhouse and Energy Reporting Scheme to increase Scope 3 emissions reporting and disclosure where they are a financially material compo</w:t>
            </w:r>
            <w:r>
              <w:t>nent of a company's carbon risk.</w:t>
            </w:r>
          </w:p>
        </w:tc>
      </w:tr>
    </w:tbl>
    <w:p w14:paraId="0AB0A4EA" w14:textId="77777777" w:rsidR="00010521" w:rsidRDefault="00010521" w:rsidP="00010521"/>
    <w:p w14:paraId="3CB81A52" w14:textId="088DB8A1" w:rsidR="00010521" w:rsidRDefault="00010521" w:rsidP="00010521">
      <w:r>
        <w:t xml:space="preserve">The Government </w:t>
      </w:r>
      <w:r w:rsidRPr="00405CAF">
        <w:rPr>
          <w:b/>
        </w:rPr>
        <w:t>does not agree</w:t>
      </w:r>
      <w:r>
        <w:t xml:space="preserve"> with this recommendation.</w:t>
      </w:r>
    </w:p>
    <w:p w14:paraId="2E257CEB" w14:textId="0FC28BBE" w:rsidR="00010521" w:rsidRDefault="00010521" w:rsidP="00010521">
      <w:r>
        <w:t xml:space="preserve">For the same reasons provided in response to Recommendation 6, such an amendment would not be consistent with the Scheme’s existing objectives and design. The Scheme does not include a requirement to report Scope 3 emissions, only Scope 1 and 2 emissions. The requirement to report is based on legislated emissions and energy thresholds and the determination of operational control, rather than financial considerations. </w:t>
      </w:r>
    </w:p>
    <w:p w14:paraId="073CD2A0" w14:textId="49C78D02" w:rsidR="00010521" w:rsidRDefault="00010521" w:rsidP="00010521">
      <w:r>
        <w:lastRenderedPageBreak/>
        <w:t>Also as stated in the response to Recommendation 6, it would be a significant deviation from the Scheme’s original purpose to accommodate this recommendation.</w:t>
      </w:r>
    </w:p>
    <w:p w14:paraId="6D216156" w14:textId="77777777" w:rsidR="00B23A1C" w:rsidRDefault="00B23A1C" w:rsidP="00010521"/>
    <w:tbl>
      <w:tblPr>
        <w:tblStyle w:val="TableGrid"/>
        <w:tblW w:w="0" w:type="auto"/>
        <w:tblLook w:val="04A0" w:firstRow="1" w:lastRow="0" w:firstColumn="1" w:lastColumn="0" w:noHBand="0" w:noVBand="1"/>
      </w:tblPr>
      <w:tblGrid>
        <w:gridCol w:w="9242"/>
      </w:tblGrid>
      <w:tr w:rsidR="00010521" w14:paraId="6CBF5162" w14:textId="77777777" w:rsidTr="00B70566">
        <w:tc>
          <w:tcPr>
            <w:tcW w:w="9242" w:type="dxa"/>
          </w:tcPr>
          <w:p w14:paraId="2C09AAF7" w14:textId="07797214" w:rsidR="00010521" w:rsidRPr="00010521" w:rsidRDefault="00010521" w:rsidP="00B70566">
            <w:pPr>
              <w:rPr>
                <w:b/>
              </w:rPr>
            </w:pPr>
            <w:r>
              <w:rPr>
                <w:b/>
              </w:rPr>
              <w:t>Recommendation 8</w:t>
            </w:r>
          </w:p>
          <w:p w14:paraId="09F08F8A" w14:textId="77777777" w:rsidR="00010521" w:rsidRPr="00405CAF" w:rsidRDefault="00010521" w:rsidP="00B70566">
            <w:pPr>
              <w:rPr>
                <w:b/>
              </w:rPr>
            </w:pPr>
            <w:r w:rsidRPr="001F1290">
              <w:t>Require industry and financial regulators to develop guidelines for stress testing scenarios for different levels of global warming.</w:t>
            </w:r>
          </w:p>
        </w:tc>
      </w:tr>
    </w:tbl>
    <w:p w14:paraId="02A21BE9" w14:textId="77777777" w:rsidR="00010521" w:rsidRDefault="00010521" w:rsidP="00010521"/>
    <w:p w14:paraId="6EC929CC" w14:textId="57CDCDB7" w:rsidR="00010521" w:rsidRDefault="00010521" w:rsidP="00010521">
      <w:r>
        <w:t xml:space="preserve">The Government </w:t>
      </w:r>
      <w:r w:rsidRPr="009007B2">
        <w:rPr>
          <w:b/>
        </w:rPr>
        <w:t>does not agree</w:t>
      </w:r>
      <w:r>
        <w:t xml:space="preserve"> with this recommendation.</w:t>
      </w:r>
    </w:p>
    <w:p w14:paraId="1CE298A5" w14:textId="77777777" w:rsidR="00010521" w:rsidRDefault="00010521" w:rsidP="00010521">
      <w:r w:rsidRPr="000954D8">
        <w:t xml:space="preserve">The Government welcomes the release of the Final Report of the Taskforce, </w:t>
      </w:r>
      <w:r>
        <w:t>including the Technical Supplement on the use of scenario analysis in disclosure of climate-related risks and opportunities. The Government considers that the information provided in the Supplement could assist organisations to develop their own stress testing scenarios, should they choose to do so.</w:t>
      </w:r>
    </w:p>
    <w:sectPr w:rsidR="00010521" w:rsidSect="00136F98">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6BA0C" w14:textId="77777777" w:rsidR="00717987" w:rsidRDefault="00F67097">
      <w:pPr>
        <w:spacing w:after="0"/>
      </w:pPr>
      <w:r>
        <w:separator/>
      </w:r>
    </w:p>
  </w:endnote>
  <w:endnote w:type="continuationSeparator" w:id="0">
    <w:p w14:paraId="43C6BA0E" w14:textId="77777777" w:rsidR="00717987" w:rsidRDefault="00F670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4F0C6" w14:textId="77777777" w:rsidR="006801F2" w:rsidRDefault="00680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B9FF" w14:textId="77777777" w:rsidR="00693017" w:rsidRDefault="006801F2" w:rsidP="00693017">
    <w:pPr>
      <w:pStyle w:val="Header"/>
      <w:tabs>
        <w:tab w:val="center" w:pos="4819"/>
        <w:tab w:val="left" w:pos="8325"/>
      </w:tabs>
    </w:pPr>
    <w:sdt>
      <w:sdtPr>
        <w:id w:val="1806428924"/>
        <w:docPartObj>
          <w:docPartGallery w:val="Page Numbers (Bottom of Page)"/>
          <w:docPartUnique/>
        </w:docPartObj>
      </w:sdtPr>
      <w:sdtEndPr>
        <w:rPr>
          <w:noProof/>
        </w:rPr>
      </w:sdtEndPr>
      <w:sdtContent>
        <w:r w:rsidR="00F67097" w:rsidRPr="00693017">
          <w:rPr>
            <w:b w:val="0"/>
            <w:sz w:val="22"/>
          </w:rPr>
          <w:fldChar w:fldCharType="begin"/>
        </w:r>
        <w:r w:rsidR="00F67097" w:rsidRPr="00693017">
          <w:rPr>
            <w:b w:val="0"/>
            <w:sz w:val="22"/>
          </w:rPr>
          <w:instrText xml:space="preserve"> PAGE   \* MERGEFORMAT </w:instrText>
        </w:r>
        <w:r w:rsidR="00F67097" w:rsidRPr="00693017">
          <w:rPr>
            <w:b w:val="0"/>
            <w:sz w:val="22"/>
          </w:rPr>
          <w:fldChar w:fldCharType="separate"/>
        </w:r>
        <w:r>
          <w:rPr>
            <w:b w:val="0"/>
            <w:noProof/>
            <w:sz w:val="22"/>
          </w:rPr>
          <w:t>7</w:t>
        </w:r>
        <w:r w:rsidR="00F67097" w:rsidRPr="00693017">
          <w:rPr>
            <w:b w:val="0"/>
            <w:noProof/>
            <w:sz w:val="22"/>
          </w:rPr>
          <w:fldChar w:fldCharType="end"/>
        </w:r>
      </w:sdtContent>
    </w:sdt>
  </w:p>
  <w:p w14:paraId="43C6BA00" w14:textId="77777777" w:rsidR="00F44102" w:rsidRDefault="006801F2" w:rsidP="004F2BB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BA06" w14:textId="77777777" w:rsidR="00693017" w:rsidRDefault="00F67097" w:rsidP="00693017">
    <w:pPr>
      <w:pStyle w:val="Footer"/>
      <w:jc w:val="center"/>
    </w:pPr>
    <w:r>
      <w:t xml:space="preserve"> </w:t>
    </w:r>
    <w:sdt>
      <w:sdtPr>
        <w:id w:val="371960999"/>
        <w:docPartObj>
          <w:docPartGallery w:val="Page Numbers (Bottom of Page)"/>
          <w:docPartUnique/>
        </w:docPartObj>
      </w:sdtPr>
      <w:sdtEndPr>
        <w:rPr>
          <w:noProof/>
        </w:rPr>
      </w:sdtEndPr>
      <w:sdtContent>
        <w:r w:rsidRPr="00693017">
          <w:rPr>
            <w:sz w:val="22"/>
            <w:szCs w:val="22"/>
          </w:rPr>
          <w:fldChar w:fldCharType="begin"/>
        </w:r>
        <w:r w:rsidRPr="00693017">
          <w:rPr>
            <w:sz w:val="22"/>
            <w:szCs w:val="22"/>
          </w:rPr>
          <w:instrText xml:space="preserve"> PAGE   \* MERGEFORMAT </w:instrText>
        </w:r>
        <w:r w:rsidRPr="00693017">
          <w:rPr>
            <w:sz w:val="22"/>
            <w:szCs w:val="22"/>
          </w:rPr>
          <w:fldChar w:fldCharType="separate"/>
        </w:r>
        <w:r w:rsidR="006801F2">
          <w:rPr>
            <w:noProof/>
            <w:sz w:val="22"/>
            <w:szCs w:val="22"/>
          </w:rPr>
          <w:t>1</w:t>
        </w:r>
        <w:r w:rsidRPr="00693017">
          <w:rPr>
            <w:noProof/>
            <w:sz w:val="22"/>
            <w:szCs w:val="22"/>
          </w:rPr>
          <w:fldChar w:fldCharType="end"/>
        </w:r>
      </w:sdtContent>
    </w:sdt>
  </w:p>
  <w:p w14:paraId="43C6BA07" w14:textId="77777777" w:rsidR="00F44102" w:rsidRDefault="006801F2" w:rsidP="004F2BB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BA08" w14:textId="77777777" w:rsidR="00717987" w:rsidRDefault="00F67097">
      <w:pPr>
        <w:spacing w:after="0"/>
      </w:pPr>
      <w:r>
        <w:separator/>
      </w:r>
    </w:p>
  </w:footnote>
  <w:footnote w:type="continuationSeparator" w:id="0">
    <w:p w14:paraId="43C6BA0A" w14:textId="77777777" w:rsidR="00717987" w:rsidRDefault="00F670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2277E" w14:textId="77777777" w:rsidR="006801F2" w:rsidRDefault="00680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C1D99" w14:textId="77777777" w:rsidR="006801F2" w:rsidRDefault="00680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BA04" w14:textId="4CFE805B" w:rsidR="00B465DE" w:rsidRPr="00BC553E" w:rsidRDefault="00F67097" w:rsidP="00BC553E">
    <w:pPr>
      <w:pStyle w:val="Header"/>
    </w:pPr>
    <w:r w:rsidRPr="00BC553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B400F83"/>
    <w:multiLevelType w:val="multilevel"/>
    <w:tmpl w:val="F0EE9C2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53E0053"/>
    <w:multiLevelType w:val="multilevel"/>
    <w:tmpl w:val="FCB2F92C"/>
    <w:lvl w:ilvl="0">
      <w:start w:val="1"/>
      <w:numFmt w:val="bullet"/>
      <w:pStyle w:val="Summary"/>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abstractNumId w:val="1"/>
  </w:num>
  <w:num w:numId="2">
    <w:abstractNumId w:val="0"/>
  </w:num>
  <w:num w:numId="3">
    <w:abstractNumId w:val="0"/>
  </w:num>
  <w:num w:numId="4">
    <w:abstractNumId w:val="0"/>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8E721F"/>
    <w:rsid w:val="00010521"/>
    <w:rsid w:val="00052BAA"/>
    <w:rsid w:val="000F4A2E"/>
    <w:rsid w:val="00101BC8"/>
    <w:rsid w:val="00134022"/>
    <w:rsid w:val="001427E9"/>
    <w:rsid w:val="00151EC3"/>
    <w:rsid w:val="001530EE"/>
    <w:rsid w:val="00164EA8"/>
    <w:rsid w:val="00185730"/>
    <w:rsid w:val="001B2E2F"/>
    <w:rsid w:val="001D7655"/>
    <w:rsid w:val="002065CE"/>
    <w:rsid w:val="002101AC"/>
    <w:rsid w:val="0021403A"/>
    <w:rsid w:val="00256607"/>
    <w:rsid w:val="00293EDF"/>
    <w:rsid w:val="002B52DD"/>
    <w:rsid w:val="002D6493"/>
    <w:rsid w:val="003147ED"/>
    <w:rsid w:val="00390FB2"/>
    <w:rsid w:val="003F4623"/>
    <w:rsid w:val="00470381"/>
    <w:rsid w:val="004910F3"/>
    <w:rsid w:val="004A5B61"/>
    <w:rsid w:val="00540791"/>
    <w:rsid w:val="00541BA3"/>
    <w:rsid w:val="00544CAE"/>
    <w:rsid w:val="005C22C3"/>
    <w:rsid w:val="005C3324"/>
    <w:rsid w:val="005F4330"/>
    <w:rsid w:val="006801F2"/>
    <w:rsid w:val="006F0726"/>
    <w:rsid w:val="00717987"/>
    <w:rsid w:val="007249DC"/>
    <w:rsid w:val="00730991"/>
    <w:rsid w:val="00781F97"/>
    <w:rsid w:val="007C6C80"/>
    <w:rsid w:val="00801898"/>
    <w:rsid w:val="00814C43"/>
    <w:rsid w:val="008318CC"/>
    <w:rsid w:val="00874DA0"/>
    <w:rsid w:val="008E721F"/>
    <w:rsid w:val="00907BDB"/>
    <w:rsid w:val="00931F0E"/>
    <w:rsid w:val="00952EE7"/>
    <w:rsid w:val="00985238"/>
    <w:rsid w:val="009B6595"/>
    <w:rsid w:val="009C6414"/>
    <w:rsid w:val="009E5444"/>
    <w:rsid w:val="009E711B"/>
    <w:rsid w:val="00A05350"/>
    <w:rsid w:val="00A054D3"/>
    <w:rsid w:val="00A1716E"/>
    <w:rsid w:val="00A22787"/>
    <w:rsid w:val="00A33F84"/>
    <w:rsid w:val="00A56BB1"/>
    <w:rsid w:val="00A626E5"/>
    <w:rsid w:val="00AB4A5D"/>
    <w:rsid w:val="00AE09E0"/>
    <w:rsid w:val="00AE28CE"/>
    <w:rsid w:val="00AF54EB"/>
    <w:rsid w:val="00B23A1C"/>
    <w:rsid w:val="00B51090"/>
    <w:rsid w:val="00B76ADC"/>
    <w:rsid w:val="00BC553E"/>
    <w:rsid w:val="00C04550"/>
    <w:rsid w:val="00C23480"/>
    <w:rsid w:val="00C26B56"/>
    <w:rsid w:val="00C82D19"/>
    <w:rsid w:val="00CA3AFA"/>
    <w:rsid w:val="00D33D63"/>
    <w:rsid w:val="00D44AB5"/>
    <w:rsid w:val="00D45CCC"/>
    <w:rsid w:val="00D72D5E"/>
    <w:rsid w:val="00D74B0B"/>
    <w:rsid w:val="00DC5B67"/>
    <w:rsid w:val="00DD4D03"/>
    <w:rsid w:val="00DF6938"/>
    <w:rsid w:val="00E02448"/>
    <w:rsid w:val="00EC284E"/>
    <w:rsid w:val="00EE0E40"/>
    <w:rsid w:val="00EE4E68"/>
    <w:rsid w:val="00EF52A8"/>
    <w:rsid w:val="00F0314E"/>
    <w:rsid w:val="00F63F34"/>
    <w:rsid w:val="00F67097"/>
    <w:rsid w:val="00FA2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6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macro"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AD"/>
    <w:pPr>
      <w:spacing w:after="200"/>
    </w:pPr>
    <w:rPr>
      <w:rFonts w:eastAsia="Times New Roman"/>
      <w:sz w:val="24"/>
      <w:lang w:eastAsia="en-AU"/>
    </w:rPr>
  </w:style>
  <w:style w:type="paragraph" w:styleId="Heading1">
    <w:name w:val="heading 1"/>
    <w:basedOn w:val="Normal"/>
    <w:next w:val="Normal"/>
    <w:link w:val="Heading1Char"/>
    <w:qFormat/>
    <w:rsid w:val="00D511EB"/>
    <w:pPr>
      <w:keepNext/>
      <w:spacing w:before="240" w:after="360"/>
      <w:outlineLvl w:val="0"/>
    </w:pPr>
    <w:rPr>
      <w:b/>
      <w:caps/>
      <w:sz w:val="28"/>
      <w:szCs w:val="28"/>
    </w:rPr>
  </w:style>
  <w:style w:type="paragraph" w:styleId="Heading2">
    <w:name w:val="heading 2"/>
    <w:basedOn w:val="Normal"/>
    <w:next w:val="Normal"/>
    <w:link w:val="Heading2Char"/>
    <w:qFormat/>
    <w:rsid w:val="00D511EB"/>
    <w:pPr>
      <w:keepNext/>
      <w:spacing w:before="120"/>
      <w:outlineLvl w:val="1"/>
    </w:pPr>
    <w:rPr>
      <w:b/>
      <w:caps/>
    </w:rPr>
  </w:style>
  <w:style w:type="paragraph" w:styleId="Heading3">
    <w:name w:val="heading 3"/>
    <w:basedOn w:val="Normal"/>
    <w:next w:val="Normal"/>
    <w:link w:val="Heading3Char"/>
    <w:qFormat/>
    <w:rsid w:val="00D511EB"/>
    <w:pPr>
      <w:keepNext/>
      <w:spacing w:before="60"/>
      <w:outlineLvl w:val="2"/>
    </w:pPr>
    <w:rPr>
      <w:b/>
    </w:rPr>
  </w:style>
  <w:style w:type="paragraph" w:styleId="Heading4">
    <w:name w:val="heading 4"/>
    <w:basedOn w:val="Normal"/>
    <w:next w:val="Normal"/>
    <w:link w:val="Heading4Char"/>
    <w:qFormat/>
    <w:rsid w:val="00D511EB"/>
    <w:pPr>
      <w:keepNext/>
      <w:tabs>
        <w:tab w:val="center" w:pos="4820"/>
      </w:tabs>
      <w:outlineLvl w:val="3"/>
    </w:pPr>
    <w:rPr>
      <w:i/>
      <w:kern w:val="16"/>
      <w:szCs w:val="24"/>
    </w:rPr>
  </w:style>
  <w:style w:type="paragraph" w:styleId="Heading5">
    <w:name w:val="heading 5"/>
    <w:basedOn w:val="Normal"/>
    <w:next w:val="Normal"/>
    <w:link w:val="Heading5Char"/>
    <w:qFormat/>
    <w:rsid w:val="00D511E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3BAD"/>
    <w:pPr>
      <w:spacing w:before="120"/>
      <w:jc w:val="center"/>
    </w:pPr>
    <w:rPr>
      <w:b/>
      <w:caps/>
      <w:sz w:val="28"/>
      <w:szCs w:val="28"/>
    </w:rPr>
  </w:style>
  <w:style w:type="character" w:customStyle="1" w:styleId="HeaderChar">
    <w:name w:val="Header Char"/>
    <w:basedOn w:val="DefaultParagraphFont"/>
    <w:link w:val="Header"/>
    <w:uiPriority w:val="99"/>
    <w:rsid w:val="00DC3BAD"/>
    <w:rPr>
      <w:rFonts w:eastAsia="Times New Roman"/>
      <w:b/>
      <w:caps/>
      <w:sz w:val="28"/>
      <w:szCs w:val="28"/>
      <w:lang w:eastAsia="en-AU"/>
    </w:rPr>
  </w:style>
  <w:style w:type="paragraph" w:styleId="Footer">
    <w:name w:val="footer"/>
    <w:basedOn w:val="Normal"/>
    <w:link w:val="FooterChar"/>
    <w:uiPriority w:val="99"/>
    <w:rsid w:val="00D511EB"/>
    <w:pPr>
      <w:tabs>
        <w:tab w:val="center" w:pos="4819"/>
        <w:tab w:val="right" w:pos="9639"/>
      </w:tabs>
    </w:pPr>
  </w:style>
  <w:style w:type="character" w:customStyle="1" w:styleId="FooterChar">
    <w:name w:val="Footer Char"/>
    <w:basedOn w:val="DefaultParagraphFont"/>
    <w:link w:val="Footer"/>
    <w:uiPriority w:val="99"/>
    <w:rsid w:val="00BA2F6D"/>
    <w:rPr>
      <w:rFonts w:eastAsia="Times New Roman"/>
      <w:sz w:val="24"/>
      <w:lang w:eastAsia="en-AU"/>
    </w:rPr>
  </w:style>
  <w:style w:type="table" w:styleId="TableGrid">
    <w:name w:val="Table Grid"/>
    <w:basedOn w:val="TableNormal"/>
    <w:uiPriority w:val="59"/>
    <w:rsid w:val="00D511EB"/>
    <w:rPr>
      <w:rFonts w:eastAsia="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
    <w:name w:val="Bullet"/>
    <w:basedOn w:val="Normal"/>
    <w:link w:val="BulletChar"/>
    <w:rsid w:val="00136F98"/>
    <w:pPr>
      <w:numPr>
        <w:numId w:val="4"/>
      </w:numPr>
      <w:spacing w:before="280"/>
    </w:pPr>
  </w:style>
  <w:style w:type="character" w:customStyle="1" w:styleId="BulletChar">
    <w:name w:val="Bullet Char"/>
    <w:basedOn w:val="DefaultParagraphFont"/>
    <w:link w:val="Bullet"/>
    <w:rsid w:val="00136F98"/>
    <w:rPr>
      <w:rFonts w:eastAsia="Times New Roman"/>
      <w:sz w:val="24"/>
      <w:lang w:eastAsia="en-AU"/>
    </w:rPr>
  </w:style>
  <w:style w:type="paragraph" w:customStyle="1" w:styleId="Dash">
    <w:name w:val="Dash"/>
    <w:basedOn w:val="Normal"/>
    <w:link w:val="DashChar"/>
    <w:rsid w:val="00D511EB"/>
    <w:pPr>
      <w:numPr>
        <w:ilvl w:val="1"/>
        <w:numId w:val="4"/>
      </w:numPr>
    </w:pPr>
  </w:style>
  <w:style w:type="character" w:customStyle="1" w:styleId="DashChar">
    <w:name w:val="Dash Char"/>
    <w:basedOn w:val="DefaultParagraphFont"/>
    <w:link w:val="Dash"/>
    <w:rsid w:val="00BA2F6D"/>
    <w:rPr>
      <w:rFonts w:eastAsia="Times New Roman"/>
      <w:sz w:val="24"/>
      <w:lang w:eastAsia="en-AU"/>
    </w:rPr>
  </w:style>
  <w:style w:type="paragraph" w:customStyle="1" w:styleId="DoubleDot">
    <w:name w:val="Double Dot"/>
    <w:basedOn w:val="Normal"/>
    <w:link w:val="DoubleDotChar"/>
    <w:rsid w:val="00D511EB"/>
    <w:pPr>
      <w:numPr>
        <w:ilvl w:val="2"/>
        <w:numId w:val="4"/>
      </w:numPr>
    </w:pPr>
  </w:style>
  <w:style w:type="character" w:customStyle="1" w:styleId="DoubleDotChar">
    <w:name w:val="Double Dot Char"/>
    <w:basedOn w:val="DefaultParagraphFont"/>
    <w:link w:val="DoubleDot"/>
    <w:rsid w:val="00BA2F6D"/>
    <w:rPr>
      <w:rFonts w:eastAsia="Times New Roman"/>
      <w:sz w:val="24"/>
      <w:lang w:eastAsia="en-AU"/>
    </w:rPr>
  </w:style>
  <w:style w:type="character" w:styleId="PlaceholderText">
    <w:name w:val="Placeholder Text"/>
    <w:basedOn w:val="DefaultParagraphFont"/>
    <w:uiPriority w:val="99"/>
    <w:semiHidden/>
    <w:rsid w:val="00D511EB"/>
    <w:rPr>
      <w:color w:val="808080"/>
    </w:rPr>
  </w:style>
  <w:style w:type="paragraph" w:styleId="BalloonText">
    <w:name w:val="Balloon Text"/>
    <w:basedOn w:val="Normal"/>
    <w:link w:val="BalloonTextChar"/>
    <w:rsid w:val="00D511EB"/>
    <w:pPr>
      <w:spacing w:after="0"/>
    </w:pPr>
    <w:rPr>
      <w:rFonts w:ascii="Tahoma" w:hAnsi="Tahoma" w:cs="Tahoma"/>
      <w:sz w:val="16"/>
      <w:szCs w:val="16"/>
    </w:rPr>
  </w:style>
  <w:style w:type="character" w:customStyle="1" w:styleId="BalloonTextChar">
    <w:name w:val="Balloon Text Char"/>
    <w:basedOn w:val="DefaultParagraphFont"/>
    <w:link w:val="BalloonText"/>
    <w:rsid w:val="00D511EB"/>
    <w:rPr>
      <w:rFonts w:ascii="Tahoma" w:eastAsia="Times New Roman" w:hAnsi="Tahoma" w:cs="Tahoma"/>
      <w:sz w:val="16"/>
      <w:szCs w:val="16"/>
      <w:lang w:eastAsia="en-AU"/>
    </w:rPr>
  </w:style>
  <w:style w:type="character" w:customStyle="1" w:styleId="Heading1Char">
    <w:name w:val="Heading 1 Char"/>
    <w:basedOn w:val="DefaultParagraphFont"/>
    <w:link w:val="Heading1"/>
    <w:rsid w:val="00BA2F6D"/>
    <w:rPr>
      <w:rFonts w:eastAsia="Times New Roman"/>
      <w:b/>
      <w:caps/>
      <w:sz w:val="28"/>
      <w:szCs w:val="28"/>
      <w:lang w:eastAsia="en-AU"/>
    </w:rPr>
  </w:style>
  <w:style w:type="paragraph" w:customStyle="1" w:styleId="Addressee">
    <w:name w:val="Addressee"/>
    <w:basedOn w:val="Normal"/>
    <w:rsid w:val="00D511EB"/>
    <w:pPr>
      <w:tabs>
        <w:tab w:val="left" w:pos="4253"/>
      </w:tabs>
      <w:spacing w:before="120" w:after="0"/>
      <w:ind w:left="4678" w:hanging="4678"/>
    </w:pPr>
  </w:style>
  <w:style w:type="paragraph" w:customStyle="1" w:styleId="Areas">
    <w:name w:val="Areas"/>
    <w:basedOn w:val="Normal"/>
    <w:qFormat/>
    <w:rsid w:val="00D511EB"/>
    <w:rPr>
      <w:sz w:val="20"/>
    </w:rPr>
  </w:style>
  <w:style w:type="paragraph" w:customStyle="1" w:styleId="SinglePara">
    <w:name w:val="Single Para"/>
    <w:basedOn w:val="Normal"/>
    <w:rsid w:val="00D511EB"/>
    <w:pPr>
      <w:spacing w:after="0"/>
    </w:pPr>
    <w:rPr>
      <w:sz w:val="20"/>
    </w:rPr>
  </w:style>
  <w:style w:type="paragraph" w:customStyle="1" w:styleId="Box">
    <w:name w:val="Box"/>
    <w:basedOn w:val="SinglePara"/>
    <w:rsid w:val="00D511EB"/>
    <w:pPr>
      <w:spacing w:before="40" w:after="40"/>
    </w:pPr>
  </w:style>
  <w:style w:type="paragraph" w:customStyle="1" w:styleId="boxfirstpara">
    <w:name w:val="boxfirstpara"/>
    <w:basedOn w:val="Box"/>
    <w:rsid w:val="00D511EB"/>
    <w:rPr>
      <w:sz w:val="6"/>
    </w:rPr>
  </w:style>
  <w:style w:type="paragraph" w:customStyle="1" w:styleId="ChartMainHeading">
    <w:name w:val="Chart Main Heading"/>
    <w:basedOn w:val="Normal"/>
    <w:next w:val="Normal"/>
    <w:rsid w:val="00D511EB"/>
    <w:pPr>
      <w:spacing w:after="0"/>
      <w:jc w:val="center"/>
    </w:pPr>
    <w:rPr>
      <w:b/>
      <w:caps/>
    </w:rPr>
  </w:style>
  <w:style w:type="paragraph" w:customStyle="1" w:styleId="ChartSecondHeading">
    <w:name w:val="Chart Second Heading"/>
    <w:basedOn w:val="Normal"/>
    <w:next w:val="Normal"/>
    <w:rsid w:val="00D511EB"/>
    <w:pPr>
      <w:spacing w:after="0"/>
      <w:jc w:val="center"/>
    </w:pPr>
    <w:rPr>
      <w:b/>
    </w:rPr>
  </w:style>
  <w:style w:type="paragraph" w:customStyle="1" w:styleId="DLMSecurityFooter">
    <w:name w:val="DLM Security Footer"/>
    <w:link w:val="DLMSecurityFooterChar"/>
    <w:rsid w:val="00D511EB"/>
    <w:pPr>
      <w:spacing w:before="120" w:after="60"/>
      <w:jc w:val="center"/>
    </w:pPr>
    <w:rPr>
      <w:rFonts w:eastAsia="Times New Roman"/>
      <w:b/>
      <w:caps/>
      <w:sz w:val="22"/>
      <w:szCs w:val="28"/>
      <w:lang w:eastAsia="en-AU"/>
    </w:rPr>
  </w:style>
  <w:style w:type="character" w:customStyle="1" w:styleId="DLMSecurityFooterChar">
    <w:name w:val="DLM Security Footer Char"/>
    <w:basedOn w:val="HeaderChar"/>
    <w:link w:val="DLMSecurityFooter"/>
    <w:rsid w:val="00D511EB"/>
    <w:rPr>
      <w:rFonts w:eastAsia="Times New Roman"/>
      <w:b w:val="0"/>
      <w:caps w:val="0"/>
      <w:sz w:val="22"/>
      <w:szCs w:val="28"/>
      <w:lang w:eastAsia="en-AU"/>
    </w:rPr>
  </w:style>
  <w:style w:type="paragraph" w:customStyle="1" w:styleId="DLMSecurityHeader">
    <w:name w:val="DLM Security Header"/>
    <w:link w:val="DLMSecurityHeaderChar"/>
    <w:rsid w:val="00D511EB"/>
    <w:pPr>
      <w:spacing w:before="60" w:after="120"/>
      <w:jc w:val="center"/>
    </w:pPr>
    <w:rPr>
      <w:rFonts w:eastAsia="Times New Roman"/>
      <w:b/>
      <w:caps/>
      <w:sz w:val="22"/>
      <w:szCs w:val="28"/>
      <w:lang w:eastAsia="en-AU"/>
    </w:rPr>
  </w:style>
  <w:style w:type="character" w:customStyle="1" w:styleId="DLMSecurityHeaderChar">
    <w:name w:val="DLM Security Header Char"/>
    <w:basedOn w:val="HeaderChar"/>
    <w:link w:val="DLMSecurityHeader"/>
    <w:rsid w:val="00D511EB"/>
    <w:rPr>
      <w:rFonts w:eastAsia="Times New Roman"/>
      <w:b w:val="0"/>
      <w:caps w:val="0"/>
      <w:sz w:val="22"/>
      <w:szCs w:val="28"/>
      <w:lang w:eastAsia="en-AU"/>
    </w:rPr>
  </w:style>
  <w:style w:type="paragraph" w:styleId="EnvelopeAddress">
    <w:name w:val="envelope address"/>
    <w:basedOn w:val="Normal"/>
    <w:rsid w:val="00D511EB"/>
    <w:pPr>
      <w:framePr w:w="7920" w:h="1980" w:hRule="exact" w:hSpace="180" w:wrap="auto" w:hAnchor="page" w:xAlign="center" w:yAlign="bottom"/>
      <w:spacing w:after="0"/>
      <w:ind w:left="2880"/>
    </w:pPr>
  </w:style>
  <w:style w:type="paragraph" w:styleId="FootnoteText">
    <w:name w:val="footnote text"/>
    <w:basedOn w:val="Normal"/>
    <w:link w:val="FootnoteTextChar"/>
    <w:semiHidden/>
    <w:rsid w:val="00D511EB"/>
    <w:rPr>
      <w:sz w:val="20"/>
    </w:rPr>
  </w:style>
  <w:style w:type="character" w:customStyle="1" w:styleId="FootnoteTextChar">
    <w:name w:val="Footnote Text Char"/>
    <w:basedOn w:val="DefaultParagraphFont"/>
    <w:link w:val="FootnoteText"/>
    <w:semiHidden/>
    <w:rsid w:val="00D511EB"/>
    <w:rPr>
      <w:rFonts w:eastAsia="Times New Roman"/>
      <w:lang w:eastAsia="en-AU"/>
    </w:rPr>
  </w:style>
  <w:style w:type="character" w:customStyle="1" w:styleId="Heading2Char">
    <w:name w:val="Heading 2 Char"/>
    <w:basedOn w:val="DefaultParagraphFont"/>
    <w:link w:val="Heading2"/>
    <w:rsid w:val="00D511EB"/>
    <w:rPr>
      <w:rFonts w:eastAsia="Times New Roman"/>
      <w:b/>
      <w:caps/>
      <w:sz w:val="24"/>
      <w:lang w:eastAsia="en-AU"/>
    </w:rPr>
  </w:style>
  <w:style w:type="character" w:customStyle="1" w:styleId="Heading3Char">
    <w:name w:val="Heading 3 Char"/>
    <w:basedOn w:val="DefaultParagraphFont"/>
    <w:link w:val="Heading3"/>
    <w:rsid w:val="00D511EB"/>
    <w:rPr>
      <w:rFonts w:eastAsia="Times New Roman"/>
      <w:b/>
      <w:sz w:val="24"/>
      <w:lang w:eastAsia="en-AU"/>
    </w:rPr>
  </w:style>
  <w:style w:type="character" w:customStyle="1" w:styleId="Heading4Char">
    <w:name w:val="Heading 4 Char"/>
    <w:basedOn w:val="DefaultParagraphFont"/>
    <w:link w:val="Heading4"/>
    <w:rsid w:val="00D511EB"/>
    <w:rPr>
      <w:rFonts w:eastAsia="Times New Roman"/>
      <w:i/>
      <w:kern w:val="16"/>
      <w:sz w:val="24"/>
      <w:szCs w:val="24"/>
      <w:lang w:eastAsia="en-AU"/>
    </w:rPr>
  </w:style>
  <w:style w:type="character" w:customStyle="1" w:styleId="Heading5Char">
    <w:name w:val="Heading 5 Char"/>
    <w:basedOn w:val="DefaultParagraphFont"/>
    <w:link w:val="Heading5"/>
    <w:rsid w:val="00D511EB"/>
    <w:rPr>
      <w:rFonts w:eastAsia="Times New Roman"/>
      <w:b/>
      <w:bCs/>
      <w:i/>
      <w:iCs/>
      <w:sz w:val="26"/>
      <w:szCs w:val="26"/>
      <w:lang w:eastAsia="en-AU"/>
    </w:rPr>
  </w:style>
  <w:style w:type="paragraph" w:customStyle="1" w:styleId="KeyPoints">
    <w:name w:val="Key Points"/>
    <w:basedOn w:val="Normal"/>
    <w:next w:val="Bullet"/>
    <w:rsid w:val="00D511EB"/>
    <w:pPr>
      <w:spacing w:before="120"/>
    </w:pPr>
    <w:rPr>
      <w:b/>
      <w:caps/>
      <w:szCs w:val="24"/>
    </w:rPr>
  </w:style>
  <w:style w:type="paragraph" w:styleId="MacroText">
    <w:name w:val="macro"/>
    <w:link w:val="MacroTextChar"/>
    <w:semiHidden/>
    <w:rsid w:val="00D511EB"/>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eastAsia="Times New Roman" w:hAnsi="Arial"/>
      <w:kern w:val="16"/>
      <w:lang w:eastAsia="en-AU"/>
    </w:rPr>
  </w:style>
  <w:style w:type="character" w:customStyle="1" w:styleId="MacroTextChar">
    <w:name w:val="Macro Text Char"/>
    <w:basedOn w:val="DefaultParagraphFont"/>
    <w:link w:val="MacroText"/>
    <w:semiHidden/>
    <w:rsid w:val="00D511EB"/>
    <w:rPr>
      <w:rFonts w:ascii="Arial" w:eastAsia="Times New Roman" w:hAnsi="Arial"/>
      <w:kern w:val="16"/>
      <w:lang w:eastAsia="en-AU"/>
    </w:rPr>
  </w:style>
  <w:style w:type="paragraph" w:customStyle="1" w:styleId="MeasureTableHeading">
    <w:name w:val="Measure Table Heading"/>
    <w:basedOn w:val="Normal"/>
    <w:rsid w:val="00D511EB"/>
    <w:pPr>
      <w:keepNext/>
      <w:spacing w:after="0"/>
    </w:pPr>
    <w:rPr>
      <w:rFonts w:ascii="Arial" w:hAnsi="Arial"/>
      <w:sz w:val="16"/>
    </w:rPr>
  </w:style>
  <w:style w:type="paragraph" w:customStyle="1" w:styleId="MeasureTableTextLeftAligned">
    <w:name w:val="Measure Table Text Left Aligned"/>
    <w:basedOn w:val="Normal"/>
    <w:rsid w:val="00D511EB"/>
    <w:pPr>
      <w:keepNext/>
      <w:keepLines/>
      <w:spacing w:before="60" w:after="60"/>
    </w:pPr>
    <w:rPr>
      <w:rFonts w:ascii="Arial" w:hAnsi="Arial"/>
      <w:color w:val="000000"/>
      <w:sz w:val="16"/>
    </w:rPr>
  </w:style>
  <w:style w:type="paragraph" w:customStyle="1" w:styleId="MeasureTableTextRightAligned">
    <w:name w:val="Measure Table Text Right Aligned"/>
    <w:basedOn w:val="Normal"/>
    <w:rsid w:val="00D511EB"/>
    <w:pPr>
      <w:keepNext/>
      <w:spacing w:before="60" w:after="60"/>
      <w:ind w:right="57"/>
      <w:jc w:val="right"/>
    </w:pPr>
    <w:rPr>
      <w:rFonts w:ascii="Arial" w:hAnsi="Arial"/>
      <w:sz w:val="16"/>
    </w:rPr>
  </w:style>
  <w:style w:type="paragraph" w:customStyle="1" w:styleId="MeasureTableYearHeadings">
    <w:name w:val="Measure Table Year Headings"/>
    <w:basedOn w:val="Normal"/>
    <w:rsid w:val="00D511EB"/>
    <w:pPr>
      <w:keepLines/>
      <w:spacing w:before="40" w:after="40"/>
      <w:jc w:val="right"/>
    </w:pPr>
    <w:rPr>
      <w:rFonts w:ascii="Arial" w:hAnsi="Arial"/>
      <w:sz w:val="16"/>
    </w:rPr>
  </w:style>
  <w:style w:type="paragraph" w:customStyle="1" w:styleId="MeasureTitle">
    <w:name w:val="MeasureTitle"/>
    <w:basedOn w:val="Heading5"/>
    <w:rsid w:val="00D511EB"/>
    <w:pPr>
      <w:keepNext/>
      <w:spacing w:after="120"/>
    </w:pPr>
    <w:rPr>
      <w:rFonts w:ascii="Arial" w:hAnsi="Arial"/>
      <w:bCs w:val="0"/>
      <w:i w:val="0"/>
      <w:iCs w:val="0"/>
      <w:color w:val="000000"/>
      <w:sz w:val="20"/>
      <w:szCs w:val="20"/>
    </w:rPr>
  </w:style>
  <w:style w:type="character" w:customStyle="1" w:styleId="MinisterDate">
    <w:name w:val="MinisterDate"/>
    <w:basedOn w:val="DefaultParagraphFont"/>
    <w:rsid w:val="006C4E4A"/>
    <w:rPr>
      <w:b/>
    </w:rPr>
  </w:style>
  <w:style w:type="paragraph" w:customStyle="1" w:styleId="MinuteDate">
    <w:name w:val="Minute Date"/>
    <w:basedOn w:val="SinglePara"/>
    <w:rsid w:val="00D511EB"/>
    <w:pPr>
      <w:spacing w:before="120"/>
      <w:jc w:val="right"/>
    </w:pPr>
    <w:rPr>
      <w:noProof/>
      <w:sz w:val="24"/>
    </w:rPr>
  </w:style>
  <w:style w:type="paragraph" w:customStyle="1" w:styleId="MinuteNumber">
    <w:name w:val="Minute Number"/>
    <w:basedOn w:val="Header"/>
    <w:rsid w:val="00CA2121"/>
    <w:pPr>
      <w:pBdr>
        <w:bottom w:val="double" w:sz="6" w:space="6" w:color="auto"/>
      </w:pBdr>
      <w:tabs>
        <w:tab w:val="right" w:pos="8222"/>
      </w:tabs>
      <w:spacing w:after="120"/>
      <w:jc w:val="right"/>
    </w:pPr>
    <w:rPr>
      <w:b w:val="0"/>
      <w:caps w:val="0"/>
      <w:kern w:val="16"/>
      <w:sz w:val="24"/>
      <w:szCs w:val="24"/>
    </w:rPr>
  </w:style>
  <w:style w:type="paragraph" w:styleId="NormalIndent">
    <w:name w:val="Normal Indent"/>
    <w:basedOn w:val="Normal"/>
    <w:rsid w:val="00D511EB"/>
    <w:pPr>
      <w:ind w:left="720"/>
    </w:pPr>
  </w:style>
  <w:style w:type="paragraph" w:customStyle="1" w:styleId="SecurityClassification">
    <w:name w:val="Security Classification"/>
    <w:basedOn w:val="Header"/>
    <w:rsid w:val="00D511EB"/>
    <w:rPr>
      <w:rFonts w:ascii="Tahoma" w:hAnsi="Tahoma"/>
      <w:caps w:val="0"/>
      <w:sz w:val="20"/>
    </w:rPr>
  </w:style>
  <w:style w:type="paragraph" w:customStyle="1" w:styleId="SecurityClassificationFooter">
    <w:name w:val="Security Classification Footer"/>
    <w:link w:val="SecurityClassificationFooterChar"/>
    <w:rsid w:val="00D511EB"/>
    <w:pPr>
      <w:spacing w:before="60" w:after="120"/>
      <w:jc w:val="center"/>
    </w:pPr>
    <w:rPr>
      <w:rFonts w:eastAsia="Times New Roman"/>
      <w:b/>
      <w:caps/>
      <w:sz w:val="22"/>
      <w:szCs w:val="28"/>
      <w:lang w:eastAsia="en-AU"/>
    </w:rPr>
  </w:style>
  <w:style w:type="character" w:customStyle="1" w:styleId="SecurityClassificationFooterChar">
    <w:name w:val="Security Classification Footer Char"/>
    <w:basedOn w:val="HeaderChar"/>
    <w:link w:val="SecurityClassificationFooter"/>
    <w:rsid w:val="00D511EB"/>
    <w:rPr>
      <w:rFonts w:eastAsia="Times New Roman"/>
      <w:b/>
      <w:caps/>
      <w:sz w:val="22"/>
      <w:szCs w:val="28"/>
      <w:lang w:eastAsia="en-AU"/>
    </w:rPr>
  </w:style>
  <w:style w:type="paragraph" w:customStyle="1" w:styleId="SecurityClassificationHeader">
    <w:name w:val="Security Classification Header"/>
    <w:link w:val="SecurityClassificationHeaderChar"/>
    <w:rsid w:val="00D511EB"/>
    <w:pPr>
      <w:spacing w:before="120" w:after="60"/>
      <w:jc w:val="center"/>
    </w:pPr>
    <w:rPr>
      <w:rFonts w:eastAsia="Times New Roman"/>
      <w:b/>
      <w:caps/>
      <w:sz w:val="22"/>
      <w:szCs w:val="28"/>
      <w:lang w:eastAsia="en-AU"/>
    </w:rPr>
  </w:style>
  <w:style w:type="character" w:customStyle="1" w:styleId="SecurityClassificationHeaderChar">
    <w:name w:val="Security Classification Header Char"/>
    <w:basedOn w:val="HeaderChar"/>
    <w:link w:val="SecurityClassificationHeader"/>
    <w:rsid w:val="00D511EB"/>
    <w:rPr>
      <w:rFonts w:eastAsia="Times New Roman"/>
      <w:b/>
      <w:caps/>
      <w:sz w:val="22"/>
      <w:szCs w:val="28"/>
      <w:lang w:eastAsia="en-AU"/>
    </w:rPr>
  </w:style>
  <w:style w:type="paragraph" w:customStyle="1" w:styleId="SingleParagraph">
    <w:name w:val="SingleParagraph"/>
    <w:basedOn w:val="Normal"/>
    <w:next w:val="Normal"/>
    <w:rsid w:val="00D511EB"/>
    <w:pPr>
      <w:keepNext/>
      <w:keepLines/>
      <w:spacing w:after="0"/>
      <w:jc w:val="both"/>
    </w:pPr>
    <w:rPr>
      <w:rFonts w:ascii="Book Antiqua" w:hAnsi="Book Antiqua"/>
      <w:color w:val="000000"/>
      <w:sz w:val="20"/>
    </w:rPr>
  </w:style>
  <w:style w:type="paragraph" w:customStyle="1" w:styleId="Summary">
    <w:name w:val="Summary"/>
    <w:basedOn w:val="Normal"/>
    <w:next w:val="Normal"/>
    <w:rsid w:val="00D511EB"/>
    <w:pPr>
      <w:numPr>
        <w:numId w:val="5"/>
      </w:numPr>
    </w:pPr>
  </w:style>
  <w:style w:type="paragraph" w:styleId="Title">
    <w:name w:val="Title"/>
    <w:basedOn w:val="Normal"/>
    <w:link w:val="TitleChar"/>
    <w:qFormat/>
    <w:rsid w:val="00D511EB"/>
    <w:pPr>
      <w:spacing w:before="240"/>
      <w:outlineLvl w:val="0"/>
    </w:pPr>
    <w:rPr>
      <w:rFonts w:cs="Arial"/>
      <w:b/>
      <w:bCs/>
      <w:caps/>
      <w:szCs w:val="24"/>
    </w:rPr>
  </w:style>
  <w:style w:type="character" w:customStyle="1" w:styleId="TitleChar">
    <w:name w:val="Title Char"/>
    <w:basedOn w:val="DefaultParagraphFont"/>
    <w:link w:val="Title"/>
    <w:rsid w:val="00D511EB"/>
    <w:rPr>
      <w:rFonts w:eastAsia="Times New Roman" w:cs="Arial"/>
      <w:b/>
      <w:bCs/>
      <w:caps/>
      <w:sz w:val="24"/>
      <w:szCs w:val="24"/>
      <w:lang w:eastAsia="en-AU"/>
    </w:rPr>
  </w:style>
  <w:style w:type="paragraph" w:customStyle="1" w:styleId="Recommendation">
    <w:name w:val="Recommendation"/>
    <w:basedOn w:val="Normal"/>
    <w:qFormat/>
    <w:rsid w:val="006C4E4A"/>
    <w:pPr>
      <w:spacing w:before="120"/>
    </w:pPr>
    <w:rPr>
      <w:b/>
    </w:rPr>
  </w:style>
  <w:style w:type="paragraph" w:customStyle="1" w:styleId="areasconsulted">
    <w:name w:val="areasconsulted"/>
    <w:basedOn w:val="Normal"/>
    <w:qFormat/>
    <w:rsid w:val="00DC3BAD"/>
    <w:pPr>
      <w:spacing w:before="120" w:after="120"/>
    </w:pPr>
    <w:rPr>
      <w:sz w:val="20"/>
    </w:rPr>
  </w:style>
  <w:style w:type="paragraph" w:customStyle="1" w:styleId="Spacing">
    <w:name w:val="Spacing"/>
    <w:basedOn w:val="Footer"/>
    <w:qFormat/>
    <w:rsid w:val="00580E4A"/>
    <w:pPr>
      <w:spacing w:after="60"/>
    </w:pPr>
    <w:rPr>
      <w:strike/>
      <w:sz w:val="16"/>
      <w:szCs w:val="16"/>
    </w:rPr>
  </w:style>
  <w:style w:type="paragraph" w:customStyle="1" w:styleId="ImpactHeading">
    <w:name w:val="ImpactHeading"/>
    <w:basedOn w:val="Box"/>
    <w:qFormat/>
    <w:rsid w:val="00ED2F26"/>
    <w:pPr>
      <w:spacing w:before="160"/>
    </w:pPr>
  </w:style>
  <w:style w:type="character" w:customStyle="1" w:styleId="Style1">
    <w:name w:val="Style1"/>
    <w:basedOn w:val="DefaultParagraphFont"/>
    <w:uiPriority w:val="1"/>
    <w:rsid w:val="00A30A64"/>
    <w:rPr>
      <w:rFonts w:ascii="Times New Roman" w:hAnsi="Times New Roman"/>
      <w:sz w:val="22"/>
    </w:rPr>
  </w:style>
  <w:style w:type="character" w:customStyle="1" w:styleId="Style2">
    <w:name w:val="Style2"/>
    <w:basedOn w:val="DefaultParagraphFont"/>
    <w:uiPriority w:val="1"/>
    <w:rsid w:val="00A30A64"/>
    <w:rPr>
      <w:rFonts w:ascii="Times New Roman" w:hAnsi="Times New Roman"/>
      <w:sz w:val="24"/>
    </w:rPr>
  </w:style>
  <w:style w:type="character" w:customStyle="1" w:styleId="Style3">
    <w:name w:val="Style3"/>
    <w:basedOn w:val="DefaultParagraphFont"/>
    <w:uiPriority w:val="1"/>
    <w:rsid w:val="00A30A64"/>
    <w:rPr>
      <w:rFonts w:ascii="Times New Roman" w:hAnsi="Times New Roman"/>
      <w:sz w:val="24"/>
    </w:rPr>
  </w:style>
  <w:style w:type="character" w:customStyle="1" w:styleId="Style4">
    <w:name w:val="Style4"/>
    <w:basedOn w:val="Style2"/>
    <w:uiPriority w:val="1"/>
    <w:rsid w:val="00982889"/>
    <w:rPr>
      <w:rFonts w:ascii="Times New Roman" w:hAnsi="Times New Roman"/>
      <w:sz w:val="24"/>
    </w:rPr>
  </w:style>
  <w:style w:type="table" w:styleId="LightShading-Accent1">
    <w:name w:val="Light Shading Accent 1"/>
    <w:basedOn w:val="TableNormal"/>
    <w:uiPriority w:val="60"/>
    <w:rsid w:val="0021403A"/>
    <w:rPr>
      <w:rFonts w:ascii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D45CCC"/>
    <w:pPr>
      <w:spacing w:before="100" w:beforeAutospacing="1" w:after="100" w:afterAutospacing="1"/>
    </w:pPr>
    <w:rPr>
      <w:szCs w:val="24"/>
    </w:rPr>
  </w:style>
  <w:style w:type="character" w:styleId="Strong">
    <w:name w:val="Strong"/>
    <w:basedOn w:val="DefaultParagraphFont"/>
    <w:uiPriority w:val="22"/>
    <w:qFormat/>
    <w:rsid w:val="00D45CCC"/>
    <w:rPr>
      <w:b/>
      <w:bCs/>
    </w:rPr>
  </w:style>
  <w:style w:type="paragraph" w:styleId="EndnoteText">
    <w:name w:val="endnote text"/>
    <w:basedOn w:val="Normal"/>
    <w:link w:val="EndnoteTextChar"/>
    <w:uiPriority w:val="99"/>
    <w:semiHidden/>
    <w:unhideWhenUsed/>
    <w:rsid w:val="00470381"/>
    <w:pPr>
      <w:spacing w:after="0"/>
    </w:pPr>
    <w:rPr>
      <w:sz w:val="20"/>
    </w:rPr>
  </w:style>
  <w:style w:type="character" w:customStyle="1" w:styleId="EndnoteTextChar">
    <w:name w:val="Endnote Text Char"/>
    <w:basedOn w:val="DefaultParagraphFont"/>
    <w:link w:val="EndnoteText"/>
    <w:uiPriority w:val="99"/>
    <w:semiHidden/>
    <w:rsid w:val="00470381"/>
    <w:rPr>
      <w:rFonts w:eastAsia="Times New Roman"/>
      <w:lang w:eastAsia="en-AU"/>
    </w:rPr>
  </w:style>
  <w:style w:type="character" w:styleId="EndnoteReference">
    <w:name w:val="endnote reference"/>
    <w:basedOn w:val="DefaultParagraphFont"/>
    <w:uiPriority w:val="99"/>
    <w:semiHidden/>
    <w:unhideWhenUsed/>
    <w:rsid w:val="00470381"/>
    <w:rPr>
      <w:vertAlign w:val="superscript"/>
    </w:rPr>
  </w:style>
  <w:style w:type="character" w:styleId="CommentReference">
    <w:name w:val="annotation reference"/>
    <w:basedOn w:val="DefaultParagraphFont"/>
    <w:uiPriority w:val="99"/>
    <w:semiHidden/>
    <w:unhideWhenUsed/>
    <w:rsid w:val="009B6595"/>
    <w:rPr>
      <w:sz w:val="16"/>
      <w:szCs w:val="16"/>
    </w:rPr>
  </w:style>
  <w:style w:type="paragraph" w:styleId="CommentText">
    <w:name w:val="annotation text"/>
    <w:basedOn w:val="Normal"/>
    <w:link w:val="CommentTextChar"/>
    <w:uiPriority w:val="99"/>
    <w:semiHidden/>
    <w:unhideWhenUsed/>
    <w:rsid w:val="009B6595"/>
    <w:rPr>
      <w:sz w:val="20"/>
    </w:rPr>
  </w:style>
  <w:style w:type="character" w:customStyle="1" w:styleId="CommentTextChar">
    <w:name w:val="Comment Text Char"/>
    <w:basedOn w:val="DefaultParagraphFont"/>
    <w:link w:val="CommentText"/>
    <w:uiPriority w:val="99"/>
    <w:semiHidden/>
    <w:rsid w:val="009B6595"/>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9B6595"/>
    <w:rPr>
      <w:b/>
      <w:bCs/>
    </w:rPr>
  </w:style>
  <w:style w:type="character" w:customStyle="1" w:styleId="CommentSubjectChar">
    <w:name w:val="Comment Subject Char"/>
    <w:basedOn w:val="CommentTextChar"/>
    <w:link w:val="CommentSubject"/>
    <w:uiPriority w:val="99"/>
    <w:semiHidden/>
    <w:rsid w:val="009B6595"/>
    <w:rPr>
      <w:rFonts w:eastAsia="Times New Roman"/>
      <w:b/>
      <w:bC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macro"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AD"/>
    <w:pPr>
      <w:spacing w:after="200"/>
    </w:pPr>
    <w:rPr>
      <w:rFonts w:eastAsia="Times New Roman"/>
      <w:sz w:val="24"/>
      <w:lang w:eastAsia="en-AU"/>
    </w:rPr>
  </w:style>
  <w:style w:type="paragraph" w:styleId="Heading1">
    <w:name w:val="heading 1"/>
    <w:basedOn w:val="Normal"/>
    <w:next w:val="Normal"/>
    <w:link w:val="Heading1Char"/>
    <w:qFormat/>
    <w:rsid w:val="00D511EB"/>
    <w:pPr>
      <w:keepNext/>
      <w:spacing w:before="240" w:after="360"/>
      <w:outlineLvl w:val="0"/>
    </w:pPr>
    <w:rPr>
      <w:b/>
      <w:caps/>
      <w:sz w:val="28"/>
      <w:szCs w:val="28"/>
    </w:rPr>
  </w:style>
  <w:style w:type="paragraph" w:styleId="Heading2">
    <w:name w:val="heading 2"/>
    <w:basedOn w:val="Normal"/>
    <w:next w:val="Normal"/>
    <w:link w:val="Heading2Char"/>
    <w:qFormat/>
    <w:rsid w:val="00D511EB"/>
    <w:pPr>
      <w:keepNext/>
      <w:spacing w:before="120"/>
      <w:outlineLvl w:val="1"/>
    </w:pPr>
    <w:rPr>
      <w:b/>
      <w:caps/>
    </w:rPr>
  </w:style>
  <w:style w:type="paragraph" w:styleId="Heading3">
    <w:name w:val="heading 3"/>
    <w:basedOn w:val="Normal"/>
    <w:next w:val="Normal"/>
    <w:link w:val="Heading3Char"/>
    <w:qFormat/>
    <w:rsid w:val="00D511EB"/>
    <w:pPr>
      <w:keepNext/>
      <w:spacing w:before="60"/>
      <w:outlineLvl w:val="2"/>
    </w:pPr>
    <w:rPr>
      <w:b/>
    </w:rPr>
  </w:style>
  <w:style w:type="paragraph" w:styleId="Heading4">
    <w:name w:val="heading 4"/>
    <w:basedOn w:val="Normal"/>
    <w:next w:val="Normal"/>
    <w:link w:val="Heading4Char"/>
    <w:qFormat/>
    <w:rsid w:val="00D511EB"/>
    <w:pPr>
      <w:keepNext/>
      <w:tabs>
        <w:tab w:val="center" w:pos="4820"/>
      </w:tabs>
      <w:outlineLvl w:val="3"/>
    </w:pPr>
    <w:rPr>
      <w:i/>
      <w:kern w:val="16"/>
      <w:szCs w:val="24"/>
    </w:rPr>
  </w:style>
  <w:style w:type="paragraph" w:styleId="Heading5">
    <w:name w:val="heading 5"/>
    <w:basedOn w:val="Normal"/>
    <w:next w:val="Normal"/>
    <w:link w:val="Heading5Char"/>
    <w:qFormat/>
    <w:rsid w:val="00D511E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3BAD"/>
    <w:pPr>
      <w:spacing w:before="120"/>
      <w:jc w:val="center"/>
    </w:pPr>
    <w:rPr>
      <w:b/>
      <w:caps/>
      <w:sz w:val="28"/>
      <w:szCs w:val="28"/>
    </w:rPr>
  </w:style>
  <w:style w:type="character" w:customStyle="1" w:styleId="HeaderChar">
    <w:name w:val="Header Char"/>
    <w:basedOn w:val="DefaultParagraphFont"/>
    <w:link w:val="Header"/>
    <w:uiPriority w:val="99"/>
    <w:rsid w:val="00DC3BAD"/>
    <w:rPr>
      <w:rFonts w:eastAsia="Times New Roman"/>
      <w:b/>
      <w:caps/>
      <w:sz w:val="28"/>
      <w:szCs w:val="28"/>
      <w:lang w:eastAsia="en-AU"/>
    </w:rPr>
  </w:style>
  <w:style w:type="paragraph" w:styleId="Footer">
    <w:name w:val="footer"/>
    <w:basedOn w:val="Normal"/>
    <w:link w:val="FooterChar"/>
    <w:uiPriority w:val="99"/>
    <w:rsid w:val="00D511EB"/>
    <w:pPr>
      <w:tabs>
        <w:tab w:val="center" w:pos="4819"/>
        <w:tab w:val="right" w:pos="9639"/>
      </w:tabs>
    </w:pPr>
  </w:style>
  <w:style w:type="character" w:customStyle="1" w:styleId="FooterChar">
    <w:name w:val="Footer Char"/>
    <w:basedOn w:val="DefaultParagraphFont"/>
    <w:link w:val="Footer"/>
    <w:uiPriority w:val="99"/>
    <w:rsid w:val="00BA2F6D"/>
    <w:rPr>
      <w:rFonts w:eastAsia="Times New Roman"/>
      <w:sz w:val="24"/>
      <w:lang w:eastAsia="en-AU"/>
    </w:rPr>
  </w:style>
  <w:style w:type="table" w:styleId="TableGrid">
    <w:name w:val="Table Grid"/>
    <w:basedOn w:val="TableNormal"/>
    <w:uiPriority w:val="59"/>
    <w:rsid w:val="00D511EB"/>
    <w:rPr>
      <w:rFonts w:eastAsia="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
    <w:name w:val="Bullet"/>
    <w:basedOn w:val="Normal"/>
    <w:link w:val="BulletChar"/>
    <w:rsid w:val="00136F98"/>
    <w:pPr>
      <w:numPr>
        <w:numId w:val="4"/>
      </w:numPr>
      <w:spacing w:before="280"/>
    </w:pPr>
  </w:style>
  <w:style w:type="character" w:customStyle="1" w:styleId="BulletChar">
    <w:name w:val="Bullet Char"/>
    <w:basedOn w:val="DefaultParagraphFont"/>
    <w:link w:val="Bullet"/>
    <w:rsid w:val="00136F98"/>
    <w:rPr>
      <w:rFonts w:eastAsia="Times New Roman"/>
      <w:sz w:val="24"/>
      <w:lang w:eastAsia="en-AU"/>
    </w:rPr>
  </w:style>
  <w:style w:type="paragraph" w:customStyle="1" w:styleId="Dash">
    <w:name w:val="Dash"/>
    <w:basedOn w:val="Normal"/>
    <w:link w:val="DashChar"/>
    <w:rsid w:val="00D511EB"/>
    <w:pPr>
      <w:numPr>
        <w:ilvl w:val="1"/>
        <w:numId w:val="4"/>
      </w:numPr>
    </w:pPr>
  </w:style>
  <w:style w:type="character" w:customStyle="1" w:styleId="DashChar">
    <w:name w:val="Dash Char"/>
    <w:basedOn w:val="DefaultParagraphFont"/>
    <w:link w:val="Dash"/>
    <w:rsid w:val="00BA2F6D"/>
    <w:rPr>
      <w:rFonts w:eastAsia="Times New Roman"/>
      <w:sz w:val="24"/>
      <w:lang w:eastAsia="en-AU"/>
    </w:rPr>
  </w:style>
  <w:style w:type="paragraph" w:customStyle="1" w:styleId="DoubleDot">
    <w:name w:val="Double Dot"/>
    <w:basedOn w:val="Normal"/>
    <w:link w:val="DoubleDotChar"/>
    <w:rsid w:val="00D511EB"/>
    <w:pPr>
      <w:numPr>
        <w:ilvl w:val="2"/>
        <w:numId w:val="4"/>
      </w:numPr>
    </w:pPr>
  </w:style>
  <w:style w:type="character" w:customStyle="1" w:styleId="DoubleDotChar">
    <w:name w:val="Double Dot Char"/>
    <w:basedOn w:val="DefaultParagraphFont"/>
    <w:link w:val="DoubleDot"/>
    <w:rsid w:val="00BA2F6D"/>
    <w:rPr>
      <w:rFonts w:eastAsia="Times New Roman"/>
      <w:sz w:val="24"/>
      <w:lang w:eastAsia="en-AU"/>
    </w:rPr>
  </w:style>
  <w:style w:type="character" w:styleId="PlaceholderText">
    <w:name w:val="Placeholder Text"/>
    <w:basedOn w:val="DefaultParagraphFont"/>
    <w:uiPriority w:val="99"/>
    <w:semiHidden/>
    <w:rsid w:val="00D511EB"/>
    <w:rPr>
      <w:color w:val="808080"/>
    </w:rPr>
  </w:style>
  <w:style w:type="paragraph" w:styleId="BalloonText">
    <w:name w:val="Balloon Text"/>
    <w:basedOn w:val="Normal"/>
    <w:link w:val="BalloonTextChar"/>
    <w:rsid w:val="00D511EB"/>
    <w:pPr>
      <w:spacing w:after="0"/>
    </w:pPr>
    <w:rPr>
      <w:rFonts w:ascii="Tahoma" w:hAnsi="Tahoma" w:cs="Tahoma"/>
      <w:sz w:val="16"/>
      <w:szCs w:val="16"/>
    </w:rPr>
  </w:style>
  <w:style w:type="character" w:customStyle="1" w:styleId="BalloonTextChar">
    <w:name w:val="Balloon Text Char"/>
    <w:basedOn w:val="DefaultParagraphFont"/>
    <w:link w:val="BalloonText"/>
    <w:rsid w:val="00D511EB"/>
    <w:rPr>
      <w:rFonts w:ascii="Tahoma" w:eastAsia="Times New Roman" w:hAnsi="Tahoma" w:cs="Tahoma"/>
      <w:sz w:val="16"/>
      <w:szCs w:val="16"/>
      <w:lang w:eastAsia="en-AU"/>
    </w:rPr>
  </w:style>
  <w:style w:type="character" w:customStyle="1" w:styleId="Heading1Char">
    <w:name w:val="Heading 1 Char"/>
    <w:basedOn w:val="DefaultParagraphFont"/>
    <w:link w:val="Heading1"/>
    <w:rsid w:val="00BA2F6D"/>
    <w:rPr>
      <w:rFonts w:eastAsia="Times New Roman"/>
      <w:b/>
      <w:caps/>
      <w:sz w:val="28"/>
      <w:szCs w:val="28"/>
      <w:lang w:eastAsia="en-AU"/>
    </w:rPr>
  </w:style>
  <w:style w:type="paragraph" w:customStyle="1" w:styleId="Addressee">
    <w:name w:val="Addressee"/>
    <w:basedOn w:val="Normal"/>
    <w:rsid w:val="00D511EB"/>
    <w:pPr>
      <w:tabs>
        <w:tab w:val="left" w:pos="4253"/>
      </w:tabs>
      <w:spacing w:before="120" w:after="0"/>
      <w:ind w:left="4678" w:hanging="4678"/>
    </w:pPr>
  </w:style>
  <w:style w:type="paragraph" w:customStyle="1" w:styleId="Areas">
    <w:name w:val="Areas"/>
    <w:basedOn w:val="Normal"/>
    <w:qFormat/>
    <w:rsid w:val="00D511EB"/>
    <w:rPr>
      <w:sz w:val="20"/>
    </w:rPr>
  </w:style>
  <w:style w:type="paragraph" w:customStyle="1" w:styleId="SinglePara">
    <w:name w:val="Single Para"/>
    <w:basedOn w:val="Normal"/>
    <w:rsid w:val="00D511EB"/>
    <w:pPr>
      <w:spacing w:after="0"/>
    </w:pPr>
    <w:rPr>
      <w:sz w:val="20"/>
    </w:rPr>
  </w:style>
  <w:style w:type="paragraph" w:customStyle="1" w:styleId="Box">
    <w:name w:val="Box"/>
    <w:basedOn w:val="SinglePara"/>
    <w:rsid w:val="00D511EB"/>
    <w:pPr>
      <w:spacing w:before="40" w:after="40"/>
    </w:pPr>
  </w:style>
  <w:style w:type="paragraph" w:customStyle="1" w:styleId="boxfirstpara">
    <w:name w:val="boxfirstpara"/>
    <w:basedOn w:val="Box"/>
    <w:rsid w:val="00D511EB"/>
    <w:rPr>
      <w:sz w:val="6"/>
    </w:rPr>
  </w:style>
  <w:style w:type="paragraph" w:customStyle="1" w:styleId="ChartMainHeading">
    <w:name w:val="Chart Main Heading"/>
    <w:basedOn w:val="Normal"/>
    <w:next w:val="Normal"/>
    <w:rsid w:val="00D511EB"/>
    <w:pPr>
      <w:spacing w:after="0"/>
      <w:jc w:val="center"/>
    </w:pPr>
    <w:rPr>
      <w:b/>
      <w:caps/>
    </w:rPr>
  </w:style>
  <w:style w:type="paragraph" w:customStyle="1" w:styleId="ChartSecondHeading">
    <w:name w:val="Chart Second Heading"/>
    <w:basedOn w:val="Normal"/>
    <w:next w:val="Normal"/>
    <w:rsid w:val="00D511EB"/>
    <w:pPr>
      <w:spacing w:after="0"/>
      <w:jc w:val="center"/>
    </w:pPr>
    <w:rPr>
      <w:b/>
    </w:rPr>
  </w:style>
  <w:style w:type="paragraph" w:customStyle="1" w:styleId="DLMSecurityFooter">
    <w:name w:val="DLM Security Footer"/>
    <w:link w:val="DLMSecurityFooterChar"/>
    <w:rsid w:val="00D511EB"/>
    <w:pPr>
      <w:spacing w:before="120" w:after="60"/>
      <w:jc w:val="center"/>
    </w:pPr>
    <w:rPr>
      <w:rFonts w:eastAsia="Times New Roman"/>
      <w:b/>
      <w:caps/>
      <w:sz w:val="22"/>
      <w:szCs w:val="28"/>
      <w:lang w:eastAsia="en-AU"/>
    </w:rPr>
  </w:style>
  <w:style w:type="character" w:customStyle="1" w:styleId="DLMSecurityFooterChar">
    <w:name w:val="DLM Security Footer Char"/>
    <w:basedOn w:val="HeaderChar"/>
    <w:link w:val="DLMSecurityFooter"/>
    <w:rsid w:val="00D511EB"/>
    <w:rPr>
      <w:rFonts w:eastAsia="Times New Roman"/>
      <w:b w:val="0"/>
      <w:caps w:val="0"/>
      <w:sz w:val="22"/>
      <w:szCs w:val="28"/>
      <w:lang w:eastAsia="en-AU"/>
    </w:rPr>
  </w:style>
  <w:style w:type="paragraph" w:customStyle="1" w:styleId="DLMSecurityHeader">
    <w:name w:val="DLM Security Header"/>
    <w:link w:val="DLMSecurityHeaderChar"/>
    <w:rsid w:val="00D511EB"/>
    <w:pPr>
      <w:spacing w:before="60" w:after="120"/>
      <w:jc w:val="center"/>
    </w:pPr>
    <w:rPr>
      <w:rFonts w:eastAsia="Times New Roman"/>
      <w:b/>
      <w:caps/>
      <w:sz w:val="22"/>
      <w:szCs w:val="28"/>
      <w:lang w:eastAsia="en-AU"/>
    </w:rPr>
  </w:style>
  <w:style w:type="character" w:customStyle="1" w:styleId="DLMSecurityHeaderChar">
    <w:name w:val="DLM Security Header Char"/>
    <w:basedOn w:val="HeaderChar"/>
    <w:link w:val="DLMSecurityHeader"/>
    <w:rsid w:val="00D511EB"/>
    <w:rPr>
      <w:rFonts w:eastAsia="Times New Roman"/>
      <w:b w:val="0"/>
      <w:caps w:val="0"/>
      <w:sz w:val="22"/>
      <w:szCs w:val="28"/>
      <w:lang w:eastAsia="en-AU"/>
    </w:rPr>
  </w:style>
  <w:style w:type="paragraph" w:styleId="EnvelopeAddress">
    <w:name w:val="envelope address"/>
    <w:basedOn w:val="Normal"/>
    <w:rsid w:val="00D511EB"/>
    <w:pPr>
      <w:framePr w:w="7920" w:h="1980" w:hRule="exact" w:hSpace="180" w:wrap="auto" w:hAnchor="page" w:xAlign="center" w:yAlign="bottom"/>
      <w:spacing w:after="0"/>
      <w:ind w:left="2880"/>
    </w:pPr>
  </w:style>
  <w:style w:type="paragraph" w:styleId="FootnoteText">
    <w:name w:val="footnote text"/>
    <w:basedOn w:val="Normal"/>
    <w:link w:val="FootnoteTextChar"/>
    <w:semiHidden/>
    <w:rsid w:val="00D511EB"/>
    <w:rPr>
      <w:sz w:val="20"/>
    </w:rPr>
  </w:style>
  <w:style w:type="character" w:customStyle="1" w:styleId="FootnoteTextChar">
    <w:name w:val="Footnote Text Char"/>
    <w:basedOn w:val="DefaultParagraphFont"/>
    <w:link w:val="FootnoteText"/>
    <w:semiHidden/>
    <w:rsid w:val="00D511EB"/>
    <w:rPr>
      <w:rFonts w:eastAsia="Times New Roman"/>
      <w:lang w:eastAsia="en-AU"/>
    </w:rPr>
  </w:style>
  <w:style w:type="character" w:customStyle="1" w:styleId="Heading2Char">
    <w:name w:val="Heading 2 Char"/>
    <w:basedOn w:val="DefaultParagraphFont"/>
    <w:link w:val="Heading2"/>
    <w:rsid w:val="00D511EB"/>
    <w:rPr>
      <w:rFonts w:eastAsia="Times New Roman"/>
      <w:b/>
      <w:caps/>
      <w:sz w:val="24"/>
      <w:lang w:eastAsia="en-AU"/>
    </w:rPr>
  </w:style>
  <w:style w:type="character" w:customStyle="1" w:styleId="Heading3Char">
    <w:name w:val="Heading 3 Char"/>
    <w:basedOn w:val="DefaultParagraphFont"/>
    <w:link w:val="Heading3"/>
    <w:rsid w:val="00D511EB"/>
    <w:rPr>
      <w:rFonts w:eastAsia="Times New Roman"/>
      <w:b/>
      <w:sz w:val="24"/>
      <w:lang w:eastAsia="en-AU"/>
    </w:rPr>
  </w:style>
  <w:style w:type="character" w:customStyle="1" w:styleId="Heading4Char">
    <w:name w:val="Heading 4 Char"/>
    <w:basedOn w:val="DefaultParagraphFont"/>
    <w:link w:val="Heading4"/>
    <w:rsid w:val="00D511EB"/>
    <w:rPr>
      <w:rFonts w:eastAsia="Times New Roman"/>
      <w:i/>
      <w:kern w:val="16"/>
      <w:sz w:val="24"/>
      <w:szCs w:val="24"/>
      <w:lang w:eastAsia="en-AU"/>
    </w:rPr>
  </w:style>
  <w:style w:type="character" w:customStyle="1" w:styleId="Heading5Char">
    <w:name w:val="Heading 5 Char"/>
    <w:basedOn w:val="DefaultParagraphFont"/>
    <w:link w:val="Heading5"/>
    <w:rsid w:val="00D511EB"/>
    <w:rPr>
      <w:rFonts w:eastAsia="Times New Roman"/>
      <w:b/>
      <w:bCs/>
      <w:i/>
      <w:iCs/>
      <w:sz w:val="26"/>
      <w:szCs w:val="26"/>
      <w:lang w:eastAsia="en-AU"/>
    </w:rPr>
  </w:style>
  <w:style w:type="paragraph" w:customStyle="1" w:styleId="KeyPoints">
    <w:name w:val="Key Points"/>
    <w:basedOn w:val="Normal"/>
    <w:next w:val="Bullet"/>
    <w:rsid w:val="00D511EB"/>
    <w:pPr>
      <w:spacing w:before="120"/>
    </w:pPr>
    <w:rPr>
      <w:b/>
      <w:caps/>
      <w:szCs w:val="24"/>
    </w:rPr>
  </w:style>
  <w:style w:type="paragraph" w:styleId="MacroText">
    <w:name w:val="macro"/>
    <w:link w:val="MacroTextChar"/>
    <w:semiHidden/>
    <w:rsid w:val="00D511EB"/>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eastAsia="Times New Roman" w:hAnsi="Arial"/>
      <w:kern w:val="16"/>
      <w:lang w:eastAsia="en-AU"/>
    </w:rPr>
  </w:style>
  <w:style w:type="character" w:customStyle="1" w:styleId="MacroTextChar">
    <w:name w:val="Macro Text Char"/>
    <w:basedOn w:val="DefaultParagraphFont"/>
    <w:link w:val="MacroText"/>
    <w:semiHidden/>
    <w:rsid w:val="00D511EB"/>
    <w:rPr>
      <w:rFonts w:ascii="Arial" w:eastAsia="Times New Roman" w:hAnsi="Arial"/>
      <w:kern w:val="16"/>
      <w:lang w:eastAsia="en-AU"/>
    </w:rPr>
  </w:style>
  <w:style w:type="paragraph" w:customStyle="1" w:styleId="MeasureTableHeading">
    <w:name w:val="Measure Table Heading"/>
    <w:basedOn w:val="Normal"/>
    <w:rsid w:val="00D511EB"/>
    <w:pPr>
      <w:keepNext/>
      <w:spacing w:after="0"/>
    </w:pPr>
    <w:rPr>
      <w:rFonts w:ascii="Arial" w:hAnsi="Arial"/>
      <w:sz w:val="16"/>
    </w:rPr>
  </w:style>
  <w:style w:type="paragraph" w:customStyle="1" w:styleId="MeasureTableTextLeftAligned">
    <w:name w:val="Measure Table Text Left Aligned"/>
    <w:basedOn w:val="Normal"/>
    <w:rsid w:val="00D511EB"/>
    <w:pPr>
      <w:keepNext/>
      <w:keepLines/>
      <w:spacing w:before="60" w:after="60"/>
    </w:pPr>
    <w:rPr>
      <w:rFonts w:ascii="Arial" w:hAnsi="Arial"/>
      <w:color w:val="000000"/>
      <w:sz w:val="16"/>
    </w:rPr>
  </w:style>
  <w:style w:type="paragraph" w:customStyle="1" w:styleId="MeasureTableTextRightAligned">
    <w:name w:val="Measure Table Text Right Aligned"/>
    <w:basedOn w:val="Normal"/>
    <w:rsid w:val="00D511EB"/>
    <w:pPr>
      <w:keepNext/>
      <w:spacing w:before="60" w:after="60"/>
      <w:ind w:right="57"/>
      <w:jc w:val="right"/>
    </w:pPr>
    <w:rPr>
      <w:rFonts w:ascii="Arial" w:hAnsi="Arial"/>
      <w:sz w:val="16"/>
    </w:rPr>
  </w:style>
  <w:style w:type="paragraph" w:customStyle="1" w:styleId="MeasureTableYearHeadings">
    <w:name w:val="Measure Table Year Headings"/>
    <w:basedOn w:val="Normal"/>
    <w:rsid w:val="00D511EB"/>
    <w:pPr>
      <w:keepLines/>
      <w:spacing w:before="40" w:after="40"/>
      <w:jc w:val="right"/>
    </w:pPr>
    <w:rPr>
      <w:rFonts w:ascii="Arial" w:hAnsi="Arial"/>
      <w:sz w:val="16"/>
    </w:rPr>
  </w:style>
  <w:style w:type="paragraph" w:customStyle="1" w:styleId="MeasureTitle">
    <w:name w:val="MeasureTitle"/>
    <w:basedOn w:val="Heading5"/>
    <w:rsid w:val="00D511EB"/>
    <w:pPr>
      <w:keepNext/>
      <w:spacing w:after="120"/>
    </w:pPr>
    <w:rPr>
      <w:rFonts w:ascii="Arial" w:hAnsi="Arial"/>
      <w:bCs w:val="0"/>
      <w:i w:val="0"/>
      <w:iCs w:val="0"/>
      <w:color w:val="000000"/>
      <w:sz w:val="20"/>
      <w:szCs w:val="20"/>
    </w:rPr>
  </w:style>
  <w:style w:type="character" w:customStyle="1" w:styleId="MinisterDate">
    <w:name w:val="MinisterDate"/>
    <w:basedOn w:val="DefaultParagraphFont"/>
    <w:rsid w:val="006C4E4A"/>
    <w:rPr>
      <w:b/>
    </w:rPr>
  </w:style>
  <w:style w:type="paragraph" w:customStyle="1" w:styleId="MinuteDate">
    <w:name w:val="Minute Date"/>
    <w:basedOn w:val="SinglePara"/>
    <w:rsid w:val="00D511EB"/>
    <w:pPr>
      <w:spacing w:before="120"/>
      <w:jc w:val="right"/>
    </w:pPr>
    <w:rPr>
      <w:noProof/>
      <w:sz w:val="24"/>
    </w:rPr>
  </w:style>
  <w:style w:type="paragraph" w:customStyle="1" w:styleId="MinuteNumber">
    <w:name w:val="Minute Number"/>
    <w:basedOn w:val="Header"/>
    <w:rsid w:val="00CA2121"/>
    <w:pPr>
      <w:pBdr>
        <w:bottom w:val="double" w:sz="6" w:space="6" w:color="auto"/>
      </w:pBdr>
      <w:tabs>
        <w:tab w:val="right" w:pos="8222"/>
      </w:tabs>
      <w:spacing w:after="120"/>
      <w:jc w:val="right"/>
    </w:pPr>
    <w:rPr>
      <w:b w:val="0"/>
      <w:caps w:val="0"/>
      <w:kern w:val="16"/>
      <w:sz w:val="24"/>
      <w:szCs w:val="24"/>
    </w:rPr>
  </w:style>
  <w:style w:type="paragraph" w:styleId="NormalIndent">
    <w:name w:val="Normal Indent"/>
    <w:basedOn w:val="Normal"/>
    <w:rsid w:val="00D511EB"/>
    <w:pPr>
      <w:ind w:left="720"/>
    </w:pPr>
  </w:style>
  <w:style w:type="paragraph" w:customStyle="1" w:styleId="SecurityClassification">
    <w:name w:val="Security Classification"/>
    <w:basedOn w:val="Header"/>
    <w:rsid w:val="00D511EB"/>
    <w:rPr>
      <w:rFonts w:ascii="Tahoma" w:hAnsi="Tahoma"/>
      <w:caps w:val="0"/>
      <w:sz w:val="20"/>
    </w:rPr>
  </w:style>
  <w:style w:type="paragraph" w:customStyle="1" w:styleId="SecurityClassificationFooter">
    <w:name w:val="Security Classification Footer"/>
    <w:link w:val="SecurityClassificationFooterChar"/>
    <w:rsid w:val="00D511EB"/>
    <w:pPr>
      <w:spacing w:before="60" w:after="120"/>
      <w:jc w:val="center"/>
    </w:pPr>
    <w:rPr>
      <w:rFonts w:eastAsia="Times New Roman"/>
      <w:b/>
      <w:caps/>
      <w:sz w:val="22"/>
      <w:szCs w:val="28"/>
      <w:lang w:eastAsia="en-AU"/>
    </w:rPr>
  </w:style>
  <w:style w:type="character" w:customStyle="1" w:styleId="SecurityClassificationFooterChar">
    <w:name w:val="Security Classification Footer Char"/>
    <w:basedOn w:val="HeaderChar"/>
    <w:link w:val="SecurityClassificationFooter"/>
    <w:rsid w:val="00D511EB"/>
    <w:rPr>
      <w:rFonts w:eastAsia="Times New Roman"/>
      <w:b/>
      <w:caps/>
      <w:sz w:val="22"/>
      <w:szCs w:val="28"/>
      <w:lang w:eastAsia="en-AU"/>
    </w:rPr>
  </w:style>
  <w:style w:type="paragraph" w:customStyle="1" w:styleId="SecurityClassificationHeader">
    <w:name w:val="Security Classification Header"/>
    <w:link w:val="SecurityClassificationHeaderChar"/>
    <w:rsid w:val="00D511EB"/>
    <w:pPr>
      <w:spacing w:before="120" w:after="60"/>
      <w:jc w:val="center"/>
    </w:pPr>
    <w:rPr>
      <w:rFonts w:eastAsia="Times New Roman"/>
      <w:b/>
      <w:caps/>
      <w:sz w:val="22"/>
      <w:szCs w:val="28"/>
      <w:lang w:eastAsia="en-AU"/>
    </w:rPr>
  </w:style>
  <w:style w:type="character" w:customStyle="1" w:styleId="SecurityClassificationHeaderChar">
    <w:name w:val="Security Classification Header Char"/>
    <w:basedOn w:val="HeaderChar"/>
    <w:link w:val="SecurityClassificationHeader"/>
    <w:rsid w:val="00D511EB"/>
    <w:rPr>
      <w:rFonts w:eastAsia="Times New Roman"/>
      <w:b/>
      <w:caps/>
      <w:sz w:val="22"/>
      <w:szCs w:val="28"/>
      <w:lang w:eastAsia="en-AU"/>
    </w:rPr>
  </w:style>
  <w:style w:type="paragraph" w:customStyle="1" w:styleId="SingleParagraph">
    <w:name w:val="SingleParagraph"/>
    <w:basedOn w:val="Normal"/>
    <w:next w:val="Normal"/>
    <w:rsid w:val="00D511EB"/>
    <w:pPr>
      <w:keepNext/>
      <w:keepLines/>
      <w:spacing w:after="0"/>
      <w:jc w:val="both"/>
    </w:pPr>
    <w:rPr>
      <w:rFonts w:ascii="Book Antiqua" w:hAnsi="Book Antiqua"/>
      <w:color w:val="000000"/>
      <w:sz w:val="20"/>
    </w:rPr>
  </w:style>
  <w:style w:type="paragraph" w:customStyle="1" w:styleId="Summary">
    <w:name w:val="Summary"/>
    <w:basedOn w:val="Normal"/>
    <w:next w:val="Normal"/>
    <w:rsid w:val="00D511EB"/>
    <w:pPr>
      <w:numPr>
        <w:numId w:val="5"/>
      </w:numPr>
    </w:pPr>
  </w:style>
  <w:style w:type="paragraph" w:styleId="Title">
    <w:name w:val="Title"/>
    <w:basedOn w:val="Normal"/>
    <w:link w:val="TitleChar"/>
    <w:qFormat/>
    <w:rsid w:val="00D511EB"/>
    <w:pPr>
      <w:spacing w:before="240"/>
      <w:outlineLvl w:val="0"/>
    </w:pPr>
    <w:rPr>
      <w:rFonts w:cs="Arial"/>
      <w:b/>
      <w:bCs/>
      <w:caps/>
      <w:szCs w:val="24"/>
    </w:rPr>
  </w:style>
  <w:style w:type="character" w:customStyle="1" w:styleId="TitleChar">
    <w:name w:val="Title Char"/>
    <w:basedOn w:val="DefaultParagraphFont"/>
    <w:link w:val="Title"/>
    <w:rsid w:val="00D511EB"/>
    <w:rPr>
      <w:rFonts w:eastAsia="Times New Roman" w:cs="Arial"/>
      <w:b/>
      <w:bCs/>
      <w:caps/>
      <w:sz w:val="24"/>
      <w:szCs w:val="24"/>
      <w:lang w:eastAsia="en-AU"/>
    </w:rPr>
  </w:style>
  <w:style w:type="paragraph" w:customStyle="1" w:styleId="Recommendation">
    <w:name w:val="Recommendation"/>
    <w:basedOn w:val="Normal"/>
    <w:qFormat/>
    <w:rsid w:val="006C4E4A"/>
    <w:pPr>
      <w:spacing w:before="120"/>
    </w:pPr>
    <w:rPr>
      <w:b/>
    </w:rPr>
  </w:style>
  <w:style w:type="paragraph" w:customStyle="1" w:styleId="areasconsulted">
    <w:name w:val="areasconsulted"/>
    <w:basedOn w:val="Normal"/>
    <w:qFormat/>
    <w:rsid w:val="00DC3BAD"/>
    <w:pPr>
      <w:spacing w:before="120" w:after="120"/>
    </w:pPr>
    <w:rPr>
      <w:sz w:val="20"/>
    </w:rPr>
  </w:style>
  <w:style w:type="paragraph" w:customStyle="1" w:styleId="Spacing">
    <w:name w:val="Spacing"/>
    <w:basedOn w:val="Footer"/>
    <w:qFormat/>
    <w:rsid w:val="00580E4A"/>
    <w:pPr>
      <w:spacing w:after="60"/>
    </w:pPr>
    <w:rPr>
      <w:strike/>
      <w:sz w:val="16"/>
      <w:szCs w:val="16"/>
    </w:rPr>
  </w:style>
  <w:style w:type="paragraph" w:customStyle="1" w:styleId="ImpactHeading">
    <w:name w:val="ImpactHeading"/>
    <w:basedOn w:val="Box"/>
    <w:qFormat/>
    <w:rsid w:val="00ED2F26"/>
    <w:pPr>
      <w:spacing w:before="160"/>
    </w:pPr>
  </w:style>
  <w:style w:type="character" w:customStyle="1" w:styleId="Style1">
    <w:name w:val="Style1"/>
    <w:basedOn w:val="DefaultParagraphFont"/>
    <w:uiPriority w:val="1"/>
    <w:rsid w:val="00A30A64"/>
    <w:rPr>
      <w:rFonts w:ascii="Times New Roman" w:hAnsi="Times New Roman"/>
      <w:sz w:val="22"/>
    </w:rPr>
  </w:style>
  <w:style w:type="character" w:customStyle="1" w:styleId="Style2">
    <w:name w:val="Style2"/>
    <w:basedOn w:val="DefaultParagraphFont"/>
    <w:uiPriority w:val="1"/>
    <w:rsid w:val="00A30A64"/>
    <w:rPr>
      <w:rFonts w:ascii="Times New Roman" w:hAnsi="Times New Roman"/>
      <w:sz w:val="24"/>
    </w:rPr>
  </w:style>
  <w:style w:type="character" w:customStyle="1" w:styleId="Style3">
    <w:name w:val="Style3"/>
    <w:basedOn w:val="DefaultParagraphFont"/>
    <w:uiPriority w:val="1"/>
    <w:rsid w:val="00A30A64"/>
    <w:rPr>
      <w:rFonts w:ascii="Times New Roman" w:hAnsi="Times New Roman"/>
      <w:sz w:val="24"/>
    </w:rPr>
  </w:style>
  <w:style w:type="character" w:customStyle="1" w:styleId="Style4">
    <w:name w:val="Style4"/>
    <w:basedOn w:val="Style2"/>
    <w:uiPriority w:val="1"/>
    <w:rsid w:val="00982889"/>
    <w:rPr>
      <w:rFonts w:ascii="Times New Roman" w:hAnsi="Times New Roman"/>
      <w:sz w:val="24"/>
    </w:rPr>
  </w:style>
  <w:style w:type="table" w:styleId="LightShading-Accent1">
    <w:name w:val="Light Shading Accent 1"/>
    <w:basedOn w:val="TableNormal"/>
    <w:uiPriority w:val="60"/>
    <w:rsid w:val="0021403A"/>
    <w:rPr>
      <w:rFonts w:ascii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D45CCC"/>
    <w:pPr>
      <w:spacing w:before="100" w:beforeAutospacing="1" w:after="100" w:afterAutospacing="1"/>
    </w:pPr>
    <w:rPr>
      <w:szCs w:val="24"/>
    </w:rPr>
  </w:style>
  <w:style w:type="character" w:styleId="Strong">
    <w:name w:val="Strong"/>
    <w:basedOn w:val="DefaultParagraphFont"/>
    <w:uiPriority w:val="22"/>
    <w:qFormat/>
    <w:rsid w:val="00D45CCC"/>
    <w:rPr>
      <w:b/>
      <w:bCs/>
    </w:rPr>
  </w:style>
  <w:style w:type="paragraph" w:styleId="EndnoteText">
    <w:name w:val="endnote text"/>
    <w:basedOn w:val="Normal"/>
    <w:link w:val="EndnoteTextChar"/>
    <w:uiPriority w:val="99"/>
    <w:semiHidden/>
    <w:unhideWhenUsed/>
    <w:rsid w:val="00470381"/>
    <w:pPr>
      <w:spacing w:after="0"/>
    </w:pPr>
    <w:rPr>
      <w:sz w:val="20"/>
    </w:rPr>
  </w:style>
  <w:style w:type="character" w:customStyle="1" w:styleId="EndnoteTextChar">
    <w:name w:val="Endnote Text Char"/>
    <w:basedOn w:val="DefaultParagraphFont"/>
    <w:link w:val="EndnoteText"/>
    <w:uiPriority w:val="99"/>
    <w:semiHidden/>
    <w:rsid w:val="00470381"/>
    <w:rPr>
      <w:rFonts w:eastAsia="Times New Roman"/>
      <w:lang w:eastAsia="en-AU"/>
    </w:rPr>
  </w:style>
  <w:style w:type="character" w:styleId="EndnoteReference">
    <w:name w:val="endnote reference"/>
    <w:basedOn w:val="DefaultParagraphFont"/>
    <w:uiPriority w:val="99"/>
    <w:semiHidden/>
    <w:unhideWhenUsed/>
    <w:rsid w:val="00470381"/>
    <w:rPr>
      <w:vertAlign w:val="superscript"/>
    </w:rPr>
  </w:style>
  <w:style w:type="character" w:styleId="CommentReference">
    <w:name w:val="annotation reference"/>
    <w:basedOn w:val="DefaultParagraphFont"/>
    <w:uiPriority w:val="99"/>
    <w:semiHidden/>
    <w:unhideWhenUsed/>
    <w:rsid w:val="009B6595"/>
    <w:rPr>
      <w:sz w:val="16"/>
      <w:szCs w:val="16"/>
    </w:rPr>
  </w:style>
  <w:style w:type="paragraph" w:styleId="CommentText">
    <w:name w:val="annotation text"/>
    <w:basedOn w:val="Normal"/>
    <w:link w:val="CommentTextChar"/>
    <w:uiPriority w:val="99"/>
    <w:semiHidden/>
    <w:unhideWhenUsed/>
    <w:rsid w:val="009B6595"/>
    <w:rPr>
      <w:sz w:val="20"/>
    </w:rPr>
  </w:style>
  <w:style w:type="character" w:customStyle="1" w:styleId="CommentTextChar">
    <w:name w:val="Comment Text Char"/>
    <w:basedOn w:val="DefaultParagraphFont"/>
    <w:link w:val="CommentText"/>
    <w:uiPriority w:val="99"/>
    <w:semiHidden/>
    <w:rsid w:val="009B6595"/>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9B6595"/>
    <w:rPr>
      <w:b/>
      <w:bCs/>
    </w:rPr>
  </w:style>
  <w:style w:type="character" w:customStyle="1" w:styleId="CommentSubjectChar">
    <w:name w:val="Comment Subject Char"/>
    <w:basedOn w:val="CommentTextChar"/>
    <w:link w:val="CommentSubject"/>
    <w:uiPriority w:val="99"/>
    <w:semiHidden/>
    <w:rsid w:val="009B6595"/>
    <w:rPr>
      <w:rFonts w:eastAsia="Times New Roman"/>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50283">
      <w:bodyDiv w:val="1"/>
      <w:marLeft w:val="0"/>
      <w:marRight w:val="0"/>
      <w:marTop w:val="0"/>
      <w:marBottom w:val="0"/>
      <w:divBdr>
        <w:top w:val="none" w:sz="0" w:space="0" w:color="auto"/>
        <w:left w:val="none" w:sz="0" w:space="0" w:color="auto"/>
        <w:bottom w:val="none" w:sz="0" w:space="0" w:color="auto"/>
        <w:right w:val="none" w:sz="0" w:space="0" w:color="auto"/>
      </w:divBdr>
      <w:divsChild>
        <w:div w:id="2118283085">
          <w:marLeft w:val="0"/>
          <w:marRight w:val="0"/>
          <w:marTop w:val="0"/>
          <w:marBottom w:val="0"/>
          <w:divBdr>
            <w:top w:val="none" w:sz="0" w:space="0" w:color="auto"/>
            <w:left w:val="none" w:sz="0" w:space="0" w:color="auto"/>
            <w:bottom w:val="none" w:sz="0" w:space="0" w:color="auto"/>
            <w:right w:val="none" w:sz="0" w:space="0" w:color="auto"/>
          </w:divBdr>
          <w:divsChild>
            <w:div w:id="2081293142">
              <w:marLeft w:val="0"/>
              <w:marRight w:val="0"/>
              <w:marTop w:val="0"/>
              <w:marBottom w:val="0"/>
              <w:divBdr>
                <w:top w:val="none" w:sz="0" w:space="0" w:color="auto"/>
                <w:left w:val="none" w:sz="0" w:space="0" w:color="auto"/>
                <w:bottom w:val="none" w:sz="0" w:space="0" w:color="auto"/>
                <w:right w:val="none" w:sz="0" w:space="0" w:color="auto"/>
              </w:divBdr>
              <w:divsChild>
                <w:div w:id="1769160631">
                  <w:marLeft w:val="0"/>
                  <w:marRight w:val="0"/>
                  <w:marTop w:val="0"/>
                  <w:marBottom w:val="0"/>
                  <w:divBdr>
                    <w:top w:val="none" w:sz="0" w:space="0" w:color="auto"/>
                    <w:left w:val="none" w:sz="0" w:space="0" w:color="auto"/>
                    <w:bottom w:val="none" w:sz="0" w:space="0" w:color="auto"/>
                    <w:right w:val="none" w:sz="0" w:space="0" w:color="auto"/>
                  </w:divBdr>
                  <w:divsChild>
                    <w:div w:id="518354208">
                      <w:marLeft w:val="0"/>
                      <w:marRight w:val="0"/>
                      <w:marTop w:val="0"/>
                      <w:marBottom w:val="0"/>
                      <w:divBdr>
                        <w:top w:val="none" w:sz="0" w:space="0" w:color="auto"/>
                        <w:left w:val="none" w:sz="0" w:space="0" w:color="auto"/>
                        <w:bottom w:val="none" w:sz="0" w:space="0" w:color="auto"/>
                        <w:right w:val="none" w:sz="0" w:space="0" w:color="auto"/>
                      </w:divBdr>
                      <w:divsChild>
                        <w:div w:id="1743717724">
                          <w:marLeft w:val="0"/>
                          <w:marRight w:val="0"/>
                          <w:marTop w:val="0"/>
                          <w:marBottom w:val="0"/>
                          <w:divBdr>
                            <w:top w:val="none" w:sz="0" w:space="0" w:color="auto"/>
                            <w:left w:val="none" w:sz="0" w:space="0" w:color="auto"/>
                            <w:bottom w:val="none" w:sz="0" w:space="0" w:color="auto"/>
                            <w:right w:val="none" w:sz="0" w:space="0" w:color="auto"/>
                          </w:divBdr>
                          <w:divsChild>
                            <w:div w:id="1909993381">
                              <w:marLeft w:val="0"/>
                              <w:marRight w:val="0"/>
                              <w:marTop w:val="0"/>
                              <w:marBottom w:val="0"/>
                              <w:divBdr>
                                <w:top w:val="none" w:sz="0" w:space="0" w:color="auto"/>
                                <w:left w:val="none" w:sz="0" w:space="0" w:color="auto"/>
                                <w:bottom w:val="none" w:sz="0" w:space="0" w:color="auto"/>
                                <w:right w:val="none" w:sz="0" w:space="0" w:color="auto"/>
                              </w:divBdr>
                              <w:divsChild>
                                <w:div w:id="2047830400">
                                  <w:marLeft w:val="0"/>
                                  <w:marRight w:val="0"/>
                                  <w:marTop w:val="0"/>
                                  <w:marBottom w:val="0"/>
                                  <w:divBdr>
                                    <w:top w:val="none" w:sz="0" w:space="0" w:color="auto"/>
                                    <w:left w:val="none" w:sz="0" w:space="0" w:color="auto"/>
                                    <w:bottom w:val="none" w:sz="0" w:space="0" w:color="auto"/>
                                    <w:right w:val="none" w:sz="0" w:space="0" w:color="auto"/>
                                  </w:divBdr>
                                  <w:divsChild>
                                    <w:div w:id="7853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2018-03-07T03:42:00Z</dcterms:created>
  <dcterms:modified xsi:type="dcterms:W3CDTF">2018-03-07T03:42:00Z</dcterms:modified>
</cp:coreProperties>
</file>