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EFEB1" w14:textId="77777777" w:rsidR="00E76CFE" w:rsidRDefault="00E76CFE" w:rsidP="00C05B2C">
      <w:pPr>
        <w:pStyle w:val="Baseparagraphcentred"/>
      </w:pPr>
      <w:bookmarkStart w:id="0" w:name="_GoBack"/>
      <w:bookmarkEnd w:id="0"/>
      <w:r>
        <w:t>2013-2014</w:t>
      </w:r>
    </w:p>
    <w:p w14:paraId="2B7D931C" w14:textId="77777777" w:rsidR="00E76CFE" w:rsidRDefault="00E76CFE" w:rsidP="00C05B2C">
      <w:pPr>
        <w:pStyle w:val="Baseparagraphcentred"/>
      </w:pPr>
    </w:p>
    <w:p w14:paraId="0B81659A" w14:textId="77777777" w:rsidR="00E76CFE" w:rsidRDefault="00E76CFE" w:rsidP="00C05B2C">
      <w:pPr>
        <w:pStyle w:val="Baseparagraphcentred"/>
      </w:pPr>
      <w:r>
        <w:t>THE PARLIAMENT OF THE COMMONWEALTH OF AUSTRALIA</w:t>
      </w:r>
    </w:p>
    <w:p w14:paraId="7E2382E8" w14:textId="77777777" w:rsidR="00E76CFE" w:rsidRDefault="00E76CFE" w:rsidP="00C05B2C">
      <w:pPr>
        <w:pStyle w:val="Baseparagraphcentred"/>
      </w:pPr>
    </w:p>
    <w:p w14:paraId="336206CD" w14:textId="77777777" w:rsidR="00E76CFE" w:rsidRDefault="00E76CFE" w:rsidP="00C05B2C">
      <w:pPr>
        <w:pStyle w:val="Baseparagraphcentred"/>
      </w:pPr>
    </w:p>
    <w:p w14:paraId="52ABBE5D" w14:textId="77777777" w:rsidR="00E76CFE" w:rsidRDefault="00E76CFE" w:rsidP="00C05B2C">
      <w:pPr>
        <w:pStyle w:val="Baseparagraphcentred"/>
      </w:pPr>
    </w:p>
    <w:p w14:paraId="21B2D219" w14:textId="77777777" w:rsidR="00E76CFE" w:rsidRDefault="001605EF" w:rsidP="00C05B2C">
      <w:pPr>
        <w:pStyle w:val="Baseparagraphcentred"/>
      </w:pPr>
      <w:r>
        <w:t>EXPOSURE DRAFT</w:t>
      </w:r>
    </w:p>
    <w:p w14:paraId="6432DA87" w14:textId="77777777" w:rsidR="00E76CFE" w:rsidRDefault="00E76CFE" w:rsidP="00C05B2C">
      <w:pPr>
        <w:pStyle w:val="Baseparagraphcentred"/>
      </w:pPr>
    </w:p>
    <w:p w14:paraId="0DF657E5" w14:textId="77777777" w:rsidR="00E76CFE" w:rsidRDefault="00E76CFE" w:rsidP="00C05B2C">
      <w:pPr>
        <w:pStyle w:val="Baseparagraphcentred"/>
      </w:pPr>
    </w:p>
    <w:p w14:paraId="3E96A06B" w14:textId="77777777" w:rsidR="00E76CFE" w:rsidRDefault="00E76CFE" w:rsidP="00C05B2C">
      <w:pPr>
        <w:pStyle w:val="Baseparagraphcentred"/>
      </w:pPr>
    </w:p>
    <w:p w14:paraId="3394F380" w14:textId="77777777" w:rsidR="00E76CFE" w:rsidRDefault="00E76CFE" w:rsidP="00C05B2C">
      <w:pPr>
        <w:pStyle w:val="BillName"/>
      </w:pPr>
      <w:r w:rsidRPr="00E76CFE">
        <w:t>Australian Securities and Investments Commission Amendment (Corporations and Markets Advisory Committee Abolition) Bill 2014</w:t>
      </w:r>
    </w:p>
    <w:p w14:paraId="744E4C0A" w14:textId="77777777" w:rsidR="00E76CFE" w:rsidRDefault="00E76CFE" w:rsidP="00C05B2C">
      <w:pPr>
        <w:pStyle w:val="Baseparagraphcentred"/>
      </w:pPr>
    </w:p>
    <w:p w14:paraId="7AC813F7" w14:textId="77777777" w:rsidR="00E76CFE" w:rsidRDefault="00E76CFE" w:rsidP="00C05B2C">
      <w:pPr>
        <w:pStyle w:val="Baseparagraphcentred"/>
      </w:pPr>
    </w:p>
    <w:p w14:paraId="68B2DFFE" w14:textId="77777777" w:rsidR="00E76CFE" w:rsidRDefault="00E76CFE" w:rsidP="00C05B2C">
      <w:pPr>
        <w:pStyle w:val="Baseparagraphcentred"/>
      </w:pPr>
    </w:p>
    <w:p w14:paraId="3147F774" w14:textId="77777777" w:rsidR="00E76CFE" w:rsidRDefault="00E76CFE" w:rsidP="00C05B2C">
      <w:pPr>
        <w:pStyle w:val="Baseparagraphcentred"/>
      </w:pPr>
      <w:r>
        <w:t>EXPLANATORY M</w:t>
      </w:r>
      <w:r w:rsidR="001605EF">
        <w:t>ATERIAL</w:t>
      </w:r>
    </w:p>
    <w:p w14:paraId="30ECF15C" w14:textId="77777777" w:rsidR="00E76CFE" w:rsidRDefault="00E76CFE" w:rsidP="00C05B2C">
      <w:pPr>
        <w:pStyle w:val="Baseparagraphcentred"/>
      </w:pPr>
    </w:p>
    <w:p w14:paraId="0CF4368F" w14:textId="77777777" w:rsidR="00E76CFE" w:rsidRDefault="00E76CFE" w:rsidP="00C05B2C">
      <w:pPr>
        <w:pStyle w:val="Baseparagraphcentred"/>
      </w:pPr>
    </w:p>
    <w:p w14:paraId="0FDDC127" w14:textId="77777777" w:rsidR="00E76CFE" w:rsidRDefault="00E76CFE" w:rsidP="00C05B2C">
      <w:pPr>
        <w:pStyle w:val="Baseparagraphcentred"/>
      </w:pPr>
    </w:p>
    <w:p w14:paraId="4947A74B" w14:textId="77777777" w:rsidR="00E76CFE" w:rsidRDefault="00E76CFE" w:rsidP="00C05B2C">
      <w:pPr>
        <w:pStyle w:val="Baseparagraphcentred"/>
      </w:pPr>
      <w:r>
        <w:t>(Circulated by the authority of the</w:t>
      </w:r>
      <w:r>
        <w:br/>
        <w:t xml:space="preserve">Treasurer, the </w:t>
      </w:r>
      <w:proofErr w:type="spellStart"/>
      <w:r>
        <w:t>Hon</w:t>
      </w:r>
      <w:proofErr w:type="spellEnd"/>
      <w:r>
        <w:t xml:space="preserve"> J. B. Hockey MP)</w:t>
      </w:r>
    </w:p>
    <w:p w14:paraId="5CE9D5F1" w14:textId="77777777" w:rsidR="00E76CFE" w:rsidRDefault="00E76CFE" w:rsidP="00C05B2C"/>
    <w:p w14:paraId="11C15565" w14:textId="77777777" w:rsidR="00E76CFE" w:rsidRDefault="00E76CFE" w:rsidP="00C05B2C">
      <w:pPr>
        <w:sectPr w:rsidR="00E76CFE" w:rsidSect="00C05B2C">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2466" w:right="2098" w:bottom="2466" w:left="2098" w:header="1559" w:footer="1899" w:gutter="0"/>
          <w:cols w:space="708"/>
          <w:titlePg/>
          <w:docGrid w:linePitch="360"/>
        </w:sectPr>
      </w:pPr>
    </w:p>
    <w:p w14:paraId="40F5CB2C" w14:textId="77777777" w:rsidR="00E76CFE" w:rsidRPr="003E0794" w:rsidRDefault="00E76CFE" w:rsidP="00C05B2C">
      <w:pPr>
        <w:pStyle w:val="TOCHeading"/>
      </w:pPr>
      <w:r w:rsidRPr="003E0794">
        <w:lastRenderedPageBreak/>
        <w:t>Table of contents</w:t>
      </w:r>
    </w:p>
    <w:p w14:paraId="30803BC4" w14:textId="77777777" w:rsidR="001605EF" w:rsidRDefault="00E76CFE">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1605EF">
        <w:t>Glossary</w:t>
      </w:r>
      <w:r w:rsidR="001605EF">
        <w:tab/>
      </w:r>
      <w:r w:rsidR="001605EF">
        <w:fldChar w:fldCharType="begin"/>
      </w:r>
      <w:r w:rsidR="001605EF">
        <w:instrText xml:space="preserve"> PAGEREF _Toc397600616 \h </w:instrText>
      </w:r>
      <w:r w:rsidR="001605EF">
        <w:fldChar w:fldCharType="separate"/>
      </w:r>
      <w:r w:rsidR="001605EF">
        <w:t>1</w:t>
      </w:r>
      <w:r w:rsidR="001605EF">
        <w:fldChar w:fldCharType="end"/>
      </w:r>
    </w:p>
    <w:p w14:paraId="42818D71" w14:textId="77777777" w:rsidR="001605EF" w:rsidRDefault="001605EF">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Cessation of the Corporations and Markets Advisory Committee</w:t>
      </w:r>
      <w:r>
        <w:rPr>
          <w:noProof/>
        </w:rPr>
        <w:tab/>
      </w:r>
      <w:r>
        <w:rPr>
          <w:noProof/>
        </w:rPr>
        <w:fldChar w:fldCharType="begin"/>
      </w:r>
      <w:r>
        <w:rPr>
          <w:noProof/>
        </w:rPr>
        <w:instrText xml:space="preserve"> PAGEREF _Toc397600617 \h </w:instrText>
      </w:r>
      <w:r>
        <w:rPr>
          <w:noProof/>
        </w:rPr>
      </w:r>
      <w:r>
        <w:rPr>
          <w:noProof/>
        </w:rPr>
        <w:fldChar w:fldCharType="separate"/>
      </w:r>
      <w:r>
        <w:rPr>
          <w:noProof/>
        </w:rPr>
        <w:t>3</w:t>
      </w:r>
      <w:r>
        <w:rPr>
          <w:noProof/>
        </w:rPr>
        <w:fldChar w:fldCharType="end"/>
      </w:r>
    </w:p>
    <w:p w14:paraId="7F1C0D93" w14:textId="77777777" w:rsidR="001605EF" w:rsidRDefault="001605EF">
      <w:pPr>
        <w:pStyle w:val="TOC2"/>
        <w:rPr>
          <w:rFonts w:asciiTheme="minorHAnsi" w:eastAsiaTheme="minorEastAsia" w:hAnsiTheme="minorHAnsi" w:cstheme="minorBidi"/>
          <w:sz w:val="22"/>
          <w:szCs w:val="22"/>
        </w:rPr>
      </w:pPr>
      <w:r>
        <w:t>Index</w:t>
      </w:r>
      <w:r>
        <w:tab/>
      </w:r>
      <w:r>
        <w:fldChar w:fldCharType="begin"/>
      </w:r>
      <w:r>
        <w:instrText xml:space="preserve"> PAGEREF _Toc397600618 \h </w:instrText>
      </w:r>
      <w:r>
        <w:fldChar w:fldCharType="separate"/>
      </w:r>
      <w:r>
        <w:t>17</w:t>
      </w:r>
      <w:r>
        <w:fldChar w:fldCharType="end"/>
      </w:r>
    </w:p>
    <w:p w14:paraId="7241C553" w14:textId="77777777" w:rsidR="00E76CFE" w:rsidRDefault="00E76CFE" w:rsidP="00C05B2C">
      <w:pPr>
        <w:pStyle w:val="base-text-paragraphnonumbers"/>
      </w:pPr>
      <w:r>
        <w:rPr>
          <w:b/>
          <w:bCs/>
          <w:noProof/>
          <w:lang w:val="en-US"/>
        </w:rPr>
        <w:fldChar w:fldCharType="end"/>
      </w:r>
    </w:p>
    <w:p w14:paraId="603BE3D5" w14:textId="77777777" w:rsidR="00E76CFE" w:rsidRDefault="00E76CFE" w:rsidP="00C05B2C">
      <w:pPr>
        <w:pStyle w:val="Hiddentext"/>
      </w:pPr>
      <w:r>
        <w:t>Do not remove section break.</w:t>
      </w:r>
    </w:p>
    <w:p w14:paraId="74A044C2" w14:textId="77777777" w:rsidR="00E76CFE" w:rsidRDefault="00E76CFE" w:rsidP="00C05B2C">
      <w:pPr>
        <w:pStyle w:val="base-text-paragraphnonumbers"/>
        <w:sectPr w:rsidR="00E76CFE" w:rsidSect="00C05B2C">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466" w:right="2098" w:bottom="2466" w:left="2098" w:header="1559" w:footer="1899" w:gutter="0"/>
          <w:cols w:space="708"/>
          <w:titlePg/>
          <w:docGrid w:linePitch="360"/>
        </w:sectPr>
      </w:pPr>
    </w:p>
    <w:p w14:paraId="437AB346" w14:textId="77777777" w:rsidR="00E76CFE" w:rsidRPr="00A03E30" w:rsidRDefault="00E76CFE" w:rsidP="00A03E30"/>
    <w:p w14:paraId="553C5461" w14:textId="77777777" w:rsidR="00683438" w:rsidRPr="00D67ADC" w:rsidRDefault="00683438" w:rsidP="00B41810">
      <w:pPr>
        <w:pStyle w:val="Chapterheadingsubdocument"/>
      </w:pPr>
      <w:bookmarkStart w:id="1" w:name="_Toc397600616"/>
      <w:r w:rsidRPr="00D67ADC">
        <w:t>Glossary</w:t>
      </w:r>
      <w:bookmarkEnd w:id="1"/>
    </w:p>
    <w:p w14:paraId="067DDFD0" w14:textId="77777777" w:rsidR="00683438" w:rsidRDefault="00683438" w:rsidP="00B41810">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683438" w:rsidRPr="00123D96" w14:paraId="78BBFB52" w14:textId="77777777" w:rsidTr="00B41810">
        <w:tc>
          <w:tcPr>
            <w:tcW w:w="2721" w:type="dxa"/>
          </w:tcPr>
          <w:p w14:paraId="25FFE87C" w14:textId="77777777" w:rsidR="00683438" w:rsidRPr="00123D96" w:rsidRDefault="00683438" w:rsidP="00B41810">
            <w:pPr>
              <w:pStyle w:val="tableheaderwithintable"/>
            </w:pPr>
            <w:r w:rsidRPr="00123D96">
              <w:t>Abbreviation</w:t>
            </w:r>
          </w:p>
        </w:tc>
        <w:tc>
          <w:tcPr>
            <w:tcW w:w="3885" w:type="dxa"/>
          </w:tcPr>
          <w:p w14:paraId="6586A02E" w14:textId="77777777" w:rsidR="00683438" w:rsidRPr="00123D96" w:rsidRDefault="00683438" w:rsidP="00B41810">
            <w:pPr>
              <w:pStyle w:val="tableheaderwithintable"/>
            </w:pPr>
            <w:r w:rsidRPr="00123D96">
              <w:t>Definition</w:t>
            </w:r>
          </w:p>
        </w:tc>
      </w:tr>
      <w:tr w:rsidR="00B07492" w:rsidRPr="002C43E8" w14:paraId="74660A37" w14:textId="77777777" w:rsidTr="00B41810">
        <w:tc>
          <w:tcPr>
            <w:tcW w:w="2721" w:type="dxa"/>
          </w:tcPr>
          <w:p w14:paraId="5EA5673B" w14:textId="77777777" w:rsidR="00B07492" w:rsidRPr="00F51483" w:rsidRDefault="00B07492" w:rsidP="00B41810">
            <w:pPr>
              <w:pStyle w:val="Glossarytabletext"/>
            </w:pPr>
            <w:r>
              <w:t>ASIC</w:t>
            </w:r>
          </w:p>
        </w:tc>
        <w:tc>
          <w:tcPr>
            <w:tcW w:w="3885" w:type="dxa"/>
          </w:tcPr>
          <w:p w14:paraId="0A763899" w14:textId="77777777" w:rsidR="00B07492" w:rsidRPr="00063B07" w:rsidRDefault="00B07492" w:rsidP="00B07492">
            <w:pPr>
              <w:pStyle w:val="tabletext"/>
            </w:pPr>
            <w:r w:rsidRPr="00063B07">
              <w:t>Australian Securities and Investments Commission</w:t>
            </w:r>
          </w:p>
        </w:tc>
      </w:tr>
      <w:tr w:rsidR="00D80A61" w:rsidRPr="002C43E8" w14:paraId="35626F33" w14:textId="77777777" w:rsidTr="00B41810">
        <w:tc>
          <w:tcPr>
            <w:tcW w:w="2721" w:type="dxa"/>
          </w:tcPr>
          <w:p w14:paraId="09A2C882" w14:textId="77777777" w:rsidR="00D80A61" w:rsidRPr="002C43E8" w:rsidRDefault="00D80A61" w:rsidP="00B41810">
            <w:pPr>
              <w:pStyle w:val="Glossarytabletext"/>
              <w:rPr>
                <w:lang w:val="en-US" w:eastAsia="en-US"/>
              </w:rPr>
            </w:pPr>
            <w:r w:rsidRPr="00F51483">
              <w:t>ASIC Act</w:t>
            </w:r>
          </w:p>
        </w:tc>
        <w:tc>
          <w:tcPr>
            <w:tcW w:w="3885" w:type="dxa"/>
          </w:tcPr>
          <w:p w14:paraId="44F2E5B0" w14:textId="77777777" w:rsidR="00D80A61" w:rsidRPr="00063B07" w:rsidRDefault="00D80A61" w:rsidP="00B41810">
            <w:pPr>
              <w:pStyle w:val="Glossarytabletext"/>
              <w:rPr>
                <w:i/>
                <w:lang w:val="en-US" w:eastAsia="en-US"/>
              </w:rPr>
            </w:pPr>
            <w:r w:rsidRPr="00063B07">
              <w:rPr>
                <w:i/>
              </w:rPr>
              <w:t>Australian Securities and Investments Commission Act 2001</w:t>
            </w:r>
          </w:p>
        </w:tc>
      </w:tr>
      <w:tr w:rsidR="00D80A61" w:rsidRPr="002C43E8" w14:paraId="5D204573" w14:textId="77777777" w:rsidTr="00B41810">
        <w:tc>
          <w:tcPr>
            <w:tcW w:w="2721" w:type="dxa"/>
          </w:tcPr>
          <w:p w14:paraId="1C50BE56" w14:textId="77777777" w:rsidR="00D80A61" w:rsidRPr="002C43E8" w:rsidRDefault="00D80A61" w:rsidP="00B41810">
            <w:pPr>
              <w:pStyle w:val="Glossarytabletext"/>
              <w:rPr>
                <w:lang w:val="en-US" w:eastAsia="en-US"/>
              </w:rPr>
            </w:pPr>
            <w:r w:rsidRPr="00F51483">
              <w:t>CAMAC</w:t>
            </w:r>
          </w:p>
        </w:tc>
        <w:tc>
          <w:tcPr>
            <w:tcW w:w="3885" w:type="dxa"/>
          </w:tcPr>
          <w:p w14:paraId="60A2B5AB" w14:textId="77777777" w:rsidR="00D80A61" w:rsidRPr="002C43E8" w:rsidRDefault="00D80A61" w:rsidP="00B41810">
            <w:pPr>
              <w:pStyle w:val="Glossarytabletext"/>
              <w:rPr>
                <w:lang w:val="en-US" w:eastAsia="en-US"/>
              </w:rPr>
            </w:pPr>
            <w:r w:rsidRPr="00F51483">
              <w:t>Corporations and Markets Advisory Committee</w:t>
            </w:r>
          </w:p>
        </w:tc>
      </w:tr>
      <w:tr w:rsidR="007F4031" w:rsidRPr="002C43E8" w14:paraId="445C6ECB" w14:textId="77777777" w:rsidTr="00B41810">
        <w:tc>
          <w:tcPr>
            <w:tcW w:w="2721" w:type="dxa"/>
          </w:tcPr>
          <w:p w14:paraId="3A152EEF" w14:textId="77777777" w:rsidR="007F4031" w:rsidRDefault="007F4031" w:rsidP="00B41810">
            <w:pPr>
              <w:pStyle w:val="Glossarytabletext"/>
              <w:rPr>
                <w:lang w:val="en-US" w:eastAsia="en-US"/>
              </w:rPr>
            </w:pPr>
            <w:r>
              <w:rPr>
                <w:lang w:val="en-US" w:eastAsia="en-US"/>
              </w:rPr>
              <w:t>ICCPR</w:t>
            </w:r>
          </w:p>
        </w:tc>
        <w:tc>
          <w:tcPr>
            <w:tcW w:w="3885" w:type="dxa"/>
          </w:tcPr>
          <w:p w14:paraId="59B65EB7" w14:textId="77777777" w:rsidR="007F4031" w:rsidRDefault="007F4031" w:rsidP="00B41810">
            <w:pPr>
              <w:pStyle w:val="Glossarytabletext"/>
              <w:rPr>
                <w:lang w:val="en-US" w:eastAsia="en-US"/>
              </w:rPr>
            </w:pPr>
            <w:r>
              <w:rPr>
                <w:lang w:val="en-US" w:eastAsia="en-US"/>
              </w:rPr>
              <w:t>International Covenant on Civil and Political Rights</w:t>
            </w:r>
          </w:p>
        </w:tc>
      </w:tr>
      <w:tr w:rsidR="00683438" w:rsidRPr="002C43E8" w14:paraId="6D07BFE4" w14:textId="77777777" w:rsidTr="00B41810">
        <w:tc>
          <w:tcPr>
            <w:tcW w:w="2721" w:type="dxa"/>
          </w:tcPr>
          <w:p w14:paraId="29133332" w14:textId="77777777" w:rsidR="00683438" w:rsidRPr="002C43E8" w:rsidRDefault="00C87085" w:rsidP="00B41810">
            <w:pPr>
              <w:pStyle w:val="Glossarytabletext"/>
              <w:rPr>
                <w:lang w:val="en-US" w:eastAsia="en-US"/>
              </w:rPr>
            </w:pPr>
            <w:r>
              <w:rPr>
                <w:lang w:val="en-US" w:eastAsia="en-US"/>
              </w:rPr>
              <w:t>the Minister</w:t>
            </w:r>
          </w:p>
        </w:tc>
        <w:tc>
          <w:tcPr>
            <w:tcW w:w="3885" w:type="dxa"/>
          </w:tcPr>
          <w:p w14:paraId="609FC9A6" w14:textId="77777777" w:rsidR="00683438" w:rsidRPr="002C43E8" w:rsidRDefault="00C87085" w:rsidP="00B41810">
            <w:pPr>
              <w:pStyle w:val="Glossarytabletext"/>
              <w:rPr>
                <w:lang w:val="en-US" w:eastAsia="en-US"/>
              </w:rPr>
            </w:pPr>
            <w:r>
              <w:rPr>
                <w:lang w:val="en-US" w:eastAsia="en-US"/>
              </w:rPr>
              <w:t>the relevant Treasury Portfolio Minister</w:t>
            </w:r>
          </w:p>
        </w:tc>
      </w:tr>
      <w:tr w:rsidR="00492148" w:rsidRPr="002C43E8" w14:paraId="6D230159" w14:textId="77777777" w:rsidTr="00B41810">
        <w:tc>
          <w:tcPr>
            <w:tcW w:w="2721" w:type="dxa"/>
          </w:tcPr>
          <w:p w14:paraId="5D597ED2" w14:textId="77777777" w:rsidR="00492148" w:rsidRDefault="00492148" w:rsidP="00B41810">
            <w:pPr>
              <w:pStyle w:val="Glossarytabletext"/>
              <w:rPr>
                <w:lang w:val="en-US" w:eastAsia="en-US"/>
              </w:rPr>
            </w:pPr>
            <w:r>
              <w:rPr>
                <w:lang w:val="en-US" w:eastAsia="en-US"/>
              </w:rPr>
              <w:t>Ombudsman</w:t>
            </w:r>
          </w:p>
        </w:tc>
        <w:tc>
          <w:tcPr>
            <w:tcW w:w="3885" w:type="dxa"/>
          </w:tcPr>
          <w:p w14:paraId="4D6314D5" w14:textId="77777777" w:rsidR="00492148" w:rsidRDefault="00492148" w:rsidP="00B41810">
            <w:pPr>
              <w:pStyle w:val="Glossarytabletext"/>
              <w:rPr>
                <w:lang w:val="en-US" w:eastAsia="en-US"/>
              </w:rPr>
            </w:pPr>
            <w:r>
              <w:rPr>
                <w:lang w:val="en-US" w:eastAsia="en-US"/>
              </w:rPr>
              <w:t>Commonwealth Ombudsman</w:t>
            </w:r>
          </w:p>
        </w:tc>
      </w:tr>
      <w:tr w:rsidR="00683438" w:rsidRPr="002C43E8" w14:paraId="35EE245A" w14:textId="77777777" w:rsidTr="00B41810">
        <w:tc>
          <w:tcPr>
            <w:tcW w:w="2721" w:type="dxa"/>
          </w:tcPr>
          <w:p w14:paraId="72F7A898" w14:textId="77777777" w:rsidR="00683438" w:rsidRPr="002C43E8" w:rsidRDefault="00981ACC" w:rsidP="00B41810">
            <w:pPr>
              <w:pStyle w:val="Glossarytabletext"/>
              <w:rPr>
                <w:lang w:val="en-US" w:eastAsia="en-US"/>
              </w:rPr>
            </w:pPr>
            <w:r>
              <w:rPr>
                <w:lang w:val="en-US" w:eastAsia="en-US"/>
              </w:rPr>
              <w:t>the Treasury</w:t>
            </w:r>
          </w:p>
        </w:tc>
        <w:tc>
          <w:tcPr>
            <w:tcW w:w="3885" w:type="dxa"/>
          </w:tcPr>
          <w:p w14:paraId="220BB366" w14:textId="77777777" w:rsidR="00683438" w:rsidRPr="002C43E8" w:rsidRDefault="00981ACC" w:rsidP="00B41810">
            <w:pPr>
              <w:pStyle w:val="Glossarytabletext"/>
              <w:rPr>
                <w:lang w:val="en-US" w:eastAsia="en-US"/>
              </w:rPr>
            </w:pPr>
            <w:r>
              <w:rPr>
                <w:lang w:val="en-US" w:eastAsia="en-US"/>
              </w:rPr>
              <w:t>Department of the Treasury</w:t>
            </w:r>
          </w:p>
        </w:tc>
      </w:tr>
    </w:tbl>
    <w:p w14:paraId="0BF55170" w14:textId="77777777" w:rsidR="00683438" w:rsidRDefault="00683438" w:rsidP="00B41810">
      <w:pPr>
        <w:sectPr w:rsidR="00683438" w:rsidSect="00B41810">
          <w:headerReference w:type="even" r:id="rId21"/>
          <w:headerReference w:type="default" r:id="rId22"/>
          <w:footerReference w:type="even" r:id="rId23"/>
          <w:footerReference w:type="default" r:id="rId24"/>
          <w:footerReference w:type="first" r:id="rId25"/>
          <w:type w:val="oddPage"/>
          <w:pgSz w:w="11906" w:h="16838" w:code="9"/>
          <w:pgMar w:top="2466" w:right="2098" w:bottom="2466" w:left="2098" w:header="1559" w:footer="1899" w:gutter="0"/>
          <w:pgNumType w:start="1"/>
          <w:cols w:space="708"/>
          <w:titlePg/>
          <w:docGrid w:linePitch="360"/>
        </w:sectPr>
      </w:pPr>
    </w:p>
    <w:p w14:paraId="5D41E6C4" w14:textId="77777777" w:rsidR="00683438" w:rsidRPr="00F51A71" w:rsidRDefault="00683438" w:rsidP="00A03E30">
      <w:pPr>
        <w:pStyle w:val="ChapterHeading"/>
        <w:tabs>
          <w:tab w:val="clear" w:pos="1134"/>
          <w:tab w:val="num" w:pos="360"/>
        </w:tabs>
      </w:pPr>
      <w:r w:rsidRPr="00F51A71">
        <w:lastRenderedPageBreak/>
        <w:br/>
      </w:r>
      <w:bookmarkStart w:id="2" w:name="_Toc397600617"/>
      <w:r w:rsidR="00165868">
        <w:t>Cessation</w:t>
      </w:r>
      <w:r w:rsidR="00D80A61">
        <w:t xml:space="preserve"> of the Corporations and Markets Advisory Committee</w:t>
      </w:r>
      <w:bookmarkEnd w:id="2"/>
    </w:p>
    <w:p w14:paraId="443EC611" w14:textId="77777777" w:rsidR="00683438" w:rsidRDefault="00683438" w:rsidP="009B7C08">
      <w:pPr>
        <w:pStyle w:val="Heading2"/>
      </w:pPr>
      <w:r>
        <w:t>Outline of chapter</w:t>
      </w:r>
    </w:p>
    <w:p w14:paraId="3741645A" w14:textId="77777777" w:rsidR="009B7C08" w:rsidRDefault="006043A0" w:rsidP="009B7C08">
      <w:pPr>
        <w:pStyle w:val="base-text-paragraph"/>
      </w:pPr>
      <w:r>
        <w:t>T</w:t>
      </w:r>
      <w:r w:rsidR="008119D2">
        <w:t xml:space="preserve">his </w:t>
      </w:r>
      <w:r w:rsidR="001605EF">
        <w:t>Exposure Draft</w:t>
      </w:r>
      <w:r w:rsidR="009B7C08">
        <w:t xml:space="preserve"> repeals Part 9 of the </w:t>
      </w:r>
      <w:r w:rsidR="002E0592">
        <w:rPr>
          <w:i/>
        </w:rPr>
        <w:t xml:space="preserve">Australian Securities and Investments Commission </w:t>
      </w:r>
      <w:r w:rsidR="002E0592" w:rsidRPr="003D14D3">
        <w:rPr>
          <w:i/>
        </w:rPr>
        <w:t xml:space="preserve">Act </w:t>
      </w:r>
      <w:r w:rsidR="002E0592" w:rsidRPr="00E76CFE">
        <w:rPr>
          <w:i/>
        </w:rPr>
        <w:t>2001</w:t>
      </w:r>
      <w:r w:rsidR="002E0592">
        <w:t xml:space="preserve"> (</w:t>
      </w:r>
      <w:r w:rsidR="009B7C08" w:rsidRPr="002E0592">
        <w:t>ASIC</w:t>
      </w:r>
      <w:r w:rsidR="009B7C08">
        <w:t xml:space="preserve"> Act</w:t>
      </w:r>
      <w:r w:rsidR="002E0592">
        <w:t>)</w:t>
      </w:r>
      <w:r w:rsidR="009B7C08">
        <w:t xml:space="preserve">, which provides for the establishment, functions and operation of </w:t>
      </w:r>
      <w:r w:rsidR="002E0592">
        <w:t>Corporations and Markets</w:t>
      </w:r>
      <w:r w:rsidR="003D14D3">
        <w:t xml:space="preserve"> Advisory</w:t>
      </w:r>
      <w:r w:rsidR="002E0592">
        <w:t xml:space="preserve"> Committee (</w:t>
      </w:r>
      <w:r w:rsidR="009B7C08">
        <w:t>CAMAC</w:t>
      </w:r>
      <w:r w:rsidR="002E0592">
        <w:t>)</w:t>
      </w:r>
      <w:r w:rsidR="009B7C08">
        <w:t>.</w:t>
      </w:r>
    </w:p>
    <w:p w14:paraId="62B392EE" w14:textId="77777777" w:rsidR="009B7C08" w:rsidRDefault="006043A0" w:rsidP="003D411B">
      <w:pPr>
        <w:pStyle w:val="base-text-paragraph"/>
      </w:pPr>
      <w:r>
        <w:t>It</w:t>
      </w:r>
      <w:r w:rsidR="009B7C08">
        <w:t xml:space="preserve"> </w:t>
      </w:r>
      <w:r w:rsidR="008119D2">
        <w:t xml:space="preserve">also </w:t>
      </w:r>
      <w:r w:rsidR="009B7C08">
        <w:t>make</w:t>
      </w:r>
      <w:r w:rsidR="008119D2">
        <w:t>s</w:t>
      </w:r>
      <w:r w:rsidR="009B7C08">
        <w:t xml:space="preserve"> a number of consequential amendments to the ASIC Act as a result of the repeal of Part 9</w:t>
      </w:r>
      <w:r w:rsidR="003D411B">
        <w:t xml:space="preserve"> and </w:t>
      </w:r>
      <w:r w:rsidR="009B7C08">
        <w:t xml:space="preserve">provides for the transitional and savings arrangements that are necessary to reflect the </w:t>
      </w:r>
      <w:r w:rsidR="00E21E80">
        <w:t>cessation</w:t>
      </w:r>
      <w:r w:rsidR="009B7C08">
        <w:t xml:space="preserve"> of the agency.</w:t>
      </w:r>
    </w:p>
    <w:p w14:paraId="1E18A42E" w14:textId="45A987A0" w:rsidR="008119D2" w:rsidRDefault="008119D2" w:rsidP="009B7C08">
      <w:pPr>
        <w:pStyle w:val="base-text-paragraph"/>
      </w:pPr>
      <w:r>
        <w:t xml:space="preserve">Sections 1 to 3 </w:t>
      </w:r>
      <w:r w:rsidR="001605EF">
        <w:t xml:space="preserve">set out the commencement details for this measure. </w:t>
      </w:r>
    </w:p>
    <w:p w14:paraId="325F4BE2" w14:textId="77777777" w:rsidR="00683438" w:rsidRDefault="00683438" w:rsidP="00B41810">
      <w:pPr>
        <w:pStyle w:val="Heading2"/>
      </w:pPr>
      <w:r>
        <w:t>Context of amendments</w:t>
      </w:r>
    </w:p>
    <w:p w14:paraId="0CEEE868" w14:textId="77777777" w:rsidR="00683438" w:rsidRPr="00921AC0" w:rsidRDefault="00AA306B" w:rsidP="00AA306B">
      <w:pPr>
        <w:pStyle w:val="base-text-paragraph"/>
      </w:pPr>
      <w:r>
        <w:t xml:space="preserve">CAMAC </w:t>
      </w:r>
      <w:r w:rsidRPr="00AA306B">
        <w:t xml:space="preserve">was </w:t>
      </w:r>
      <w:r>
        <w:t>established in 1989</w:t>
      </w:r>
      <w:r w:rsidRPr="00AA306B">
        <w:t xml:space="preserve"> as part of </w:t>
      </w:r>
      <w:r>
        <w:t>a</w:t>
      </w:r>
      <w:r w:rsidRPr="00AA306B">
        <w:t xml:space="preserve"> legislative package that </w:t>
      </w:r>
      <w:r w:rsidR="00921AC0">
        <w:t>set up</w:t>
      </w:r>
      <w:r w:rsidRPr="00AA306B">
        <w:t xml:space="preserve"> a national scheme for corporations and financial markets</w:t>
      </w:r>
      <w:r w:rsidR="00921AC0">
        <w:t xml:space="preserve">.  </w:t>
      </w:r>
      <w:r w:rsidR="00921AC0" w:rsidRPr="00921AC0">
        <w:t>CAMAC</w:t>
      </w:r>
      <w:r w:rsidRPr="00921AC0">
        <w:t xml:space="preserve"> provide</w:t>
      </w:r>
      <w:r w:rsidR="00921AC0" w:rsidRPr="00921AC0">
        <w:t>s</w:t>
      </w:r>
      <w:r w:rsidRPr="00921AC0">
        <w:t xml:space="preserve"> independent advice to the </w:t>
      </w:r>
      <w:r w:rsidR="007576D2" w:rsidRPr="00921AC0">
        <w:t xml:space="preserve">Australian </w:t>
      </w:r>
      <w:r w:rsidRPr="00921AC0">
        <w:t xml:space="preserve">Government on </w:t>
      </w:r>
      <w:r w:rsidR="00921AC0" w:rsidRPr="00921AC0">
        <w:t xml:space="preserve">matters relating to the amendment, administration or reform of the corporations legislation, </w:t>
      </w:r>
      <w:r w:rsidR="00E21E80">
        <w:t xml:space="preserve">matters relating </w:t>
      </w:r>
      <w:r w:rsidR="00921AC0">
        <w:t xml:space="preserve">to </w:t>
      </w:r>
      <w:r w:rsidR="00921AC0" w:rsidRPr="00921AC0">
        <w:t xml:space="preserve">companies or a segment of the financial products and services industry, </w:t>
      </w:r>
      <w:r w:rsidR="00921AC0">
        <w:t>and</w:t>
      </w:r>
      <w:r w:rsidR="00921AC0" w:rsidRPr="00921AC0">
        <w:t xml:space="preserve"> proposals to improve the efficiency of financial markets. </w:t>
      </w:r>
    </w:p>
    <w:p w14:paraId="4456A650" w14:textId="77777777" w:rsidR="00AA306B" w:rsidRDefault="007576D2" w:rsidP="00010068">
      <w:pPr>
        <w:pStyle w:val="base-text-paragraph"/>
      </w:pPr>
      <w:r>
        <w:t xml:space="preserve">CAMAC is a </w:t>
      </w:r>
      <w:r w:rsidR="003239FE">
        <w:t xml:space="preserve">statutory </w:t>
      </w:r>
      <w:r>
        <w:t xml:space="preserve">body corporate, comprising part-time members appointed by a Treasury </w:t>
      </w:r>
      <w:r w:rsidR="00E21E80">
        <w:t xml:space="preserve">Portfolio </w:t>
      </w:r>
      <w:r>
        <w:t>Ministe</w:t>
      </w:r>
      <w:r w:rsidR="003239FE">
        <w:t>r under section 147 of the ASIC </w:t>
      </w:r>
      <w:r>
        <w:t xml:space="preserve">Act. </w:t>
      </w:r>
      <w:r w:rsidR="00E21E80">
        <w:t xml:space="preserve"> </w:t>
      </w:r>
      <w:r>
        <w:t xml:space="preserve">Members are appointed in a personal </w:t>
      </w:r>
      <w:r w:rsidRPr="00B27416">
        <w:t>capacity on the basis of their knowledge and experience in business, financial markets, law, economics or accounting.  CAMAC is supported by a full-time Executive</w:t>
      </w:r>
      <w:r w:rsidR="00B27416" w:rsidRPr="00B27416">
        <w:t xml:space="preserve"> of three staff</w:t>
      </w:r>
      <w:r w:rsidRPr="00B27416">
        <w:t>.</w:t>
      </w:r>
      <w:r w:rsidR="00AA306B">
        <w:t xml:space="preserve"> </w:t>
      </w:r>
    </w:p>
    <w:p w14:paraId="4B371E4F" w14:textId="77777777" w:rsidR="00010068" w:rsidRDefault="00165868" w:rsidP="00B41810">
      <w:pPr>
        <w:pStyle w:val="base-text-paragraph"/>
      </w:pPr>
      <w:r w:rsidRPr="00CC6026">
        <w:t xml:space="preserve">The decision to cease the operation of CAMAC was </w:t>
      </w:r>
      <w:r w:rsidR="00010068">
        <w:t xml:space="preserve">announced </w:t>
      </w:r>
      <w:r w:rsidR="002E0592">
        <w:t>in</w:t>
      </w:r>
      <w:r w:rsidR="00010068">
        <w:t xml:space="preserve"> the 2014-15 Budget.  The decision was </w:t>
      </w:r>
      <w:r w:rsidRPr="00CC6026">
        <w:t>made in the context of the</w:t>
      </w:r>
      <w:r w:rsidR="00010068">
        <w:t xml:space="preserve"> </w:t>
      </w:r>
      <w:r>
        <w:t xml:space="preserve">broader </w:t>
      </w:r>
      <w:r w:rsidRPr="00C331B1">
        <w:rPr>
          <w:i/>
        </w:rPr>
        <w:t>Smaller and More Rational Government</w:t>
      </w:r>
      <w:r>
        <w:t xml:space="preserve"> reforms to reduce the number of Australian Government bodies and streamline the shape of government</w:t>
      </w:r>
      <w:r w:rsidRPr="00CC6026">
        <w:t>.</w:t>
      </w:r>
      <w:r>
        <w:t xml:space="preserve">  The abolition and merger of some government bodies, </w:t>
      </w:r>
      <w:r>
        <w:lastRenderedPageBreak/>
        <w:t xml:space="preserve">including CAMAC, </w:t>
      </w:r>
      <w:r w:rsidR="00E21E80">
        <w:t>is expected to</w:t>
      </w:r>
      <w:r>
        <w:t xml:space="preserve"> improve coordination and accountability, reduce the costs associated with separate governance arrangements and increase efficiency in how public funds are used to deliver services to the community.</w:t>
      </w:r>
      <w:r w:rsidR="00010068">
        <w:t xml:space="preserve">  </w:t>
      </w:r>
    </w:p>
    <w:p w14:paraId="1C928EF9" w14:textId="1C0F4939" w:rsidR="00006442" w:rsidRPr="005D1CDE" w:rsidRDefault="00006442" w:rsidP="00B41810">
      <w:pPr>
        <w:pStyle w:val="base-text-paragraph"/>
      </w:pPr>
      <w:r w:rsidRPr="005D1CDE">
        <w:t xml:space="preserve">This </w:t>
      </w:r>
      <w:r w:rsidR="001605EF">
        <w:t>Exposure Draft</w:t>
      </w:r>
      <w:r w:rsidR="001605EF" w:rsidRPr="005D1CDE">
        <w:t xml:space="preserve"> </w:t>
      </w:r>
      <w:r w:rsidRPr="005D1CDE">
        <w:t xml:space="preserve">does not provide for the termination of the employment of CAMAC’s Secretariat staff, as these are matters that are handled by administrative processes conducted in accordance with the </w:t>
      </w:r>
      <w:r w:rsidRPr="005D1CDE">
        <w:rPr>
          <w:i/>
        </w:rPr>
        <w:t>Public Service Act 1999</w:t>
      </w:r>
      <w:r w:rsidRPr="005D1CDE">
        <w:t xml:space="preserve"> and relevant private contracts.</w:t>
      </w:r>
    </w:p>
    <w:p w14:paraId="3D83AADE" w14:textId="77777777" w:rsidR="00683438" w:rsidRDefault="00683438" w:rsidP="007F4031">
      <w:pPr>
        <w:pStyle w:val="Heading2"/>
      </w:pPr>
      <w:r>
        <w:t>Summary of new law</w:t>
      </w:r>
    </w:p>
    <w:p w14:paraId="7F3EDA44" w14:textId="77777777" w:rsidR="00683438" w:rsidRPr="008F726E" w:rsidRDefault="00E21E80" w:rsidP="00B41810">
      <w:pPr>
        <w:pStyle w:val="base-text-paragraph"/>
      </w:pPr>
      <w:r>
        <w:t>CAMAC’s operation ceases</w:t>
      </w:r>
      <w:r w:rsidR="00B07492">
        <w:t xml:space="preserve">.  </w:t>
      </w:r>
    </w:p>
    <w:p w14:paraId="294857D1" w14:textId="77777777" w:rsidR="00683438" w:rsidRDefault="00683438" w:rsidP="007F4031">
      <w:pPr>
        <w:pStyle w:val="Heading2"/>
        <w:spacing w:after="24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683438" w:rsidRPr="004666B8" w14:paraId="1D3C7604" w14:textId="77777777" w:rsidTr="00B41810">
        <w:tc>
          <w:tcPr>
            <w:tcW w:w="3275" w:type="dxa"/>
          </w:tcPr>
          <w:p w14:paraId="575DC32B" w14:textId="77777777" w:rsidR="00683438" w:rsidRPr="004666B8" w:rsidRDefault="00683438" w:rsidP="00B41810">
            <w:pPr>
              <w:pStyle w:val="tableheaderwithintable"/>
              <w:rPr>
                <w:lang w:val="en-US" w:eastAsia="en-US"/>
              </w:rPr>
            </w:pPr>
            <w:r w:rsidRPr="004666B8">
              <w:rPr>
                <w:lang w:val="en-US" w:eastAsia="en-US"/>
              </w:rPr>
              <w:t>New law</w:t>
            </w:r>
          </w:p>
        </w:tc>
        <w:tc>
          <w:tcPr>
            <w:tcW w:w="3276" w:type="dxa"/>
          </w:tcPr>
          <w:p w14:paraId="43152515" w14:textId="77777777" w:rsidR="00683438" w:rsidRPr="004666B8" w:rsidRDefault="00683438" w:rsidP="00B41810">
            <w:pPr>
              <w:pStyle w:val="tableheaderwithintable"/>
              <w:rPr>
                <w:lang w:val="en-US" w:eastAsia="en-US"/>
              </w:rPr>
            </w:pPr>
            <w:r w:rsidRPr="004666B8">
              <w:rPr>
                <w:lang w:val="en-US" w:eastAsia="en-US"/>
              </w:rPr>
              <w:t>Current law</w:t>
            </w:r>
          </w:p>
        </w:tc>
      </w:tr>
      <w:tr w:rsidR="00683438" w:rsidRPr="004666B8" w14:paraId="67305CF2" w14:textId="77777777" w:rsidTr="00B41810">
        <w:tc>
          <w:tcPr>
            <w:tcW w:w="3275" w:type="dxa"/>
          </w:tcPr>
          <w:p w14:paraId="338833B2" w14:textId="77777777" w:rsidR="00683438" w:rsidRPr="004666B8" w:rsidRDefault="00E21E80" w:rsidP="00E21E80">
            <w:pPr>
              <w:pStyle w:val="tabletext"/>
              <w:rPr>
                <w:lang w:val="en-US" w:eastAsia="en-US"/>
              </w:rPr>
            </w:pPr>
            <w:r>
              <w:rPr>
                <w:lang w:val="en-US" w:eastAsia="en-US"/>
              </w:rPr>
              <w:t xml:space="preserve">CAMAC’s operation </w:t>
            </w:r>
            <w:r w:rsidR="00C87085">
              <w:rPr>
                <w:lang w:val="en-US" w:eastAsia="en-US"/>
              </w:rPr>
              <w:t>ceases.</w:t>
            </w:r>
          </w:p>
        </w:tc>
        <w:tc>
          <w:tcPr>
            <w:tcW w:w="3276" w:type="dxa"/>
          </w:tcPr>
          <w:p w14:paraId="0B340F01" w14:textId="77777777" w:rsidR="00683438" w:rsidRPr="004666B8" w:rsidRDefault="00D80A61" w:rsidP="00B41810">
            <w:pPr>
              <w:pStyle w:val="tabletext"/>
              <w:rPr>
                <w:lang w:val="en-US" w:eastAsia="en-US"/>
              </w:rPr>
            </w:pPr>
            <w:r>
              <w:rPr>
                <w:lang w:val="en-US" w:eastAsia="en-US"/>
              </w:rPr>
              <w:t>CAMAC is established and has fun</w:t>
            </w:r>
            <w:r w:rsidR="00E21E80">
              <w:rPr>
                <w:lang w:val="en-US" w:eastAsia="en-US"/>
              </w:rPr>
              <w:t>ctions under Part 9 of the ASIC </w:t>
            </w:r>
            <w:r>
              <w:rPr>
                <w:lang w:val="en-US" w:eastAsia="en-US"/>
              </w:rPr>
              <w:t>Act.</w:t>
            </w:r>
          </w:p>
        </w:tc>
      </w:tr>
    </w:tbl>
    <w:p w14:paraId="456AA9F9" w14:textId="77777777" w:rsidR="008C3336" w:rsidRDefault="00683438" w:rsidP="00AE78C1">
      <w:pPr>
        <w:pStyle w:val="Heading2"/>
      </w:pPr>
      <w:r>
        <w:t>Detailed explanation of new law</w:t>
      </w:r>
    </w:p>
    <w:p w14:paraId="28078B2D" w14:textId="77777777" w:rsidR="00D97B3F" w:rsidRDefault="00D97B3F" w:rsidP="00D97B3F">
      <w:pPr>
        <w:pStyle w:val="Heading3"/>
      </w:pPr>
      <w:r>
        <w:t>Short title</w:t>
      </w:r>
      <w:r w:rsidR="00FC639E">
        <w:t xml:space="preserve"> and introductory matters</w:t>
      </w:r>
    </w:p>
    <w:p w14:paraId="44730F65" w14:textId="77777777" w:rsidR="00D97B3F" w:rsidRPr="00D97B3F" w:rsidRDefault="00D97B3F" w:rsidP="00D97B3F">
      <w:pPr>
        <w:pStyle w:val="base-text-paragraph"/>
        <w:rPr>
          <w:rStyle w:val="Referencingstyle"/>
          <w:b w:val="0"/>
          <w:i w:val="0"/>
          <w:sz w:val="22"/>
        </w:rPr>
      </w:pPr>
      <w:r>
        <w:t xml:space="preserve">Once enacted, the name of the Act will be the </w:t>
      </w:r>
      <w:r w:rsidRPr="00D97B3F">
        <w:rPr>
          <w:i/>
        </w:rPr>
        <w:t>Australian Securities and Investments Commission Amendment (Corporations and Markets Advisory Committee Abolition) Act 2014</w:t>
      </w:r>
      <w:r>
        <w:t>.</w:t>
      </w:r>
      <w:r w:rsidR="007F4031">
        <w:t xml:space="preserve"> </w:t>
      </w:r>
      <w:r>
        <w:t xml:space="preserve"> </w:t>
      </w:r>
      <w:r w:rsidRPr="00D97B3F">
        <w:rPr>
          <w:rStyle w:val="Referencingstyle"/>
        </w:rPr>
        <w:t>[Clause 1]</w:t>
      </w:r>
    </w:p>
    <w:p w14:paraId="0D226B90" w14:textId="77777777" w:rsidR="00FC639E" w:rsidRDefault="00FC639E" w:rsidP="00D97B3F">
      <w:pPr>
        <w:pStyle w:val="base-text-paragraph"/>
      </w:pPr>
      <w:r>
        <w:t>Provisions of the ASIC Act are amended or repealed as set out in Schedule 1.  Each other item in Schedule 1 has effect according to its terms.</w:t>
      </w:r>
      <w:r w:rsidR="007F4031">
        <w:t xml:space="preserve"> </w:t>
      </w:r>
      <w:r>
        <w:t xml:space="preserve"> </w:t>
      </w:r>
      <w:r w:rsidRPr="00FC639E">
        <w:rPr>
          <w:rStyle w:val="Referencingstyle"/>
        </w:rPr>
        <w:t>[Clause 3]</w:t>
      </w:r>
    </w:p>
    <w:p w14:paraId="7C852CEE" w14:textId="060DD29C" w:rsidR="00D97B3F" w:rsidRPr="00D97B3F" w:rsidRDefault="00D97B3F" w:rsidP="00D97B3F">
      <w:pPr>
        <w:pStyle w:val="base-text-paragraph"/>
      </w:pPr>
      <w:r>
        <w:t xml:space="preserve">Clauses 1 </w:t>
      </w:r>
      <w:r w:rsidR="00FC639E">
        <w:t>(S</w:t>
      </w:r>
      <w:r>
        <w:t>hort title</w:t>
      </w:r>
      <w:r w:rsidR="00FC639E">
        <w:t>), 2 (C</w:t>
      </w:r>
      <w:r>
        <w:t>ommencement</w:t>
      </w:r>
      <w:r w:rsidR="00FC639E">
        <w:t>) and 3 (Schedules)</w:t>
      </w:r>
      <w:r>
        <w:t xml:space="preserve"> </w:t>
      </w:r>
      <w:r w:rsidR="00FC639E">
        <w:t xml:space="preserve">commence on the day </w:t>
      </w:r>
      <w:r w:rsidR="0024704A">
        <w:t xml:space="preserve">these measures </w:t>
      </w:r>
      <w:r w:rsidR="00C272DF">
        <w:t>receive Royal Assent.</w:t>
      </w:r>
      <w:r w:rsidR="007F4031">
        <w:t xml:space="preserve"> </w:t>
      </w:r>
      <w:r w:rsidR="00C272DF">
        <w:t xml:space="preserve"> </w:t>
      </w:r>
      <w:r w:rsidR="00C272DF" w:rsidRPr="00AE78C1">
        <w:rPr>
          <w:rStyle w:val="Referencingstyle"/>
        </w:rPr>
        <w:t>[</w:t>
      </w:r>
      <w:r w:rsidR="00C272DF">
        <w:rPr>
          <w:rStyle w:val="Referencingstyle"/>
        </w:rPr>
        <w:t>Subc</w:t>
      </w:r>
      <w:r w:rsidR="00C272DF" w:rsidRPr="00AE78C1">
        <w:rPr>
          <w:rStyle w:val="Referencingstyle"/>
        </w:rPr>
        <w:t>lause 2</w:t>
      </w:r>
      <w:r w:rsidR="00C272DF">
        <w:rPr>
          <w:rStyle w:val="Referencingstyle"/>
        </w:rPr>
        <w:t>(1), item 1 in the table</w:t>
      </w:r>
      <w:r w:rsidR="00C272DF" w:rsidRPr="00AE78C1">
        <w:rPr>
          <w:rStyle w:val="Referencingstyle"/>
        </w:rPr>
        <w:t>]</w:t>
      </w:r>
    </w:p>
    <w:p w14:paraId="1C199A74" w14:textId="77777777" w:rsidR="00D97B3F" w:rsidRPr="00D97B3F" w:rsidRDefault="00D97B3F" w:rsidP="003140C0">
      <w:pPr>
        <w:pStyle w:val="Heading3"/>
      </w:pPr>
      <w:r>
        <w:t>Cessation of the Corporations and Markets Advisory Committee</w:t>
      </w:r>
    </w:p>
    <w:p w14:paraId="1D470E83" w14:textId="77777777" w:rsidR="00683438" w:rsidRPr="00AE78C1" w:rsidRDefault="00D72967" w:rsidP="00B41810">
      <w:pPr>
        <w:pStyle w:val="base-text-paragraph"/>
        <w:rPr>
          <w:rStyle w:val="Referencingstyle"/>
          <w:b w:val="0"/>
          <w:i w:val="0"/>
          <w:sz w:val="22"/>
        </w:rPr>
      </w:pPr>
      <w:r>
        <w:t>CAMAC is abolished by repea</w:t>
      </w:r>
      <w:r w:rsidR="00D97B3F">
        <w:t>ling the provisions of the ASIC </w:t>
      </w:r>
      <w:r>
        <w:t xml:space="preserve">Act </w:t>
      </w:r>
      <w:r w:rsidR="003239FE">
        <w:t xml:space="preserve">(that is, Part 9) </w:t>
      </w:r>
      <w:r>
        <w:t xml:space="preserve">which establish it and provide for its functions and operation.  </w:t>
      </w:r>
      <w:r w:rsidRPr="008119D2">
        <w:rPr>
          <w:rStyle w:val="Referencingstyle"/>
        </w:rPr>
        <w:t>[Schedule 1,</w:t>
      </w:r>
      <w:r w:rsidR="00FD6187">
        <w:rPr>
          <w:rStyle w:val="Referencingstyle"/>
        </w:rPr>
        <w:t xml:space="preserve"> Part 1,</w:t>
      </w:r>
      <w:r w:rsidRPr="008119D2">
        <w:rPr>
          <w:rStyle w:val="Referencingstyle"/>
        </w:rPr>
        <w:t xml:space="preserve"> item 11</w:t>
      </w:r>
      <w:r w:rsidR="00AD7338">
        <w:rPr>
          <w:rStyle w:val="Referencingstyle"/>
        </w:rPr>
        <w:t>, Part 9</w:t>
      </w:r>
      <w:r w:rsidR="00321130">
        <w:rPr>
          <w:rStyle w:val="Referencingstyle"/>
        </w:rPr>
        <w:t xml:space="preserve"> of the ASIC Act</w:t>
      </w:r>
      <w:r w:rsidRPr="008119D2">
        <w:rPr>
          <w:rStyle w:val="Referencingstyle"/>
        </w:rPr>
        <w:t>]</w:t>
      </w:r>
    </w:p>
    <w:p w14:paraId="4A047E2C" w14:textId="3C2970E2" w:rsidR="00AE78C1" w:rsidRPr="00DA4FFE" w:rsidRDefault="00AE78C1" w:rsidP="00B41810">
      <w:pPr>
        <w:pStyle w:val="base-text-paragraph"/>
        <w:rPr>
          <w:rStyle w:val="Referencingstyle"/>
          <w:b w:val="0"/>
          <w:i w:val="0"/>
          <w:sz w:val="22"/>
        </w:rPr>
      </w:pPr>
      <w:r>
        <w:rPr>
          <w:rStyle w:val="Referencingstyle"/>
          <w:b w:val="0"/>
          <w:i w:val="0"/>
          <w:sz w:val="22"/>
        </w:rPr>
        <w:lastRenderedPageBreak/>
        <w:t>The cessation of CAMAC takes effect on the 28</w:t>
      </w:r>
      <w:r w:rsidRPr="00AE78C1">
        <w:rPr>
          <w:rStyle w:val="Referencingstyle"/>
          <w:b w:val="0"/>
          <w:i w:val="0"/>
          <w:sz w:val="22"/>
          <w:vertAlign w:val="superscript"/>
        </w:rPr>
        <w:t>th</w:t>
      </w:r>
      <w:r>
        <w:rPr>
          <w:rStyle w:val="Referencingstyle"/>
          <w:b w:val="0"/>
          <w:i w:val="0"/>
          <w:sz w:val="22"/>
        </w:rPr>
        <w:t xml:space="preserve"> day after </w:t>
      </w:r>
      <w:r w:rsidR="0024704A">
        <w:t>this measure receive</w:t>
      </w:r>
      <w:r w:rsidR="00E162F2">
        <w:t>s</w:t>
      </w:r>
      <w:r>
        <w:rPr>
          <w:rStyle w:val="Referencingstyle"/>
          <w:b w:val="0"/>
          <w:i w:val="0"/>
          <w:sz w:val="22"/>
        </w:rPr>
        <w:t xml:space="preserve"> Royal Assent.</w:t>
      </w:r>
      <w:r w:rsidR="00B26A9D">
        <w:rPr>
          <w:rStyle w:val="Referencingstyle"/>
          <w:b w:val="0"/>
          <w:i w:val="0"/>
          <w:sz w:val="22"/>
        </w:rPr>
        <w:t xml:space="preserve">  This provides sufficient time to finalise </w:t>
      </w:r>
      <w:r w:rsidR="00413C7C">
        <w:rPr>
          <w:rStyle w:val="Referencingstyle"/>
          <w:b w:val="0"/>
          <w:i w:val="0"/>
          <w:sz w:val="22"/>
        </w:rPr>
        <w:t xml:space="preserve">any unresolved issues with the </w:t>
      </w:r>
      <w:r w:rsidR="00B26A9D">
        <w:rPr>
          <w:rStyle w:val="Referencingstyle"/>
          <w:b w:val="0"/>
          <w:i w:val="0"/>
          <w:sz w:val="22"/>
        </w:rPr>
        <w:t xml:space="preserve">winding up </w:t>
      </w:r>
      <w:r w:rsidR="00413C7C">
        <w:rPr>
          <w:rStyle w:val="Referencingstyle"/>
          <w:b w:val="0"/>
          <w:i w:val="0"/>
          <w:sz w:val="22"/>
        </w:rPr>
        <w:t xml:space="preserve">of </w:t>
      </w:r>
      <w:r w:rsidR="00B26A9D">
        <w:rPr>
          <w:rStyle w:val="Referencingstyle"/>
          <w:b w:val="0"/>
          <w:i w:val="0"/>
          <w:sz w:val="22"/>
        </w:rPr>
        <w:t>the operations of CAMAC before the cessation takes effect.</w:t>
      </w:r>
      <w:r w:rsidR="007F4031">
        <w:rPr>
          <w:rStyle w:val="Referencingstyle"/>
          <w:b w:val="0"/>
          <w:i w:val="0"/>
          <w:sz w:val="22"/>
        </w:rPr>
        <w:t xml:space="preserve"> </w:t>
      </w:r>
      <w:r>
        <w:rPr>
          <w:rStyle w:val="Referencingstyle"/>
          <w:b w:val="0"/>
          <w:i w:val="0"/>
          <w:sz w:val="22"/>
        </w:rPr>
        <w:t xml:space="preserve"> </w:t>
      </w:r>
      <w:r w:rsidRPr="00AE78C1">
        <w:rPr>
          <w:rStyle w:val="Referencingstyle"/>
        </w:rPr>
        <w:t>[</w:t>
      </w:r>
      <w:r>
        <w:rPr>
          <w:rStyle w:val="Referencingstyle"/>
        </w:rPr>
        <w:t>Subc</w:t>
      </w:r>
      <w:r w:rsidRPr="00AE78C1">
        <w:rPr>
          <w:rStyle w:val="Referencingstyle"/>
        </w:rPr>
        <w:t>lause 2</w:t>
      </w:r>
      <w:r>
        <w:rPr>
          <w:rStyle w:val="Referencingstyle"/>
        </w:rPr>
        <w:t>(1), item 2 in the table</w:t>
      </w:r>
      <w:r w:rsidRPr="00AE78C1">
        <w:rPr>
          <w:rStyle w:val="Referencingstyle"/>
        </w:rPr>
        <w:t>]</w:t>
      </w:r>
    </w:p>
    <w:p w14:paraId="29693BDF" w14:textId="77777777" w:rsidR="003140C0" w:rsidRPr="003140C0" w:rsidRDefault="003140C0" w:rsidP="003140C0">
      <w:pPr>
        <w:pStyle w:val="Heading2"/>
      </w:pPr>
      <w:r w:rsidRPr="003140C0">
        <w:t>Consequential amendments</w:t>
      </w:r>
    </w:p>
    <w:p w14:paraId="452AA457" w14:textId="43497734" w:rsidR="003140C0" w:rsidRPr="003140C0" w:rsidRDefault="003140C0" w:rsidP="003140C0">
      <w:pPr>
        <w:pStyle w:val="base-text-paragraph"/>
      </w:pPr>
      <w:r w:rsidRPr="003140C0">
        <w:t>Numerous consequential amendm</w:t>
      </w:r>
      <w:r w:rsidR="00492148">
        <w:t xml:space="preserve">ents — repeals and omissions — </w:t>
      </w:r>
      <w:r w:rsidRPr="003140C0">
        <w:t>are made to the ASIC Act to reflect the cessation of CAMAC.</w:t>
      </w:r>
      <w:r w:rsidR="00F97B26" w:rsidRPr="00F97B26">
        <w:t xml:space="preserve"> </w:t>
      </w:r>
      <w:r w:rsidR="00F97B26">
        <w:t xml:space="preserve"> These</w:t>
      </w:r>
      <w:r w:rsidR="00F97B26" w:rsidRPr="003140C0">
        <w:t xml:space="preserve"> take effect on the 28th day after </w:t>
      </w:r>
      <w:r w:rsidR="0024704A">
        <w:t>these measures receive</w:t>
      </w:r>
      <w:r w:rsidR="00F97B26" w:rsidRPr="003140C0">
        <w:t xml:space="preserve"> Royal Assent.</w:t>
      </w:r>
      <w:r w:rsidR="007F4031">
        <w:t xml:space="preserve"> </w:t>
      </w:r>
      <w:r w:rsidR="00F97B26" w:rsidRPr="003140C0">
        <w:t xml:space="preserve"> </w:t>
      </w:r>
      <w:r w:rsidR="00F97B26" w:rsidRPr="003140C0">
        <w:rPr>
          <w:rStyle w:val="Referencingstyle"/>
        </w:rPr>
        <w:t>[Subclause</w:t>
      </w:r>
      <w:r w:rsidR="003D14D3">
        <w:rPr>
          <w:rStyle w:val="Referencingstyle"/>
        </w:rPr>
        <w:t> </w:t>
      </w:r>
      <w:r w:rsidR="00F97B26" w:rsidRPr="003140C0">
        <w:rPr>
          <w:rStyle w:val="Referencingstyle"/>
        </w:rPr>
        <w:t>2(1), item 2 in the table]</w:t>
      </w:r>
    </w:p>
    <w:p w14:paraId="0FEF7EA4" w14:textId="77777777" w:rsidR="003140C0" w:rsidRPr="003140C0" w:rsidRDefault="003140C0" w:rsidP="003140C0">
      <w:pPr>
        <w:pStyle w:val="base-text-paragraph"/>
      </w:pPr>
      <w:r w:rsidRPr="003140C0">
        <w:t xml:space="preserve">References to CAMAC or terms related to CAMAC </w:t>
      </w:r>
      <w:r w:rsidR="00E21E80">
        <w:t xml:space="preserve">in the ASIC Act </w:t>
      </w:r>
      <w:r w:rsidRPr="003140C0">
        <w:t>are repealed or omitted as follows.</w:t>
      </w:r>
    </w:p>
    <w:p w14:paraId="71DA15AB" w14:textId="77777777" w:rsidR="003140C0" w:rsidRPr="003140C0" w:rsidRDefault="003140C0" w:rsidP="003140C0">
      <w:pPr>
        <w:pStyle w:val="dotpoint"/>
      </w:pPr>
      <w:r w:rsidRPr="003140C0">
        <w:t>A reference to CAMAC is omitted from the long title of the ASIC Act, which describes that the ASIC Act provides for the ASIC, CAMAC and certain other bodies, and for other purposes.</w:t>
      </w:r>
      <w:r w:rsidR="007F4031">
        <w:t xml:space="preserve"> </w:t>
      </w:r>
      <w:r w:rsidRPr="003140C0">
        <w:t xml:space="preserve"> </w:t>
      </w:r>
      <w:r w:rsidRPr="003140C0">
        <w:rPr>
          <w:rStyle w:val="Referencingstyle"/>
        </w:rPr>
        <w:t>[Schedule 1, Part 1, item 1</w:t>
      </w:r>
      <w:r w:rsidR="00CD5E66">
        <w:rPr>
          <w:rStyle w:val="Referencingstyle"/>
        </w:rPr>
        <w:t xml:space="preserve">, Title </w:t>
      </w:r>
      <w:r w:rsidR="00321130">
        <w:rPr>
          <w:rStyle w:val="Referencingstyle"/>
        </w:rPr>
        <w:t>of the ASIC Act</w:t>
      </w:r>
      <w:r w:rsidRPr="003140C0">
        <w:rPr>
          <w:rStyle w:val="Referencingstyle"/>
        </w:rPr>
        <w:t>]</w:t>
      </w:r>
    </w:p>
    <w:p w14:paraId="567E34E2" w14:textId="77777777" w:rsidR="003140C0" w:rsidRPr="003140C0" w:rsidRDefault="003140C0" w:rsidP="003140C0">
      <w:pPr>
        <w:pStyle w:val="dotpoint"/>
      </w:pPr>
      <w:r w:rsidRPr="003140C0">
        <w:t>The objects of the ASIC Act include establishing CAMAC.  This description is repealed.</w:t>
      </w:r>
      <w:r w:rsidR="007F4031">
        <w:t xml:space="preserve"> </w:t>
      </w:r>
      <w:r w:rsidRPr="003140C0">
        <w:t xml:space="preserve"> </w:t>
      </w:r>
      <w:r w:rsidRPr="003140C0">
        <w:rPr>
          <w:rStyle w:val="Referencingstyle"/>
        </w:rPr>
        <w:t>[Schedule 1, Part 1, item 2</w:t>
      </w:r>
      <w:r w:rsidR="00AD7338">
        <w:rPr>
          <w:rStyle w:val="Referencingstyle"/>
        </w:rPr>
        <w:t>, paragraph 1(1)</w:t>
      </w:r>
      <w:r w:rsidR="00321130">
        <w:rPr>
          <w:rStyle w:val="Referencingstyle"/>
        </w:rPr>
        <w:t>(c) of the ASIC Act</w:t>
      </w:r>
      <w:r w:rsidRPr="003140C0">
        <w:rPr>
          <w:rStyle w:val="Referencingstyle"/>
        </w:rPr>
        <w:t>]</w:t>
      </w:r>
    </w:p>
    <w:p w14:paraId="42BFB45E" w14:textId="77777777" w:rsidR="003140C0" w:rsidRPr="003140C0" w:rsidRDefault="003140C0" w:rsidP="003140C0">
      <w:pPr>
        <w:pStyle w:val="dotpoint"/>
      </w:pPr>
      <w:r w:rsidRPr="003140C0">
        <w:t>Definitions of ‘CAMAC’, ‘Convenor’, ‘meeting’ and ‘member’ are amended or repealed, as appropriate.</w:t>
      </w:r>
      <w:r w:rsidR="007F4031">
        <w:t xml:space="preserve"> </w:t>
      </w:r>
      <w:r w:rsidRPr="003140C0">
        <w:t xml:space="preserve"> </w:t>
      </w:r>
      <w:r>
        <w:rPr>
          <w:rStyle w:val="Referencingstyle"/>
        </w:rPr>
        <w:t>[Schedule </w:t>
      </w:r>
      <w:r w:rsidRPr="003140C0">
        <w:rPr>
          <w:rStyle w:val="Referencingstyle"/>
        </w:rPr>
        <w:t>1, Part 1, items 3 to 8</w:t>
      </w:r>
      <w:r w:rsidR="00AD7338">
        <w:rPr>
          <w:rStyle w:val="Referencingstyle"/>
        </w:rPr>
        <w:t>, subsection 5(1)</w:t>
      </w:r>
      <w:r w:rsidR="00321130">
        <w:rPr>
          <w:rStyle w:val="Referencingstyle"/>
        </w:rPr>
        <w:t xml:space="preserve"> of the ASIC Act</w:t>
      </w:r>
      <w:r w:rsidRPr="003140C0">
        <w:rPr>
          <w:rStyle w:val="Referencingstyle"/>
        </w:rPr>
        <w:t>]</w:t>
      </w:r>
    </w:p>
    <w:p w14:paraId="4F775410" w14:textId="77777777" w:rsidR="003140C0" w:rsidRPr="00694ED8" w:rsidRDefault="003140C0" w:rsidP="003140C0">
      <w:pPr>
        <w:pStyle w:val="dotpoint"/>
        <w:rPr>
          <w:rStyle w:val="Referencingstyle"/>
          <w:b w:val="0"/>
          <w:i w:val="0"/>
          <w:sz w:val="22"/>
        </w:rPr>
      </w:pPr>
      <w:r w:rsidRPr="003140C0">
        <w:t>CAMAC is omitted from the list of agencies to which a person who is authorised by the Chair</w:t>
      </w:r>
      <w:r w:rsidR="00694ED8">
        <w:t>person</w:t>
      </w:r>
      <w:r w:rsidRPr="003140C0">
        <w:t xml:space="preserve"> of the Australian Securities and Investments Commission (ASIC) may disclose particular information in certain circumstances.</w:t>
      </w:r>
      <w:r w:rsidR="007F4031">
        <w:t xml:space="preserve"> </w:t>
      </w:r>
      <w:r w:rsidRPr="003140C0">
        <w:t xml:space="preserve"> </w:t>
      </w:r>
      <w:r w:rsidRPr="003140C0">
        <w:rPr>
          <w:rStyle w:val="Referencingstyle"/>
        </w:rPr>
        <w:t>[Schedule 1, Part 1, item 10</w:t>
      </w:r>
      <w:r w:rsidR="00AD7338">
        <w:rPr>
          <w:rStyle w:val="Referencingstyle"/>
        </w:rPr>
        <w:t>, paragraph 127(4)(a)</w:t>
      </w:r>
      <w:r w:rsidR="00321130">
        <w:rPr>
          <w:rStyle w:val="Referencingstyle"/>
        </w:rPr>
        <w:t xml:space="preserve"> of the ASIC Act</w:t>
      </w:r>
      <w:r w:rsidRPr="003140C0">
        <w:rPr>
          <w:rStyle w:val="Referencingstyle"/>
        </w:rPr>
        <w:t>]</w:t>
      </w:r>
    </w:p>
    <w:p w14:paraId="2FE0C274" w14:textId="77777777" w:rsidR="00694ED8" w:rsidRPr="003140C0" w:rsidRDefault="00694ED8" w:rsidP="00694ED8">
      <w:pPr>
        <w:pStyle w:val="dotpoint2"/>
      </w:pPr>
      <w:proofErr w:type="gramStart"/>
      <w:r>
        <w:t>A saving provision is provided — refer</w:t>
      </w:r>
      <w:proofErr w:type="gramEnd"/>
      <w:r>
        <w:t xml:space="preserve"> to</w:t>
      </w:r>
      <w:r w:rsidRPr="00694ED8">
        <w:rPr>
          <w:rStyle w:val="Referencingstyle"/>
          <w:b w:val="0"/>
          <w:i w:val="0"/>
          <w:sz w:val="22"/>
        </w:rPr>
        <w:t xml:space="preserve"> </w:t>
      </w:r>
      <w:r>
        <w:rPr>
          <w:rStyle w:val="Referencingstyle"/>
          <w:b w:val="0"/>
          <w:i w:val="0"/>
          <w:sz w:val="22"/>
        </w:rPr>
        <w:t xml:space="preserve">paragraph </w:t>
      </w:r>
      <w:r w:rsidR="00CD5E66" w:rsidRPr="00111349">
        <w:rPr>
          <w:rStyle w:val="Referencingstyle"/>
          <w:b w:val="0"/>
          <w:i w:val="0"/>
          <w:sz w:val="22"/>
        </w:rPr>
        <w:t>1.32</w:t>
      </w:r>
      <w:r w:rsidR="00CD5E66">
        <w:rPr>
          <w:rStyle w:val="Referencingstyle"/>
          <w:b w:val="0"/>
          <w:i w:val="0"/>
          <w:sz w:val="22"/>
        </w:rPr>
        <w:t xml:space="preserve">. </w:t>
      </w:r>
    </w:p>
    <w:p w14:paraId="5C90B168" w14:textId="77777777" w:rsidR="003140C0" w:rsidRPr="003140C0" w:rsidRDefault="003140C0" w:rsidP="003140C0">
      <w:pPr>
        <w:pStyle w:val="dotpoint"/>
        <w:keepNext/>
        <w:keepLines/>
      </w:pPr>
      <w:r w:rsidRPr="003140C0">
        <w:t xml:space="preserve">The broad provision in the ASIC Act listing entities and persons who are exempt from liability for damages in relation to the performance of their functions and powers is amended to omit references to CAMAC, its members and its staff, consultants and </w:t>
      </w:r>
      <w:proofErr w:type="spellStart"/>
      <w:r w:rsidRPr="003140C0">
        <w:t>secondees</w:t>
      </w:r>
      <w:proofErr w:type="spellEnd"/>
      <w:r w:rsidRPr="003140C0">
        <w:t>.</w:t>
      </w:r>
      <w:r w:rsidR="007F4031">
        <w:t xml:space="preserve"> </w:t>
      </w:r>
      <w:r w:rsidRPr="003140C0">
        <w:t xml:space="preserve"> </w:t>
      </w:r>
      <w:r w:rsidRPr="003140C0">
        <w:rPr>
          <w:rStyle w:val="Referencingstyle"/>
        </w:rPr>
        <w:t>[Schedule 1, Part 1, item 12</w:t>
      </w:r>
      <w:r w:rsidR="00AD7338">
        <w:rPr>
          <w:rStyle w:val="Referencingstyle"/>
        </w:rPr>
        <w:t>, paragraphs 246(1)(b), (d) and (h)</w:t>
      </w:r>
      <w:r w:rsidR="00321130">
        <w:rPr>
          <w:rStyle w:val="Referencingstyle"/>
        </w:rPr>
        <w:t xml:space="preserve"> of the ASIC Act</w:t>
      </w:r>
      <w:r w:rsidRPr="003140C0">
        <w:rPr>
          <w:rStyle w:val="Referencingstyle"/>
        </w:rPr>
        <w:t>]</w:t>
      </w:r>
      <w:r w:rsidRPr="003140C0">
        <w:t xml:space="preserve">  </w:t>
      </w:r>
    </w:p>
    <w:p w14:paraId="35F2D7BF" w14:textId="77777777" w:rsidR="003140C0" w:rsidRPr="003140C0" w:rsidRDefault="003140C0" w:rsidP="003140C0">
      <w:pPr>
        <w:pStyle w:val="dotpoint2"/>
      </w:pPr>
      <w:proofErr w:type="gramStart"/>
      <w:r w:rsidRPr="003140C0">
        <w:t xml:space="preserve">A saving provision is </w:t>
      </w:r>
      <w:r>
        <w:t>provided — refer</w:t>
      </w:r>
      <w:proofErr w:type="gramEnd"/>
      <w:r w:rsidR="00694ED8">
        <w:t xml:space="preserve"> to</w:t>
      </w:r>
      <w:r>
        <w:t xml:space="preserve"> </w:t>
      </w:r>
      <w:r w:rsidR="000A10E3">
        <w:rPr>
          <w:rStyle w:val="Referencingstyle"/>
          <w:b w:val="0"/>
          <w:i w:val="0"/>
          <w:sz w:val="22"/>
        </w:rPr>
        <w:t>paragraph</w:t>
      </w:r>
      <w:r w:rsidR="008A46A0">
        <w:rPr>
          <w:rStyle w:val="Referencingstyle"/>
          <w:b w:val="0"/>
          <w:i w:val="0"/>
          <w:sz w:val="22"/>
        </w:rPr>
        <w:t>s</w:t>
      </w:r>
      <w:r w:rsidR="000A10E3">
        <w:rPr>
          <w:rStyle w:val="Referencingstyle"/>
          <w:b w:val="0"/>
          <w:i w:val="0"/>
          <w:sz w:val="22"/>
        </w:rPr>
        <w:t xml:space="preserve"> </w:t>
      </w:r>
      <w:r w:rsidR="000B7928" w:rsidRPr="00111349">
        <w:rPr>
          <w:rStyle w:val="Referencingstyle"/>
          <w:b w:val="0"/>
          <w:i w:val="0"/>
          <w:sz w:val="22"/>
        </w:rPr>
        <w:t>1.6</w:t>
      </w:r>
      <w:r w:rsidR="008A46A0" w:rsidRPr="00111349">
        <w:rPr>
          <w:rStyle w:val="Referencingstyle"/>
          <w:b w:val="0"/>
          <w:i w:val="0"/>
          <w:sz w:val="22"/>
        </w:rPr>
        <w:t>0 and 1.6</w:t>
      </w:r>
      <w:r w:rsidR="000B7928" w:rsidRPr="00111349">
        <w:rPr>
          <w:rStyle w:val="Referencingstyle"/>
          <w:b w:val="0"/>
          <w:i w:val="0"/>
          <w:sz w:val="22"/>
        </w:rPr>
        <w:t>1</w:t>
      </w:r>
      <w:r w:rsidR="000B7928">
        <w:rPr>
          <w:rStyle w:val="Referencingstyle"/>
          <w:b w:val="0"/>
          <w:i w:val="0"/>
          <w:sz w:val="22"/>
        </w:rPr>
        <w:t xml:space="preserve">. </w:t>
      </w:r>
    </w:p>
    <w:p w14:paraId="404B829E" w14:textId="5BCC647B" w:rsidR="003140C0" w:rsidRPr="003140C0" w:rsidRDefault="003140C0" w:rsidP="003140C0">
      <w:pPr>
        <w:pStyle w:val="base-text-paragraph"/>
      </w:pPr>
      <w:r w:rsidRPr="003140C0">
        <w:lastRenderedPageBreak/>
        <w:t xml:space="preserve">Section 261 of the ASIC Act provides that a body that was established under the </w:t>
      </w:r>
      <w:r w:rsidRPr="00981ACC">
        <w:rPr>
          <w:i/>
        </w:rPr>
        <w:t>Australian Securities and Investments Commission Act 1989</w:t>
      </w:r>
      <w:r w:rsidRPr="003140C0">
        <w:t xml:space="preserve"> (the ‘old ASIC Act’) continues in existence as if it had been established under this Act.  A note is added to identify that CAMAC ceased to exist on the commencement of Schedule 1.</w:t>
      </w:r>
      <w:r w:rsidR="007F4031">
        <w:t xml:space="preserve"> </w:t>
      </w:r>
      <w:r w:rsidRPr="003140C0">
        <w:t xml:space="preserve"> </w:t>
      </w:r>
      <w:r w:rsidRPr="00981ACC">
        <w:rPr>
          <w:rStyle w:val="Referencingstyle"/>
        </w:rPr>
        <w:t>[Schedule</w:t>
      </w:r>
      <w:r w:rsidR="007F4031">
        <w:rPr>
          <w:rStyle w:val="Referencingstyle"/>
        </w:rPr>
        <w:t> </w:t>
      </w:r>
      <w:r w:rsidRPr="00981ACC">
        <w:rPr>
          <w:rStyle w:val="Referencingstyle"/>
        </w:rPr>
        <w:t>1, Part 1, item 13</w:t>
      </w:r>
      <w:r w:rsidR="00AD7338">
        <w:rPr>
          <w:rStyle w:val="Referencingstyle"/>
        </w:rPr>
        <w:t>, note to section 261</w:t>
      </w:r>
      <w:r w:rsidR="00321130">
        <w:rPr>
          <w:rStyle w:val="Referencingstyle"/>
        </w:rPr>
        <w:t xml:space="preserve"> of the ASIC Act</w:t>
      </w:r>
      <w:r w:rsidRPr="00981ACC">
        <w:rPr>
          <w:rStyle w:val="Referencingstyle"/>
        </w:rPr>
        <w:t>]</w:t>
      </w:r>
    </w:p>
    <w:p w14:paraId="2BDEC523" w14:textId="77777777" w:rsidR="003140C0" w:rsidRPr="003140C0" w:rsidRDefault="003140C0" w:rsidP="003140C0">
      <w:pPr>
        <w:pStyle w:val="base-text-paragraph"/>
      </w:pPr>
      <w:r w:rsidRPr="003140C0">
        <w:t xml:space="preserve">Notwithstanding the repeal of Part 9 of the ASIC </w:t>
      </w:r>
      <w:r w:rsidR="000A10E3">
        <w:t>Act, ASIC retains its power to</w:t>
      </w:r>
      <w:r w:rsidRPr="003140C0">
        <w:t xml:space="preserve"> advise and make recommendations to the </w:t>
      </w:r>
      <w:r w:rsidR="00E21E80">
        <w:t xml:space="preserve">relevant Treasury Portfolio </w:t>
      </w:r>
      <w:r w:rsidRPr="003140C0">
        <w:t>Minister</w:t>
      </w:r>
      <w:r w:rsidR="00E21E80">
        <w:t xml:space="preserve"> (the Minister)</w:t>
      </w:r>
      <w:r w:rsidR="000A10E3">
        <w:t>,</w:t>
      </w:r>
      <w:r w:rsidRPr="003140C0">
        <w:t xml:space="preserve"> </w:t>
      </w:r>
      <w:r w:rsidR="000A10E3" w:rsidRPr="003140C0">
        <w:t>on its own initiative or when requested by the Minister</w:t>
      </w:r>
      <w:r w:rsidR="000A10E3">
        <w:t>,</w:t>
      </w:r>
      <w:r w:rsidR="000A10E3" w:rsidRPr="003140C0">
        <w:t xml:space="preserve"> </w:t>
      </w:r>
      <w:r w:rsidRPr="003140C0">
        <w:t>about matters relating to:</w:t>
      </w:r>
    </w:p>
    <w:p w14:paraId="1C3D8C1C" w14:textId="77777777" w:rsidR="003140C0" w:rsidRPr="003140C0" w:rsidRDefault="003140C0" w:rsidP="003140C0">
      <w:pPr>
        <w:pStyle w:val="dotpoint"/>
      </w:pPr>
      <w:r w:rsidRPr="003140C0">
        <w:t>proposals, amendment or reform of the corporations legislation;</w:t>
      </w:r>
    </w:p>
    <w:p w14:paraId="0034D116" w14:textId="77777777" w:rsidR="003140C0" w:rsidRPr="003140C0" w:rsidRDefault="003140C0" w:rsidP="003140C0">
      <w:pPr>
        <w:pStyle w:val="dotpoint"/>
      </w:pPr>
      <w:r w:rsidRPr="003140C0">
        <w:t>the operation or administration of the corporations legislation;</w:t>
      </w:r>
    </w:p>
    <w:p w14:paraId="0545F457" w14:textId="77777777" w:rsidR="003140C0" w:rsidRDefault="003140C0" w:rsidP="003140C0">
      <w:pPr>
        <w:pStyle w:val="dotpoint"/>
      </w:pPr>
      <w:r w:rsidRPr="003140C0">
        <w:t xml:space="preserve">companies or a segment of the financial products and financial services industry; and </w:t>
      </w:r>
    </w:p>
    <w:p w14:paraId="67BB5BB0" w14:textId="77777777" w:rsidR="003D14D3" w:rsidRPr="003140C0" w:rsidRDefault="003D14D3" w:rsidP="003140C0">
      <w:pPr>
        <w:pStyle w:val="dotpoint"/>
      </w:pPr>
      <w:proofErr w:type="gramStart"/>
      <w:r w:rsidRPr="003140C0">
        <w:t>proposals</w:t>
      </w:r>
      <w:proofErr w:type="gramEnd"/>
      <w:r w:rsidRPr="003140C0">
        <w:t xml:space="preserve"> to improve the efficiency of the financial markets.</w:t>
      </w:r>
    </w:p>
    <w:p w14:paraId="19B94BFD" w14:textId="77777777" w:rsidR="003140C0" w:rsidRDefault="003D14D3" w:rsidP="003D14D3">
      <w:pPr>
        <w:pStyle w:val="base-text-paragraph"/>
      </w:pPr>
      <w:r w:rsidRPr="003140C0">
        <w:t xml:space="preserve">These are matters </w:t>
      </w:r>
      <w:r w:rsidR="00B60DE2">
        <w:t xml:space="preserve">on </w:t>
      </w:r>
      <w:r w:rsidRPr="003140C0">
        <w:t xml:space="preserve">which both CAMAC and ASIC currently have the power to advise and make recommendations to the Minister.  </w:t>
      </w:r>
      <w:r>
        <w:t xml:space="preserve">The functions of CAMAC will </w:t>
      </w:r>
      <w:r w:rsidR="00B60DE2">
        <w:t xml:space="preserve">therefore </w:t>
      </w:r>
      <w:r>
        <w:t xml:space="preserve">not be transferred to ASIC or any other Commonwealth agency. </w:t>
      </w:r>
      <w:r w:rsidRPr="003140C0">
        <w:t xml:space="preserve"> </w:t>
      </w:r>
      <w:r w:rsidRPr="003140C0">
        <w:rPr>
          <w:rStyle w:val="Referencingstyle"/>
        </w:rPr>
        <w:t>[Schedule 1, Part 1, item 9</w:t>
      </w:r>
      <w:r>
        <w:rPr>
          <w:rStyle w:val="Referencingstyle"/>
        </w:rPr>
        <w:t xml:space="preserve">, </w:t>
      </w:r>
      <w:r w:rsidRPr="00CD5E66">
        <w:rPr>
          <w:rStyle w:val="Referencingstyle"/>
        </w:rPr>
        <w:t>subsection 11(3) of the ASIC Act</w:t>
      </w:r>
      <w:r>
        <w:rPr>
          <w:rStyle w:val="Referencingstyle"/>
        </w:rPr>
        <w:t>]</w:t>
      </w:r>
    </w:p>
    <w:p w14:paraId="74A4DC75" w14:textId="77777777" w:rsidR="00683438" w:rsidRDefault="00514205" w:rsidP="003239FE">
      <w:pPr>
        <w:pStyle w:val="Heading2"/>
      </w:pPr>
      <w:r>
        <w:t>T</w:t>
      </w:r>
      <w:r w:rsidR="00683438">
        <w:t xml:space="preserve">ransitional </w:t>
      </w:r>
      <w:r>
        <w:t xml:space="preserve">and saving </w:t>
      </w:r>
      <w:r w:rsidR="00683438">
        <w:t>provisions</w:t>
      </w:r>
    </w:p>
    <w:p w14:paraId="73AA7381" w14:textId="5C96EDFF" w:rsidR="00F97B26" w:rsidRPr="00DC3095" w:rsidRDefault="006043A0" w:rsidP="00DC3095">
      <w:pPr>
        <w:pStyle w:val="base-text-paragraph"/>
        <w:numPr>
          <w:ilvl w:val="1"/>
          <w:numId w:val="34"/>
        </w:numPr>
        <w:rPr>
          <w:rStyle w:val="Referencingstyle"/>
          <w:b w:val="0"/>
          <w:i w:val="0"/>
          <w:sz w:val="22"/>
        </w:rPr>
      </w:pPr>
      <w:r>
        <w:t xml:space="preserve">Transitional and saving provisions are required to deal with </w:t>
      </w:r>
      <w:r w:rsidR="006B1CE0">
        <w:t xml:space="preserve">the repeal </w:t>
      </w:r>
      <w:r>
        <w:t>of Part 9 of the ASIC Act</w:t>
      </w:r>
      <w:r w:rsidR="00E21E80" w:rsidRPr="00E21E80">
        <w:t xml:space="preserve"> </w:t>
      </w:r>
      <w:r w:rsidR="00E21E80">
        <w:t>or to preserve aspects of that Part</w:t>
      </w:r>
      <w:r>
        <w:t>.</w:t>
      </w:r>
      <w:r w:rsidR="003239FE">
        <w:t xml:space="preserve">  </w:t>
      </w:r>
      <w:r w:rsidR="00DC3095" w:rsidRPr="00DC3095">
        <w:t xml:space="preserve">Many of these provisions are standard provisions that apply whenever an agency is abolished.  </w:t>
      </w:r>
      <w:r w:rsidR="00F97B26" w:rsidRPr="00DC3095">
        <w:rPr>
          <w:rStyle w:val="Referencingstyle"/>
          <w:b w:val="0"/>
          <w:i w:val="0"/>
          <w:sz w:val="22"/>
        </w:rPr>
        <w:t>These take effect on the 28</w:t>
      </w:r>
      <w:r w:rsidR="00F97B26" w:rsidRPr="00DC3095">
        <w:rPr>
          <w:rStyle w:val="Referencingstyle"/>
          <w:b w:val="0"/>
          <w:i w:val="0"/>
          <w:sz w:val="22"/>
          <w:vertAlign w:val="superscript"/>
        </w:rPr>
        <w:t>th</w:t>
      </w:r>
      <w:r w:rsidR="00F97B26" w:rsidRPr="00DC3095">
        <w:rPr>
          <w:rStyle w:val="Referencingstyle"/>
          <w:b w:val="0"/>
          <w:i w:val="0"/>
          <w:sz w:val="22"/>
        </w:rPr>
        <w:t xml:space="preserve"> day after this </w:t>
      </w:r>
      <w:r w:rsidR="0024704A">
        <w:rPr>
          <w:rStyle w:val="Referencingstyle"/>
          <w:b w:val="0"/>
          <w:i w:val="0"/>
          <w:sz w:val="22"/>
        </w:rPr>
        <w:t>measure</w:t>
      </w:r>
      <w:r w:rsidR="0024704A" w:rsidRPr="00DC3095">
        <w:rPr>
          <w:rStyle w:val="Referencingstyle"/>
          <w:b w:val="0"/>
          <w:i w:val="0"/>
          <w:sz w:val="22"/>
        </w:rPr>
        <w:t xml:space="preserve"> </w:t>
      </w:r>
      <w:r w:rsidR="00F97B26" w:rsidRPr="00DC3095">
        <w:rPr>
          <w:rStyle w:val="Referencingstyle"/>
          <w:b w:val="0"/>
          <w:i w:val="0"/>
          <w:sz w:val="22"/>
        </w:rPr>
        <w:t>receives Royal Assent.</w:t>
      </w:r>
      <w:r w:rsidR="007F4031">
        <w:rPr>
          <w:rStyle w:val="Referencingstyle"/>
          <w:b w:val="0"/>
          <w:i w:val="0"/>
          <w:sz w:val="22"/>
        </w:rPr>
        <w:t xml:space="preserve"> </w:t>
      </w:r>
      <w:r w:rsidR="00F97B26" w:rsidRPr="00DC3095">
        <w:rPr>
          <w:rStyle w:val="Referencingstyle"/>
          <w:b w:val="0"/>
          <w:i w:val="0"/>
          <w:sz w:val="22"/>
        </w:rPr>
        <w:t xml:space="preserve"> </w:t>
      </w:r>
      <w:r w:rsidR="00F97B26" w:rsidRPr="00AE78C1">
        <w:rPr>
          <w:rStyle w:val="Referencingstyle"/>
        </w:rPr>
        <w:t>[</w:t>
      </w:r>
      <w:r w:rsidR="00F97B26">
        <w:rPr>
          <w:rStyle w:val="Referencingstyle"/>
        </w:rPr>
        <w:t>Subc</w:t>
      </w:r>
      <w:r w:rsidR="00F97B26" w:rsidRPr="00AE78C1">
        <w:rPr>
          <w:rStyle w:val="Referencingstyle"/>
        </w:rPr>
        <w:t>lause 2</w:t>
      </w:r>
      <w:r w:rsidR="00F97B26">
        <w:rPr>
          <w:rStyle w:val="Referencingstyle"/>
        </w:rPr>
        <w:t>(1), item 2 in the table</w:t>
      </w:r>
      <w:r w:rsidR="00F97B26" w:rsidRPr="00AE78C1">
        <w:rPr>
          <w:rStyle w:val="Referencingstyle"/>
        </w:rPr>
        <w:t>]</w:t>
      </w:r>
    </w:p>
    <w:p w14:paraId="6D1E1791" w14:textId="222BD0DE" w:rsidR="000A10E3" w:rsidRDefault="000A10E3" w:rsidP="00F97B26">
      <w:pPr>
        <w:pStyle w:val="base-text-paragraph"/>
        <w:numPr>
          <w:ilvl w:val="1"/>
          <w:numId w:val="34"/>
        </w:numPr>
        <w:rPr>
          <w:rStyle w:val="Referencingstyle"/>
          <w:b w:val="0"/>
          <w:i w:val="0"/>
          <w:sz w:val="22"/>
        </w:rPr>
      </w:pPr>
      <w:r>
        <w:rPr>
          <w:rStyle w:val="Referencingstyle"/>
          <w:b w:val="0"/>
          <w:i w:val="0"/>
          <w:sz w:val="22"/>
        </w:rPr>
        <w:t xml:space="preserve">References in </w:t>
      </w:r>
      <w:r w:rsidR="008678C4">
        <w:rPr>
          <w:rStyle w:val="Referencingstyle"/>
          <w:b w:val="0"/>
          <w:i w:val="0"/>
          <w:sz w:val="22"/>
        </w:rPr>
        <w:t xml:space="preserve">this </w:t>
      </w:r>
      <w:r w:rsidR="0024704A">
        <w:rPr>
          <w:rStyle w:val="Referencingstyle"/>
          <w:b w:val="0"/>
          <w:i w:val="0"/>
          <w:sz w:val="22"/>
        </w:rPr>
        <w:t xml:space="preserve">Exposure Draft </w:t>
      </w:r>
      <w:r>
        <w:rPr>
          <w:rStyle w:val="Referencingstyle"/>
          <w:b w:val="0"/>
          <w:i w:val="0"/>
          <w:sz w:val="22"/>
        </w:rPr>
        <w:t xml:space="preserve">and explanatory </w:t>
      </w:r>
      <w:r w:rsidR="0024704A">
        <w:rPr>
          <w:rStyle w:val="Referencingstyle"/>
          <w:b w:val="0"/>
          <w:i w:val="0"/>
          <w:sz w:val="22"/>
        </w:rPr>
        <w:t xml:space="preserve">material </w:t>
      </w:r>
      <w:r>
        <w:rPr>
          <w:rStyle w:val="Referencingstyle"/>
          <w:b w:val="0"/>
          <w:i w:val="0"/>
          <w:sz w:val="22"/>
        </w:rPr>
        <w:t>to ‘Minister’ and ‘Department’ are references to the relevant Treasury Portfolio Minister (currently, the Acting Assistant Treasurer) and the Department of the Treasury</w:t>
      </w:r>
      <w:r w:rsidR="008678C4">
        <w:rPr>
          <w:rStyle w:val="Referencingstyle"/>
          <w:b w:val="0"/>
          <w:i w:val="0"/>
          <w:sz w:val="22"/>
        </w:rPr>
        <w:t xml:space="preserve"> (the Treasury)</w:t>
      </w:r>
      <w:r>
        <w:rPr>
          <w:rStyle w:val="Referencingstyle"/>
          <w:b w:val="0"/>
          <w:i w:val="0"/>
          <w:sz w:val="22"/>
        </w:rPr>
        <w:t>, respectively.</w:t>
      </w:r>
    </w:p>
    <w:p w14:paraId="367B11AF" w14:textId="14FA5A65" w:rsidR="00A40734" w:rsidRPr="00111349" w:rsidRDefault="008413A4" w:rsidP="00F97B26">
      <w:pPr>
        <w:pStyle w:val="base-text-paragraph"/>
        <w:numPr>
          <w:ilvl w:val="1"/>
          <w:numId w:val="34"/>
        </w:numPr>
        <w:rPr>
          <w:rStyle w:val="Referencingstyle"/>
          <w:b w:val="0"/>
          <w:i w:val="0"/>
          <w:sz w:val="22"/>
        </w:rPr>
      </w:pPr>
      <w:r w:rsidRPr="00111349">
        <w:rPr>
          <w:rStyle w:val="Referencingstyle"/>
          <w:b w:val="0"/>
          <w:i w:val="0"/>
          <w:sz w:val="22"/>
        </w:rPr>
        <w:t xml:space="preserve">In terms of the version of the </w:t>
      </w:r>
      <w:r w:rsidRPr="0024704A">
        <w:rPr>
          <w:rStyle w:val="Referencingstyle"/>
          <w:b w:val="0"/>
          <w:sz w:val="22"/>
        </w:rPr>
        <w:t>Acts Interpretation Act 1901</w:t>
      </w:r>
      <w:r w:rsidRPr="00111349">
        <w:rPr>
          <w:rStyle w:val="Referencingstyle"/>
          <w:b w:val="0"/>
          <w:i w:val="0"/>
          <w:sz w:val="22"/>
        </w:rPr>
        <w:t xml:space="preserve"> that applies to this </w:t>
      </w:r>
      <w:r w:rsidR="0024704A">
        <w:rPr>
          <w:rStyle w:val="Referencingstyle"/>
          <w:b w:val="0"/>
          <w:i w:val="0"/>
          <w:sz w:val="22"/>
        </w:rPr>
        <w:t>Exposure Draft</w:t>
      </w:r>
      <w:r w:rsidRPr="00111349">
        <w:rPr>
          <w:rStyle w:val="Referencingstyle"/>
          <w:b w:val="0"/>
          <w:i w:val="0"/>
          <w:sz w:val="22"/>
        </w:rPr>
        <w:t xml:space="preserve">, the </w:t>
      </w:r>
      <w:r w:rsidR="0024704A">
        <w:rPr>
          <w:rStyle w:val="Referencingstyle"/>
          <w:b w:val="0"/>
          <w:i w:val="0"/>
          <w:sz w:val="22"/>
        </w:rPr>
        <w:t>Exposure Draft</w:t>
      </w:r>
      <w:r w:rsidR="0024704A" w:rsidRPr="00111349">
        <w:rPr>
          <w:rStyle w:val="Referencingstyle"/>
          <w:b w:val="0"/>
          <w:i w:val="0"/>
          <w:sz w:val="22"/>
        </w:rPr>
        <w:t xml:space="preserve"> </w:t>
      </w:r>
      <w:r w:rsidRPr="00111349">
        <w:rPr>
          <w:rStyle w:val="Referencingstyle"/>
          <w:b w:val="0"/>
          <w:i w:val="0"/>
          <w:sz w:val="22"/>
        </w:rPr>
        <w:t xml:space="preserve">specifies that section 5A of the ASIC Act applies to Part 2 in Schedule 1 to this </w:t>
      </w:r>
      <w:r w:rsidR="0024704A">
        <w:rPr>
          <w:rStyle w:val="Referencingstyle"/>
          <w:b w:val="0"/>
          <w:i w:val="0"/>
          <w:sz w:val="22"/>
        </w:rPr>
        <w:t>Exposure Draft</w:t>
      </w:r>
      <w:r w:rsidR="0024704A" w:rsidRPr="00111349">
        <w:rPr>
          <w:rStyle w:val="Referencingstyle"/>
          <w:b w:val="0"/>
          <w:i w:val="0"/>
          <w:sz w:val="22"/>
        </w:rPr>
        <w:t xml:space="preserve"> </w:t>
      </w:r>
      <w:r w:rsidRPr="00111349">
        <w:rPr>
          <w:rStyle w:val="Referencingstyle"/>
          <w:b w:val="0"/>
          <w:i w:val="0"/>
          <w:sz w:val="22"/>
        </w:rPr>
        <w:t xml:space="preserve">(the transitional and saving provisions) as if that Part were part of the </w:t>
      </w:r>
      <w:r w:rsidRPr="00111349">
        <w:rPr>
          <w:rStyle w:val="Referencingstyle"/>
          <w:b w:val="0"/>
          <w:i w:val="0"/>
          <w:sz w:val="22"/>
        </w:rPr>
        <w:lastRenderedPageBreak/>
        <w:t>ASIC Act.  Section 5A of the ASIC Act applies t</w:t>
      </w:r>
      <w:r w:rsidR="00A40734" w:rsidRPr="00111349">
        <w:rPr>
          <w:rStyle w:val="Referencingstyle"/>
          <w:b w:val="0"/>
          <w:i w:val="0"/>
          <w:sz w:val="22"/>
        </w:rPr>
        <w:t xml:space="preserve">he </w:t>
      </w:r>
      <w:r w:rsidR="00A40734" w:rsidRPr="00111349">
        <w:rPr>
          <w:rStyle w:val="Referencingstyle"/>
          <w:b w:val="0"/>
          <w:sz w:val="22"/>
        </w:rPr>
        <w:t>Acts Interpretation Act </w:t>
      </w:r>
      <w:r w:rsidR="00A40734" w:rsidRPr="00456C7D">
        <w:rPr>
          <w:rStyle w:val="Referencingstyle"/>
          <w:b w:val="0"/>
          <w:sz w:val="22"/>
        </w:rPr>
        <w:t>1901</w:t>
      </w:r>
      <w:r w:rsidR="00A40734" w:rsidRPr="00111349">
        <w:rPr>
          <w:rStyle w:val="Referencingstyle"/>
          <w:b w:val="0"/>
          <w:sz w:val="22"/>
        </w:rPr>
        <w:t xml:space="preserve"> </w:t>
      </w:r>
      <w:r w:rsidRPr="00111349">
        <w:rPr>
          <w:rStyle w:val="Referencingstyle"/>
          <w:b w:val="0"/>
          <w:i w:val="0"/>
          <w:sz w:val="22"/>
        </w:rPr>
        <w:t>as in force on 1 </w:t>
      </w:r>
      <w:r w:rsidR="00A40734" w:rsidRPr="00111349">
        <w:rPr>
          <w:rStyle w:val="Referencingstyle"/>
          <w:b w:val="0"/>
          <w:i w:val="0"/>
          <w:sz w:val="22"/>
        </w:rPr>
        <w:t xml:space="preserve">January 2005 </w:t>
      </w:r>
      <w:r w:rsidRPr="00111349">
        <w:rPr>
          <w:rStyle w:val="Referencingstyle"/>
          <w:b w:val="0"/>
          <w:i w:val="0"/>
          <w:sz w:val="22"/>
        </w:rPr>
        <w:t xml:space="preserve">(rather than the current version from time to time) to the ASIC Act.  Because Part 1 of Schedule 1 to this </w:t>
      </w:r>
      <w:r w:rsidR="00456C7D">
        <w:rPr>
          <w:rStyle w:val="Referencingstyle"/>
          <w:b w:val="0"/>
          <w:i w:val="0"/>
          <w:sz w:val="22"/>
        </w:rPr>
        <w:t>Exposure Draft</w:t>
      </w:r>
      <w:r w:rsidR="00456C7D" w:rsidRPr="00111349">
        <w:rPr>
          <w:rStyle w:val="Referencingstyle"/>
          <w:b w:val="0"/>
          <w:i w:val="0"/>
          <w:sz w:val="22"/>
        </w:rPr>
        <w:t xml:space="preserve"> </w:t>
      </w:r>
      <w:r w:rsidRPr="00111349">
        <w:rPr>
          <w:rStyle w:val="Referencingstyle"/>
          <w:b w:val="0"/>
          <w:i w:val="0"/>
          <w:sz w:val="22"/>
        </w:rPr>
        <w:t xml:space="preserve">only amends the ASIC Act, also applying section 5A to Part 2 of Schedule 1 to this </w:t>
      </w:r>
      <w:r w:rsidR="00456C7D">
        <w:rPr>
          <w:rStyle w:val="Referencingstyle"/>
          <w:b w:val="0"/>
          <w:i w:val="0"/>
          <w:sz w:val="22"/>
        </w:rPr>
        <w:t>Exposure Draft</w:t>
      </w:r>
      <w:r w:rsidR="00456C7D" w:rsidRPr="00111349">
        <w:rPr>
          <w:rStyle w:val="Referencingstyle"/>
          <w:b w:val="0"/>
          <w:i w:val="0"/>
          <w:sz w:val="22"/>
        </w:rPr>
        <w:t xml:space="preserve"> </w:t>
      </w:r>
      <w:r w:rsidRPr="00111349">
        <w:rPr>
          <w:rStyle w:val="Referencingstyle"/>
          <w:b w:val="0"/>
          <w:i w:val="0"/>
          <w:sz w:val="22"/>
        </w:rPr>
        <w:t xml:space="preserve">makes the </w:t>
      </w:r>
      <w:r w:rsidR="00BE1FD2" w:rsidRPr="00111349">
        <w:rPr>
          <w:rStyle w:val="Referencingstyle"/>
          <w:b w:val="0"/>
          <w:i w:val="0"/>
          <w:sz w:val="22"/>
        </w:rPr>
        <w:t xml:space="preserve">operation of the </w:t>
      </w:r>
      <w:r w:rsidR="00BE1FD2" w:rsidRPr="00456C7D">
        <w:rPr>
          <w:rStyle w:val="Referencingstyle"/>
          <w:b w:val="0"/>
          <w:sz w:val="22"/>
        </w:rPr>
        <w:t>Acts Interpretation Act 1901</w:t>
      </w:r>
      <w:r w:rsidRPr="00111349">
        <w:rPr>
          <w:rStyle w:val="Referencingstyle"/>
          <w:b w:val="0"/>
          <w:i w:val="0"/>
          <w:sz w:val="22"/>
        </w:rPr>
        <w:t xml:space="preserve"> consistent.  </w:t>
      </w:r>
      <w:r w:rsidRPr="00111349">
        <w:rPr>
          <w:rStyle w:val="Referencingstyle"/>
        </w:rPr>
        <w:t xml:space="preserve">[Schedule 1, Part 2, </w:t>
      </w:r>
      <w:proofErr w:type="spellStart"/>
      <w:r w:rsidRPr="00111349">
        <w:rPr>
          <w:rStyle w:val="Referencingstyle"/>
        </w:rPr>
        <w:t>subitem</w:t>
      </w:r>
      <w:proofErr w:type="spellEnd"/>
      <w:r w:rsidRPr="00111349">
        <w:rPr>
          <w:rStyle w:val="Referencingstyle"/>
        </w:rPr>
        <w:t> 14(2)]</w:t>
      </w:r>
    </w:p>
    <w:p w14:paraId="2A6231BB" w14:textId="77777777" w:rsidR="00F97B26" w:rsidRPr="00F97B26" w:rsidRDefault="00892DB6" w:rsidP="00F97B26">
      <w:pPr>
        <w:pStyle w:val="Heading3"/>
      </w:pPr>
      <w:r w:rsidRPr="00892DB6">
        <w:t>Operational matters</w:t>
      </w:r>
    </w:p>
    <w:p w14:paraId="141A8D88" w14:textId="77777777" w:rsidR="00981ACC" w:rsidRDefault="00981ACC" w:rsidP="00F97B26">
      <w:pPr>
        <w:pStyle w:val="Heading4"/>
      </w:pPr>
      <w:r>
        <w:t>Final report</w:t>
      </w:r>
      <w:r w:rsidR="00AA4D7F">
        <w:t>ing obligation</w:t>
      </w:r>
    </w:p>
    <w:p w14:paraId="59B44F87" w14:textId="77777777" w:rsidR="00981ACC" w:rsidRDefault="00981ACC" w:rsidP="00981ACC">
      <w:pPr>
        <w:pStyle w:val="base-text-paragraph"/>
        <w:numPr>
          <w:ilvl w:val="1"/>
          <w:numId w:val="33"/>
        </w:numPr>
      </w:pPr>
      <w:r>
        <w:t xml:space="preserve">Currently, the Convenor of CAMAC is required to prepare an annual report under section 162 of the ASIC Act.  Once the operation of CAMAC </w:t>
      </w:r>
      <w:r w:rsidR="00E21E80">
        <w:t>ceases</w:t>
      </w:r>
      <w:r>
        <w:t xml:space="preserve">, the Secretary </w:t>
      </w:r>
      <w:r w:rsidR="00E21E80">
        <w:t>to</w:t>
      </w:r>
      <w:r>
        <w:t xml:space="preserve"> the Treasury must prepare and give to the Minister a report on the activities of CAMAC during the final reporting period.</w:t>
      </w:r>
      <w:r w:rsidR="007F4031">
        <w:t xml:space="preserve"> </w:t>
      </w:r>
      <w:r>
        <w:t xml:space="preserve"> </w:t>
      </w:r>
      <w:r w:rsidRPr="00FD6187">
        <w:rPr>
          <w:rStyle w:val="Referencingstyle"/>
        </w:rPr>
        <w:t xml:space="preserve">[Schedule 1, Part 2, </w:t>
      </w:r>
      <w:proofErr w:type="spellStart"/>
      <w:r>
        <w:rPr>
          <w:rStyle w:val="Referencingstyle"/>
        </w:rPr>
        <w:t>sub</w:t>
      </w:r>
      <w:r w:rsidR="00F97B26">
        <w:rPr>
          <w:rStyle w:val="Referencingstyle"/>
        </w:rPr>
        <w:t>item</w:t>
      </w:r>
      <w:proofErr w:type="spellEnd"/>
      <w:r w:rsidR="00F97B26">
        <w:rPr>
          <w:rStyle w:val="Referencingstyle"/>
        </w:rPr>
        <w:t> </w:t>
      </w:r>
      <w:r w:rsidRPr="00FD6187">
        <w:rPr>
          <w:rStyle w:val="Referencingstyle"/>
        </w:rPr>
        <w:t>22</w:t>
      </w:r>
      <w:r>
        <w:rPr>
          <w:rStyle w:val="Referencingstyle"/>
        </w:rPr>
        <w:t>(1)</w:t>
      </w:r>
      <w:r w:rsidRPr="00FD6187">
        <w:rPr>
          <w:rStyle w:val="Referencingstyle"/>
        </w:rPr>
        <w:t>]</w:t>
      </w:r>
    </w:p>
    <w:p w14:paraId="755BE5ED" w14:textId="77777777" w:rsidR="000238A2" w:rsidRDefault="00981ACC" w:rsidP="00981ACC">
      <w:pPr>
        <w:pStyle w:val="base-text-paragraph"/>
      </w:pPr>
      <w:r>
        <w:t xml:space="preserve">The definition of ‘final reporting period’ </w:t>
      </w:r>
      <w:r w:rsidR="00B60DE2">
        <w:t xml:space="preserve">provides </w:t>
      </w:r>
      <w:r>
        <w:t xml:space="preserve">flexibility </w:t>
      </w:r>
      <w:r w:rsidR="00B60DE2">
        <w:t>to facilitate the commencement of Schedule 1 whenever it may commence.</w:t>
      </w:r>
      <w:r>
        <w:t xml:space="preserve"> </w:t>
      </w:r>
      <w:r w:rsidR="00F97B26">
        <w:t xml:space="preserve"> </w:t>
      </w:r>
    </w:p>
    <w:p w14:paraId="6190A6E9" w14:textId="77777777" w:rsidR="00F97B26" w:rsidRDefault="00F97B26" w:rsidP="000238A2">
      <w:pPr>
        <w:pStyle w:val="dotpoint"/>
      </w:pPr>
      <w:bookmarkStart w:id="3" w:name="tempbookmark"/>
      <w:bookmarkEnd w:id="3"/>
      <w:r>
        <w:t xml:space="preserve">If, </w:t>
      </w:r>
      <w:r w:rsidR="00E21E80">
        <w:t>when CAMAC’s operation ceases (</w:t>
      </w:r>
      <w:r>
        <w:t xml:space="preserve">at the </w:t>
      </w:r>
      <w:r w:rsidR="00E21E80">
        <w:t>‘</w:t>
      </w:r>
      <w:r>
        <w:t xml:space="preserve">commencement </w:t>
      </w:r>
      <w:r w:rsidRPr="00F97B26">
        <w:t>time</w:t>
      </w:r>
      <w:r w:rsidR="00E21E80">
        <w:t>’)</w:t>
      </w:r>
      <w:r w:rsidRPr="00F97B26">
        <w:t xml:space="preserve">, </w:t>
      </w:r>
      <w:r w:rsidR="000238A2">
        <w:t xml:space="preserve">CAMAC has not yet given </w:t>
      </w:r>
      <w:r>
        <w:t>the</w:t>
      </w:r>
      <w:r w:rsidRPr="00F97B26">
        <w:t xml:space="preserve"> annual report </w:t>
      </w:r>
      <w:r>
        <w:t xml:space="preserve">for the </w:t>
      </w:r>
      <w:r w:rsidR="000238A2">
        <w:t xml:space="preserve">last </w:t>
      </w:r>
      <w:r>
        <w:t>financial year ending before the commencement time to the Minister, then</w:t>
      </w:r>
      <w:r w:rsidRPr="00F97B26">
        <w:t xml:space="preserve"> the final reporting period includes the financial year for which no annual report has been </w:t>
      </w:r>
      <w:r w:rsidR="000238A2">
        <w:t>given, as well as so much of the</w:t>
      </w:r>
      <w:r w:rsidRPr="00F97B26">
        <w:t xml:space="preserve"> new financial year</w:t>
      </w:r>
      <w:r w:rsidR="000238A2">
        <w:t xml:space="preserve"> that has passed before the commencement time</w:t>
      </w:r>
      <w:r w:rsidRPr="00F97B26">
        <w:t>.</w:t>
      </w:r>
    </w:p>
    <w:p w14:paraId="0560358E" w14:textId="77777777" w:rsidR="00C973B3" w:rsidRDefault="00C973B3" w:rsidP="00C973B3">
      <w:pPr>
        <w:pStyle w:val="dotpoint2"/>
      </w:pPr>
      <w:r>
        <w:t xml:space="preserve">Under Part 9 of the ASIC Act the Convenor of CAMAC is required to prepare and give to the Minister as soon as practicable after 30 June in each year a report on CAMAC’s operations during the financial year. </w:t>
      </w:r>
    </w:p>
    <w:p w14:paraId="56F33431" w14:textId="77777777" w:rsidR="000238A2" w:rsidRPr="000238A2" w:rsidRDefault="000238A2" w:rsidP="00E76CFE">
      <w:pPr>
        <w:pStyle w:val="dotpoint"/>
        <w:keepNext/>
      </w:pPr>
      <w:r w:rsidRPr="000238A2">
        <w:t xml:space="preserve">Otherwise, the final reporting period is that part of the financial year in which </w:t>
      </w:r>
      <w:r w:rsidR="00E21E80">
        <w:t>CAMAC’s operation ceases</w:t>
      </w:r>
      <w:r w:rsidRPr="000238A2">
        <w:t xml:space="preserve"> that has passed prior to </w:t>
      </w:r>
      <w:r w:rsidR="00E21E80">
        <w:t>cessation</w:t>
      </w:r>
      <w:r w:rsidRPr="000238A2">
        <w:t>.  In this case, the final reporting period would be less than one full financial year.</w:t>
      </w:r>
    </w:p>
    <w:p w14:paraId="4B263110" w14:textId="77777777" w:rsidR="00981ACC" w:rsidRDefault="00981ACC" w:rsidP="000238A2">
      <w:pPr>
        <w:pStyle w:val="base-text-paragraph"/>
        <w:numPr>
          <w:ilvl w:val="0"/>
          <w:numId w:val="0"/>
        </w:numPr>
        <w:ind w:left="1134"/>
      </w:pPr>
      <w:r w:rsidRPr="00FD6187">
        <w:rPr>
          <w:rStyle w:val="Referencingstyle"/>
        </w:rPr>
        <w:t xml:space="preserve">[Schedule 1, Part 2, </w:t>
      </w:r>
      <w:proofErr w:type="spellStart"/>
      <w:r w:rsidRPr="00FD6187">
        <w:rPr>
          <w:rStyle w:val="Referencingstyle"/>
        </w:rPr>
        <w:t>subitem</w:t>
      </w:r>
      <w:proofErr w:type="spellEnd"/>
      <w:r w:rsidRPr="00FD6187">
        <w:rPr>
          <w:rStyle w:val="Referencingstyle"/>
        </w:rPr>
        <w:t xml:space="preserve"> 22(5)]</w:t>
      </w:r>
    </w:p>
    <w:p w14:paraId="133516EB" w14:textId="636A8492" w:rsidR="00E21E80" w:rsidRDefault="00E21E80" w:rsidP="00E76CFE">
      <w:pPr>
        <w:pStyle w:val="base-text-paragraph"/>
        <w:spacing w:before="80" w:after="80"/>
      </w:pPr>
      <w:r w:rsidRPr="00E21E80">
        <w:rPr>
          <w:b/>
          <w:i/>
        </w:rPr>
        <w:t>Commencement time</w:t>
      </w:r>
      <w:r>
        <w:t xml:space="preserve"> is defined as the time at which Schedule 1 commences (being the 28</w:t>
      </w:r>
      <w:r w:rsidRPr="00E21E80">
        <w:rPr>
          <w:vertAlign w:val="superscript"/>
        </w:rPr>
        <w:t>th</w:t>
      </w:r>
      <w:r>
        <w:t xml:space="preserve"> day after </w:t>
      </w:r>
      <w:r w:rsidR="008678C4">
        <w:t xml:space="preserve">this </w:t>
      </w:r>
      <w:r w:rsidR="00456C7D">
        <w:t xml:space="preserve">measure </w:t>
      </w:r>
      <w:r>
        <w:t>receives Royal Assent).</w:t>
      </w:r>
      <w:r w:rsidR="007F4031">
        <w:t xml:space="preserve"> </w:t>
      </w:r>
      <w:r>
        <w:t xml:space="preserve"> </w:t>
      </w:r>
      <w:r w:rsidRPr="003140C0">
        <w:rPr>
          <w:rStyle w:val="Referencingstyle"/>
        </w:rPr>
        <w:t xml:space="preserve">[Schedule 1, Part </w:t>
      </w:r>
      <w:r>
        <w:rPr>
          <w:rStyle w:val="Referencingstyle"/>
        </w:rPr>
        <w:t>2</w:t>
      </w:r>
      <w:r w:rsidRPr="003140C0">
        <w:rPr>
          <w:rStyle w:val="Referencingstyle"/>
        </w:rPr>
        <w:t xml:space="preserve">, </w:t>
      </w:r>
      <w:proofErr w:type="spellStart"/>
      <w:r w:rsidR="00ED1408">
        <w:rPr>
          <w:rStyle w:val="Referencingstyle"/>
        </w:rPr>
        <w:t>sub</w:t>
      </w:r>
      <w:r w:rsidRPr="003140C0">
        <w:rPr>
          <w:rStyle w:val="Referencingstyle"/>
        </w:rPr>
        <w:t>item</w:t>
      </w:r>
      <w:proofErr w:type="spellEnd"/>
      <w:r w:rsidRPr="003140C0">
        <w:rPr>
          <w:rStyle w:val="Referencingstyle"/>
        </w:rPr>
        <w:t xml:space="preserve"> </w:t>
      </w:r>
      <w:r>
        <w:rPr>
          <w:rStyle w:val="Referencingstyle"/>
        </w:rPr>
        <w:t>14</w:t>
      </w:r>
      <w:r w:rsidR="00ED1408">
        <w:rPr>
          <w:rStyle w:val="Referencingstyle"/>
        </w:rPr>
        <w:t>(1)</w:t>
      </w:r>
      <w:r w:rsidRPr="003140C0">
        <w:rPr>
          <w:rStyle w:val="Referencingstyle"/>
        </w:rPr>
        <w:t>]</w:t>
      </w:r>
      <w:r>
        <w:t xml:space="preserve"> </w:t>
      </w:r>
    </w:p>
    <w:p w14:paraId="76BD029F" w14:textId="77777777" w:rsidR="000238A2" w:rsidRPr="00A014B0" w:rsidRDefault="00C77BB1" w:rsidP="00E76CFE">
      <w:pPr>
        <w:pStyle w:val="base-text-paragraph"/>
        <w:spacing w:before="80" w:after="80"/>
      </w:pPr>
      <w:r>
        <w:t>The Minister for Finance (</w:t>
      </w:r>
      <w:r w:rsidR="000238A2" w:rsidRPr="00A014B0">
        <w:t xml:space="preserve">being the Minister administering the </w:t>
      </w:r>
      <w:r w:rsidR="000238A2" w:rsidRPr="00A014B0">
        <w:rPr>
          <w:i/>
        </w:rPr>
        <w:t>Public Governance, Performance and Accountability Act 2013</w:t>
      </w:r>
      <w:r>
        <w:t>)</w:t>
      </w:r>
      <w:r w:rsidR="000238A2" w:rsidRPr="00A014B0">
        <w:t xml:space="preserve"> may give the Secretary to the Treasury written directions in relation to the report</w:t>
      </w:r>
      <w:r w:rsidR="00A014B0" w:rsidRPr="00A014B0">
        <w:t xml:space="preserve"> on </w:t>
      </w:r>
      <w:r w:rsidR="00A014B0" w:rsidRPr="00A014B0">
        <w:lastRenderedPageBreak/>
        <w:t>CAMAC’s activities during the final reporting period.  The Secretary is required to comply with any such directions in preparing the report.</w:t>
      </w:r>
      <w:r w:rsidR="007F4031">
        <w:t xml:space="preserve"> </w:t>
      </w:r>
      <w:r w:rsidR="00A014B0" w:rsidRPr="00A014B0">
        <w:t xml:space="preserve"> </w:t>
      </w:r>
      <w:r w:rsidR="00A014B0" w:rsidRPr="00A014B0">
        <w:rPr>
          <w:rStyle w:val="Referencingstyle"/>
        </w:rPr>
        <w:t xml:space="preserve">[Schedule 1, Part 2, </w:t>
      </w:r>
      <w:proofErr w:type="spellStart"/>
      <w:r w:rsidR="00A014B0" w:rsidRPr="00A014B0">
        <w:rPr>
          <w:rStyle w:val="Referencingstyle"/>
        </w:rPr>
        <w:t>subitem</w:t>
      </w:r>
      <w:proofErr w:type="spellEnd"/>
      <w:r w:rsidR="00A014B0" w:rsidRPr="00A014B0">
        <w:rPr>
          <w:rStyle w:val="Referencingstyle"/>
        </w:rPr>
        <w:t xml:space="preserve"> 22(2)]</w:t>
      </w:r>
    </w:p>
    <w:p w14:paraId="4C1A7204" w14:textId="77777777" w:rsidR="00657B08" w:rsidRPr="00717797" w:rsidRDefault="00657B08" w:rsidP="00E76CFE">
      <w:pPr>
        <w:pStyle w:val="base-text-paragraph"/>
        <w:spacing w:before="80" w:after="80"/>
      </w:pPr>
      <w:r>
        <w:t>The Minister for Finance may delegate this power t</w:t>
      </w:r>
      <w:r w:rsidR="00C77BB1">
        <w:t>o give directions</w:t>
      </w:r>
      <w:r w:rsidR="00AA4D7F">
        <w:t xml:space="preserve"> — refer to paragraph</w:t>
      </w:r>
      <w:r w:rsidR="008A46A0">
        <w:t>s</w:t>
      </w:r>
      <w:r w:rsidR="00AA4D7F">
        <w:t xml:space="preserve"> </w:t>
      </w:r>
      <w:r w:rsidR="000B7928" w:rsidRPr="00111349">
        <w:t>1.42</w:t>
      </w:r>
      <w:r w:rsidR="008A46A0">
        <w:t xml:space="preserve"> and 1.43</w:t>
      </w:r>
      <w:r w:rsidR="000B7928">
        <w:t xml:space="preserve">.  </w:t>
      </w:r>
      <w:r w:rsidR="00C77BB1">
        <w:rPr>
          <w:rStyle w:val="Referencingstyle"/>
        </w:rPr>
        <w:t xml:space="preserve">[Schedule 1, Part 2, </w:t>
      </w:r>
      <w:proofErr w:type="spellStart"/>
      <w:r w:rsidR="00C77BB1">
        <w:rPr>
          <w:rStyle w:val="Referencingstyle"/>
        </w:rPr>
        <w:t>subitem</w:t>
      </w:r>
      <w:proofErr w:type="spellEnd"/>
      <w:r w:rsidR="00C77BB1">
        <w:rPr>
          <w:rStyle w:val="Referencingstyle"/>
        </w:rPr>
        <w:t> 24(2)</w:t>
      </w:r>
      <w:r w:rsidR="00C77BB1" w:rsidRPr="00A014B0">
        <w:rPr>
          <w:rStyle w:val="Referencingstyle"/>
        </w:rPr>
        <w:t>]</w:t>
      </w:r>
    </w:p>
    <w:p w14:paraId="2D94DEA4" w14:textId="77777777" w:rsidR="00A014B0" w:rsidRPr="00A014B0" w:rsidRDefault="00A014B0" w:rsidP="00E76CFE">
      <w:pPr>
        <w:pStyle w:val="base-text-paragraph"/>
        <w:spacing w:before="80" w:after="80"/>
      </w:pPr>
      <w:r w:rsidRPr="00A014B0">
        <w:t xml:space="preserve">The Secretary </w:t>
      </w:r>
      <w:r w:rsidR="00D4521B">
        <w:t xml:space="preserve">to the Treasury </w:t>
      </w:r>
      <w:r w:rsidRPr="00A014B0">
        <w:t>must give the Minister the report within four months of the commencement time.</w:t>
      </w:r>
      <w:r w:rsidR="007F4031">
        <w:t xml:space="preserve"> </w:t>
      </w:r>
      <w:r w:rsidRPr="00A014B0">
        <w:t xml:space="preserve"> </w:t>
      </w:r>
      <w:r w:rsidR="00D4521B">
        <w:rPr>
          <w:rStyle w:val="Referencingstyle"/>
        </w:rPr>
        <w:t xml:space="preserve">[Schedule 1, Part 2, </w:t>
      </w:r>
      <w:proofErr w:type="spellStart"/>
      <w:r w:rsidR="00D4521B">
        <w:rPr>
          <w:rStyle w:val="Referencingstyle"/>
        </w:rPr>
        <w:t>subitem</w:t>
      </w:r>
      <w:proofErr w:type="spellEnd"/>
      <w:r w:rsidR="00D4521B">
        <w:rPr>
          <w:rStyle w:val="Referencingstyle"/>
        </w:rPr>
        <w:t> </w:t>
      </w:r>
      <w:r w:rsidRPr="00A014B0">
        <w:rPr>
          <w:rStyle w:val="Referencingstyle"/>
        </w:rPr>
        <w:t>22(</w:t>
      </w:r>
      <w:r>
        <w:rPr>
          <w:rStyle w:val="Referencingstyle"/>
        </w:rPr>
        <w:t>3</w:t>
      </w:r>
      <w:r w:rsidRPr="00A014B0">
        <w:rPr>
          <w:rStyle w:val="Referencingstyle"/>
        </w:rPr>
        <w:t>)]</w:t>
      </w:r>
    </w:p>
    <w:p w14:paraId="432E1597" w14:textId="77777777" w:rsidR="00981ACC" w:rsidRPr="00A014B0" w:rsidRDefault="00A014B0" w:rsidP="00E76CFE">
      <w:pPr>
        <w:pStyle w:val="base-text-paragraph"/>
        <w:spacing w:before="80" w:after="80"/>
      </w:pPr>
      <w:r>
        <w:t>After the report is given to the Minister, the Minister is required to table the report in both the House of Representatives and the Senate within 15 sitting days of that House.</w:t>
      </w:r>
      <w:r w:rsidR="007F4031">
        <w:t xml:space="preserve"> </w:t>
      </w:r>
      <w:r>
        <w:t xml:space="preserve"> </w:t>
      </w:r>
      <w:r w:rsidRPr="00A014B0">
        <w:rPr>
          <w:rStyle w:val="Referencingstyle"/>
        </w:rPr>
        <w:t xml:space="preserve">[Schedule 1, Part 2, </w:t>
      </w:r>
      <w:proofErr w:type="spellStart"/>
      <w:r w:rsidRPr="00A014B0">
        <w:rPr>
          <w:rStyle w:val="Referencingstyle"/>
        </w:rPr>
        <w:t>subitem</w:t>
      </w:r>
      <w:proofErr w:type="spellEnd"/>
      <w:r w:rsidRPr="00A014B0">
        <w:rPr>
          <w:rStyle w:val="Referencingstyle"/>
        </w:rPr>
        <w:t xml:space="preserve"> 22(</w:t>
      </w:r>
      <w:r>
        <w:rPr>
          <w:rStyle w:val="Referencingstyle"/>
        </w:rPr>
        <w:t>4</w:t>
      </w:r>
      <w:r w:rsidRPr="00A014B0">
        <w:rPr>
          <w:rStyle w:val="Referencingstyle"/>
        </w:rPr>
        <w:t>)]</w:t>
      </w:r>
    </w:p>
    <w:p w14:paraId="59FF1DCB" w14:textId="77777777" w:rsidR="00981ACC" w:rsidRPr="00B41810" w:rsidRDefault="00A014B0" w:rsidP="00B41810">
      <w:pPr>
        <w:pStyle w:val="Heading4"/>
      </w:pPr>
      <w:r w:rsidRPr="00B41810">
        <w:t>Transfer of records</w:t>
      </w:r>
    </w:p>
    <w:p w14:paraId="2B26C9B7" w14:textId="77777777" w:rsidR="00B41810" w:rsidRPr="00B41810" w:rsidRDefault="00B41810" w:rsidP="00E76CFE">
      <w:pPr>
        <w:pStyle w:val="base-text-paragraph"/>
        <w:spacing w:before="80" w:after="80"/>
      </w:pPr>
      <w:r w:rsidRPr="00B41810">
        <w:t>Any records or documents that were in CAMAC’s possession need to be transferred to the Treasury once CAMAC’s operations are ceased.</w:t>
      </w:r>
      <w:r w:rsidR="007F4031">
        <w:t xml:space="preserve"> </w:t>
      </w:r>
      <w:r w:rsidRPr="00B41810">
        <w:t xml:space="preserve"> </w:t>
      </w:r>
      <w:r w:rsidRPr="00B41810">
        <w:rPr>
          <w:rStyle w:val="Referencingstyle"/>
        </w:rPr>
        <w:t>[Schedule 1, Part 2, item 20]</w:t>
      </w:r>
    </w:p>
    <w:p w14:paraId="0A154A93" w14:textId="77777777" w:rsidR="00981ACC" w:rsidRPr="00B41810" w:rsidRDefault="00B41810" w:rsidP="00E76CFE">
      <w:pPr>
        <w:pStyle w:val="base-text-paragraph"/>
        <w:spacing w:before="80" w:after="80"/>
        <w:rPr>
          <w:rStyle w:val="Referencingstyle"/>
          <w:b w:val="0"/>
          <w:i w:val="0"/>
          <w:sz w:val="22"/>
        </w:rPr>
      </w:pPr>
      <w:r>
        <w:t xml:space="preserve">The records and documents are Commonwealth records for the purposes of the </w:t>
      </w:r>
      <w:r w:rsidRPr="00B41810">
        <w:rPr>
          <w:i/>
        </w:rPr>
        <w:t>Archives Act 1983</w:t>
      </w:r>
      <w:r>
        <w:t>, which means that there are pa</w:t>
      </w:r>
      <w:r w:rsidR="009822AE">
        <w:t xml:space="preserve">rticular rules governing </w:t>
      </w:r>
      <w:r w:rsidR="009822AE" w:rsidRPr="009822AE">
        <w:t xml:space="preserve">their </w:t>
      </w:r>
      <w:r w:rsidRPr="009822AE">
        <w:t xml:space="preserve">transfer, </w:t>
      </w:r>
      <w:r w:rsidR="009822AE" w:rsidRPr="009822AE">
        <w:t xml:space="preserve">storage </w:t>
      </w:r>
      <w:r w:rsidRPr="009822AE">
        <w:t>and disposal</w:t>
      </w:r>
      <w:r>
        <w:t>.</w:t>
      </w:r>
      <w:r w:rsidR="007F4031">
        <w:t xml:space="preserve"> </w:t>
      </w:r>
      <w:r>
        <w:t xml:space="preserve"> </w:t>
      </w:r>
      <w:r w:rsidRPr="00B41810">
        <w:rPr>
          <w:rStyle w:val="Referencingstyle"/>
        </w:rPr>
        <w:t xml:space="preserve">[Schedule 1, Part 2, </w:t>
      </w:r>
      <w:r>
        <w:rPr>
          <w:rStyle w:val="Referencingstyle"/>
        </w:rPr>
        <w:t>note</w:t>
      </w:r>
      <w:r w:rsidR="007F4031">
        <w:rPr>
          <w:rStyle w:val="Referencingstyle"/>
        </w:rPr>
        <w:t> </w:t>
      </w:r>
      <w:r>
        <w:rPr>
          <w:rStyle w:val="Referencingstyle"/>
        </w:rPr>
        <w:t>to item </w:t>
      </w:r>
      <w:r w:rsidRPr="00B41810">
        <w:rPr>
          <w:rStyle w:val="Referencingstyle"/>
        </w:rPr>
        <w:t>20]</w:t>
      </w:r>
    </w:p>
    <w:p w14:paraId="6DDA9BC0" w14:textId="77777777" w:rsidR="00F21D65" w:rsidRDefault="00AA4D7F" w:rsidP="00F21D65">
      <w:pPr>
        <w:pStyle w:val="Heading4"/>
      </w:pPr>
      <w:r>
        <w:t xml:space="preserve">Preservation of </w:t>
      </w:r>
      <w:r w:rsidR="00F21D65">
        <w:t>protection of disclosures</w:t>
      </w:r>
    </w:p>
    <w:p w14:paraId="76961759" w14:textId="77777777" w:rsidR="00F21D65" w:rsidRDefault="00F21D65" w:rsidP="00E76CFE">
      <w:pPr>
        <w:pStyle w:val="base-text-paragraph"/>
        <w:spacing w:before="80" w:after="80"/>
      </w:pPr>
      <w:r>
        <w:t xml:space="preserve">Under subsection 127(4) of the ASIC Act, disclosure of information by ASIC to CAMAC is taken to be authorised use and disclosure of the information if the Chairperson of ASIC is satisfied that the information will enable or assist CAMAC to perform or exercise its functions or powers.  Under subsection 127(4A), the Chairperson of ASIC may impose conditions in relation to the disclosed information.  </w:t>
      </w:r>
    </w:p>
    <w:p w14:paraId="770AA23F" w14:textId="77777777" w:rsidR="00F21D65" w:rsidRPr="00817E36" w:rsidRDefault="00F21D65" w:rsidP="00E76CFE">
      <w:pPr>
        <w:pStyle w:val="base-text-paragraph"/>
        <w:spacing w:before="80" w:after="80"/>
        <w:rPr>
          <w:rStyle w:val="Referencingstyle"/>
          <w:b w:val="0"/>
          <w:i w:val="0"/>
          <w:sz w:val="22"/>
        </w:rPr>
      </w:pPr>
      <w:r>
        <w:t xml:space="preserve">Item 10 in Part 1 of Schedule 1 omits the reference to CAMAC in subsection 127(4) of the ASIC Act (see paragraph </w:t>
      </w:r>
      <w:r w:rsidR="000B7928" w:rsidRPr="00111349">
        <w:t>1.15</w:t>
      </w:r>
      <w:r w:rsidR="00122AF1">
        <w:t xml:space="preserve">). </w:t>
      </w:r>
      <w:r>
        <w:t xml:space="preserve"> </w:t>
      </w:r>
      <w:r w:rsidR="00122AF1">
        <w:t>I</w:t>
      </w:r>
      <w:r>
        <w:t>tem</w:t>
      </w:r>
      <w:r w:rsidR="000B7928">
        <w:t> </w:t>
      </w:r>
      <w:r>
        <w:t>21 in Part</w:t>
      </w:r>
      <w:r w:rsidR="000B7928">
        <w:t> </w:t>
      </w:r>
      <w:r>
        <w:t>2 of Schedule 1 preserves the protection of information already disclosed by ASIC to CAMAC under subsection 127(4) of the ASIC Act.  If ASIC imposed conditions on a person (for example, a member of CAMAC’s Secretariat) under subsection 127(4A) of the ASIC Act in relation to the protected information, then those conditions continue to apply to the person after the commencement time.</w:t>
      </w:r>
      <w:r w:rsidR="007F4031">
        <w:t xml:space="preserve"> </w:t>
      </w:r>
      <w:r>
        <w:t xml:space="preserve"> </w:t>
      </w:r>
      <w:r w:rsidRPr="00A10581">
        <w:rPr>
          <w:rStyle w:val="Referencingstyle"/>
        </w:rPr>
        <w:t xml:space="preserve">[Schedule 1, Part </w:t>
      </w:r>
      <w:r>
        <w:rPr>
          <w:rStyle w:val="Referencingstyle"/>
        </w:rPr>
        <w:t>2, item </w:t>
      </w:r>
      <w:r w:rsidRPr="00A10581">
        <w:rPr>
          <w:rStyle w:val="Referencingstyle"/>
        </w:rPr>
        <w:t>21]</w:t>
      </w:r>
    </w:p>
    <w:p w14:paraId="6DFF40E5" w14:textId="77777777" w:rsidR="000A10E3" w:rsidRDefault="00AA4D7F" w:rsidP="000A10E3">
      <w:pPr>
        <w:pStyle w:val="Heading4"/>
      </w:pPr>
      <w:r>
        <w:t>Assumption</w:t>
      </w:r>
      <w:r w:rsidRPr="003140C0">
        <w:t xml:space="preserve"> </w:t>
      </w:r>
      <w:r w:rsidR="000A10E3" w:rsidRPr="003140C0">
        <w:t>of assets and liabilities</w:t>
      </w:r>
    </w:p>
    <w:p w14:paraId="746994B0" w14:textId="77777777" w:rsidR="000A10E3" w:rsidRDefault="000A10E3" w:rsidP="00E76CFE">
      <w:pPr>
        <w:pStyle w:val="base-text-paragraph"/>
        <w:numPr>
          <w:ilvl w:val="1"/>
          <w:numId w:val="36"/>
        </w:numPr>
        <w:spacing w:before="80" w:after="80"/>
      </w:pPr>
      <w:r>
        <w:t xml:space="preserve">When the operation of CAMAC ceases, CAMAC’s assets and liabilities cease to be assets and liabilities of CAMAC and become assets and liabilities of the Commonwealth.  They do so automatically without </w:t>
      </w:r>
      <w:r>
        <w:lastRenderedPageBreak/>
        <w:t xml:space="preserve">the need for any conveyance, transfer or assignment.  </w:t>
      </w:r>
      <w:r w:rsidRPr="003140C0">
        <w:rPr>
          <w:rStyle w:val="Referencingstyle"/>
        </w:rPr>
        <w:t xml:space="preserve">[Schedule 1, Part </w:t>
      </w:r>
      <w:r>
        <w:rPr>
          <w:rStyle w:val="Referencingstyle"/>
        </w:rPr>
        <w:t>2</w:t>
      </w:r>
      <w:r w:rsidRPr="003140C0">
        <w:rPr>
          <w:rStyle w:val="Referencingstyle"/>
        </w:rPr>
        <w:t xml:space="preserve">, item </w:t>
      </w:r>
      <w:r>
        <w:rPr>
          <w:rStyle w:val="Referencingstyle"/>
        </w:rPr>
        <w:t>15</w:t>
      </w:r>
      <w:r w:rsidRPr="003140C0">
        <w:rPr>
          <w:rStyle w:val="Referencingstyle"/>
        </w:rPr>
        <w:t>]</w:t>
      </w:r>
    </w:p>
    <w:p w14:paraId="117A1BC0" w14:textId="77777777" w:rsidR="000A10E3" w:rsidRPr="00DA35A3" w:rsidRDefault="000A10E3" w:rsidP="00E76CFE">
      <w:pPr>
        <w:pStyle w:val="base-text-paragraph"/>
        <w:spacing w:before="80" w:after="80"/>
      </w:pPr>
      <w:r w:rsidRPr="008F6786">
        <w:t xml:space="preserve">‘Asset’ and ‘liability’ are defined broadly to ensure that all assets and liabilities, </w:t>
      </w:r>
      <w:r>
        <w:t xml:space="preserve">whether </w:t>
      </w:r>
      <w:r w:rsidRPr="008F6786">
        <w:t>actual, contingent or prospective</w:t>
      </w:r>
      <w:r>
        <w:t>,</w:t>
      </w:r>
      <w:r w:rsidRPr="008F6786">
        <w:t xml:space="preserve"> of CAMAC are covered.  </w:t>
      </w:r>
      <w:r w:rsidRPr="008F6786">
        <w:rPr>
          <w:b/>
          <w:i/>
        </w:rPr>
        <w:t>Asset</w:t>
      </w:r>
      <w:r>
        <w:t xml:space="preserve"> means any legal or equitable estate or interest in real or personal property and any right, power, privilege or immunity.  </w:t>
      </w:r>
      <w:r w:rsidRPr="008F6786">
        <w:rPr>
          <w:b/>
          <w:i/>
        </w:rPr>
        <w:t>Liability</w:t>
      </w:r>
      <w:r>
        <w:t xml:space="preserve"> means </w:t>
      </w:r>
      <w:r w:rsidRPr="00DA35A3">
        <w:t>any liability, duty or obligation.</w:t>
      </w:r>
      <w:r w:rsidR="007F4031">
        <w:t xml:space="preserve"> </w:t>
      </w:r>
      <w:r w:rsidRPr="00DA35A3">
        <w:t xml:space="preserve"> </w:t>
      </w:r>
      <w:r w:rsidRPr="00DA35A3">
        <w:rPr>
          <w:rStyle w:val="Referencingstyle"/>
        </w:rPr>
        <w:t xml:space="preserve">[Schedule 1, Part 2, </w:t>
      </w:r>
      <w:proofErr w:type="spellStart"/>
      <w:r w:rsidR="00ED1408">
        <w:rPr>
          <w:rStyle w:val="Referencingstyle"/>
        </w:rPr>
        <w:t>sub</w:t>
      </w:r>
      <w:r w:rsidRPr="00DA35A3">
        <w:rPr>
          <w:rStyle w:val="Referencingstyle"/>
        </w:rPr>
        <w:t>item</w:t>
      </w:r>
      <w:proofErr w:type="spellEnd"/>
      <w:r w:rsidRPr="00DA35A3">
        <w:rPr>
          <w:rStyle w:val="Referencingstyle"/>
        </w:rPr>
        <w:t xml:space="preserve"> 14</w:t>
      </w:r>
      <w:r w:rsidR="00ED1408">
        <w:rPr>
          <w:rStyle w:val="Referencingstyle"/>
        </w:rPr>
        <w:t>(1)</w:t>
      </w:r>
      <w:r w:rsidRPr="00DA35A3">
        <w:rPr>
          <w:rStyle w:val="Referencingstyle"/>
        </w:rPr>
        <w:t>]</w:t>
      </w:r>
    </w:p>
    <w:p w14:paraId="14875950" w14:textId="77777777" w:rsidR="00241E1B" w:rsidRDefault="00122AF1" w:rsidP="00E76CFE">
      <w:pPr>
        <w:pStyle w:val="base-text-paragraph"/>
        <w:spacing w:before="80" w:after="80"/>
      </w:pPr>
      <w:r>
        <w:t>While</w:t>
      </w:r>
      <w:r w:rsidR="00241E1B">
        <w:t xml:space="preserve"> it is not expected that these provisions about the treatment of assets and liabilities will be </w:t>
      </w:r>
      <w:r w:rsidR="005428D6">
        <w:t>used</w:t>
      </w:r>
      <w:r>
        <w:t>, t</w:t>
      </w:r>
      <w:r w:rsidR="00241E1B">
        <w:t>he provisions provide a safety net in the event that CAMAC still has assets or outstanding liabilities upon cessation.</w:t>
      </w:r>
    </w:p>
    <w:p w14:paraId="277A0D42" w14:textId="0BCE6518" w:rsidR="001E1D20" w:rsidRPr="003C55A4" w:rsidRDefault="008678C4" w:rsidP="00E76CFE">
      <w:pPr>
        <w:pStyle w:val="base-text-paragraph"/>
        <w:spacing w:before="80" w:after="80"/>
      </w:pPr>
      <w:r w:rsidRPr="003C55A4">
        <w:t xml:space="preserve">This </w:t>
      </w:r>
      <w:r w:rsidR="00456C7D">
        <w:t>Exposure Draft</w:t>
      </w:r>
      <w:r w:rsidR="00456C7D" w:rsidRPr="00144F20">
        <w:t xml:space="preserve"> </w:t>
      </w:r>
      <w:r w:rsidR="000A10E3" w:rsidRPr="00144F20">
        <w:t xml:space="preserve">provides a process for the registration of the vesting of land and other assets, for use in the event that any land or other asset becomes vested in the Commonwealth under Part 2 of Schedule 1 to the </w:t>
      </w:r>
      <w:r w:rsidR="00456C7D">
        <w:t>Exposure Draft</w:t>
      </w:r>
      <w:r w:rsidR="000A10E3" w:rsidRPr="00144F20">
        <w:t>.</w:t>
      </w:r>
      <w:r w:rsidR="000A10E3" w:rsidRPr="003C55A4">
        <w:rPr>
          <w:rStyle w:val="Referencingstyle"/>
          <w:b w:val="0"/>
          <w:i w:val="0"/>
          <w:sz w:val="22"/>
          <w:szCs w:val="22"/>
        </w:rPr>
        <w:t xml:space="preserve"> </w:t>
      </w:r>
      <w:r w:rsidR="001E1D20" w:rsidRPr="003C55A4">
        <w:rPr>
          <w:rStyle w:val="Referencingstyle"/>
          <w:b w:val="0"/>
          <w:i w:val="0"/>
          <w:sz w:val="22"/>
          <w:szCs w:val="22"/>
        </w:rPr>
        <w:t xml:space="preserve"> </w:t>
      </w:r>
      <w:r w:rsidR="001E1D20" w:rsidRPr="003C55A4">
        <w:t>(</w:t>
      </w:r>
      <w:r w:rsidR="001E1D20" w:rsidRPr="003C55A4">
        <w:rPr>
          <w:b/>
          <w:i/>
        </w:rPr>
        <w:t>Land</w:t>
      </w:r>
      <w:r w:rsidR="001E1D20" w:rsidRPr="003C55A4">
        <w:t xml:space="preserve"> is defined as any legal or equitable estate or interest in real property, whether actual, contingent or prospective.</w:t>
      </w:r>
      <w:r w:rsidR="00D4521B" w:rsidRPr="003C55A4">
        <w:t>)</w:t>
      </w:r>
      <w:r w:rsidR="007F4031" w:rsidRPr="003C55A4">
        <w:t xml:space="preserve"> </w:t>
      </w:r>
      <w:r w:rsidR="00241E1B" w:rsidRPr="003C55A4">
        <w:t xml:space="preserve"> </w:t>
      </w:r>
      <w:r w:rsidR="001E1D20" w:rsidRPr="003C55A4">
        <w:rPr>
          <w:rStyle w:val="Referencingstyle"/>
        </w:rPr>
        <w:t xml:space="preserve">[Schedule 1, Part 2, </w:t>
      </w:r>
      <w:proofErr w:type="spellStart"/>
      <w:r w:rsidR="00ED1408">
        <w:rPr>
          <w:rStyle w:val="Referencingstyle"/>
        </w:rPr>
        <w:t>sub</w:t>
      </w:r>
      <w:r w:rsidR="001E1D20" w:rsidRPr="003C55A4">
        <w:rPr>
          <w:rStyle w:val="Referencingstyle"/>
        </w:rPr>
        <w:t>item</w:t>
      </w:r>
      <w:r w:rsidR="00ED1408">
        <w:rPr>
          <w:rStyle w:val="Referencingstyle"/>
        </w:rPr>
        <w:t>s</w:t>
      </w:r>
      <w:proofErr w:type="spellEnd"/>
      <w:r w:rsidR="001E1D20" w:rsidRPr="003C55A4">
        <w:rPr>
          <w:rStyle w:val="Referencingstyle"/>
        </w:rPr>
        <w:t> 14</w:t>
      </w:r>
      <w:r w:rsidR="00ED1408">
        <w:rPr>
          <w:rStyle w:val="Referencingstyle"/>
        </w:rPr>
        <w:t>(1), 16(1) and 16(2)</w:t>
      </w:r>
      <w:r w:rsidR="001E1D20" w:rsidRPr="003C55A4">
        <w:rPr>
          <w:rStyle w:val="Referencingstyle"/>
        </w:rPr>
        <w:t>]</w:t>
      </w:r>
    </w:p>
    <w:p w14:paraId="105B637D" w14:textId="77777777" w:rsidR="00AA4D7F" w:rsidRDefault="00AA4D7F" w:rsidP="0013336A">
      <w:pPr>
        <w:pStyle w:val="Heading5"/>
      </w:pPr>
      <w:r>
        <w:t>Authenticity of documents</w:t>
      </w:r>
    </w:p>
    <w:p w14:paraId="1D0462F7" w14:textId="77777777" w:rsidR="000A10E3" w:rsidRPr="00892DB6" w:rsidRDefault="000A10E3" w:rsidP="00E76CFE">
      <w:pPr>
        <w:pStyle w:val="base-text-paragraph"/>
        <w:spacing w:before="80" w:after="80"/>
      </w:pPr>
      <w:r>
        <w:t>Unless the contrary is established, a</w:t>
      </w:r>
      <w:r w:rsidRPr="00892DB6">
        <w:t xml:space="preserve"> document that appears to be a </w:t>
      </w:r>
      <w:r w:rsidRPr="00111349">
        <w:t xml:space="preserve">certificate </w:t>
      </w:r>
      <w:r w:rsidR="00F428ED" w:rsidRPr="00111349">
        <w:t>made under item 16</w:t>
      </w:r>
      <w:r w:rsidR="006C70B6">
        <w:t xml:space="preserve"> </w:t>
      </w:r>
      <w:r w:rsidRPr="00892DB6">
        <w:t>is taken</w:t>
      </w:r>
      <w:r>
        <w:t xml:space="preserve"> to be such a certificate and to have </w:t>
      </w:r>
      <w:r w:rsidRPr="00892DB6">
        <w:t xml:space="preserve">been properly made. </w:t>
      </w:r>
      <w:r w:rsidR="005D1CDE">
        <w:t xml:space="preserve"> </w:t>
      </w:r>
      <w:r w:rsidRPr="00892DB6">
        <w:rPr>
          <w:rStyle w:val="Referencingstyle"/>
        </w:rPr>
        <w:t xml:space="preserve">[Schedule 1, Part 2, </w:t>
      </w:r>
      <w:proofErr w:type="spellStart"/>
      <w:r w:rsidRPr="00892DB6">
        <w:rPr>
          <w:rStyle w:val="Referencingstyle"/>
        </w:rPr>
        <w:t>subitem</w:t>
      </w:r>
      <w:proofErr w:type="spellEnd"/>
      <w:r w:rsidRPr="00892DB6">
        <w:rPr>
          <w:rStyle w:val="Referencingstyle"/>
        </w:rPr>
        <w:t> 16(3)]</w:t>
      </w:r>
    </w:p>
    <w:p w14:paraId="4C556C2E" w14:textId="08090D4F" w:rsidR="000A10E3" w:rsidRPr="00B41810" w:rsidRDefault="008678C4" w:rsidP="00E76CFE">
      <w:pPr>
        <w:pStyle w:val="base-text-paragraph"/>
        <w:spacing w:before="80" w:after="80"/>
        <w:rPr>
          <w:rStyle w:val="Referencingstyle"/>
          <w:b w:val="0"/>
          <w:i w:val="0"/>
          <w:sz w:val="22"/>
        </w:rPr>
      </w:pPr>
      <w:r>
        <w:t>This</w:t>
      </w:r>
      <w:r w:rsidRPr="00892DB6">
        <w:t xml:space="preserve"> </w:t>
      </w:r>
      <w:r w:rsidR="00456C7D">
        <w:t>Exposure Draft</w:t>
      </w:r>
      <w:r w:rsidR="00456C7D" w:rsidRPr="00892DB6">
        <w:t xml:space="preserve"> </w:t>
      </w:r>
      <w:r w:rsidR="000A10E3" w:rsidRPr="00892DB6">
        <w:t>states that a certificate</w:t>
      </w:r>
      <w:r w:rsidR="00B26A9D">
        <w:t xml:space="preserve"> made under item 16 of Schedule </w:t>
      </w:r>
      <w:r w:rsidR="000A10E3" w:rsidRPr="00892DB6">
        <w:t xml:space="preserve">1 </w:t>
      </w:r>
      <w:r w:rsidR="00C973B3">
        <w:t>is not a</w:t>
      </w:r>
      <w:r w:rsidR="000A10E3" w:rsidRPr="00892DB6">
        <w:t xml:space="preserve"> ‘legislative instrument’ </w:t>
      </w:r>
      <w:r w:rsidR="00C973B3">
        <w:t>within the meaning of section </w:t>
      </w:r>
      <w:r w:rsidR="000A10E3" w:rsidRPr="00892DB6">
        <w:t xml:space="preserve">5 of the </w:t>
      </w:r>
      <w:r w:rsidR="000A10E3" w:rsidRPr="00892DB6">
        <w:rPr>
          <w:i/>
        </w:rPr>
        <w:t>Legislative Instruments Act 2003</w:t>
      </w:r>
      <w:r w:rsidR="000A10E3" w:rsidRPr="00892DB6">
        <w:t xml:space="preserve">.  </w:t>
      </w:r>
      <w:r w:rsidR="00B26A9D">
        <w:t>This provision i</w:t>
      </w:r>
      <w:r w:rsidR="00B44DC2">
        <w:t>s merely declaratory of the law</w:t>
      </w:r>
      <w:r w:rsidR="00C973B3">
        <w:t xml:space="preserve"> </w:t>
      </w:r>
      <w:r w:rsidR="00B26A9D">
        <w:t xml:space="preserve">and is included to assist readers.  </w:t>
      </w:r>
      <w:r w:rsidR="00122AF1">
        <w:t xml:space="preserve">The provision </w:t>
      </w:r>
      <w:r w:rsidR="000A10E3" w:rsidRPr="00892DB6">
        <w:t>in no way purport</w:t>
      </w:r>
      <w:r w:rsidR="009E2E2E">
        <w:t>s</w:t>
      </w:r>
      <w:r w:rsidR="000A10E3" w:rsidRPr="00892DB6">
        <w:t xml:space="preserve"> to exempt the item from the</w:t>
      </w:r>
      <w:r w:rsidR="00B44DC2">
        <w:t xml:space="preserve"> requirements of the </w:t>
      </w:r>
      <w:r w:rsidR="000A10E3" w:rsidRPr="00892DB6">
        <w:rPr>
          <w:i/>
        </w:rPr>
        <w:t>Legislative Inst</w:t>
      </w:r>
      <w:r w:rsidR="00C973B3">
        <w:rPr>
          <w:i/>
        </w:rPr>
        <w:t>ruments Act </w:t>
      </w:r>
      <w:r w:rsidR="000A10E3" w:rsidRPr="00892DB6">
        <w:rPr>
          <w:i/>
        </w:rPr>
        <w:t>2003</w:t>
      </w:r>
      <w:r w:rsidR="000A10E3" w:rsidRPr="00892DB6">
        <w:t>.</w:t>
      </w:r>
      <w:r w:rsidR="007F4031">
        <w:t xml:space="preserve"> </w:t>
      </w:r>
      <w:r w:rsidR="000A10E3" w:rsidRPr="00892DB6">
        <w:t xml:space="preserve"> </w:t>
      </w:r>
      <w:r w:rsidR="000A10E3" w:rsidRPr="00892DB6">
        <w:rPr>
          <w:rStyle w:val="Referencingstyle"/>
        </w:rPr>
        <w:t xml:space="preserve">[Schedule 1, Part 2, </w:t>
      </w:r>
      <w:proofErr w:type="spellStart"/>
      <w:r w:rsidR="000A10E3" w:rsidRPr="00892DB6">
        <w:rPr>
          <w:rStyle w:val="Referencingstyle"/>
        </w:rPr>
        <w:t>subitem</w:t>
      </w:r>
      <w:proofErr w:type="spellEnd"/>
      <w:r w:rsidR="000A10E3" w:rsidRPr="00892DB6">
        <w:rPr>
          <w:rStyle w:val="Referencingstyle"/>
        </w:rPr>
        <w:t> 16(4)]</w:t>
      </w:r>
    </w:p>
    <w:p w14:paraId="0424015F" w14:textId="77777777" w:rsidR="00AA4D7F" w:rsidRDefault="00AA4D7F" w:rsidP="0013336A">
      <w:pPr>
        <w:pStyle w:val="Heading5"/>
      </w:pPr>
      <w:r>
        <w:t>Taxes not payable</w:t>
      </w:r>
    </w:p>
    <w:p w14:paraId="7455591F" w14:textId="77777777" w:rsidR="000A10E3" w:rsidRPr="0013336A" w:rsidRDefault="000A10E3" w:rsidP="000A10E3">
      <w:pPr>
        <w:pStyle w:val="base-text-paragraph"/>
        <w:rPr>
          <w:rStyle w:val="Referencingstyle"/>
          <w:b w:val="0"/>
          <w:i w:val="0"/>
          <w:sz w:val="22"/>
        </w:rPr>
      </w:pPr>
      <w:r>
        <w:t>No stamp duty or other tax is payable under the law of a State or Territory in respect of the vesting of an asset or a liability</w:t>
      </w:r>
      <w:r w:rsidRPr="006C1945">
        <w:t xml:space="preserve"> </w:t>
      </w:r>
      <w:r>
        <w:t xml:space="preserve">under Part 2 of Schedule 1 or the operation of </w:t>
      </w:r>
      <w:r w:rsidR="0013336A">
        <w:t xml:space="preserve">the </w:t>
      </w:r>
      <w:r>
        <w:t>Part in any other respect.</w:t>
      </w:r>
      <w:r w:rsidR="007F4031">
        <w:t xml:space="preserve"> </w:t>
      </w:r>
      <w:r>
        <w:t xml:space="preserve"> </w:t>
      </w:r>
      <w:r>
        <w:rPr>
          <w:rStyle w:val="Referencingstyle"/>
        </w:rPr>
        <w:t>[Schedule 1, Part </w:t>
      </w:r>
      <w:r w:rsidRPr="003116FE">
        <w:rPr>
          <w:rStyle w:val="Referencingstyle"/>
        </w:rPr>
        <w:t>2, item 23]</w:t>
      </w:r>
    </w:p>
    <w:p w14:paraId="094902A3" w14:textId="77777777" w:rsidR="00AA4D7F" w:rsidRDefault="00AA4D7F" w:rsidP="00AA4D7F">
      <w:pPr>
        <w:pStyle w:val="Heading4"/>
      </w:pPr>
      <w:r>
        <w:t>Compensation for acquisition of property</w:t>
      </w:r>
    </w:p>
    <w:p w14:paraId="50F6CACE" w14:textId="77777777" w:rsidR="00AA4D7F" w:rsidRPr="00817E36" w:rsidRDefault="00AA4D7F" w:rsidP="00AA4D7F">
      <w:pPr>
        <w:pStyle w:val="base-text-paragraph"/>
      </w:pPr>
      <w:r w:rsidRPr="00817E36">
        <w:t>T</w:t>
      </w:r>
      <w:r w:rsidR="0013336A">
        <w:t xml:space="preserve">o the extent that the operation of </w:t>
      </w:r>
      <w:r w:rsidR="0013336A" w:rsidRPr="00817E36">
        <w:t xml:space="preserve">Part 2 of Schedule </w:t>
      </w:r>
      <w:r w:rsidR="0013336A">
        <w:t xml:space="preserve">1 results in the acquisition of </w:t>
      </w:r>
      <w:r w:rsidR="0013336A" w:rsidRPr="00817E36">
        <w:t xml:space="preserve">property </w:t>
      </w:r>
      <w:r w:rsidR="0013336A">
        <w:t xml:space="preserve">from a person </w:t>
      </w:r>
      <w:r w:rsidR="0013336A" w:rsidRPr="00817E36">
        <w:t>on other than just terms</w:t>
      </w:r>
      <w:r w:rsidR="0013336A">
        <w:t>, the</w:t>
      </w:r>
      <w:r w:rsidRPr="00817E36">
        <w:t xml:space="preserve"> Commonwealth is liable to pay a reasonable amount of compensation to </w:t>
      </w:r>
      <w:r w:rsidR="0013336A">
        <w:t>the</w:t>
      </w:r>
      <w:r w:rsidRPr="00817E36">
        <w:t xml:space="preserve"> person</w:t>
      </w:r>
      <w:r w:rsidR="00486077">
        <w:t xml:space="preserve">.  </w:t>
      </w:r>
      <w:r w:rsidR="00401A5B" w:rsidRPr="00817E36">
        <w:t xml:space="preserve">If the Commonwealth and the person cannot agree on the amount of any such compensation to be paid, </w:t>
      </w:r>
      <w:r w:rsidR="00401A5B">
        <w:t xml:space="preserve">the person may institute </w:t>
      </w:r>
      <w:r w:rsidR="00401A5B">
        <w:lastRenderedPageBreak/>
        <w:t>proceedings against the Commonwealth and the</w:t>
      </w:r>
      <w:r w:rsidR="00401A5B" w:rsidRPr="00817E36">
        <w:t xml:space="preserve"> court may determine a reasonable amount of compensation</w:t>
      </w:r>
      <w:r w:rsidR="00401A5B">
        <w:t xml:space="preserve">. </w:t>
      </w:r>
      <w:r w:rsidR="007F4031">
        <w:t xml:space="preserve"> </w:t>
      </w:r>
      <w:r w:rsidR="00401A5B" w:rsidRPr="00817E36">
        <w:rPr>
          <w:rStyle w:val="Referencingstyle"/>
        </w:rPr>
        <w:t>[Schedule 1, Part 2, item 26</w:t>
      </w:r>
      <w:r w:rsidR="00401A5B">
        <w:rPr>
          <w:rStyle w:val="Referencingstyle"/>
        </w:rPr>
        <w:t>]</w:t>
      </w:r>
    </w:p>
    <w:p w14:paraId="26CF2564" w14:textId="77777777" w:rsidR="00DC3095" w:rsidRDefault="00AA4D7F" w:rsidP="00CD6191">
      <w:pPr>
        <w:pStyle w:val="Heading3"/>
      </w:pPr>
      <w:r>
        <w:t>Ministers’ powers</w:t>
      </w:r>
    </w:p>
    <w:p w14:paraId="73DA3E06" w14:textId="77777777" w:rsidR="00DC3095" w:rsidRDefault="00DC3095" w:rsidP="00CD6191">
      <w:pPr>
        <w:pStyle w:val="Heading4"/>
      </w:pPr>
      <w:r>
        <w:t>Delegation by Ministers</w:t>
      </w:r>
    </w:p>
    <w:p w14:paraId="168A5E13" w14:textId="7F7D452D" w:rsidR="00FB3334" w:rsidRPr="00717797" w:rsidRDefault="00B00748" w:rsidP="00DC3095">
      <w:pPr>
        <w:pStyle w:val="base-text-paragraph"/>
      </w:pPr>
      <w:r w:rsidRPr="00717797">
        <w:t xml:space="preserve">The Minister may delegate all or any of his or her powers and functions under Part 2 of Schedule 1 to </w:t>
      </w:r>
      <w:r w:rsidR="008678C4">
        <w:t>this</w:t>
      </w:r>
      <w:r w:rsidR="008678C4" w:rsidRPr="00717797">
        <w:t xml:space="preserve"> </w:t>
      </w:r>
      <w:r w:rsidR="00456C7D">
        <w:t>Exposure Draft</w:t>
      </w:r>
      <w:r w:rsidR="00456C7D" w:rsidRPr="00717797">
        <w:t xml:space="preserve"> </w:t>
      </w:r>
      <w:r w:rsidRPr="00717797">
        <w:t xml:space="preserve">to either the Secretary </w:t>
      </w:r>
      <w:r w:rsidR="00AA4D7F">
        <w:t>to</w:t>
      </w:r>
      <w:r w:rsidR="00AA4D7F" w:rsidRPr="00717797">
        <w:t xml:space="preserve"> </w:t>
      </w:r>
      <w:r w:rsidRPr="00717797">
        <w:t xml:space="preserve">the Treasury or a member of the Senior Executive Service (SES) </w:t>
      </w:r>
      <w:r w:rsidR="00717797" w:rsidRPr="00717797">
        <w:t>(</w:t>
      </w:r>
      <w:r w:rsidRPr="00717797">
        <w:t>or acting member of the SES</w:t>
      </w:r>
      <w:r w:rsidR="00717797" w:rsidRPr="00717797">
        <w:t>)</w:t>
      </w:r>
      <w:r w:rsidRPr="00717797">
        <w:t xml:space="preserve"> of the Treasury</w:t>
      </w:r>
      <w:r w:rsidR="00FB3334" w:rsidRPr="00717797">
        <w:t xml:space="preserve">. </w:t>
      </w:r>
      <w:r w:rsidR="00717797">
        <w:t xml:space="preserve"> </w:t>
      </w:r>
      <w:r w:rsidR="00AA4D7F" w:rsidRPr="003308D9">
        <w:t>(‘SES employee’</w:t>
      </w:r>
      <w:r w:rsidR="0013336A" w:rsidRPr="003308D9">
        <w:t xml:space="preserve"> </w:t>
      </w:r>
      <w:r w:rsidR="00AA4D7F" w:rsidRPr="003308D9">
        <w:t xml:space="preserve">and ‘acting SES employee’ are defined in the </w:t>
      </w:r>
      <w:r w:rsidR="00AA4D7F" w:rsidRPr="003308D9">
        <w:rPr>
          <w:i/>
        </w:rPr>
        <w:t>Acts Inter</w:t>
      </w:r>
      <w:r w:rsidR="00AA4D7F" w:rsidRPr="00717797">
        <w:rPr>
          <w:i/>
        </w:rPr>
        <w:t>pretation Act 1901</w:t>
      </w:r>
      <w:r w:rsidR="00AA4D7F" w:rsidRPr="0013336A">
        <w:t>.)</w:t>
      </w:r>
      <w:r w:rsidR="00AA4D7F" w:rsidRPr="00AA4D7F">
        <w:t xml:space="preserve"> </w:t>
      </w:r>
      <w:r w:rsidR="003308D9">
        <w:t xml:space="preserve"> </w:t>
      </w:r>
      <w:r w:rsidR="00717797" w:rsidRPr="00717797">
        <w:t>The delegation must be made in writing</w:t>
      </w:r>
      <w:r w:rsidR="00717797">
        <w:t>.</w:t>
      </w:r>
      <w:r w:rsidR="007F4031">
        <w:t xml:space="preserve"> </w:t>
      </w:r>
      <w:r w:rsidR="00717797" w:rsidRPr="00961EC9">
        <w:rPr>
          <w:rStyle w:val="Referencingstyle"/>
          <w:b w:val="0"/>
          <w:i w:val="0"/>
          <w:sz w:val="22"/>
          <w:szCs w:val="22"/>
        </w:rPr>
        <w:t xml:space="preserve"> </w:t>
      </w:r>
      <w:r w:rsidR="00FB3334" w:rsidRPr="00717797">
        <w:rPr>
          <w:rStyle w:val="Referencingstyle"/>
        </w:rPr>
        <w:t xml:space="preserve">[Schedule 1, Part </w:t>
      </w:r>
      <w:r w:rsidR="00717797" w:rsidRPr="00717797">
        <w:rPr>
          <w:rStyle w:val="Referencingstyle"/>
        </w:rPr>
        <w:t xml:space="preserve">2, </w:t>
      </w:r>
      <w:proofErr w:type="spellStart"/>
      <w:r w:rsidR="00717797" w:rsidRPr="00717797">
        <w:rPr>
          <w:rStyle w:val="Referencingstyle"/>
        </w:rPr>
        <w:t>sub</w:t>
      </w:r>
      <w:r w:rsidR="00FB3334" w:rsidRPr="00717797">
        <w:rPr>
          <w:rStyle w:val="Referencingstyle"/>
        </w:rPr>
        <w:t>item</w:t>
      </w:r>
      <w:proofErr w:type="spellEnd"/>
      <w:r w:rsidR="00717797" w:rsidRPr="00717797">
        <w:rPr>
          <w:rStyle w:val="Referencingstyle"/>
        </w:rPr>
        <w:t> 24(1)</w:t>
      </w:r>
      <w:r w:rsidR="00AA4D7F">
        <w:rPr>
          <w:rStyle w:val="Referencingstyle"/>
        </w:rPr>
        <w:t xml:space="preserve"> and note to </w:t>
      </w:r>
      <w:proofErr w:type="spellStart"/>
      <w:r w:rsidR="00AA4D7F" w:rsidRPr="00717797">
        <w:rPr>
          <w:rStyle w:val="Referencingstyle"/>
        </w:rPr>
        <w:t>subitem</w:t>
      </w:r>
      <w:proofErr w:type="spellEnd"/>
      <w:r w:rsidR="00AA4D7F" w:rsidRPr="00717797">
        <w:rPr>
          <w:rStyle w:val="Referencingstyle"/>
        </w:rPr>
        <w:t> 24(1)</w:t>
      </w:r>
      <w:r w:rsidR="00FB3334" w:rsidRPr="00717797">
        <w:rPr>
          <w:rStyle w:val="Referencingstyle"/>
        </w:rPr>
        <w:t>]</w:t>
      </w:r>
    </w:p>
    <w:p w14:paraId="5547B5F9" w14:textId="77777777" w:rsidR="00C77BB1" w:rsidRPr="00717797" w:rsidRDefault="00C77BB1" w:rsidP="00C77BB1">
      <w:pPr>
        <w:pStyle w:val="base-text-paragraph"/>
      </w:pPr>
      <w:r>
        <w:t xml:space="preserve">The Minister for Finance may delegate </w:t>
      </w:r>
      <w:r w:rsidR="00122AF1">
        <w:t xml:space="preserve">to the Secretary to the Department of Finance, </w:t>
      </w:r>
      <w:r>
        <w:t>his or her power to give directions to the Secretary to the Treasury in relation to the final report</w:t>
      </w:r>
      <w:r w:rsidR="00122AF1">
        <w:t xml:space="preserve">— see </w:t>
      </w:r>
      <w:r w:rsidR="00122AF1">
        <w:br/>
        <w:t>paragraph</w:t>
      </w:r>
      <w:r w:rsidR="000B7928">
        <w:t>s</w:t>
      </w:r>
      <w:r w:rsidR="00122AF1">
        <w:t xml:space="preserve"> </w:t>
      </w:r>
      <w:r w:rsidR="000B7928" w:rsidRPr="00111349">
        <w:t>1.25 and 1.26</w:t>
      </w:r>
      <w:r w:rsidR="00AA4D7F">
        <w:t xml:space="preserve">.  </w:t>
      </w:r>
    </w:p>
    <w:p w14:paraId="3B1CFEB4" w14:textId="77777777" w:rsidR="00C77BB1" w:rsidRPr="00717797" w:rsidRDefault="00C77BB1" w:rsidP="00C77BB1">
      <w:pPr>
        <w:pStyle w:val="base-text-paragraph"/>
        <w:rPr>
          <w:rStyle w:val="Referencingstyle"/>
          <w:b w:val="0"/>
          <w:i w:val="0"/>
          <w:sz w:val="22"/>
        </w:rPr>
      </w:pPr>
      <w:r>
        <w:t>I</w:t>
      </w:r>
      <w:r w:rsidRPr="00717797">
        <w:t xml:space="preserve">n exercising powers or functions under a delegation, the delegate must comply with any directions of the </w:t>
      </w:r>
      <w:r>
        <w:t xml:space="preserve">delegating </w:t>
      </w:r>
      <w:r w:rsidRPr="00717797">
        <w:t>Minister.</w:t>
      </w:r>
      <w:r w:rsidR="007F4031">
        <w:t xml:space="preserve"> </w:t>
      </w:r>
      <w:r w:rsidRPr="00717797">
        <w:t xml:space="preserve"> </w:t>
      </w:r>
      <w:r>
        <w:rPr>
          <w:rStyle w:val="Referencingstyle"/>
        </w:rPr>
        <w:t>[Schedule 1, Part </w:t>
      </w:r>
      <w:r w:rsidRPr="00717797">
        <w:rPr>
          <w:rStyle w:val="Referencingstyle"/>
        </w:rPr>
        <w:t xml:space="preserve">2, </w:t>
      </w:r>
      <w:proofErr w:type="spellStart"/>
      <w:r w:rsidRPr="00717797">
        <w:rPr>
          <w:rStyle w:val="Referencingstyle"/>
        </w:rPr>
        <w:t>subitem</w:t>
      </w:r>
      <w:proofErr w:type="spellEnd"/>
      <w:r w:rsidRPr="00717797">
        <w:rPr>
          <w:rStyle w:val="Referencingstyle"/>
        </w:rPr>
        <w:t> 2</w:t>
      </w:r>
      <w:r>
        <w:rPr>
          <w:rStyle w:val="Referencingstyle"/>
        </w:rPr>
        <w:t>4</w:t>
      </w:r>
      <w:r w:rsidRPr="00717797">
        <w:rPr>
          <w:rStyle w:val="Referencingstyle"/>
        </w:rPr>
        <w:t>(3)]</w:t>
      </w:r>
    </w:p>
    <w:p w14:paraId="626412C9" w14:textId="77777777" w:rsidR="00DC3095" w:rsidRDefault="00DC3095" w:rsidP="00C77BB1">
      <w:pPr>
        <w:pStyle w:val="Heading4"/>
      </w:pPr>
      <w:r>
        <w:t>Transitional rules</w:t>
      </w:r>
    </w:p>
    <w:p w14:paraId="3431893A" w14:textId="77777777" w:rsidR="00DC3095" w:rsidRDefault="00DC3095" w:rsidP="00A82827">
      <w:pPr>
        <w:pStyle w:val="base-text-paragraph"/>
        <w:keepNext/>
        <w:spacing w:before="80" w:after="80"/>
      </w:pPr>
      <w:r>
        <w:t>The Minister may make rules:</w:t>
      </w:r>
    </w:p>
    <w:p w14:paraId="6B6A5899" w14:textId="77777777" w:rsidR="00DC3095" w:rsidRDefault="00DC3095" w:rsidP="00A82827">
      <w:pPr>
        <w:pStyle w:val="dotpoint"/>
        <w:spacing w:before="40" w:after="40"/>
        <w:ind w:left="2269" w:hanging="284"/>
      </w:pPr>
      <w:r>
        <w:t>specifying matters which are required or permitted by Schedule 1 to be prescribed in rules; or</w:t>
      </w:r>
    </w:p>
    <w:p w14:paraId="69D5E050" w14:textId="77777777" w:rsidR="00DC3095" w:rsidRDefault="00DC3095" w:rsidP="00A82827">
      <w:pPr>
        <w:pStyle w:val="dotpoint"/>
        <w:spacing w:before="40" w:after="40"/>
        <w:ind w:left="2269" w:hanging="284"/>
      </w:pPr>
      <w:proofErr w:type="gramStart"/>
      <w:r>
        <w:t>in</w:t>
      </w:r>
      <w:proofErr w:type="gramEnd"/>
      <w:r>
        <w:t xml:space="preserve"> relation to transitional matters that may arise out of the amendments and repeals made by Schedule </w:t>
      </w:r>
      <w:r w:rsidR="00D4521B">
        <w:t>1</w:t>
      </w:r>
      <w:r>
        <w:t>.</w:t>
      </w:r>
    </w:p>
    <w:p w14:paraId="4D0B4B22" w14:textId="77777777" w:rsidR="00C0403F" w:rsidRPr="00CD6191" w:rsidRDefault="00DC3095" w:rsidP="00C0403F">
      <w:pPr>
        <w:pStyle w:val="base-text-paragraphnonumbers"/>
        <w:rPr>
          <w:rStyle w:val="Referencingstyle"/>
        </w:rPr>
      </w:pPr>
      <w:r w:rsidRPr="00CD6191">
        <w:rPr>
          <w:rStyle w:val="Referencingstyle"/>
        </w:rPr>
        <w:t xml:space="preserve">[Schedule 1, Part 2, </w:t>
      </w:r>
      <w:proofErr w:type="spellStart"/>
      <w:r w:rsidR="00ED1408">
        <w:rPr>
          <w:rStyle w:val="Referencingstyle"/>
        </w:rPr>
        <w:t>sub</w:t>
      </w:r>
      <w:r w:rsidRPr="00CD6191">
        <w:rPr>
          <w:rStyle w:val="Referencingstyle"/>
        </w:rPr>
        <w:t>item</w:t>
      </w:r>
      <w:proofErr w:type="spellEnd"/>
      <w:r w:rsidR="00B00748">
        <w:rPr>
          <w:rStyle w:val="Referencingstyle"/>
        </w:rPr>
        <w:t xml:space="preserve"> 14</w:t>
      </w:r>
      <w:r w:rsidR="00ED1408">
        <w:rPr>
          <w:rStyle w:val="Referencingstyle"/>
        </w:rPr>
        <w:t>(1)</w:t>
      </w:r>
      <w:r w:rsidR="00B00748">
        <w:rPr>
          <w:rStyle w:val="Referencingstyle"/>
        </w:rPr>
        <w:t xml:space="preserve"> and</w:t>
      </w:r>
      <w:r w:rsidRPr="00CD6191">
        <w:rPr>
          <w:rStyle w:val="Referencingstyle"/>
        </w:rPr>
        <w:t xml:space="preserve"> </w:t>
      </w:r>
      <w:r w:rsidR="00ED1408">
        <w:rPr>
          <w:rStyle w:val="Referencingstyle"/>
        </w:rPr>
        <w:t xml:space="preserve">item </w:t>
      </w:r>
      <w:r w:rsidRPr="00CD6191">
        <w:rPr>
          <w:rStyle w:val="Referencingstyle"/>
        </w:rPr>
        <w:t>27]</w:t>
      </w:r>
    </w:p>
    <w:p w14:paraId="454E2AAC" w14:textId="7716604D" w:rsidR="00B41810" w:rsidRDefault="00DC3095" w:rsidP="00CD6191">
      <w:pPr>
        <w:pStyle w:val="base-text-paragraph"/>
      </w:pPr>
      <w:r>
        <w:t xml:space="preserve">This </w:t>
      </w:r>
      <w:r w:rsidR="00AA4D7F">
        <w:t xml:space="preserve">standard rule-making power </w:t>
      </w:r>
      <w:r>
        <w:t>provides flexibility to ensure that the cessation of CAMAC occurs in an ord</w:t>
      </w:r>
      <w:r w:rsidR="00C0403F">
        <w:t xml:space="preserve">erly and straightforward manner, and that unforeseen matters that may </w:t>
      </w:r>
      <w:r w:rsidR="00C0403F" w:rsidRPr="00A10581">
        <w:t>arise can be dealt with appropriately</w:t>
      </w:r>
      <w:r w:rsidR="00932DE0">
        <w:t>, without confusion,</w:t>
      </w:r>
      <w:r w:rsidR="00A10581" w:rsidRPr="00A10581">
        <w:t xml:space="preserve"> in accordance with the effect of </w:t>
      </w:r>
      <w:r w:rsidR="008678C4">
        <w:t>this</w:t>
      </w:r>
      <w:r w:rsidR="008678C4" w:rsidRPr="00A10581">
        <w:t xml:space="preserve"> </w:t>
      </w:r>
      <w:r w:rsidR="00456C7D">
        <w:t>Exposure Draft</w:t>
      </w:r>
      <w:r w:rsidR="00C0403F" w:rsidRPr="00A10581">
        <w:t>.</w:t>
      </w:r>
      <w:r w:rsidR="00C77BB1" w:rsidRPr="00A10581">
        <w:t xml:space="preserve">  </w:t>
      </w:r>
      <w:r w:rsidR="00A10581">
        <w:t>It</w:t>
      </w:r>
      <w:r w:rsidR="00C77BB1" w:rsidRPr="00A10581">
        <w:t xml:space="preserve"> is not designed to override or otherwis</w:t>
      </w:r>
      <w:r w:rsidR="00A10581" w:rsidRPr="00A10581">
        <w:t xml:space="preserve">e alter the effect of </w:t>
      </w:r>
      <w:r w:rsidR="008678C4">
        <w:t>this</w:t>
      </w:r>
      <w:r w:rsidR="008678C4" w:rsidRPr="00A10581">
        <w:t xml:space="preserve"> </w:t>
      </w:r>
      <w:r w:rsidR="00456C7D">
        <w:t>Exposure Draft</w:t>
      </w:r>
      <w:r w:rsidR="00A10581" w:rsidRPr="00A10581">
        <w:t>.</w:t>
      </w:r>
    </w:p>
    <w:p w14:paraId="62C7E1B9" w14:textId="77777777" w:rsidR="00C0403F" w:rsidRPr="00C77BB1" w:rsidRDefault="00C0403F" w:rsidP="00C0403F">
      <w:pPr>
        <w:pStyle w:val="base-text-paragraph"/>
        <w:rPr>
          <w:rStyle w:val="Referencingstyle"/>
          <w:b w:val="0"/>
          <w:i w:val="0"/>
          <w:sz w:val="22"/>
        </w:rPr>
      </w:pPr>
      <w:r>
        <w:t xml:space="preserve">Such rules are legislative instruments governed by the </w:t>
      </w:r>
      <w:r w:rsidRPr="008077BD">
        <w:rPr>
          <w:i/>
        </w:rPr>
        <w:t>Legislative Instruments Act 2003</w:t>
      </w:r>
      <w:r>
        <w:t>.</w:t>
      </w:r>
      <w:r w:rsidR="00932DE0">
        <w:t xml:space="preserve">  The rules would be disallowable by either House of the Parliament under section 42 of the </w:t>
      </w:r>
      <w:r w:rsidR="00932DE0" w:rsidRPr="00932DE0">
        <w:rPr>
          <w:i/>
        </w:rPr>
        <w:t>Legislative Instruments Act 2003</w:t>
      </w:r>
      <w:r w:rsidR="00932DE0">
        <w:t>.</w:t>
      </w:r>
      <w:r w:rsidR="007F4031">
        <w:t xml:space="preserve"> </w:t>
      </w:r>
      <w:r>
        <w:t xml:space="preserve"> </w:t>
      </w:r>
      <w:r w:rsidRPr="00CD6191">
        <w:rPr>
          <w:rStyle w:val="Referencingstyle"/>
        </w:rPr>
        <w:t>[Schedule 1, Part 2, item 27]</w:t>
      </w:r>
    </w:p>
    <w:p w14:paraId="292B5CDC" w14:textId="77777777" w:rsidR="003239FE" w:rsidRPr="003239FE" w:rsidRDefault="00D9769E" w:rsidP="00B00748">
      <w:pPr>
        <w:pStyle w:val="Heading3"/>
      </w:pPr>
      <w:r>
        <w:lastRenderedPageBreak/>
        <w:t>Matter</w:t>
      </w:r>
      <w:r w:rsidR="00AA4D7F">
        <w:t>s</w:t>
      </w:r>
      <w:r>
        <w:t xml:space="preserve"> related to instruments and the operation of laws</w:t>
      </w:r>
    </w:p>
    <w:p w14:paraId="7F9637EA" w14:textId="77777777" w:rsidR="00DC3095" w:rsidRDefault="00DC3095" w:rsidP="00CD6191">
      <w:pPr>
        <w:pStyle w:val="Heading4"/>
      </w:pPr>
      <w:r>
        <w:t>References to CAMAC</w:t>
      </w:r>
      <w:r w:rsidR="00D9769E">
        <w:t xml:space="preserve"> in instruments</w:t>
      </w:r>
    </w:p>
    <w:p w14:paraId="40EBFD99" w14:textId="77777777" w:rsidR="00DC3095" w:rsidRDefault="00C0403F" w:rsidP="00DC3095">
      <w:pPr>
        <w:pStyle w:val="base-text-paragraph"/>
      </w:pPr>
      <w:r>
        <w:t>Once CAMAC’</w:t>
      </w:r>
      <w:r w:rsidR="00DC3095">
        <w:t xml:space="preserve">s operation ceases, references to CAMAC in instruments that were already in force at that time are </w:t>
      </w:r>
      <w:r w:rsidR="00932DE0">
        <w:t xml:space="preserve">to be read as references to </w:t>
      </w:r>
      <w:r w:rsidR="00DC3095">
        <w:t>the Commonwealth.  This preserves the operation of instruments despite the cessation of CAMAC</w:t>
      </w:r>
      <w:r w:rsidR="00D4521B">
        <w:t>.  It</w:t>
      </w:r>
      <w:r w:rsidR="00DC3095">
        <w:t xml:space="preserve"> does not prevent the instrument from being terminated or varied after the cessation.</w:t>
      </w:r>
      <w:r w:rsidR="007F4031">
        <w:t xml:space="preserve"> </w:t>
      </w:r>
      <w:r w:rsidR="00DC3095">
        <w:t xml:space="preserve"> </w:t>
      </w:r>
      <w:r w:rsidR="00DC3095" w:rsidRPr="00CD6191">
        <w:rPr>
          <w:rStyle w:val="Referencingstyle"/>
        </w:rPr>
        <w:t>[Schedul</w:t>
      </w:r>
      <w:r w:rsidR="00CD6191">
        <w:rPr>
          <w:rStyle w:val="Referencingstyle"/>
        </w:rPr>
        <w:t xml:space="preserve">e 1, Part 2, </w:t>
      </w:r>
      <w:proofErr w:type="spellStart"/>
      <w:r w:rsidR="00CD6191">
        <w:rPr>
          <w:rStyle w:val="Referencingstyle"/>
        </w:rPr>
        <w:t>subitems</w:t>
      </w:r>
      <w:proofErr w:type="spellEnd"/>
      <w:r w:rsidR="00CD6191">
        <w:rPr>
          <w:rStyle w:val="Referencingstyle"/>
        </w:rPr>
        <w:t xml:space="preserve"> 17(1) and </w:t>
      </w:r>
      <w:r w:rsidR="00DC3095" w:rsidRPr="00CD6191">
        <w:rPr>
          <w:rStyle w:val="Referencingstyle"/>
        </w:rPr>
        <w:t>(2)]</w:t>
      </w:r>
    </w:p>
    <w:p w14:paraId="386CBE82" w14:textId="762F83D6" w:rsidR="00DC3095" w:rsidRDefault="00DC3095" w:rsidP="00DC3095">
      <w:pPr>
        <w:pStyle w:val="base-text-paragraph"/>
      </w:pPr>
      <w:r w:rsidRPr="00CD6191">
        <w:rPr>
          <w:b/>
          <w:i/>
        </w:rPr>
        <w:t>Instrument</w:t>
      </w:r>
      <w:r>
        <w:t xml:space="preserve"> is defined as including a contract, undertaking, deed, agreement, notice, authority, order or instruction.  It also includes an instrument made under an Act or </w:t>
      </w:r>
      <w:r w:rsidRPr="00111349">
        <w:t xml:space="preserve">under regulations but does not include an Act or an instrument made under this </w:t>
      </w:r>
      <w:r w:rsidR="00456C7D">
        <w:t>Exposure Draft</w:t>
      </w:r>
      <w:r w:rsidRPr="00111349">
        <w:t>.</w:t>
      </w:r>
      <w:r w:rsidR="00BE1FD2" w:rsidRPr="00111349">
        <w:t xml:space="preserve">  The </w:t>
      </w:r>
      <w:r w:rsidR="00BE1FD2" w:rsidRPr="00E76CFE">
        <w:rPr>
          <w:i/>
        </w:rPr>
        <w:t>Corporations Agreement 2002</w:t>
      </w:r>
      <w:r w:rsidR="00BE1FD2" w:rsidRPr="00111349">
        <w:rPr>
          <w:i/>
        </w:rPr>
        <w:t xml:space="preserve"> </w:t>
      </w:r>
      <w:r w:rsidR="00BE1FD2" w:rsidRPr="00111349">
        <w:t>is also excluded from the definition of ‘instrument’ to avoid the unworkable outcome that would result from references to CAMAC in that Agreement being read as references to the Commonwealth.</w:t>
      </w:r>
      <w:r w:rsidR="007F4031" w:rsidRPr="00111349">
        <w:t xml:space="preserve"> </w:t>
      </w:r>
      <w:r w:rsidRPr="00111349">
        <w:t xml:space="preserve"> </w:t>
      </w:r>
      <w:r w:rsidRPr="00111349">
        <w:rPr>
          <w:rStyle w:val="Referencingstyle"/>
        </w:rPr>
        <w:t xml:space="preserve">[Schedule 1, Part 2, </w:t>
      </w:r>
      <w:proofErr w:type="spellStart"/>
      <w:r w:rsidR="00ED1408" w:rsidRPr="00111349">
        <w:rPr>
          <w:rStyle w:val="Referencingstyle"/>
        </w:rPr>
        <w:t>sub</w:t>
      </w:r>
      <w:r w:rsidRPr="00111349">
        <w:rPr>
          <w:rStyle w:val="Referencingstyle"/>
        </w:rPr>
        <w:t>item</w:t>
      </w:r>
      <w:proofErr w:type="spellEnd"/>
      <w:r w:rsidR="00ED1408" w:rsidRPr="00111349">
        <w:rPr>
          <w:rStyle w:val="Referencingstyle"/>
        </w:rPr>
        <w:t> </w:t>
      </w:r>
      <w:r w:rsidRPr="00111349">
        <w:rPr>
          <w:rStyle w:val="Referencingstyle"/>
        </w:rPr>
        <w:t>14</w:t>
      </w:r>
      <w:r w:rsidR="00ED1408" w:rsidRPr="00111349">
        <w:rPr>
          <w:rStyle w:val="Referencingstyle"/>
        </w:rPr>
        <w:t>(1)</w:t>
      </w:r>
      <w:r w:rsidRPr="00111349">
        <w:rPr>
          <w:rStyle w:val="Referencingstyle"/>
        </w:rPr>
        <w:t>]</w:t>
      </w:r>
    </w:p>
    <w:p w14:paraId="3ED55898" w14:textId="77777777" w:rsidR="00DC3095" w:rsidRDefault="00122AF1" w:rsidP="00DC3095">
      <w:pPr>
        <w:pStyle w:val="base-text-paragraph"/>
      </w:pPr>
      <w:r>
        <w:t>In order</w:t>
      </w:r>
      <w:r w:rsidR="00DC3095">
        <w:t xml:space="preserve"> to ensure </w:t>
      </w:r>
      <w:r>
        <w:t xml:space="preserve">that the substitution does not create an inappropriate </w:t>
      </w:r>
      <w:r w:rsidR="00DC3095">
        <w:t xml:space="preserve">outcome, the Minister may </w:t>
      </w:r>
      <w:r>
        <w:t>make rules specifying:</w:t>
      </w:r>
    </w:p>
    <w:p w14:paraId="19B4911E" w14:textId="77777777" w:rsidR="00DC3095" w:rsidRDefault="00DC3095" w:rsidP="00CD6191">
      <w:pPr>
        <w:pStyle w:val="dotpoint"/>
      </w:pPr>
      <w:r>
        <w:t>particular instruments or references in instruments are not treated in accordance w</w:t>
      </w:r>
      <w:r w:rsidR="0018202C">
        <w:t xml:space="preserve">ith </w:t>
      </w:r>
      <w:proofErr w:type="spellStart"/>
      <w:r w:rsidR="0018202C">
        <w:t>subitem</w:t>
      </w:r>
      <w:proofErr w:type="spellEnd"/>
      <w:r w:rsidR="0018202C">
        <w:t xml:space="preserve"> 17(1) of Schedule 1 </w:t>
      </w:r>
      <w:r>
        <w:t xml:space="preserve">(described in paragraph </w:t>
      </w:r>
      <w:r w:rsidR="000B7928" w:rsidRPr="00111349">
        <w:t>1.47</w:t>
      </w:r>
      <w:r w:rsidR="000B7928">
        <w:t xml:space="preserve">), </w:t>
      </w:r>
      <w:r>
        <w:t>meaning that a reference or references to CAMAC in an instrument are retained; or</w:t>
      </w:r>
    </w:p>
    <w:p w14:paraId="3F2FF3D4" w14:textId="77777777" w:rsidR="00DC3095" w:rsidRDefault="00DC3095" w:rsidP="00CD6191">
      <w:pPr>
        <w:pStyle w:val="dotpoint"/>
      </w:pPr>
      <w:proofErr w:type="gramStart"/>
      <w:r>
        <w:t>particular</w:t>
      </w:r>
      <w:proofErr w:type="gramEnd"/>
      <w:r>
        <w:t xml:space="preserve"> instruments or references in instruments are treated in accordance with </w:t>
      </w:r>
      <w:proofErr w:type="spellStart"/>
      <w:r>
        <w:t>subitem</w:t>
      </w:r>
      <w:proofErr w:type="spellEnd"/>
      <w:r>
        <w:t xml:space="preserve"> 17(1), but instead of substituting the Commonwealth for CAMAC, a person identified in the rules is substituted for CAMAC. </w:t>
      </w:r>
    </w:p>
    <w:p w14:paraId="2DA9F43E" w14:textId="77777777" w:rsidR="00DC3095" w:rsidRPr="00CD6191" w:rsidRDefault="00DC3095" w:rsidP="00CD6191">
      <w:pPr>
        <w:pStyle w:val="base-text-paragraph"/>
        <w:numPr>
          <w:ilvl w:val="0"/>
          <w:numId w:val="0"/>
        </w:numPr>
        <w:ind w:left="1134"/>
        <w:rPr>
          <w:rStyle w:val="Referencingstyle"/>
        </w:rPr>
      </w:pPr>
      <w:r w:rsidRPr="00CD6191">
        <w:rPr>
          <w:rStyle w:val="Referencingstyle"/>
        </w:rPr>
        <w:t xml:space="preserve">[Schedule 1, Part 2, </w:t>
      </w:r>
      <w:proofErr w:type="spellStart"/>
      <w:r w:rsidRPr="00CD6191">
        <w:rPr>
          <w:rStyle w:val="Referencingstyle"/>
        </w:rPr>
        <w:t>subitem</w:t>
      </w:r>
      <w:proofErr w:type="spellEnd"/>
      <w:r w:rsidRPr="00CD6191">
        <w:rPr>
          <w:rStyle w:val="Referencingstyle"/>
        </w:rPr>
        <w:t xml:space="preserve"> 17(3)</w:t>
      </w:r>
      <w:r w:rsidR="00023C9B">
        <w:rPr>
          <w:rStyle w:val="Referencingstyle"/>
        </w:rPr>
        <w:t xml:space="preserve"> and</w:t>
      </w:r>
      <w:r w:rsidRPr="00CD6191">
        <w:rPr>
          <w:rStyle w:val="Referencingstyle"/>
        </w:rPr>
        <w:t xml:space="preserve"> </w:t>
      </w:r>
      <w:r w:rsidR="00AD7338">
        <w:rPr>
          <w:rStyle w:val="Referencingstyle"/>
        </w:rPr>
        <w:t xml:space="preserve">paragraph </w:t>
      </w:r>
      <w:r w:rsidRPr="00CD6191">
        <w:rPr>
          <w:rStyle w:val="Referencingstyle"/>
        </w:rPr>
        <w:t>27(a)]</w:t>
      </w:r>
    </w:p>
    <w:p w14:paraId="6C0BBB66" w14:textId="77777777" w:rsidR="00DC3095" w:rsidRDefault="00DC3095" w:rsidP="00DC3095">
      <w:pPr>
        <w:pStyle w:val="base-text-paragraph"/>
      </w:pPr>
      <w:r>
        <w:t xml:space="preserve">This capacity for the Minister to make </w:t>
      </w:r>
      <w:r w:rsidR="00241E1B">
        <w:t xml:space="preserve">exceptions in rules </w:t>
      </w:r>
      <w:r>
        <w:t>provides flexibility to avoid a sit</w:t>
      </w:r>
      <w:r w:rsidR="00CD6191">
        <w:t>uation where substituting ‘Commonwealth’</w:t>
      </w:r>
      <w:r w:rsidR="005D1CDE">
        <w:t xml:space="preserve"> for</w:t>
      </w:r>
      <w:r>
        <w:t xml:space="preserve"> </w:t>
      </w:r>
      <w:r w:rsidR="005D1CDE">
        <w:t xml:space="preserve">‘CAMAC’ </w:t>
      </w:r>
      <w:r>
        <w:t>would create an absurd, unworkable or</w:t>
      </w:r>
      <w:r w:rsidR="002D3A13">
        <w:t xml:space="preserve"> unintended outcome</w:t>
      </w:r>
      <w:r>
        <w:t xml:space="preserve">. </w:t>
      </w:r>
      <w:r w:rsidR="00241E1B">
        <w:t xml:space="preserve"> </w:t>
      </w:r>
    </w:p>
    <w:p w14:paraId="19211FD5" w14:textId="77777777" w:rsidR="00DC3095" w:rsidRDefault="00C0403F" w:rsidP="00DC3095">
      <w:pPr>
        <w:pStyle w:val="base-text-paragraph"/>
      </w:pPr>
      <w:r w:rsidRPr="00401A5B">
        <w:t xml:space="preserve">The rules must be registered in accordance with the </w:t>
      </w:r>
      <w:r w:rsidRPr="00401A5B">
        <w:rPr>
          <w:i/>
        </w:rPr>
        <w:t>Legislative Instruments Act 2003</w:t>
      </w:r>
      <w:r w:rsidRPr="00961EC9">
        <w:t xml:space="preserve">. </w:t>
      </w:r>
      <w:r w:rsidRPr="00401A5B">
        <w:t xml:space="preserve"> </w:t>
      </w:r>
      <w:r w:rsidR="008077BD" w:rsidRPr="00401A5B">
        <w:t>Despite subsection </w:t>
      </w:r>
      <w:r w:rsidR="00DC3095" w:rsidRPr="00401A5B">
        <w:t>12(2) of</w:t>
      </w:r>
      <w:r w:rsidR="00DC3095">
        <w:t xml:space="preserve"> the </w:t>
      </w:r>
      <w:r w:rsidR="00DC3095" w:rsidRPr="008077BD">
        <w:rPr>
          <w:i/>
        </w:rPr>
        <w:t>Legislative Instruments Act 2003</w:t>
      </w:r>
      <w:r w:rsidR="00DC3095">
        <w:t xml:space="preserve"> </w:t>
      </w:r>
      <w:r w:rsidR="00401A5B">
        <w:t xml:space="preserve">(which provides for when legislative instruments may take effect) </w:t>
      </w:r>
      <w:r w:rsidR="00DC3095">
        <w:t>rules made by the Minister pertaining to references in instruments may take effect from a day before the rules are registered.  The</w:t>
      </w:r>
      <w:r>
        <w:t xml:space="preserve">y </w:t>
      </w:r>
      <w:r w:rsidR="00DC3095">
        <w:t>may not, however, take effect</w:t>
      </w:r>
      <w:r w:rsidR="00A705F8">
        <w:t xml:space="preserve"> before the cessation of CAMAC.</w:t>
      </w:r>
      <w:r w:rsidR="007F4031">
        <w:t xml:space="preserve"> </w:t>
      </w:r>
      <w:r w:rsidR="00A705F8">
        <w:t xml:space="preserve"> </w:t>
      </w:r>
      <w:r>
        <w:rPr>
          <w:rStyle w:val="Referencingstyle"/>
        </w:rPr>
        <w:t xml:space="preserve">[Schedule 1, Part 2, </w:t>
      </w:r>
      <w:proofErr w:type="spellStart"/>
      <w:r>
        <w:rPr>
          <w:rStyle w:val="Referencingstyle"/>
        </w:rPr>
        <w:t>subitem</w:t>
      </w:r>
      <w:proofErr w:type="spellEnd"/>
      <w:r>
        <w:rPr>
          <w:rStyle w:val="Referencingstyle"/>
        </w:rPr>
        <w:t xml:space="preserve"> 17(4)</w:t>
      </w:r>
      <w:r w:rsidR="00DC3095" w:rsidRPr="008077BD">
        <w:rPr>
          <w:rStyle w:val="Referencingstyle"/>
        </w:rPr>
        <w:t xml:space="preserve">] </w:t>
      </w:r>
    </w:p>
    <w:p w14:paraId="26CEF7E3" w14:textId="77777777" w:rsidR="00DC3095" w:rsidRDefault="00932DE0" w:rsidP="008077BD">
      <w:pPr>
        <w:pStyle w:val="Heading4"/>
      </w:pPr>
      <w:r>
        <w:lastRenderedPageBreak/>
        <w:t>CAMAC’s acts attributed to the Commonwealth</w:t>
      </w:r>
    </w:p>
    <w:p w14:paraId="6D087A35" w14:textId="77777777" w:rsidR="00DC3095" w:rsidRPr="00C0403F" w:rsidRDefault="00C90B72" w:rsidP="00DC3095">
      <w:pPr>
        <w:pStyle w:val="base-text-paragraph"/>
        <w:rPr>
          <w:rStyle w:val="Referencingstyle"/>
          <w:b w:val="0"/>
          <w:i w:val="0"/>
          <w:sz w:val="22"/>
        </w:rPr>
      </w:pPr>
      <w:r>
        <w:t xml:space="preserve">Except in the case of the operation of the </w:t>
      </w:r>
      <w:r w:rsidRPr="00C90B72">
        <w:rPr>
          <w:i/>
        </w:rPr>
        <w:t>Ombudsman Act 1976</w:t>
      </w:r>
      <w:r>
        <w:t xml:space="preserve"> (explained </w:t>
      </w:r>
      <w:r w:rsidR="00C0403F">
        <w:t>in paragraph</w:t>
      </w:r>
      <w:r w:rsidR="000B7928">
        <w:t xml:space="preserve">s </w:t>
      </w:r>
      <w:r w:rsidR="000B7928" w:rsidRPr="00111349">
        <w:t>1.56 to 1.58</w:t>
      </w:r>
      <w:r>
        <w:t>), o</w:t>
      </w:r>
      <w:r w:rsidR="008077BD">
        <w:t>nce CAMAC’</w:t>
      </w:r>
      <w:r w:rsidR="00DC3095">
        <w:t>s operation ceases, anything done by or in relation to CAMAC before it is abolished will be treated as if it had been done by, or in</w:t>
      </w:r>
      <w:r w:rsidR="00D9769E">
        <w:t xml:space="preserve"> relation to, the Commonwealth.</w:t>
      </w:r>
      <w:r w:rsidR="007F4031">
        <w:t xml:space="preserve"> </w:t>
      </w:r>
      <w:r w:rsidR="00DC3095">
        <w:t xml:space="preserve"> </w:t>
      </w:r>
      <w:r w:rsidR="00DC3095" w:rsidRPr="00D9769E">
        <w:rPr>
          <w:rStyle w:val="Referencingstyle"/>
        </w:rPr>
        <w:t>[</w:t>
      </w:r>
      <w:r w:rsidR="008077BD" w:rsidRPr="00D9769E">
        <w:rPr>
          <w:rStyle w:val="Referencingstyle"/>
        </w:rPr>
        <w:t>S</w:t>
      </w:r>
      <w:r w:rsidR="008077BD">
        <w:rPr>
          <w:rStyle w:val="Referencingstyle"/>
        </w:rPr>
        <w:t xml:space="preserve">chedule 1, Part 2, </w:t>
      </w:r>
      <w:proofErr w:type="spellStart"/>
      <w:r w:rsidR="008077BD">
        <w:rPr>
          <w:rStyle w:val="Referencingstyle"/>
        </w:rPr>
        <w:t>subitem</w:t>
      </w:r>
      <w:proofErr w:type="spellEnd"/>
      <w:r w:rsidR="008077BD">
        <w:rPr>
          <w:rStyle w:val="Referencingstyle"/>
        </w:rPr>
        <w:t> </w:t>
      </w:r>
      <w:r w:rsidR="00DC3095" w:rsidRPr="008077BD">
        <w:rPr>
          <w:rStyle w:val="Referencingstyle"/>
        </w:rPr>
        <w:t>18(1)]</w:t>
      </w:r>
    </w:p>
    <w:p w14:paraId="79452CAD" w14:textId="77777777" w:rsidR="00933984" w:rsidRDefault="00933984" w:rsidP="00E76CFE">
      <w:pPr>
        <w:pStyle w:val="base-text-paragraph"/>
        <w:keepNext/>
      </w:pPr>
      <w:r>
        <w:t>In order to ensure that the substitution does not create an inappropriate outcome, the Minister may make rules specifying:</w:t>
      </w:r>
    </w:p>
    <w:p w14:paraId="6DCFD890" w14:textId="77777777" w:rsidR="00C0403F" w:rsidRPr="00B518A5" w:rsidRDefault="00933984" w:rsidP="00B518A5">
      <w:pPr>
        <w:pStyle w:val="dotpoint"/>
      </w:pPr>
      <w:r w:rsidDel="00933984">
        <w:t xml:space="preserve"> </w:t>
      </w:r>
      <w:r w:rsidR="00B518A5" w:rsidRPr="00B518A5">
        <w:t xml:space="preserve">particular things which are not treated in accordance with </w:t>
      </w:r>
      <w:proofErr w:type="spellStart"/>
      <w:r w:rsidR="00B518A5" w:rsidRPr="00B518A5">
        <w:t>subitem</w:t>
      </w:r>
      <w:proofErr w:type="spellEnd"/>
      <w:r w:rsidR="00B518A5" w:rsidRPr="00B518A5">
        <w:t xml:space="preserve"> 18(1) of Schedule 1 (described in paragraph </w:t>
      </w:r>
      <w:r w:rsidR="000B7928">
        <w:t>1.52</w:t>
      </w:r>
      <w:r w:rsidR="000B7928" w:rsidRPr="00B518A5">
        <w:t xml:space="preserve">), </w:t>
      </w:r>
      <w:r w:rsidR="00B518A5" w:rsidRPr="00B518A5">
        <w:t xml:space="preserve">meaning that </w:t>
      </w:r>
      <w:r w:rsidR="00B97550">
        <w:t>things done</w:t>
      </w:r>
      <w:r w:rsidR="00B518A5" w:rsidRPr="00B518A5">
        <w:t xml:space="preserve"> by or in relation to CAMAC before its cessation will continue to be treated as having been </w:t>
      </w:r>
      <w:r w:rsidR="00B97550">
        <w:t>done</w:t>
      </w:r>
      <w:r w:rsidR="00B518A5" w:rsidRPr="00B518A5">
        <w:t xml:space="preserve"> by or in relation to CAMAC, despite its cessation;</w:t>
      </w:r>
      <w:r w:rsidR="00B518A5">
        <w:t xml:space="preserve"> </w:t>
      </w:r>
      <w:r w:rsidR="00C0403F" w:rsidRPr="00B518A5">
        <w:t>or</w:t>
      </w:r>
    </w:p>
    <w:p w14:paraId="59B405EB" w14:textId="77777777" w:rsidR="00C0403F" w:rsidRPr="00B97550" w:rsidRDefault="00C0403F" w:rsidP="00492148">
      <w:pPr>
        <w:pStyle w:val="dotpoint"/>
        <w:keepNext/>
      </w:pPr>
      <w:proofErr w:type="gramStart"/>
      <w:r w:rsidRPr="00B97550">
        <w:t>particular</w:t>
      </w:r>
      <w:proofErr w:type="gramEnd"/>
      <w:r w:rsidRPr="00B97550">
        <w:t xml:space="preserve"> </w:t>
      </w:r>
      <w:r w:rsidR="00B97550" w:rsidRPr="00B97550">
        <w:t xml:space="preserve">things which </w:t>
      </w:r>
      <w:r w:rsidRPr="00B97550">
        <w:t xml:space="preserve">are treated in accordance with </w:t>
      </w:r>
      <w:proofErr w:type="spellStart"/>
      <w:r w:rsidRPr="00B97550">
        <w:t>subitem</w:t>
      </w:r>
      <w:proofErr w:type="spellEnd"/>
      <w:r w:rsidRPr="00B97550">
        <w:t xml:space="preserve"> 1</w:t>
      </w:r>
      <w:r w:rsidR="00B97550" w:rsidRPr="00B97550">
        <w:t>8</w:t>
      </w:r>
      <w:r w:rsidRPr="00B97550">
        <w:t xml:space="preserve">(1), but instead of substituting the Commonwealth for CAMAC, a person identified in the rules is substituted for CAMAC. </w:t>
      </w:r>
    </w:p>
    <w:p w14:paraId="6A540114" w14:textId="77777777" w:rsidR="00C0403F" w:rsidRPr="00B97550" w:rsidRDefault="00B97550" w:rsidP="00C0403F">
      <w:pPr>
        <w:pStyle w:val="base-text-paragraph"/>
        <w:numPr>
          <w:ilvl w:val="0"/>
          <w:numId w:val="0"/>
        </w:numPr>
        <w:ind w:left="1134"/>
        <w:rPr>
          <w:rStyle w:val="Referencingstyle"/>
        </w:rPr>
      </w:pPr>
      <w:r w:rsidRPr="00B97550">
        <w:rPr>
          <w:rStyle w:val="Referencingstyle"/>
        </w:rPr>
        <w:t xml:space="preserve">[Schedule 1, Part 2, </w:t>
      </w:r>
      <w:proofErr w:type="spellStart"/>
      <w:r w:rsidRPr="00B97550">
        <w:rPr>
          <w:rStyle w:val="Referencingstyle"/>
        </w:rPr>
        <w:t>subitem</w:t>
      </w:r>
      <w:proofErr w:type="spellEnd"/>
      <w:r w:rsidRPr="00B97550">
        <w:rPr>
          <w:rStyle w:val="Referencingstyle"/>
        </w:rPr>
        <w:t xml:space="preserve"> 18</w:t>
      </w:r>
      <w:r w:rsidR="00C0403F" w:rsidRPr="00B97550">
        <w:rPr>
          <w:rStyle w:val="Referencingstyle"/>
        </w:rPr>
        <w:t>(3</w:t>
      </w:r>
      <w:r w:rsidR="00023C9B" w:rsidRPr="00B97550">
        <w:rPr>
          <w:rStyle w:val="Referencingstyle"/>
        </w:rPr>
        <w:t>)</w:t>
      </w:r>
      <w:r w:rsidR="00023C9B">
        <w:rPr>
          <w:rStyle w:val="Referencingstyle"/>
        </w:rPr>
        <w:t xml:space="preserve"> and</w:t>
      </w:r>
      <w:r w:rsidR="00023C9B" w:rsidRPr="00B97550">
        <w:rPr>
          <w:rStyle w:val="Referencingstyle"/>
        </w:rPr>
        <w:t xml:space="preserve"> </w:t>
      </w:r>
      <w:r w:rsidR="00AD7338">
        <w:rPr>
          <w:rStyle w:val="Referencingstyle"/>
        </w:rPr>
        <w:t xml:space="preserve">paragraph </w:t>
      </w:r>
      <w:r w:rsidR="00C0403F" w:rsidRPr="00B97550">
        <w:rPr>
          <w:rStyle w:val="Referencingstyle"/>
        </w:rPr>
        <w:t>27(a)]</w:t>
      </w:r>
    </w:p>
    <w:p w14:paraId="33BA4E02" w14:textId="77777777" w:rsidR="00C0403F" w:rsidRDefault="00B97550" w:rsidP="00C0403F">
      <w:pPr>
        <w:pStyle w:val="base-text-paragraph"/>
      </w:pPr>
      <w:r w:rsidRPr="00B97550">
        <w:t>Allowing</w:t>
      </w:r>
      <w:r w:rsidR="00C0403F" w:rsidRPr="00B97550">
        <w:t xml:space="preserve"> the Minister to make </w:t>
      </w:r>
      <w:r w:rsidR="0011454F">
        <w:t xml:space="preserve">exceptions in </w:t>
      </w:r>
      <w:r w:rsidR="00C0403F" w:rsidRPr="00B97550">
        <w:t xml:space="preserve">rules provides flexibility to avoid a situation where </w:t>
      </w:r>
      <w:r w:rsidRPr="00B97550">
        <w:t xml:space="preserve">treating a thing as having been done by the </w:t>
      </w:r>
      <w:r w:rsidR="00C0403F" w:rsidRPr="00F21D65">
        <w:t>Commonwealth would create an absurd, unworkable or unintended outcome</w:t>
      </w:r>
      <w:r w:rsidR="00933984">
        <w:t>.</w:t>
      </w:r>
    </w:p>
    <w:p w14:paraId="0D4F723B" w14:textId="77777777" w:rsidR="00C0403F" w:rsidRPr="00B00748" w:rsidRDefault="00B97550" w:rsidP="00C0403F">
      <w:pPr>
        <w:pStyle w:val="base-text-paragraph"/>
      </w:pPr>
      <w:r w:rsidRPr="00B00748">
        <w:t xml:space="preserve">Similar to rules relating to references in instruments, </w:t>
      </w:r>
      <w:r w:rsidR="00B00748" w:rsidRPr="00B00748">
        <w:t>despite</w:t>
      </w:r>
      <w:r w:rsidR="00C0403F" w:rsidRPr="00B00748">
        <w:t xml:space="preserve"> </w:t>
      </w:r>
      <w:r w:rsidR="00C0403F" w:rsidRPr="00500140">
        <w:t xml:space="preserve">subsection 12(2) of the </w:t>
      </w:r>
      <w:r w:rsidR="00C0403F" w:rsidRPr="00500140">
        <w:rPr>
          <w:i/>
        </w:rPr>
        <w:t>Legislative Instruments Act 2003</w:t>
      </w:r>
      <w:r w:rsidR="00B00748" w:rsidRPr="00500140">
        <w:t>,</w:t>
      </w:r>
      <w:r w:rsidR="00C0403F" w:rsidRPr="00B00748">
        <w:t xml:space="preserve"> rules made by the Minister pertaining to </w:t>
      </w:r>
      <w:r w:rsidR="00B00748" w:rsidRPr="00B00748">
        <w:t>things done by or in relation to CAMAC</w:t>
      </w:r>
      <w:r w:rsidR="00C0403F" w:rsidRPr="00B00748">
        <w:t xml:space="preserve"> may take effect before the rules are registered.  </w:t>
      </w:r>
      <w:r w:rsidR="00B00748" w:rsidRPr="00B00748">
        <w:t>However, t</w:t>
      </w:r>
      <w:r w:rsidR="00C0403F" w:rsidRPr="00B00748">
        <w:t xml:space="preserve">hey </w:t>
      </w:r>
      <w:r w:rsidR="00B00748" w:rsidRPr="00B00748">
        <w:t>may not</w:t>
      </w:r>
      <w:r w:rsidR="00C0403F" w:rsidRPr="00B00748">
        <w:t xml:space="preserve"> take effect before the cessation of CAMAC.</w:t>
      </w:r>
      <w:r w:rsidR="007F4031">
        <w:t xml:space="preserve"> </w:t>
      </w:r>
      <w:r w:rsidR="00C0403F" w:rsidRPr="00B00748">
        <w:t xml:space="preserve"> </w:t>
      </w:r>
      <w:r w:rsidR="00C0403F" w:rsidRPr="00B00748">
        <w:rPr>
          <w:rStyle w:val="Referencingstyle"/>
        </w:rPr>
        <w:t>[Schedule 1, Part </w:t>
      </w:r>
      <w:r w:rsidR="00B00748" w:rsidRPr="00B00748">
        <w:rPr>
          <w:rStyle w:val="Referencingstyle"/>
        </w:rPr>
        <w:t xml:space="preserve">2, </w:t>
      </w:r>
      <w:proofErr w:type="spellStart"/>
      <w:r w:rsidR="00B00748" w:rsidRPr="00B00748">
        <w:rPr>
          <w:rStyle w:val="Referencingstyle"/>
        </w:rPr>
        <w:t>subitem</w:t>
      </w:r>
      <w:proofErr w:type="spellEnd"/>
      <w:r w:rsidR="00B00748" w:rsidRPr="00B00748">
        <w:rPr>
          <w:rStyle w:val="Referencingstyle"/>
        </w:rPr>
        <w:t xml:space="preserve"> 18</w:t>
      </w:r>
      <w:r w:rsidR="00C0403F" w:rsidRPr="00B00748">
        <w:rPr>
          <w:rStyle w:val="Referencingstyle"/>
        </w:rPr>
        <w:t>(4)]</w:t>
      </w:r>
    </w:p>
    <w:p w14:paraId="3BDDEA32" w14:textId="77777777" w:rsidR="00932DE0" w:rsidRDefault="00500140" w:rsidP="00500140">
      <w:pPr>
        <w:pStyle w:val="Heading4"/>
      </w:pPr>
      <w:r>
        <w:t>CAMAC’s acts attributed to the Treasury</w:t>
      </w:r>
    </w:p>
    <w:p w14:paraId="4B6E52CF" w14:textId="77777777" w:rsidR="0025496A" w:rsidRPr="00852B9C" w:rsidRDefault="00640351" w:rsidP="008077BD">
      <w:pPr>
        <w:pStyle w:val="base-text-paragraph"/>
      </w:pPr>
      <w:r>
        <w:t>For the purpose</w:t>
      </w:r>
      <w:r w:rsidR="00852B9C">
        <w:t xml:space="preserve"> of the operation of the </w:t>
      </w:r>
      <w:r w:rsidR="00852B9C" w:rsidRPr="008077BD">
        <w:rPr>
          <w:i/>
        </w:rPr>
        <w:t>Ombudsman Act 1976</w:t>
      </w:r>
      <w:r w:rsidR="00852B9C">
        <w:rPr>
          <w:i/>
        </w:rPr>
        <w:t xml:space="preserve"> </w:t>
      </w:r>
      <w:r w:rsidR="00852B9C" w:rsidRPr="00852B9C">
        <w:t>after</w:t>
      </w:r>
      <w:r w:rsidR="00852B9C">
        <w:t xml:space="preserve"> the cessation of CAMAC, action taken by or in relation to CAMAC </w:t>
      </w:r>
      <w:r>
        <w:t>prior to the cessation is taken to have been done by or in relation to the Treasury.</w:t>
      </w:r>
      <w:r w:rsidR="007F4031">
        <w:t xml:space="preserve"> </w:t>
      </w:r>
      <w:r w:rsidRPr="007F4031">
        <w:rPr>
          <w:rStyle w:val="Referencingstyle"/>
          <w:b w:val="0"/>
          <w:i w:val="0"/>
          <w:sz w:val="22"/>
          <w:szCs w:val="22"/>
        </w:rPr>
        <w:t xml:space="preserve"> </w:t>
      </w:r>
      <w:r w:rsidRPr="008077BD">
        <w:rPr>
          <w:rStyle w:val="Referencingstyle"/>
        </w:rPr>
        <w:t xml:space="preserve">[Schedule 1, Part 2, </w:t>
      </w:r>
      <w:proofErr w:type="spellStart"/>
      <w:r w:rsidRPr="008077BD">
        <w:rPr>
          <w:rStyle w:val="Referencingstyle"/>
        </w:rPr>
        <w:t>subitem</w:t>
      </w:r>
      <w:proofErr w:type="spellEnd"/>
      <w:r w:rsidRPr="008077BD">
        <w:rPr>
          <w:rStyle w:val="Referencingstyle"/>
        </w:rPr>
        <w:t> 18(2)]</w:t>
      </w:r>
    </w:p>
    <w:p w14:paraId="626BB673" w14:textId="77777777" w:rsidR="0011454F" w:rsidRDefault="00933984" w:rsidP="008077BD">
      <w:pPr>
        <w:pStyle w:val="base-text-paragraph"/>
      </w:pPr>
      <w:r>
        <w:t>As the Commonwealth Ombudsman (the Ombudsman) is not empowered to investigate complaints about the Commonwealth, t</w:t>
      </w:r>
      <w:r w:rsidR="0011454F">
        <w:t>his provision substitutes the Department (being Treasury) rather than the Commonwealth for CAMAC</w:t>
      </w:r>
      <w:r>
        <w:t>.</w:t>
      </w:r>
      <w:r w:rsidR="0011454F">
        <w:t xml:space="preserve"> </w:t>
      </w:r>
    </w:p>
    <w:p w14:paraId="59433F27" w14:textId="77777777" w:rsidR="00640351" w:rsidRDefault="00933984" w:rsidP="008077BD">
      <w:pPr>
        <w:pStyle w:val="base-text-paragraph"/>
      </w:pPr>
      <w:r>
        <w:lastRenderedPageBreak/>
        <w:t>I</w:t>
      </w:r>
      <w:r w:rsidR="0011454F">
        <w:t xml:space="preserve">f, at the commencement time, a complaint had been made to the Ombudsman about action taken by or in relation to CAMAC, or the Ombudsman had commenced an investigation into action taken by or in relation to CAMAC, then the </w:t>
      </w:r>
      <w:r w:rsidR="0011454F" w:rsidRPr="008077BD">
        <w:rPr>
          <w:i/>
        </w:rPr>
        <w:t>Ombudsman Act 1976</w:t>
      </w:r>
      <w:r w:rsidR="0011454F">
        <w:t xml:space="preserve"> applies after CAMAC ceases as if the relevant action had been taken by or in relation to the Treasury.  </w:t>
      </w:r>
      <w:r w:rsidR="005D1CDE">
        <w:t xml:space="preserve">This item </w:t>
      </w:r>
      <w:r w:rsidR="0011454F">
        <w:t>also allows new complaints to be made and dealt with after CAMAC’s operation ceases, again substituting ‘the Department’ for ‘CAMAC’.</w:t>
      </w:r>
    </w:p>
    <w:p w14:paraId="03DAB228" w14:textId="77777777" w:rsidR="00D9769E" w:rsidRDefault="00500140" w:rsidP="00D9769E">
      <w:pPr>
        <w:pStyle w:val="Heading4"/>
      </w:pPr>
      <w:r>
        <w:t xml:space="preserve">Continuation of legal </w:t>
      </w:r>
      <w:r w:rsidR="00D9769E">
        <w:t>proceedings</w:t>
      </w:r>
    </w:p>
    <w:p w14:paraId="77F16D16" w14:textId="77777777" w:rsidR="00DC3095" w:rsidRPr="00D9769E" w:rsidRDefault="008077BD" w:rsidP="00DC3095">
      <w:pPr>
        <w:pStyle w:val="base-text-paragraph"/>
        <w:rPr>
          <w:rStyle w:val="Referencingstyle"/>
          <w:b w:val="0"/>
          <w:i w:val="0"/>
          <w:sz w:val="22"/>
        </w:rPr>
      </w:pPr>
      <w:r>
        <w:t>Once CAMAC</w:t>
      </w:r>
      <w:r w:rsidR="00DC3095">
        <w:t xml:space="preserve"> ceases, the Commonwealth is substituted for CAMAC as a party to any proceedings that were pending in any court or tribunal </w:t>
      </w:r>
      <w:r w:rsidR="001E7BE0">
        <w:t xml:space="preserve">and </w:t>
      </w:r>
      <w:r w:rsidR="00DC3095">
        <w:t>to which CAMAC was a party.  This provision ensures that any existing litigation is not affected by the cessation of CAMAC.</w:t>
      </w:r>
      <w:r w:rsidR="007F4031">
        <w:t xml:space="preserve"> </w:t>
      </w:r>
      <w:r w:rsidR="00DC3095">
        <w:t xml:space="preserve"> </w:t>
      </w:r>
      <w:r w:rsidR="00DC3095" w:rsidRPr="008077BD">
        <w:rPr>
          <w:rStyle w:val="Referencingstyle"/>
        </w:rPr>
        <w:t>[Schedule 1, Part 2, item 19]</w:t>
      </w:r>
    </w:p>
    <w:p w14:paraId="03F2ECEB" w14:textId="77777777" w:rsidR="00D9769E" w:rsidRPr="00D9769E" w:rsidRDefault="00500140" w:rsidP="007F4031">
      <w:pPr>
        <w:pStyle w:val="Heading4"/>
        <w:rPr>
          <w:rStyle w:val="Referencingstyle"/>
          <w:sz w:val="22"/>
        </w:rPr>
      </w:pPr>
      <w:r w:rsidRPr="007F4031">
        <w:rPr>
          <w:rStyle w:val="Referencingstyle"/>
          <w:b/>
          <w:i/>
          <w:sz w:val="22"/>
        </w:rPr>
        <w:t>Preservation</w:t>
      </w:r>
      <w:r>
        <w:rPr>
          <w:rStyle w:val="Referencingstyle"/>
          <w:b/>
          <w:i/>
          <w:sz w:val="22"/>
        </w:rPr>
        <w:t xml:space="preserve"> of exemption </w:t>
      </w:r>
      <w:r w:rsidR="00D9769E">
        <w:rPr>
          <w:rStyle w:val="Referencingstyle"/>
          <w:b/>
          <w:i/>
          <w:sz w:val="22"/>
        </w:rPr>
        <w:t>from liability</w:t>
      </w:r>
    </w:p>
    <w:p w14:paraId="19779385" w14:textId="6C6406AC" w:rsidR="00B45987" w:rsidRDefault="00D9769E" w:rsidP="00DC3095">
      <w:pPr>
        <w:pStyle w:val="base-text-paragraph"/>
      </w:pPr>
      <w:r w:rsidRPr="00D9769E">
        <w:t xml:space="preserve">Although </w:t>
      </w:r>
      <w:r w:rsidR="00B45987">
        <w:t xml:space="preserve">item 12 in Part 1 of Schedule 1 removes </w:t>
      </w:r>
      <w:r w:rsidRPr="00D9769E">
        <w:t xml:space="preserve">references </w:t>
      </w:r>
      <w:r w:rsidR="00B45987">
        <w:t xml:space="preserve">relating </w:t>
      </w:r>
      <w:r w:rsidRPr="00D9769E">
        <w:t>to CAMAC</w:t>
      </w:r>
      <w:r w:rsidR="00B45987">
        <w:t xml:space="preserve"> from the list </w:t>
      </w:r>
      <w:r w:rsidR="00B45987" w:rsidRPr="00B45987">
        <w:t>of entities and persons in subsection 246(1) of the ASIC Act who are exempt from liability for damages in relation to the performance of their functions and powers</w:t>
      </w:r>
      <w:r w:rsidR="006B734D">
        <w:t xml:space="preserve"> in certain circumstances</w:t>
      </w:r>
      <w:r w:rsidR="00B45987">
        <w:t xml:space="preserve">, </w:t>
      </w:r>
      <w:r w:rsidR="008678C4">
        <w:t xml:space="preserve">this </w:t>
      </w:r>
      <w:r w:rsidR="00456C7D">
        <w:t xml:space="preserve">Exposure Draft </w:t>
      </w:r>
      <w:r w:rsidR="00B45987">
        <w:t>provides a saving provision.</w:t>
      </w:r>
    </w:p>
    <w:p w14:paraId="1B6305DF" w14:textId="77777777" w:rsidR="00D9769E" w:rsidRDefault="00B45987" w:rsidP="00DC3095">
      <w:pPr>
        <w:pStyle w:val="base-text-paragraph"/>
      </w:pPr>
      <w:r>
        <w:t xml:space="preserve">Thus, despite the repeal of the references </w:t>
      </w:r>
      <w:r w:rsidRPr="00B45987">
        <w:t xml:space="preserve">to CAMAC, its members and its staff, consultants and </w:t>
      </w:r>
      <w:proofErr w:type="spellStart"/>
      <w:r w:rsidRPr="00B45987">
        <w:t>secondees</w:t>
      </w:r>
      <w:proofErr w:type="spellEnd"/>
      <w:r>
        <w:t xml:space="preserve"> in section 246 of the ASIC Act (specifically, paragraphs 246(1</w:t>
      </w:r>
      <w:proofErr w:type="gramStart"/>
      <w:r>
        <w:t>)(</w:t>
      </w:r>
      <w:proofErr w:type="gramEnd"/>
      <w:r>
        <w:t xml:space="preserve">b), (d) and (h)), those persons continue to be exempt from liability for damages </w:t>
      </w:r>
      <w:r w:rsidR="006B734D">
        <w:t>in relation to an act done or omitted in good faith in the performance or purported performance of any function or power conferred under the corporations legislation before the commencement time.  The exemption from liability applies in relation to those acts or omissions as if the repeal (in item 12) had not happened.</w:t>
      </w:r>
      <w:r w:rsidR="007F4031">
        <w:t xml:space="preserve"> </w:t>
      </w:r>
      <w:r w:rsidR="006B734D">
        <w:t xml:space="preserve"> </w:t>
      </w:r>
      <w:r w:rsidR="006B734D" w:rsidRPr="006B734D">
        <w:rPr>
          <w:rStyle w:val="Referencingstyle"/>
        </w:rPr>
        <w:t xml:space="preserve">[Schedule 1, Part 2, </w:t>
      </w:r>
      <w:proofErr w:type="spellStart"/>
      <w:r w:rsidR="006B734D" w:rsidRPr="006B734D">
        <w:rPr>
          <w:rStyle w:val="Referencingstyle"/>
        </w:rPr>
        <w:t>subitem</w:t>
      </w:r>
      <w:proofErr w:type="spellEnd"/>
      <w:r w:rsidR="006B734D" w:rsidRPr="006B734D">
        <w:rPr>
          <w:rStyle w:val="Referencingstyle"/>
        </w:rPr>
        <w:t xml:space="preserve"> 25(1)]</w:t>
      </w:r>
    </w:p>
    <w:p w14:paraId="40E50A76" w14:textId="77777777" w:rsidR="006B734D" w:rsidRDefault="006B734D" w:rsidP="00DC3095">
      <w:pPr>
        <w:pStyle w:val="base-text-paragraph"/>
      </w:pPr>
      <w:r>
        <w:t>In the case of the reference to CAMAC in paragraph 246(1</w:t>
      </w:r>
      <w:proofErr w:type="gramStart"/>
      <w:r>
        <w:t>)(</w:t>
      </w:r>
      <w:proofErr w:type="gramEnd"/>
      <w:r>
        <w:t>b) of the ASIC Act, the exemption from liability continues in relation to acts or omissions by CAMAC before the commencement time as if the Commonwealth were referred to in th</w:t>
      </w:r>
      <w:r w:rsidR="00DC3695">
        <w:t>at</w:t>
      </w:r>
      <w:r>
        <w:t xml:space="preserve"> paragraph.</w:t>
      </w:r>
      <w:r w:rsidR="00DC3695">
        <w:t xml:space="preserve">  This substitutes ‘the Commonwealth’ for ‘CAMAC’.</w:t>
      </w:r>
      <w:r w:rsidR="007F4031">
        <w:t xml:space="preserve"> </w:t>
      </w:r>
      <w:r w:rsidR="00DC3695">
        <w:t xml:space="preserve"> </w:t>
      </w:r>
      <w:r w:rsidR="00DC3695" w:rsidRPr="008077BD">
        <w:rPr>
          <w:rStyle w:val="Referencingstyle"/>
        </w:rPr>
        <w:t xml:space="preserve">[Schedule 1, Part 2, </w:t>
      </w:r>
      <w:proofErr w:type="spellStart"/>
      <w:r w:rsidR="00DC3695" w:rsidRPr="006B734D">
        <w:rPr>
          <w:rStyle w:val="Referencingstyle"/>
        </w:rPr>
        <w:t>subitem</w:t>
      </w:r>
      <w:proofErr w:type="spellEnd"/>
      <w:r w:rsidR="00DC3695" w:rsidRPr="006B734D">
        <w:rPr>
          <w:rStyle w:val="Referencingstyle"/>
        </w:rPr>
        <w:t xml:space="preserve"> 25(</w:t>
      </w:r>
      <w:r w:rsidR="00DC3695">
        <w:rPr>
          <w:rStyle w:val="Referencingstyle"/>
        </w:rPr>
        <w:t>2</w:t>
      </w:r>
      <w:r w:rsidR="00DC3695" w:rsidRPr="006B734D">
        <w:rPr>
          <w:rStyle w:val="Referencingstyle"/>
        </w:rPr>
        <w:t>)</w:t>
      </w:r>
      <w:r w:rsidR="00DC3695" w:rsidRPr="008077BD">
        <w:rPr>
          <w:rStyle w:val="Referencingstyle"/>
        </w:rPr>
        <w:t>]</w:t>
      </w:r>
    </w:p>
    <w:p w14:paraId="2DCF3187" w14:textId="77777777" w:rsidR="00DC3695" w:rsidRPr="00B45987" w:rsidRDefault="00DC3695" w:rsidP="00DC3095">
      <w:pPr>
        <w:pStyle w:val="base-text-paragraph"/>
      </w:pPr>
      <w:r>
        <w:t xml:space="preserve">This item does not limit the operation of section </w:t>
      </w:r>
      <w:r w:rsidR="00023C9B">
        <w:t xml:space="preserve">8 </w:t>
      </w:r>
      <w:r>
        <w:t xml:space="preserve">of the </w:t>
      </w:r>
      <w:r w:rsidRPr="00DC3695">
        <w:rPr>
          <w:i/>
        </w:rPr>
        <w:t xml:space="preserve">Acts Interpretation </w:t>
      </w:r>
      <w:r w:rsidRPr="00111349">
        <w:rPr>
          <w:i/>
        </w:rPr>
        <w:t>Act 1901</w:t>
      </w:r>
      <w:r w:rsidR="00023C9B" w:rsidRPr="00111349">
        <w:t xml:space="preserve"> as in force on 1 January 2005 in relation to matters that are not covered by the item.  Section 8 of the </w:t>
      </w:r>
      <w:r w:rsidR="00023C9B" w:rsidRPr="00111349">
        <w:rPr>
          <w:i/>
        </w:rPr>
        <w:t>Acts Interpretation Act 1901</w:t>
      </w:r>
      <w:r w:rsidR="00023C9B" w:rsidRPr="00111349">
        <w:t xml:space="preserve"> as in force on 1 January 2005</w:t>
      </w:r>
      <w:r w:rsidRPr="00111349">
        <w:t xml:space="preserve"> </w:t>
      </w:r>
      <w:r w:rsidR="00006442" w:rsidRPr="00111349">
        <w:t>provides for the effect of the repeal of Acts</w:t>
      </w:r>
      <w:r w:rsidR="00CD5E66" w:rsidRPr="00111349">
        <w:t xml:space="preserve"> or parts of Acts</w:t>
      </w:r>
      <w:r w:rsidR="00401A5B" w:rsidRPr="00111349">
        <w:t>.</w:t>
      </w:r>
      <w:r w:rsidR="007F4031" w:rsidRPr="00111349">
        <w:t xml:space="preserve"> </w:t>
      </w:r>
      <w:r w:rsidRPr="00111349">
        <w:t xml:space="preserve"> </w:t>
      </w:r>
      <w:r w:rsidR="00023C9B" w:rsidRPr="00111349">
        <w:t xml:space="preserve">(See paragraph </w:t>
      </w:r>
      <w:r w:rsidR="000B7928" w:rsidRPr="00111349">
        <w:t>1.21</w:t>
      </w:r>
      <w:r w:rsidR="00023C9B" w:rsidRPr="00111349">
        <w:t xml:space="preserve"> for an </w:t>
      </w:r>
      <w:r w:rsidR="00023C9B" w:rsidRPr="00111349">
        <w:lastRenderedPageBreak/>
        <w:t>explanation about the version of the</w:t>
      </w:r>
      <w:r w:rsidR="00023C9B" w:rsidRPr="00111349">
        <w:rPr>
          <w:i/>
        </w:rPr>
        <w:t xml:space="preserve"> Acts Interpretation Act 1901</w:t>
      </w:r>
      <w:r w:rsidR="00023C9B" w:rsidRPr="00111349">
        <w:t xml:space="preserve"> applying.)</w:t>
      </w:r>
      <w:r w:rsidR="00023C9B">
        <w:t xml:space="preserve">  </w:t>
      </w:r>
      <w:r w:rsidRPr="00401A5B">
        <w:rPr>
          <w:rStyle w:val="Referencingstyle"/>
        </w:rPr>
        <w:t>[Sc</w:t>
      </w:r>
      <w:r w:rsidRPr="008077BD">
        <w:rPr>
          <w:rStyle w:val="Referencingstyle"/>
        </w:rPr>
        <w:t xml:space="preserve">hedule 1, Part 2, </w:t>
      </w:r>
      <w:proofErr w:type="spellStart"/>
      <w:r w:rsidRPr="006B734D">
        <w:rPr>
          <w:rStyle w:val="Referencingstyle"/>
        </w:rPr>
        <w:t>subitem</w:t>
      </w:r>
      <w:proofErr w:type="spellEnd"/>
      <w:r w:rsidRPr="006B734D">
        <w:rPr>
          <w:rStyle w:val="Referencingstyle"/>
        </w:rPr>
        <w:t xml:space="preserve"> 25(</w:t>
      </w:r>
      <w:r>
        <w:rPr>
          <w:rStyle w:val="Referencingstyle"/>
        </w:rPr>
        <w:t>3</w:t>
      </w:r>
      <w:r w:rsidRPr="006B734D">
        <w:rPr>
          <w:rStyle w:val="Referencingstyle"/>
        </w:rPr>
        <w:t>)</w:t>
      </w:r>
      <w:r w:rsidRPr="008077BD">
        <w:rPr>
          <w:rStyle w:val="Referencingstyle"/>
        </w:rPr>
        <w:t>]</w:t>
      </w:r>
    </w:p>
    <w:p w14:paraId="00ABC7A9" w14:textId="77777777" w:rsidR="007F4031" w:rsidRPr="007F4031" w:rsidRDefault="007F4031" w:rsidP="00456C7D">
      <w:pPr>
        <w:pStyle w:val="base-text-paragraph"/>
        <w:numPr>
          <w:ilvl w:val="0"/>
          <w:numId w:val="0"/>
        </w:numPr>
        <w:ind w:left="1134"/>
      </w:pPr>
    </w:p>
    <w:p w14:paraId="59175A09" w14:textId="77777777" w:rsidR="00683438" w:rsidRDefault="00683438" w:rsidP="00961EC9">
      <w:pPr>
        <w:pStyle w:val="Hiddentext"/>
        <w:sectPr w:rsidR="00683438" w:rsidSect="00B41810">
          <w:headerReference w:type="even" r:id="rId26"/>
          <w:headerReference w:type="default" r:id="rId27"/>
          <w:footerReference w:type="even" r:id="rId28"/>
          <w:footerReference w:type="default" r:id="rId29"/>
          <w:footerReference w:type="first" r:id="rId30"/>
          <w:type w:val="oddPage"/>
          <w:pgSz w:w="11906" w:h="16838" w:code="9"/>
          <w:pgMar w:top="2466" w:right="2098" w:bottom="2466" w:left="2098" w:header="1559" w:footer="1899" w:gutter="0"/>
          <w:cols w:space="708"/>
          <w:titlePg/>
          <w:docGrid w:linePitch="360"/>
        </w:sectPr>
      </w:pPr>
    </w:p>
    <w:p w14:paraId="6FE5FB96" w14:textId="77777777" w:rsidR="00A82827" w:rsidRPr="00D67ADC" w:rsidRDefault="00A82827" w:rsidP="00C05B2C">
      <w:pPr>
        <w:pStyle w:val="Chapterheadingsubdocument"/>
      </w:pPr>
      <w:bookmarkStart w:id="4" w:name="Index"/>
      <w:bookmarkStart w:id="5" w:name="_Toc397600618"/>
      <w:r w:rsidRPr="00D67ADC">
        <w:lastRenderedPageBreak/>
        <w:t>Index</w:t>
      </w:r>
      <w:bookmarkEnd w:id="4"/>
      <w:bookmarkEnd w:id="5"/>
    </w:p>
    <w:p w14:paraId="64F19982" w14:textId="77777777" w:rsidR="00A82827" w:rsidRDefault="00A82827" w:rsidP="00C05B2C">
      <w:pPr>
        <w:pStyle w:val="Heading2with18pointafter"/>
      </w:pPr>
      <w:r>
        <w:t>Schedule 1: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A82827" w:rsidRPr="00442FB9" w14:paraId="77115A2B" w14:textId="77777777" w:rsidTr="00C05B2C">
        <w:trPr>
          <w:tblHeader/>
        </w:trPr>
        <w:tc>
          <w:tcPr>
            <w:tcW w:w="5760" w:type="dxa"/>
          </w:tcPr>
          <w:p w14:paraId="239AFF59" w14:textId="74A512E6" w:rsidR="00A82827" w:rsidRPr="00231CBA" w:rsidRDefault="00F57EC5" w:rsidP="00C05B2C">
            <w:pPr>
              <w:pStyle w:val="tableheaderwithintable"/>
            </w:pPr>
            <w:r>
              <w:t>Exposure Draft</w:t>
            </w:r>
            <w:r w:rsidRPr="00231CBA">
              <w:t xml:space="preserve"> </w:t>
            </w:r>
            <w:r w:rsidR="00A82827" w:rsidRPr="00231CBA">
              <w:t>reference</w:t>
            </w:r>
          </w:p>
        </w:tc>
        <w:tc>
          <w:tcPr>
            <w:tcW w:w="1980" w:type="dxa"/>
          </w:tcPr>
          <w:p w14:paraId="0C42BB1F" w14:textId="77777777" w:rsidR="00A82827" w:rsidRPr="00231CBA" w:rsidRDefault="00A82827" w:rsidP="00C05B2C">
            <w:pPr>
              <w:pStyle w:val="tableheaderwithintable"/>
            </w:pPr>
            <w:r w:rsidRPr="00231CBA">
              <w:t>Paragraph number</w:t>
            </w:r>
          </w:p>
        </w:tc>
      </w:tr>
      <w:tr w:rsidR="00A82827" w:rsidRPr="00231CBA" w14:paraId="51AB5C3F" w14:textId="77777777" w:rsidTr="00C05B2C">
        <w:trPr>
          <w:tblHeader/>
        </w:trPr>
        <w:tc>
          <w:tcPr>
            <w:tcW w:w="5760" w:type="dxa"/>
          </w:tcPr>
          <w:p w14:paraId="6FBD0F84" w14:textId="77777777" w:rsidR="00A82827" w:rsidRPr="00231CBA" w:rsidRDefault="00A82827" w:rsidP="00C05B2C">
            <w:pPr>
              <w:pStyle w:val="tabletext"/>
            </w:pPr>
            <w:r>
              <w:t>Part 1, item 1, Title of the ASIC Act</w:t>
            </w:r>
          </w:p>
        </w:tc>
        <w:tc>
          <w:tcPr>
            <w:tcW w:w="1980" w:type="dxa"/>
          </w:tcPr>
          <w:p w14:paraId="43092A5F" w14:textId="77777777" w:rsidR="00A82827" w:rsidRPr="00231CBA" w:rsidRDefault="00A82827" w:rsidP="00C05B2C">
            <w:pPr>
              <w:pStyle w:val="tabletext"/>
            </w:pPr>
            <w:r>
              <w:t>1.15</w:t>
            </w:r>
          </w:p>
        </w:tc>
      </w:tr>
      <w:tr w:rsidR="00A82827" w:rsidRPr="00231CBA" w14:paraId="013A8FE8" w14:textId="77777777" w:rsidTr="00C05B2C">
        <w:trPr>
          <w:tblHeader/>
        </w:trPr>
        <w:tc>
          <w:tcPr>
            <w:tcW w:w="5760" w:type="dxa"/>
          </w:tcPr>
          <w:p w14:paraId="35FEBFA5" w14:textId="77777777" w:rsidR="00A82827" w:rsidRDefault="00A82827" w:rsidP="00C05B2C">
            <w:pPr>
              <w:pStyle w:val="tabletext"/>
            </w:pPr>
            <w:r>
              <w:t>Part 1, item 2, paragraph 1(1)(c) of the ASIC Act</w:t>
            </w:r>
          </w:p>
        </w:tc>
        <w:tc>
          <w:tcPr>
            <w:tcW w:w="1980" w:type="dxa"/>
          </w:tcPr>
          <w:p w14:paraId="090ADFDB" w14:textId="77777777" w:rsidR="00A82827" w:rsidRDefault="00A82827" w:rsidP="00C05B2C">
            <w:pPr>
              <w:pStyle w:val="tabletext"/>
            </w:pPr>
            <w:r>
              <w:t>1.15</w:t>
            </w:r>
          </w:p>
        </w:tc>
      </w:tr>
      <w:tr w:rsidR="00A82827" w:rsidRPr="00231CBA" w14:paraId="7C50DC87" w14:textId="77777777" w:rsidTr="00C05B2C">
        <w:trPr>
          <w:tblHeader/>
        </w:trPr>
        <w:tc>
          <w:tcPr>
            <w:tcW w:w="5760" w:type="dxa"/>
          </w:tcPr>
          <w:p w14:paraId="3EAF655D" w14:textId="77777777" w:rsidR="00A82827" w:rsidRDefault="00A82827" w:rsidP="00C05B2C">
            <w:pPr>
              <w:pStyle w:val="tabletext"/>
            </w:pPr>
            <w:r>
              <w:t>Part 1, items 3 to 8, subsection 5(1) of the ASIC Act</w:t>
            </w:r>
          </w:p>
        </w:tc>
        <w:tc>
          <w:tcPr>
            <w:tcW w:w="1980" w:type="dxa"/>
          </w:tcPr>
          <w:p w14:paraId="69D06F75" w14:textId="77777777" w:rsidR="00A82827" w:rsidRDefault="00A82827" w:rsidP="00C05B2C">
            <w:pPr>
              <w:pStyle w:val="tabletext"/>
            </w:pPr>
            <w:r>
              <w:t>1.15</w:t>
            </w:r>
          </w:p>
        </w:tc>
      </w:tr>
      <w:tr w:rsidR="00A82827" w:rsidRPr="00231CBA" w14:paraId="25E0403D" w14:textId="77777777" w:rsidTr="00C05B2C">
        <w:trPr>
          <w:tblHeader/>
        </w:trPr>
        <w:tc>
          <w:tcPr>
            <w:tcW w:w="5760" w:type="dxa"/>
          </w:tcPr>
          <w:p w14:paraId="45291F01" w14:textId="77777777" w:rsidR="00A82827" w:rsidRDefault="00A82827" w:rsidP="00C05B2C">
            <w:pPr>
              <w:pStyle w:val="tabletext"/>
            </w:pPr>
            <w:r>
              <w:t>Part 1, item 9, subsection 11(3) of the ASIC Act</w:t>
            </w:r>
          </w:p>
        </w:tc>
        <w:tc>
          <w:tcPr>
            <w:tcW w:w="1980" w:type="dxa"/>
          </w:tcPr>
          <w:p w14:paraId="55973BDC" w14:textId="77777777" w:rsidR="00A82827" w:rsidRDefault="00A82827" w:rsidP="00C05B2C">
            <w:pPr>
              <w:pStyle w:val="tabletext"/>
            </w:pPr>
            <w:r>
              <w:t>1.18</w:t>
            </w:r>
          </w:p>
        </w:tc>
      </w:tr>
      <w:tr w:rsidR="00A82827" w:rsidRPr="00231CBA" w14:paraId="33C9A5FE" w14:textId="77777777" w:rsidTr="00C05B2C">
        <w:trPr>
          <w:tblHeader/>
        </w:trPr>
        <w:tc>
          <w:tcPr>
            <w:tcW w:w="5760" w:type="dxa"/>
          </w:tcPr>
          <w:p w14:paraId="270D2B6B" w14:textId="77777777" w:rsidR="00A82827" w:rsidRDefault="00A82827" w:rsidP="00C05B2C">
            <w:pPr>
              <w:pStyle w:val="tabletext"/>
            </w:pPr>
            <w:r>
              <w:t>Part 1, item 10, paragraph 127(4)(a) of the ASIC Act</w:t>
            </w:r>
          </w:p>
        </w:tc>
        <w:tc>
          <w:tcPr>
            <w:tcW w:w="1980" w:type="dxa"/>
          </w:tcPr>
          <w:p w14:paraId="3F4777BF" w14:textId="77777777" w:rsidR="00A82827" w:rsidRDefault="00A82827" w:rsidP="00C05B2C">
            <w:pPr>
              <w:pStyle w:val="tabletext"/>
            </w:pPr>
            <w:r>
              <w:t>1.15</w:t>
            </w:r>
          </w:p>
        </w:tc>
      </w:tr>
      <w:tr w:rsidR="00A82827" w:rsidRPr="00231CBA" w14:paraId="3F158A35" w14:textId="77777777" w:rsidTr="00C05B2C">
        <w:trPr>
          <w:tblHeader/>
        </w:trPr>
        <w:tc>
          <w:tcPr>
            <w:tcW w:w="5760" w:type="dxa"/>
          </w:tcPr>
          <w:p w14:paraId="59F1BF50" w14:textId="77777777" w:rsidR="00A82827" w:rsidRDefault="00A82827" w:rsidP="00C05B2C">
            <w:pPr>
              <w:pStyle w:val="tabletext"/>
            </w:pPr>
            <w:r>
              <w:t>Part 1, item 11, Part 9 of the ASIC Act</w:t>
            </w:r>
          </w:p>
        </w:tc>
        <w:tc>
          <w:tcPr>
            <w:tcW w:w="1980" w:type="dxa"/>
          </w:tcPr>
          <w:p w14:paraId="2A454930" w14:textId="77777777" w:rsidR="00A82827" w:rsidRDefault="00A82827" w:rsidP="00C05B2C">
            <w:pPr>
              <w:pStyle w:val="tabletext"/>
            </w:pPr>
            <w:r>
              <w:t>1.12</w:t>
            </w:r>
          </w:p>
        </w:tc>
      </w:tr>
      <w:tr w:rsidR="00A82827" w:rsidRPr="00231CBA" w14:paraId="1DB02491" w14:textId="77777777" w:rsidTr="00C05B2C">
        <w:trPr>
          <w:tblHeader/>
        </w:trPr>
        <w:tc>
          <w:tcPr>
            <w:tcW w:w="5760" w:type="dxa"/>
          </w:tcPr>
          <w:p w14:paraId="3863EFF1" w14:textId="77777777" w:rsidR="00A82827" w:rsidRDefault="00A82827" w:rsidP="00C05B2C">
            <w:pPr>
              <w:pStyle w:val="tabletext"/>
            </w:pPr>
            <w:r>
              <w:t>Part 1, item 12, paragraphs 246(1)(b), (d) and (h) of the ASIC Act</w:t>
            </w:r>
          </w:p>
        </w:tc>
        <w:tc>
          <w:tcPr>
            <w:tcW w:w="1980" w:type="dxa"/>
          </w:tcPr>
          <w:p w14:paraId="6CF8BE79" w14:textId="77777777" w:rsidR="00A82827" w:rsidRDefault="00A82827" w:rsidP="00C05B2C">
            <w:pPr>
              <w:pStyle w:val="tabletext"/>
            </w:pPr>
            <w:r>
              <w:t>1.15</w:t>
            </w:r>
          </w:p>
        </w:tc>
      </w:tr>
      <w:tr w:rsidR="00A82827" w:rsidRPr="00231CBA" w14:paraId="5FC06C8F" w14:textId="77777777" w:rsidTr="00C05B2C">
        <w:trPr>
          <w:tblHeader/>
        </w:trPr>
        <w:tc>
          <w:tcPr>
            <w:tcW w:w="5760" w:type="dxa"/>
          </w:tcPr>
          <w:p w14:paraId="097784DA" w14:textId="77777777" w:rsidR="00A82827" w:rsidRDefault="00A82827" w:rsidP="00C05B2C">
            <w:pPr>
              <w:pStyle w:val="tabletext"/>
            </w:pPr>
            <w:r>
              <w:t>Part 1, item 13, note to section 261 of the ASIC Act</w:t>
            </w:r>
          </w:p>
        </w:tc>
        <w:tc>
          <w:tcPr>
            <w:tcW w:w="1980" w:type="dxa"/>
          </w:tcPr>
          <w:p w14:paraId="49305F2F" w14:textId="77777777" w:rsidR="00A82827" w:rsidRDefault="00A82827" w:rsidP="00C05B2C">
            <w:pPr>
              <w:pStyle w:val="tabletext"/>
            </w:pPr>
            <w:r>
              <w:t>1.16</w:t>
            </w:r>
          </w:p>
        </w:tc>
      </w:tr>
      <w:tr w:rsidR="00A82827" w:rsidRPr="00231CBA" w14:paraId="70777FD0"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741185A9" w14:textId="77777777" w:rsidR="00A82827" w:rsidRDefault="00A82827" w:rsidP="00C05B2C">
            <w:pPr>
              <w:pStyle w:val="tabletext"/>
            </w:pPr>
            <w:r>
              <w:t xml:space="preserve">Part 2, </w:t>
            </w:r>
            <w:proofErr w:type="spellStart"/>
            <w:r>
              <w:t>subitem</w:t>
            </w:r>
            <w:proofErr w:type="spellEnd"/>
            <w:r>
              <w:t xml:space="preserve"> 14(1)</w:t>
            </w:r>
          </w:p>
        </w:tc>
        <w:tc>
          <w:tcPr>
            <w:tcW w:w="1980" w:type="dxa"/>
            <w:tcBorders>
              <w:top w:val="single" w:sz="4" w:space="0" w:color="auto"/>
              <w:left w:val="single" w:sz="4" w:space="0" w:color="auto"/>
              <w:bottom w:val="single" w:sz="4" w:space="0" w:color="auto"/>
              <w:right w:val="single" w:sz="4" w:space="0" w:color="auto"/>
            </w:tcBorders>
          </w:tcPr>
          <w:p w14:paraId="5F418AD2" w14:textId="77777777" w:rsidR="00A82827" w:rsidRDefault="00A82827" w:rsidP="00C05B2C">
            <w:pPr>
              <w:pStyle w:val="tabletext"/>
            </w:pPr>
            <w:r>
              <w:t>1.24, 1.34, 1.48</w:t>
            </w:r>
          </w:p>
        </w:tc>
      </w:tr>
      <w:tr w:rsidR="00A82827" w:rsidRPr="00231CBA" w14:paraId="20F027E1"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336F537D" w14:textId="77777777" w:rsidR="00A82827" w:rsidRDefault="00A82827" w:rsidP="00C05B2C">
            <w:pPr>
              <w:pStyle w:val="tabletext"/>
            </w:pPr>
            <w:r>
              <w:t xml:space="preserve">Part 2, </w:t>
            </w:r>
            <w:proofErr w:type="spellStart"/>
            <w:r>
              <w:t>subitems</w:t>
            </w:r>
            <w:proofErr w:type="spellEnd"/>
            <w:r>
              <w:t> 14(1), 16(1) and 16(2)</w:t>
            </w:r>
          </w:p>
        </w:tc>
        <w:tc>
          <w:tcPr>
            <w:tcW w:w="1980" w:type="dxa"/>
            <w:tcBorders>
              <w:top w:val="single" w:sz="4" w:space="0" w:color="auto"/>
              <w:left w:val="single" w:sz="4" w:space="0" w:color="auto"/>
              <w:bottom w:val="single" w:sz="4" w:space="0" w:color="auto"/>
              <w:right w:val="single" w:sz="4" w:space="0" w:color="auto"/>
            </w:tcBorders>
          </w:tcPr>
          <w:p w14:paraId="50E29EBA" w14:textId="77777777" w:rsidR="00A82827" w:rsidRDefault="00A82827" w:rsidP="00C05B2C">
            <w:pPr>
              <w:pStyle w:val="tabletext"/>
            </w:pPr>
            <w:r>
              <w:t>1.36</w:t>
            </w:r>
          </w:p>
        </w:tc>
      </w:tr>
      <w:tr w:rsidR="00A82827" w:rsidRPr="00231CBA" w14:paraId="57A24790"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3836A234" w14:textId="77777777" w:rsidR="00A82827" w:rsidRDefault="00A82827" w:rsidP="00C05B2C">
            <w:pPr>
              <w:pStyle w:val="tabletext"/>
            </w:pPr>
            <w:r>
              <w:t xml:space="preserve">Part 2, </w:t>
            </w:r>
            <w:proofErr w:type="spellStart"/>
            <w:r>
              <w:t>subitem</w:t>
            </w:r>
            <w:proofErr w:type="spellEnd"/>
            <w:r>
              <w:t xml:space="preserve"> 14(1) and item 27</w:t>
            </w:r>
          </w:p>
        </w:tc>
        <w:tc>
          <w:tcPr>
            <w:tcW w:w="1980" w:type="dxa"/>
            <w:tcBorders>
              <w:top w:val="single" w:sz="4" w:space="0" w:color="auto"/>
              <w:left w:val="single" w:sz="4" w:space="0" w:color="auto"/>
              <w:bottom w:val="single" w:sz="4" w:space="0" w:color="auto"/>
              <w:right w:val="single" w:sz="4" w:space="0" w:color="auto"/>
            </w:tcBorders>
          </w:tcPr>
          <w:p w14:paraId="22F978F6" w14:textId="77777777" w:rsidR="00A82827" w:rsidRDefault="00A82827" w:rsidP="00C05B2C">
            <w:pPr>
              <w:pStyle w:val="tabletext"/>
            </w:pPr>
            <w:r>
              <w:t>1.44</w:t>
            </w:r>
          </w:p>
        </w:tc>
      </w:tr>
      <w:tr w:rsidR="00A82827" w:rsidRPr="00231CBA" w14:paraId="4E813AF4" w14:textId="77777777" w:rsidTr="00C05B2C">
        <w:trPr>
          <w:tblHeader/>
        </w:trPr>
        <w:tc>
          <w:tcPr>
            <w:tcW w:w="5760" w:type="dxa"/>
          </w:tcPr>
          <w:p w14:paraId="07A0431F" w14:textId="77777777" w:rsidR="00A82827" w:rsidRDefault="00A82827" w:rsidP="00C05B2C">
            <w:pPr>
              <w:pStyle w:val="tabletext"/>
            </w:pPr>
            <w:r>
              <w:t xml:space="preserve">Part 2, </w:t>
            </w:r>
            <w:proofErr w:type="spellStart"/>
            <w:r>
              <w:t>subitem</w:t>
            </w:r>
            <w:proofErr w:type="spellEnd"/>
            <w:r>
              <w:t> 14(2)</w:t>
            </w:r>
          </w:p>
        </w:tc>
        <w:tc>
          <w:tcPr>
            <w:tcW w:w="1980" w:type="dxa"/>
          </w:tcPr>
          <w:p w14:paraId="2A3BADA4" w14:textId="77777777" w:rsidR="00A82827" w:rsidRDefault="00A82827" w:rsidP="00C05B2C">
            <w:pPr>
              <w:pStyle w:val="tabletext"/>
            </w:pPr>
            <w:r>
              <w:t>1.21</w:t>
            </w:r>
          </w:p>
        </w:tc>
      </w:tr>
      <w:tr w:rsidR="00A82827" w:rsidRPr="00231CBA" w14:paraId="734C44AA"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4EBF7C54" w14:textId="77777777" w:rsidR="00A82827" w:rsidRDefault="00A82827" w:rsidP="00C05B2C">
            <w:pPr>
              <w:pStyle w:val="tabletext"/>
            </w:pPr>
            <w:r>
              <w:t>Part 2, item 15</w:t>
            </w:r>
          </w:p>
        </w:tc>
        <w:tc>
          <w:tcPr>
            <w:tcW w:w="1980" w:type="dxa"/>
            <w:tcBorders>
              <w:top w:val="single" w:sz="4" w:space="0" w:color="auto"/>
              <w:left w:val="single" w:sz="4" w:space="0" w:color="auto"/>
              <w:bottom w:val="single" w:sz="4" w:space="0" w:color="auto"/>
              <w:right w:val="single" w:sz="4" w:space="0" w:color="auto"/>
            </w:tcBorders>
          </w:tcPr>
          <w:p w14:paraId="23118C9E" w14:textId="77777777" w:rsidR="00A82827" w:rsidRDefault="00A82827" w:rsidP="00C05B2C">
            <w:pPr>
              <w:pStyle w:val="tabletext"/>
            </w:pPr>
            <w:r>
              <w:t>1.33</w:t>
            </w:r>
          </w:p>
        </w:tc>
      </w:tr>
      <w:tr w:rsidR="00A82827" w:rsidRPr="00231CBA" w14:paraId="29DA0111"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4FF32199" w14:textId="77777777" w:rsidR="00A82827" w:rsidRDefault="00A82827" w:rsidP="00C05B2C">
            <w:pPr>
              <w:pStyle w:val="tabletext"/>
            </w:pPr>
            <w:r>
              <w:t xml:space="preserve">Part 2, </w:t>
            </w:r>
            <w:proofErr w:type="spellStart"/>
            <w:r>
              <w:t>subitem</w:t>
            </w:r>
            <w:proofErr w:type="spellEnd"/>
            <w:r>
              <w:t> 16(3)</w:t>
            </w:r>
          </w:p>
        </w:tc>
        <w:tc>
          <w:tcPr>
            <w:tcW w:w="1980" w:type="dxa"/>
            <w:tcBorders>
              <w:top w:val="single" w:sz="4" w:space="0" w:color="auto"/>
              <w:left w:val="single" w:sz="4" w:space="0" w:color="auto"/>
              <w:bottom w:val="single" w:sz="4" w:space="0" w:color="auto"/>
              <w:right w:val="single" w:sz="4" w:space="0" w:color="auto"/>
            </w:tcBorders>
          </w:tcPr>
          <w:p w14:paraId="3D5CBD61" w14:textId="77777777" w:rsidR="00A82827" w:rsidRDefault="00A82827" w:rsidP="00C05B2C">
            <w:pPr>
              <w:pStyle w:val="tabletext"/>
            </w:pPr>
            <w:r>
              <w:t>1.37</w:t>
            </w:r>
          </w:p>
        </w:tc>
      </w:tr>
      <w:tr w:rsidR="00A82827" w:rsidRPr="00231CBA" w14:paraId="00890A30"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2B679FF3" w14:textId="77777777" w:rsidR="00A82827" w:rsidRDefault="00A82827" w:rsidP="00C05B2C">
            <w:pPr>
              <w:pStyle w:val="tabletext"/>
            </w:pPr>
            <w:r>
              <w:t xml:space="preserve">Part 2, </w:t>
            </w:r>
            <w:proofErr w:type="spellStart"/>
            <w:r>
              <w:t>subitem</w:t>
            </w:r>
            <w:proofErr w:type="spellEnd"/>
            <w:r>
              <w:t> 16(4)</w:t>
            </w:r>
          </w:p>
        </w:tc>
        <w:tc>
          <w:tcPr>
            <w:tcW w:w="1980" w:type="dxa"/>
            <w:tcBorders>
              <w:top w:val="single" w:sz="4" w:space="0" w:color="auto"/>
              <w:left w:val="single" w:sz="4" w:space="0" w:color="auto"/>
              <w:bottom w:val="single" w:sz="4" w:space="0" w:color="auto"/>
              <w:right w:val="single" w:sz="4" w:space="0" w:color="auto"/>
            </w:tcBorders>
          </w:tcPr>
          <w:p w14:paraId="416FFEA6" w14:textId="77777777" w:rsidR="00A82827" w:rsidRDefault="00A82827" w:rsidP="00C05B2C">
            <w:pPr>
              <w:pStyle w:val="tabletext"/>
            </w:pPr>
            <w:r>
              <w:t>1.38</w:t>
            </w:r>
          </w:p>
        </w:tc>
      </w:tr>
      <w:tr w:rsidR="00A82827" w:rsidRPr="00231CBA" w14:paraId="75682AFE"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24588BC9" w14:textId="77777777" w:rsidR="00A82827" w:rsidRDefault="00A82827" w:rsidP="00C05B2C">
            <w:pPr>
              <w:pStyle w:val="tabletext"/>
            </w:pPr>
            <w:r>
              <w:t xml:space="preserve">Part 2, </w:t>
            </w:r>
            <w:proofErr w:type="spellStart"/>
            <w:r>
              <w:t>subitems</w:t>
            </w:r>
            <w:proofErr w:type="spellEnd"/>
            <w:r>
              <w:t xml:space="preserve"> 17(1) and (2)</w:t>
            </w:r>
          </w:p>
        </w:tc>
        <w:tc>
          <w:tcPr>
            <w:tcW w:w="1980" w:type="dxa"/>
            <w:tcBorders>
              <w:top w:val="single" w:sz="4" w:space="0" w:color="auto"/>
              <w:left w:val="single" w:sz="4" w:space="0" w:color="auto"/>
              <w:bottom w:val="single" w:sz="4" w:space="0" w:color="auto"/>
              <w:right w:val="single" w:sz="4" w:space="0" w:color="auto"/>
            </w:tcBorders>
          </w:tcPr>
          <w:p w14:paraId="73F76846" w14:textId="77777777" w:rsidR="00A82827" w:rsidRDefault="00A82827" w:rsidP="00C05B2C">
            <w:pPr>
              <w:pStyle w:val="tabletext"/>
            </w:pPr>
            <w:r>
              <w:t>1.47</w:t>
            </w:r>
          </w:p>
        </w:tc>
      </w:tr>
      <w:tr w:rsidR="00A82827" w:rsidRPr="00231CBA" w14:paraId="76CFDC7E"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38464789" w14:textId="77777777" w:rsidR="00A82827" w:rsidRDefault="00A82827" w:rsidP="00C05B2C">
            <w:pPr>
              <w:pStyle w:val="tabletext"/>
            </w:pPr>
            <w:r>
              <w:t xml:space="preserve">Part 2, </w:t>
            </w:r>
            <w:proofErr w:type="spellStart"/>
            <w:r>
              <w:t>subitem</w:t>
            </w:r>
            <w:proofErr w:type="spellEnd"/>
            <w:r>
              <w:t xml:space="preserve"> 17(3) and paragraph 27(a)</w:t>
            </w:r>
          </w:p>
        </w:tc>
        <w:tc>
          <w:tcPr>
            <w:tcW w:w="1980" w:type="dxa"/>
            <w:tcBorders>
              <w:top w:val="single" w:sz="4" w:space="0" w:color="auto"/>
              <w:left w:val="single" w:sz="4" w:space="0" w:color="auto"/>
              <w:bottom w:val="single" w:sz="4" w:space="0" w:color="auto"/>
              <w:right w:val="single" w:sz="4" w:space="0" w:color="auto"/>
            </w:tcBorders>
          </w:tcPr>
          <w:p w14:paraId="7B3336F2" w14:textId="77777777" w:rsidR="00A82827" w:rsidRDefault="00A82827" w:rsidP="00C05B2C">
            <w:pPr>
              <w:pStyle w:val="tabletext"/>
            </w:pPr>
            <w:r>
              <w:t>1.49</w:t>
            </w:r>
          </w:p>
        </w:tc>
      </w:tr>
      <w:tr w:rsidR="00A82827" w:rsidRPr="00231CBA" w14:paraId="604576D9"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1F4AD446" w14:textId="77777777" w:rsidR="00A82827" w:rsidRDefault="00A82827" w:rsidP="00C05B2C">
            <w:pPr>
              <w:pStyle w:val="tabletext"/>
            </w:pPr>
            <w:r>
              <w:t xml:space="preserve">Part 2, </w:t>
            </w:r>
            <w:proofErr w:type="spellStart"/>
            <w:r>
              <w:t>subitem</w:t>
            </w:r>
            <w:proofErr w:type="spellEnd"/>
            <w:r>
              <w:t xml:space="preserve"> 17(4)</w:t>
            </w:r>
          </w:p>
        </w:tc>
        <w:tc>
          <w:tcPr>
            <w:tcW w:w="1980" w:type="dxa"/>
            <w:tcBorders>
              <w:top w:val="single" w:sz="4" w:space="0" w:color="auto"/>
              <w:left w:val="single" w:sz="4" w:space="0" w:color="auto"/>
              <w:bottom w:val="single" w:sz="4" w:space="0" w:color="auto"/>
              <w:right w:val="single" w:sz="4" w:space="0" w:color="auto"/>
            </w:tcBorders>
          </w:tcPr>
          <w:p w14:paraId="14BE36B5" w14:textId="77777777" w:rsidR="00A82827" w:rsidRDefault="00A82827" w:rsidP="00C05B2C">
            <w:pPr>
              <w:pStyle w:val="tabletext"/>
            </w:pPr>
            <w:r>
              <w:t>1.51</w:t>
            </w:r>
          </w:p>
        </w:tc>
      </w:tr>
      <w:tr w:rsidR="00A82827" w:rsidRPr="00231CBA" w14:paraId="06FB08F7"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63ED4C67" w14:textId="77777777" w:rsidR="00A82827" w:rsidRDefault="00A82827" w:rsidP="00C05B2C">
            <w:pPr>
              <w:pStyle w:val="tabletext"/>
            </w:pPr>
            <w:r>
              <w:t xml:space="preserve">Part 2, </w:t>
            </w:r>
            <w:proofErr w:type="spellStart"/>
            <w:r>
              <w:t>subitem</w:t>
            </w:r>
            <w:proofErr w:type="spellEnd"/>
            <w:r>
              <w:t> 18(1)</w:t>
            </w:r>
          </w:p>
        </w:tc>
        <w:tc>
          <w:tcPr>
            <w:tcW w:w="1980" w:type="dxa"/>
            <w:tcBorders>
              <w:top w:val="single" w:sz="4" w:space="0" w:color="auto"/>
              <w:left w:val="single" w:sz="4" w:space="0" w:color="auto"/>
              <w:bottom w:val="single" w:sz="4" w:space="0" w:color="auto"/>
              <w:right w:val="single" w:sz="4" w:space="0" w:color="auto"/>
            </w:tcBorders>
          </w:tcPr>
          <w:p w14:paraId="21990900" w14:textId="77777777" w:rsidR="00A82827" w:rsidRDefault="00A82827" w:rsidP="00C05B2C">
            <w:pPr>
              <w:pStyle w:val="tabletext"/>
            </w:pPr>
            <w:r>
              <w:t>1.52</w:t>
            </w:r>
          </w:p>
        </w:tc>
      </w:tr>
      <w:tr w:rsidR="00A82827" w:rsidRPr="00231CBA" w14:paraId="65565297"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6793958A" w14:textId="77777777" w:rsidR="00A82827" w:rsidRDefault="00A82827" w:rsidP="00C05B2C">
            <w:pPr>
              <w:pStyle w:val="tabletext"/>
            </w:pPr>
            <w:r>
              <w:t xml:space="preserve">Part 2, </w:t>
            </w:r>
            <w:proofErr w:type="spellStart"/>
            <w:r>
              <w:t>subitem</w:t>
            </w:r>
            <w:proofErr w:type="spellEnd"/>
            <w:r>
              <w:t> 18(2)</w:t>
            </w:r>
          </w:p>
        </w:tc>
        <w:tc>
          <w:tcPr>
            <w:tcW w:w="1980" w:type="dxa"/>
            <w:tcBorders>
              <w:top w:val="single" w:sz="4" w:space="0" w:color="auto"/>
              <w:left w:val="single" w:sz="4" w:space="0" w:color="auto"/>
              <w:bottom w:val="single" w:sz="4" w:space="0" w:color="auto"/>
              <w:right w:val="single" w:sz="4" w:space="0" w:color="auto"/>
            </w:tcBorders>
          </w:tcPr>
          <w:p w14:paraId="23DCB69C" w14:textId="77777777" w:rsidR="00A82827" w:rsidRDefault="00A82827" w:rsidP="00C05B2C">
            <w:pPr>
              <w:pStyle w:val="tabletext"/>
            </w:pPr>
            <w:r>
              <w:t>1.56</w:t>
            </w:r>
          </w:p>
        </w:tc>
      </w:tr>
      <w:tr w:rsidR="00A82827" w:rsidRPr="00231CBA" w14:paraId="596F8E24"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3BAB557B" w14:textId="77777777" w:rsidR="00A82827" w:rsidRDefault="00A82827" w:rsidP="00C05B2C">
            <w:pPr>
              <w:pStyle w:val="tabletext"/>
            </w:pPr>
            <w:r>
              <w:t xml:space="preserve">Part 2, </w:t>
            </w:r>
            <w:proofErr w:type="spellStart"/>
            <w:r>
              <w:t>subitem</w:t>
            </w:r>
            <w:proofErr w:type="spellEnd"/>
            <w:r>
              <w:t xml:space="preserve"> 18(3) and paragraph 27(a)</w:t>
            </w:r>
          </w:p>
        </w:tc>
        <w:tc>
          <w:tcPr>
            <w:tcW w:w="1980" w:type="dxa"/>
            <w:tcBorders>
              <w:top w:val="single" w:sz="4" w:space="0" w:color="auto"/>
              <w:left w:val="single" w:sz="4" w:space="0" w:color="auto"/>
              <w:bottom w:val="single" w:sz="4" w:space="0" w:color="auto"/>
              <w:right w:val="single" w:sz="4" w:space="0" w:color="auto"/>
            </w:tcBorders>
          </w:tcPr>
          <w:p w14:paraId="36FB155E" w14:textId="77777777" w:rsidR="00A82827" w:rsidRDefault="00A82827" w:rsidP="00C05B2C">
            <w:pPr>
              <w:pStyle w:val="tabletext"/>
            </w:pPr>
            <w:r>
              <w:t>1.53</w:t>
            </w:r>
          </w:p>
        </w:tc>
      </w:tr>
      <w:tr w:rsidR="00A82827" w:rsidRPr="00231CBA" w14:paraId="1DD3D0D7"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27ACD080" w14:textId="77777777" w:rsidR="00A82827" w:rsidRDefault="00A82827" w:rsidP="00C05B2C">
            <w:pPr>
              <w:pStyle w:val="tabletext"/>
            </w:pPr>
            <w:r>
              <w:t xml:space="preserve">Part 2, </w:t>
            </w:r>
            <w:proofErr w:type="spellStart"/>
            <w:r>
              <w:t>subitem</w:t>
            </w:r>
            <w:proofErr w:type="spellEnd"/>
            <w:r>
              <w:t xml:space="preserve"> 18(4)</w:t>
            </w:r>
          </w:p>
        </w:tc>
        <w:tc>
          <w:tcPr>
            <w:tcW w:w="1980" w:type="dxa"/>
            <w:tcBorders>
              <w:top w:val="single" w:sz="4" w:space="0" w:color="auto"/>
              <w:left w:val="single" w:sz="4" w:space="0" w:color="auto"/>
              <w:bottom w:val="single" w:sz="4" w:space="0" w:color="auto"/>
              <w:right w:val="single" w:sz="4" w:space="0" w:color="auto"/>
            </w:tcBorders>
          </w:tcPr>
          <w:p w14:paraId="2BC774AD" w14:textId="77777777" w:rsidR="00A82827" w:rsidRDefault="00A82827" w:rsidP="00C05B2C">
            <w:pPr>
              <w:pStyle w:val="tabletext"/>
            </w:pPr>
            <w:r>
              <w:t>1.55</w:t>
            </w:r>
          </w:p>
        </w:tc>
      </w:tr>
      <w:tr w:rsidR="00A82827" w:rsidRPr="00231CBA" w14:paraId="37E23B16"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61FF803A" w14:textId="77777777" w:rsidR="00A82827" w:rsidRDefault="00A82827" w:rsidP="00C05B2C">
            <w:pPr>
              <w:pStyle w:val="tabletext"/>
            </w:pPr>
            <w:r>
              <w:t>Part 2, item 19</w:t>
            </w:r>
          </w:p>
        </w:tc>
        <w:tc>
          <w:tcPr>
            <w:tcW w:w="1980" w:type="dxa"/>
            <w:tcBorders>
              <w:top w:val="single" w:sz="4" w:space="0" w:color="auto"/>
              <w:left w:val="single" w:sz="4" w:space="0" w:color="auto"/>
              <w:bottom w:val="single" w:sz="4" w:space="0" w:color="auto"/>
              <w:right w:val="single" w:sz="4" w:space="0" w:color="auto"/>
            </w:tcBorders>
          </w:tcPr>
          <w:p w14:paraId="21E70CC9" w14:textId="77777777" w:rsidR="00A82827" w:rsidRDefault="00A82827" w:rsidP="00C05B2C">
            <w:pPr>
              <w:pStyle w:val="tabletext"/>
            </w:pPr>
            <w:r>
              <w:t>1.59</w:t>
            </w:r>
          </w:p>
        </w:tc>
      </w:tr>
      <w:tr w:rsidR="00A82827" w:rsidRPr="00231CBA" w14:paraId="12ACFE39"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7D017A14" w14:textId="77777777" w:rsidR="00A82827" w:rsidRDefault="00A82827" w:rsidP="00C05B2C">
            <w:pPr>
              <w:pStyle w:val="tabletext"/>
            </w:pPr>
            <w:r>
              <w:t>Part 2, item 20</w:t>
            </w:r>
          </w:p>
        </w:tc>
        <w:tc>
          <w:tcPr>
            <w:tcW w:w="1980" w:type="dxa"/>
            <w:tcBorders>
              <w:top w:val="single" w:sz="4" w:space="0" w:color="auto"/>
              <w:left w:val="single" w:sz="4" w:space="0" w:color="auto"/>
              <w:bottom w:val="single" w:sz="4" w:space="0" w:color="auto"/>
              <w:right w:val="single" w:sz="4" w:space="0" w:color="auto"/>
            </w:tcBorders>
          </w:tcPr>
          <w:p w14:paraId="3CB54F38" w14:textId="77777777" w:rsidR="00A82827" w:rsidRDefault="00A82827" w:rsidP="00C05B2C">
            <w:pPr>
              <w:pStyle w:val="tabletext"/>
            </w:pPr>
            <w:r>
              <w:t>1.29</w:t>
            </w:r>
          </w:p>
        </w:tc>
      </w:tr>
      <w:tr w:rsidR="00A82827" w:rsidRPr="00231CBA" w14:paraId="0B962CCE"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11A1933F" w14:textId="77777777" w:rsidR="00A82827" w:rsidRDefault="00A82827" w:rsidP="00C05B2C">
            <w:pPr>
              <w:pStyle w:val="tabletext"/>
            </w:pPr>
            <w:r>
              <w:t>Part 2, note to item 20</w:t>
            </w:r>
          </w:p>
        </w:tc>
        <w:tc>
          <w:tcPr>
            <w:tcW w:w="1980" w:type="dxa"/>
            <w:tcBorders>
              <w:top w:val="single" w:sz="4" w:space="0" w:color="auto"/>
              <w:left w:val="single" w:sz="4" w:space="0" w:color="auto"/>
              <w:bottom w:val="single" w:sz="4" w:space="0" w:color="auto"/>
              <w:right w:val="single" w:sz="4" w:space="0" w:color="auto"/>
            </w:tcBorders>
          </w:tcPr>
          <w:p w14:paraId="7E9A96C0" w14:textId="77777777" w:rsidR="00A82827" w:rsidRDefault="00A82827" w:rsidP="00C05B2C">
            <w:pPr>
              <w:pStyle w:val="tabletext"/>
            </w:pPr>
            <w:r>
              <w:t>1.30</w:t>
            </w:r>
          </w:p>
        </w:tc>
      </w:tr>
      <w:tr w:rsidR="00A82827" w:rsidRPr="00231CBA" w14:paraId="6C3260B5"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1B418147" w14:textId="77777777" w:rsidR="00A82827" w:rsidRDefault="00A82827" w:rsidP="00C05B2C">
            <w:pPr>
              <w:pStyle w:val="tabletext"/>
            </w:pPr>
            <w:r>
              <w:t>Part 2, item 21</w:t>
            </w:r>
          </w:p>
        </w:tc>
        <w:tc>
          <w:tcPr>
            <w:tcW w:w="1980" w:type="dxa"/>
            <w:tcBorders>
              <w:top w:val="single" w:sz="4" w:space="0" w:color="auto"/>
              <w:left w:val="single" w:sz="4" w:space="0" w:color="auto"/>
              <w:bottom w:val="single" w:sz="4" w:space="0" w:color="auto"/>
              <w:right w:val="single" w:sz="4" w:space="0" w:color="auto"/>
            </w:tcBorders>
          </w:tcPr>
          <w:p w14:paraId="3B093B3D" w14:textId="77777777" w:rsidR="00A82827" w:rsidRDefault="00A82827" w:rsidP="00C05B2C">
            <w:pPr>
              <w:pStyle w:val="tabletext"/>
            </w:pPr>
            <w:r>
              <w:t>1.32</w:t>
            </w:r>
          </w:p>
        </w:tc>
      </w:tr>
      <w:tr w:rsidR="00A82827" w:rsidRPr="00231CBA" w14:paraId="126DFB59" w14:textId="77777777" w:rsidTr="00C05B2C">
        <w:trPr>
          <w:tblHeader/>
        </w:trPr>
        <w:tc>
          <w:tcPr>
            <w:tcW w:w="5760" w:type="dxa"/>
          </w:tcPr>
          <w:p w14:paraId="63B4FFE1" w14:textId="77777777" w:rsidR="00A82827" w:rsidRDefault="00A82827" w:rsidP="00C05B2C">
            <w:pPr>
              <w:pStyle w:val="tabletext"/>
            </w:pPr>
            <w:r>
              <w:t xml:space="preserve">Part 2, </w:t>
            </w:r>
            <w:proofErr w:type="spellStart"/>
            <w:r>
              <w:t>subitem</w:t>
            </w:r>
            <w:proofErr w:type="spellEnd"/>
            <w:r>
              <w:t> 22(1)</w:t>
            </w:r>
          </w:p>
        </w:tc>
        <w:tc>
          <w:tcPr>
            <w:tcW w:w="1980" w:type="dxa"/>
          </w:tcPr>
          <w:p w14:paraId="31C94BCE" w14:textId="77777777" w:rsidR="00A82827" w:rsidRDefault="00A82827" w:rsidP="00C05B2C">
            <w:pPr>
              <w:pStyle w:val="tabletext"/>
            </w:pPr>
            <w:r>
              <w:t>1.22</w:t>
            </w:r>
          </w:p>
        </w:tc>
      </w:tr>
      <w:tr w:rsidR="00A82827" w:rsidRPr="00231CBA" w14:paraId="7D0493E9"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2050532F" w14:textId="77777777" w:rsidR="00A82827" w:rsidRDefault="00A82827" w:rsidP="00C05B2C">
            <w:pPr>
              <w:pStyle w:val="tabletext"/>
            </w:pPr>
            <w:r>
              <w:t xml:space="preserve">Part 2, </w:t>
            </w:r>
            <w:proofErr w:type="spellStart"/>
            <w:r>
              <w:t>subitem</w:t>
            </w:r>
            <w:proofErr w:type="spellEnd"/>
            <w:r>
              <w:t xml:space="preserve"> 22(2)</w:t>
            </w:r>
          </w:p>
        </w:tc>
        <w:tc>
          <w:tcPr>
            <w:tcW w:w="1980" w:type="dxa"/>
            <w:tcBorders>
              <w:top w:val="single" w:sz="4" w:space="0" w:color="auto"/>
              <w:left w:val="single" w:sz="4" w:space="0" w:color="auto"/>
              <w:bottom w:val="single" w:sz="4" w:space="0" w:color="auto"/>
              <w:right w:val="single" w:sz="4" w:space="0" w:color="auto"/>
            </w:tcBorders>
          </w:tcPr>
          <w:p w14:paraId="44940159" w14:textId="77777777" w:rsidR="00A82827" w:rsidRDefault="00A82827" w:rsidP="00C05B2C">
            <w:pPr>
              <w:pStyle w:val="tabletext"/>
            </w:pPr>
            <w:r>
              <w:t>1.25</w:t>
            </w:r>
          </w:p>
        </w:tc>
      </w:tr>
      <w:tr w:rsidR="00A82827" w:rsidRPr="00231CBA" w14:paraId="69A68FB5"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33AB5705" w14:textId="77777777" w:rsidR="00A82827" w:rsidRDefault="00A82827" w:rsidP="00C05B2C">
            <w:pPr>
              <w:pStyle w:val="tabletext"/>
            </w:pPr>
            <w:r>
              <w:t xml:space="preserve">Part 2, </w:t>
            </w:r>
            <w:proofErr w:type="spellStart"/>
            <w:r>
              <w:t>subitem</w:t>
            </w:r>
            <w:proofErr w:type="spellEnd"/>
            <w:r>
              <w:t> 22(3)</w:t>
            </w:r>
          </w:p>
        </w:tc>
        <w:tc>
          <w:tcPr>
            <w:tcW w:w="1980" w:type="dxa"/>
            <w:tcBorders>
              <w:top w:val="single" w:sz="4" w:space="0" w:color="auto"/>
              <w:left w:val="single" w:sz="4" w:space="0" w:color="auto"/>
              <w:bottom w:val="single" w:sz="4" w:space="0" w:color="auto"/>
              <w:right w:val="single" w:sz="4" w:space="0" w:color="auto"/>
            </w:tcBorders>
          </w:tcPr>
          <w:p w14:paraId="4F361A94" w14:textId="77777777" w:rsidR="00A82827" w:rsidRDefault="00A82827" w:rsidP="00C05B2C">
            <w:pPr>
              <w:pStyle w:val="tabletext"/>
            </w:pPr>
            <w:r>
              <w:t>1.27</w:t>
            </w:r>
          </w:p>
        </w:tc>
      </w:tr>
      <w:tr w:rsidR="00A82827" w:rsidRPr="00231CBA" w14:paraId="41201F72"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35E3FAD5" w14:textId="77777777" w:rsidR="00A82827" w:rsidRDefault="00A82827" w:rsidP="00C05B2C">
            <w:pPr>
              <w:pStyle w:val="tabletext"/>
            </w:pPr>
            <w:r>
              <w:t xml:space="preserve">Part 2, </w:t>
            </w:r>
            <w:proofErr w:type="spellStart"/>
            <w:r>
              <w:t>subitem</w:t>
            </w:r>
            <w:proofErr w:type="spellEnd"/>
            <w:r>
              <w:t xml:space="preserve"> 22(4)</w:t>
            </w:r>
          </w:p>
        </w:tc>
        <w:tc>
          <w:tcPr>
            <w:tcW w:w="1980" w:type="dxa"/>
            <w:tcBorders>
              <w:top w:val="single" w:sz="4" w:space="0" w:color="auto"/>
              <w:left w:val="single" w:sz="4" w:space="0" w:color="auto"/>
              <w:bottom w:val="single" w:sz="4" w:space="0" w:color="auto"/>
              <w:right w:val="single" w:sz="4" w:space="0" w:color="auto"/>
            </w:tcBorders>
          </w:tcPr>
          <w:p w14:paraId="061A7C53" w14:textId="77777777" w:rsidR="00A82827" w:rsidRDefault="00A82827" w:rsidP="00C05B2C">
            <w:pPr>
              <w:pStyle w:val="tabletext"/>
            </w:pPr>
            <w:r>
              <w:t>1.28</w:t>
            </w:r>
          </w:p>
        </w:tc>
      </w:tr>
      <w:tr w:rsidR="00C05B2C" w:rsidRPr="00442FB9" w14:paraId="465345F2" w14:textId="77777777" w:rsidTr="00C05B2C">
        <w:trPr>
          <w:tblHeader/>
        </w:trPr>
        <w:tc>
          <w:tcPr>
            <w:tcW w:w="5760" w:type="dxa"/>
            <w:tcBorders>
              <w:top w:val="single" w:sz="4" w:space="0" w:color="auto"/>
              <w:left w:val="single" w:sz="4" w:space="0" w:color="auto"/>
              <w:bottom w:val="single" w:sz="4" w:space="0" w:color="auto"/>
              <w:right w:val="single" w:sz="4" w:space="0" w:color="auto"/>
            </w:tcBorders>
          </w:tcPr>
          <w:p w14:paraId="08632119" w14:textId="0C2769E5" w:rsidR="00C05B2C" w:rsidRPr="00231CBA" w:rsidRDefault="00F57EC5" w:rsidP="00F165B2">
            <w:pPr>
              <w:pStyle w:val="tableheaderwithintable"/>
            </w:pPr>
            <w:r>
              <w:lastRenderedPageBreak/>
              <w:t>Exposure Draft</w:t>
            </w:r>
            <w:r w:rsidRPr="00231CBA">
              <w:t xml:space="preserve"> </w:t>
            </w:r>
            <w:r w:rsidR="00C05B2C" w:rsidRPr="00231CBA">
              <w:t>reference</w:t>
            </w:r>
          </w:p>
        </w:tc>
        <w:tc>
          <w:tcPr>
            <w:tcW w:w="1980" w:type="dxa"/>
            <w:tcBorders>
              <w:top w:val="single" w:sz="4" w:space="0" w:color="auto"/>
              <w:left w:val="single" w:sz="4" w:space="0" w:color="auto"/>
              <w:bottom w:val="single" w:sz="4" w:space="0" w:color="auto"/>
              <w:right w:val="single" w:sz="4" w:space="0" w:color="auto"/>
            </w:tcBorders>
          </w:tcPr>
          <w:p w14:paraId="5DF976E6" w14:textId="77777777" w:rsidR="00C05B2C" w:rsidRPr="00231CBA" w:rsidRDefault="00C05B2C" w:rsidP="00F165B2">
            <w:pPr>
              <w:pStyle w:val="tableheaderwithintable"/>
            </w:pPr>
            <w:r w:rsidRPr="00231CBA">
              <w:t>Paragraph number</w:t>
            </w:r>
          </w:p>
        </w:tc>
      </w:tr>
      <w:tr w:rsidR="00A82827" w:rsidRPr="00231CBA" w14:paraId="5FCD5D9B" w14:textId="77777777" w:rsidTr="00C05B2C">
        <w:trPr>
          <w:tblHeader/>
        </w:trPr>
        <w:tc>
          <w:tcPr>
            <w:tcW w:w="5760" w:type="dxa"/>
          </w:tcPr>
          <w:p w14:paraId="03AF4071" w14:textId="77777777" w:rsidR="00A82827" w:rsidRDefault="00A82827" w:rsidP="00C05B2C">
            <w:pPr>
              <w:pStyle w:val="tabletext"/>
            </w:pPr>
            <w:r>
              <w:t xml:space="preserve">Part 2, </w:t>
            </w:r>
            <w:proofErr w:type="spellStart"/>
            <w:r>
              <w:t>subitem</w:t>
            </w:r>
            <w:proofErr w:type="spellEnd"/>
            <w:r>
              <w:t xml:space="preserve"> 22(5)</w:t>
            </w:r>
          </w:p>
        </w:tc>
        <w:tc>
          <w:tcPr>
            <w:tcW w:w="1980" w:type="dxa"/>
          </w:tcPr>
          <w:p w14:paraId="7547D543" w14:textId="77777777" w:rsidR="00A82827" w:rsidRDefault="00A82827" w:rsidP="00C05B2C">
            <w:pPr>
              <w:pStyle w:val="tabletext"/>
            </w:pPr>
            <w:r>
              <w:t>1.23</w:t>
            </w:r>
          </w:p>
        </w:tc>
      </w:tr>
      <w:tr w:rsidR="00A82827" w:rsidRPr="00231CBA" w14:paraId="619A117D"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648CDD4C" w14:textId="77777777" w:rsidR="00A82827" w:rsidRDefault="00A82827" w:rsidP="00C05B2C">
            <w:pPr>
              <w:pStyle w:val="tabletext"/>
            </w:pPr>
            <w:r>
              <w:t>Part 2, item 23</w:t>
            </w:r>
          </w:p>
        </w:tc>
        <w:tc>
          <w:tcPr>
            <w:tcW w:w="1980" w:type="dxa"/>
            <w:tcBorders>
              <w:top w:val="single" w:sz="4" w:space="0" w:color="auto"/>
              <w:left w:val="single" w:sz="4" w:space="0" w:color="auto"/>
              <w:bottom w:val="single" w:sz="4" w:space="0" w:color="auto"/>
              <w:right w:val="single" w:sz="4" w:space="0" w:color="auto"/>
            </w:tcBorders>
          </w:tcPr>
          <w:p w14:paraId="0B128C39" w14:textId="77777777" w:rsidR="00A82827" w:rsidRDefault="00A82827" w:rsidP="00C05B2C">
            <w:pPr>
              <w:pStyle w:val="tabletext"/>
            </w:pPr>
            <w:r>
              <w:t>1.39</w:t>
            </w:r>
          </w:p>
        </w:tc>
      </w:tr>
      <w:tr w:rsidR="00A82827" w:rsidRPr="00231CBA" w14:paraId="6CCD1F12" w14:textId="77777777" w:rsidTr="00A82827">
        <w:trPr>
          <w:tblHeader/>
        </w:trPr>
        <w:tc>
          <w:tcPr>
            <w:tcW w:w="5760" w:type="dxa"/>
            <w:tcBorders>
              <w:top w:val="single" w:sz="4" w:space="0" w:color="auto"/>
              <w:left w:val="single" w:sz="4" w:space="0" w:color="auto"/>
              <w:bottom w:val="single" w:sz="4" w:space="0" w:color="auto"/>
              <w:right w:val="single" w:sz="4" w:space="0" w:color="auto"/>
            </w:tcBorders>
          </w:tcPr>
          <w:p w14:paraId="6E9DDDBF" w14:textId="77777777" w:rsidR="00A82827" w:rsidRDefault="00A82827" w:rsidP="00C05B2C">
            <w:pPr>
              <w:pStyle w:val="tabletext"/>
            </w:pPr>
            <w:r>
              <w:t xml:space="preserve">Part 2, </w:t>
            </w:r>
            <w:proofErr w:type="spellStart"/>
            <w:r>
              <w:t>subitem</w:t>
            </w:r>
            <w:proofErr w:type="spellEnd"/>
            <w:r>
              <w:t xml:space="preserve"> 24(1) and note to </w:t>
            </w:r>
            <w:proofErr w:type="spellStart"/>
            <w:r>
              <w:t>subitem</w:t>
            </w:r>
            <w:proofErr w:type="spellEnd"/>
            <w:r>
              <w:t> 24(1)</w:t>
            </w:r>
          </w:p>
        </w:tc>
        <w:tc>
          <w:tcPr>
            <w:tcW w:w="1980" w:type="dxa"/>
            <w:tcBorders>
              <w:top w:val="single" w:sz="4" w:space="0" w:color="auto"/>
              <w:left w:val="single" w:sz="4" w:space="0" w:color="auto"/>
              <w:bottom w:val="single" w:sz="4" w:space="0" w:color="auto"/>
              <w:right w:val="single" w:sz="4" w:space="0" w:color="auto"/>
            </w:tcBorders>
          </w:tcPr>
          <w:p w14:paraId="3950D376" w14:textId="77777777" w:rsidR="00A82827" w:rsidRDefault="00A82827" w:rsidP="00C05B2C">
            <w:pPr>
              <w:pStyle w:val="tabletext"/>
            </w:pPr>
            <w:r>
              <w:t>1.41</w:t>
            </w:r>
          </w:p>
        </w:tc>
      </w:tr>
      <w:tr w:rsidR="00A82827" w:rsidRPr="00231CBA" w14:paraId="3576051F" w14:textId="77777777" w:rsidTr="00C05B2C">
        <w:trPr>
          <w:tblHeader/>
        </w:trPr>
        <w:tc>
          <w:tcPr>
            <w:tcW w:w="5760" w:type="dxa"/>
          </w:tcPr>
          <w:p w14:paraId="142DE124" w14:textId="77777777" w:rsidR="00A82827" w:rsidRDefault="00A82827" w:rsidP="00C05B2C">
            <w:pPr>
              <w:pStyle w:val="tabletext"/>
            </w:pPr>
            <w:r>
              <w:t xml:space="preserve">Part 2, </w:t>
            </w:r>
            <w:proofErr w:type="spellStart"/>
            <w:r>
              <w:t>subitem</w:t>
            </w:r>
            <w:proofErr w:type="spellEnd"/>
            <w:r>
              <w:t> 24(2)</w:t>
            </w:r>
          </w:p>
        </w:tc>
        <w:tc>
          <w:tcPr>
            <w:tcW w:w="1980" w:type="dxa"/>
          </w:tcPr>
          <w:p w14:paraId="3F22CF43" w14:textId="77777777" w:rsidR="00A82827" w:rsidRDefault="00A82827" w:rsidP="00C05B2C">
            <w:pPr>
              <w:pStyle w:val="tabletext"/>
            </w:pPr>
            <w:r>
              <w:t>1.26</w:t>
            </w:r>
          </w:p>
        </w:tc>
      </w:tr>
      <w:tr w:rsidR="00A82827" w:rsidRPr="00231CBA" w14:paraId="4BAA1EA2" w14:textId="77777777" w:rsidTr="00C05B2C">
        <w:trPr>
          <w:tblHeader/>
        </w:trPr>
        <w:tc>
          <w:tcPr>
            <w:tcW w:w="5760" w:type="dxa"/>
          </w:tcPr>
          <w:p w14:paraId="0BAF508E" w14:textId="77777777" w:rsidR="00A82827" w:rsidRDefault="00A82827" w:rsidP="00C05B2C">
            <w:pPr>
              <w:pStyle w:val="tabletext"/>
            </w:pPr>
            <w:r>
              <w:t xml:space="preserve">Part 2, </w:t>
            </w:r>
            <w:proofErr w:type="spellStart"/>
            <w:r>
              <w:t>subitem</w:t>
            </w:r>
            <w:proofErr w:type="spellEnd"/>
            <w:r>
              <w:t> 24(3)</w:t>
            </w:r>
          </w:p>
        </w:tc>
        <w:tc>
          <w:tcPr>
            <w:tcW w:w="1980" w:type="dxa"/>
          </w:tcPr>
          <w:p w14:paraId="5FB20657" w14:textId="77777777" w:rsidR="00A82827" w:rsidRDefault="00A82827" w:rsidP="00C05B2C">
            <w:pPr>
              <w:pStyle w:val="tabletext"/>
            </w:pPr>
            <w:r>
              <w:t>1.43</w:t>
            </w:r>
          </w:p>
        </w:tc>
      </w:tr>
      <w:tr w:rsidR="00A82827" w:rsidRPr="00231CBA" w14:paraId="2B8DC684" w14:textId="77777777" w:rsidTr="00C05B2C">
        <w:trPr>
          <w:tblHeader/>
        </w:trPr>
        <w:tc>
          <w:tcPr>
            <w:tcW w:w="5760" w:type="dxa"/>
          </w:tcPr>
          <w:p w14:paraId="5865FD53" w14:textId="77777777" w:rsidR="00A82827" w:rsidRDefault="00A82827" w:rsidP="00C05B2C">
            <w:pPr>
              <w:pStyle w:val="tabletext"/>
            </w:pPr>
            <w:r>
              <w:t xml:space="preserve">Part 2, </w:t>
            </w:r>
            <w:proofErr w:type="spellStart"/>
            <w:r>
              <w:t>subitem</w:t>
            </w:r>
            <w:proofErr w:type="spellEnd"/>
            <w:r>
              <w:t xml:space="preserve"> 25(1)</w:t>
            </w:r>
          </w:p>
        </w:tc>
        <w:tc>
          <w:tcPr>
            <w:tcW w:w="1980" w:type="dxa"/>
          </w:tcPr>
          <w:p w14:paraId="5BB43623" w14:textId="77777777" w:rsidR="00A82827" w:rsidRDefault="00A82827" w:rsidP="00C05B2C">
            <w:pPr>
              <w:pStyle w:val="tabletext"/>
            </w:pPr>
            <w:r>
              <w:t>1.61</w:t>
            </w:r>
          </w:p>
        </w:tc>
      </w:tr>
      <w:tr w:rsidR="00A82827" w:rsidRPr="00231CBA" w14:paraId="44197790" w14:textId="77777777" w:rsidTr="00C05B2C">
        <w:trPr>
          <w:tblHeader/>
        </w:trPr>
        <w:tc>
          <w:tcPr>
            <w:tcW w:w="5760" w:type="dxa"/>
          </w:tcPr>
          <w:p w14:paraId="79057BB5" w14:textId="77777777" w:rsidR="00A82827" w:rsidRDefault="00A82827" w:rsidP="00C05B2C">
            <w:pPr>
              <w:pStyle w:val="tabletext"/>
            </w:pPr>
            <w:r>
              <w:t xml:space="preserve">Part 2, </w:t>
            </w:r>
            <w:proofErr w:type="spellStart"/>
            <w:r>
              <w:t>subitem</w:t>
            </w:r>
            <w:proofErr w:type="spellEnd"/>
            <w:r>
              <w:t xml:space="preserve"> 25(2)</w:t>
            </w:r>
          </w:p>
        </w:tc>
        <w:tc>
          <w:tcPr>
            <w:tcW w:w="1980" w:type="dxa"/>
          </w:tcPr>
          <w:p w14:paraId="6267D313" w14:textId="77777777" w:rsidR="00A82827" w:rsidRDefault="00A82827" w:rsidP="00C05B2C">
            <w:pPr>
              <w:pStyle w:val="tabletext"/>
            </w:pPr>
            <w:r>
              <w:t>1.62</w:t>
            </w:r>
          </w:p>
        </w:tc>
      </w:tr>
      <w:tr w:rsidR="00A82827" w:rsidRPr="00231CBA" w14:paraId="79071D02" w14:textId="77777777" w:rsidTr="00C05B2C">
        <w:trPr>
          <w:tblHeader/>
        </w:trPr>
        <w:tc>
          <w:tcPr>
            <w:tcW w:w="5760" w:type="dxa"/>
          </w:tcPr>
          <w:p w14:paraId="200CAC3A" w14:textId="77777777" w:rsidR="00A82827" w:rsidRDefault="00A82827" w:rsidP="00C05B2C">
            <w:pPr>
              <w:pStyle w:val="tabletext"/>
            </w:pPr>
            <w:r>
              <w:t xml:space="preserve">Part 2, </w:t>
            </w:r>
            <w:proofErr w:type="spellStart"/>
            <w:r>
              <w:t>subitem</w:t>
            </w:r>
            <w:proofErr w:type="spellEnd"/>
            <w:r>
              <w:t xml:space="preserve"> 25(3)</w:t>
            </w:r>
          </w:p>
        </w:tc>
        <w:tc>
          <w:tcPr>
            <w:tcW w:w="1980" w:type="dxa"/>
          </w:tcPr>
          <w:p w14:paraId="2137E98A" w14:textId="77777777" w:rsidR="00A82827" w:rsidRDefault="00A82827" w:rsidP="00C05B2C">
            <w:pPr>
              <w:pStyle w:val="tabletext"/>
            </w:pPr>
            <w:r>
              <w:t>1.63</w:t>
            </w:r>
          </w:p>
        </w:tc>
      </w:tr>
      <w:tr w:rsidR="00A82827" w:rsidRPr="00231CBA" w14:paraId="4D32C925" w14:textId="77777777" w:rsidTr="00C05B2C">
        <w:trPr>
          <w:tblHeader/>
        </w:trPr>
        <w:tc>
          <w:tcPr>
            <w:tcW w:w="5760" w:type="dxa"/>
          </w:tcPr>
          <w:p w14:paraId="20F0D9AD" w14:textId="77777777" w:rsidR="00A82827" w:rsidRDefault="00A82827" w:rsidP="00C05B2C">
            <w:pPr>
              <w:pStyle w:val="tabletext"/>
            </w:pPr>
            <w:r>
              <w:t>Part 2, item 26</w:t>
            </w:r>
          </w:p>
        </w:tc>
        <w:tc>
          <w:tcPr>
            <w:tcW w:w="1980" w:type="dxa"/>
          </w:tcPr>
          <w:p w14:paraId="52DB96BE" w14:textId="77777777" w:rsidR="00A82827" w:rsidRDefault="00A82827" w:rsidP="00C05B2C">
            <w:pPr>
              <w:pStyle w:val="tabletext"/>
            </w:pPr>
            <w:r>
              <w:t>1.40</w:t>
            </w:r>
          </w:p>
        </w:tc>
      </w:tr>
      <w:tr w:rsidR="00A82827" w:rsidRPr="00231CBA" w14:paraId="39CAB308" w14:textId="77777777" w:rsidTr="00C05B2C">
        <w:trPr>
          <w:tblHeader/>
        </w:trPr>
        <w:tc>
          <w:tcPr>
            <w:tcW w:w="5760" w:type="dxa"/>
          </w:tcPr>
          <w:p w14:paraId="305B6D47" w14:textId="77777777" w:rsidR="00A82827" w:rsidRDefault="00A82827" w:rsidP="00C05B2C">
            <w:pPr>
              <w:pStyle w:val="tabletext"/>
            </w:pPr>
            <w:r>
              <w:t>Part 2, item 27</w:t>
            </w:r>
          </w:p>
        </w:tc>
        <w:tc>
          <w:tcPr>
            <w:tcW w:w="1980" w:type="dxa"/>
          </w:tcPr>
          <w:p w14:paraId="3E7C18A8" w14:textId="77777777" w:rsidR="00A82827" w:rsidRDefault="00A82827" w:rsidP="00C05B2C">
            <w:pPr>
              <w:pStyle w:val="tabletext"/>
            </w:pPr>
            <w:r>
              <w:t>1.46</w:t>
            </w:r>
          </w:p>
        </w:tc>
      </w:tr>
    </w:tbl>
    <w:p w14:paraId="3043171E" w14:textId="77777777" w:rsidR="00A82827" w:rsidRDefault="00A82827" w:rsidP="00C05B2C"/>
    <w:p w14:paraId="18DAB23E" w14:textId="77777777" w:rsidR="00A82827" w:rsidRPr="00D67ADC" w:rsidRDefault="00A82827" w:rsidP="00D67ADC"/>
    <w:p w14:paraId="18F4ADEC" w14:textId="77777777" w:rsidR="00A82827" w:rsidRPr="006A4718" w:rsidRDefault="00A82827" w:rsidP="006A4718"/>
    <w:sectPr w:rsidR="00A82827" w:rsidRPr="006A4718" w:rsidSect="00821379">
      <w:headerReference w:type="even" r:id="rId31"/>
      <w:headerReference w:type="default" r:id="rId32"/>
      <w:footerReference w:type="even" r:id="rId33"/>
      <w:footerReference w:type="default" r:id="rId34"/>
      <w:footerReference w:type="first" r:id="rId35"/>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6E7EA" w14:textId="77777777" w:rsidR="00D021CA" w:rsidRDefault="00D021CA">
      <w:r>
        <w:separator/>
      </w:r>
    </w:p>
  </w:endnote>
  <w:endnote w:type="continuationSeparator" w:id="0">
    <w:p w14:paraId="7768904A" w14:textId="77777777" w:rsidR="00D021CA" w:rsidRDefault="00D021CA">
      <w:r>
        <w:continuationSeparator/>
      </w:r>
    </w:p>
  </w:endnote>
  <w:endnote w:type="continuationNotice" w:id="1">
    <w:p w14:paraId="661A1166" w14:textId="77777777" w:rsidR="00D021CA" w:rsidRDefault="00D021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35CE5" w14:textId="77777777" w:rsidR="00C05B2C" w:rsidRDefault="00C05B2C" w:rsidP="00C05B2C">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AC6F6" w14:textId="77777777" w:rsidR="00C05B2C" w:rsidRDefault="00C05B2C" w:rsidP="00B41810">
    <w:pPr>
      <w:pStyle w:val="leftfooter"/>
    </w:pPr>
    <w:r>
      <w:fldChar w:fldCharType="begin"/>
    </w:r>
    <w:r>
      <w:instrText xml:space="preserve"> PAGE   \* MERGEFORMAT </w:instrText>
    </w:r>
    <w:r>
      <w:fldChar w:fldCharType="separate"/>
    </w:r>
    <w:r w:rsidR="00751E8D">
      <w:rPr>
        <w:noProof/>
      </w:rPr>
      <w:t>14</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390A3" w14:textId="77777777" w:rsidR="00C05B2C" w:rsidRDefault="00C05B2C" w:rsidP="00B41810">
    <w:pPr>
      <w:pStyle w:val="rightfooter"/>
    </w:pPr>
    <w:r>
      <w:fldChar w:fldCharType="begin"/>
    </w:r>
    <w:r>
      <w:instrText xml:space="preserve"> PAGE   \* MERGEFORMAT </w:instrText>
    </w:r>
    <w:r>
      <w:fldChar w:fldCharType="separate"/>
    </w:r>
    <w:r w:rsidR="00751E8D">
      <w:rPr>
        <w:noProof/>
      </w:rPr>
      <w:t>13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509F" w14:textId="77777777" w:rsidR="00C05B2C" w:rsidRDefault="00C05B2C" w:rsidP="00B41810">
    <w:pPr>
      <w:pStyle w:val="rightfooter"/>
    </w:pPr>
    <w:r>
      <w:fldChar w:fldCharType="begin"/>
    </w:r>
    <w:r>
      <w:instrText xml:space="preserve"> PAGE  \* Arabic  \* MERGEFORMAT </w:instrText>
    </w:r>
    <w:r>
      <w:fldChar w:fldCharType="separate"/>
    </w:r>
    <w:r w:rsidR="00751E8D">
      <w:rPr>
        <w:noProof/>
      </w:rPr>
      <w:t>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52603" w14:textId="77777777" w:rsidR="00C05B2C" w:rsidRDefault="00C05B2C" w:rsidP="005A76CC">
    <w:pPr>
      <w:pStyle w:val="leftfooter"/>
    </w:pPr>
    <w:r>
      <w:fldChar w:fldCharType="begin"/>
    </w:r>
    <w:r>
      <w:instrText xml:space="preserve"> PAGE   \* MERGEFORMAT </w:instrText>
    </w:r>
    <w:r>
      <w:fldChar w:fldCharType="separate"/>
    </w:r>
    <w:r w:rsidR="00751E8D">
      <w:rPr>
        <w:noProof/>
      </w:rPr>
      <w:t>16</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4E94" w14:textId="77777777" w:rsidR="00C05B2C" w:rsidRDefault="00C05B2C" w:rsidP="005A76CC">
    <w:pPr>
      <w:pStyle w:val="rightfooter"/>
    </w:pPr>
    <w:r>
      <w:fldChar w:fldCharType="begin"/>
    </w:r>
    <w:r>
      <w:instrText xml:space="preserve"> PAGE   \* MERGEFORMAT </w:instrText>
    </w:r>
    <w:r>
      <w:fldChar w:fldCharType="separate"/>
    </w:r>
    <w:r>
      <w:rPr>
        <w:noProof/>
      </w:rPr>
      <w:t>23</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E23BA" w14:textId="77777777" w:rsidR="00C05B2C" w:rsidRDefault="00C05B2C" w:rsidP="005A76CC">
    <w:pPr>
      <w:pStyle w:val="rightfooter"/>
    </w:pPr>
    <w:r>
      <w:fldChar w:fldCharType="begin"/>
    </w:r>
    <w:r>
      <w:instrText xml:space="preserve"> PAGE  \* Arabic  \* MERGEFORMAT </w:instrText>
    </w:r>
    <w:r>
      <w:fldChar w:fldCharType="separate"/>
    </w:r>
    <w:r w:rsidR="00751E8D">
      <w:rPr>
        <w:noProof/>
      </w:rPr>
      <w:t>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03CD" w14:textId="77777777" w:rsidR="00C05B2C" w:rsidRDefault="00C05B2C" w:rsidP="00C05B2C">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A1F3" w14:textId="77777777" w:rsidR="009824D2" w:rsidRDefault="009824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C6ADF" w14:textId="77777777" w:rsidR="00C05B2C" w:rsidRDefault="00C05B2C" w:rsidP="00C05B2C">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5D40" w14:textId="77777777" w:rsidR="00C05B2C" w:rsidRDefault="00C05B2C" w:rsidP="00C05B2C">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B9872" w14:textId="77777777" w:rsidR="00C05B2C" w:rsidRPr="00B2068E" w:rsidRDefault="00C05B2C" w:rsidP="00C05B2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6BC7F" w14:textId="77777777" w:rsidR="00C05B2C" w:rsidRDefault="00C05B2C" w:rsidP="00B41810">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E9D5B" w14:textId="77777777" w:rsidR="00C05B2C" w:rsidRDefault="00C05B2C" w:rsidP="00B41810">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77F9" w14:textId="77777777" w:rsidR="00C05B2C" w:rsidRDefault="00C05B2C" w:rsidP="00B41810">
    <w:pPr>
      <w:pStyle w:val="rightfooter"/>
    </w:pPr>
    <w:r>
      <w:fldChar w:fldCharType="begin"/>
    </w:r>
    <w:r>
      <w:instrText xml:space="preserve"> PAGE  \* Arabic  \* MERGEFORMAT </w:instrText>
    </w:r>
    <w:r>
      <w:fldChar w:fldCharType="separate"/>
    </w:r>
    <w:r w:rsidR="00751E8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F223C" w14:textId="77777777" w:rsidR="00D021CA" w:rsidRDefault="00D021CA">
      <w:r>
        <w:separator/>
      </w:r>
    </w:p>
  </w:footnote>
  <w:footnote w:type="continuationSeparator" w:id="0">
    <w:p w14:paraId="7B4BECEC" w14:textId="77777777" w:rsidR="00D021CA" w:rsidRDefault="00D021CA">
      <w:r>
        <w:continuationSeparator/>
      </w:r>
    </w:p>
  </w:footnote>
  <w:footnote w:type="continuationNotice" w:id="1">
    <w:p w14:paraId="15E80649" w14:textId="77777777" w:rsidR="00D021CA" w:rsidRDefault="00D021C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7CA9F" w14:textId="77777777" w:rsidR="00C05B2C" w:rsidRDefault="00C05B2C" w:rsidP="00C05B2C">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BB674" w14:textId="77777777" w:rsidR="00C05B2C" w:rsidRDefault="00C05B2C" w:rsidP="00B41810">
    <w:pPr>
      <w:pStyle w:val="rightheader"/>
    </w:pPr>
    <w:r>
      <w:t>Cessation of the Corporations and Markets Advisory Committee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2CDD8" w14:textId="77777777" w:rsidR="00C05B2C" w:rsidRDefault="00456C7D" w:rsidP="005A76CC">
    <w:pPr>
      <w:pStyle w:val="leftheader"/>
    </w:pPr>
    <w:r>
      <w:t>Exposure Draft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20D3" w14:textId="77777777" w:rsidR="00C05B2C" w:rsidRDefault="00C05B2C" w:rsidP="005A76CC">
    <w:pPr>
      <w:pStyle w:val="rightheader"/>
    </w:pPr>
    <w:r>
      <w:fldChar w:fldCharType="begin"/>
    </w:r>
    <w:r>
      <w:instrText xml:space="preserve"> macrobutton nomacro [Click here and enter the name of the Chapter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8821E" w14:textId="77777777" w:rsidR="00C05B2C" w:rsidRDefault="00C05B2C" w:rsidP="00C05B2C">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9D8EA" w14:textId="77777777" w:rsidR="009824D2" w:rsidRDefault="009824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71CF" w14:textId="77777777" w:rsidR="00C05B2C" w:rsidRDefault="00C05B2C" w:rsidP="00C05B2C">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4A8E9" w14:textId="77777777" w:rsidR="00C05B2C" w:rsidRDefault="00C05B2C" w:rsidP="00C05B2C">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9A8E8" w14:textId="77777777" w:rsidR="00C05B2C" w:rsidRDefault="00C05B2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677F5" w14:textId="77777777" w:rsidR="00C05B2C" w:rsidRDefault="00C05B2C" w:rsidP="00B41810">
    <w:pPr>
      <w:pStyle w:val="leftheader"/>
    </w:pPr>
    <w:r>
      <w:fldChar w:fldCharType="begin"/>
    </w:r>
    <w:r>
      <w:instrText xml:space="preserve"> macrobutton nomacro [Click here and insert the name of the Bill]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D6B84" w14:textId="77777777" w:rsidR="00C05B2C" w:rsidRDefault="00C05B2C" w:rsidP="00B41810">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07A76" w14:textId="77777777" w:rsidR="00C05B2C" w:rsidRDefault="0024704A" w:rsidP="00B41810">
    <w:pPr>
      <w:pStyle w:val="leftheader"/>
    </w:pPr>
    <w:r>
      <w:t>Exposure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F5B5BBF"/>
    <w:multiLevelType w:val="multilevel"/>
    <w:tmpl w:val="A316FE50"/>
    <w:numStyleLink w:val="ChapterList"/>
  </w:abstractNum>
  <w:abstractNum w:abstractNumId="13">
    <w:nsid w:val="13FC5847"/>
    <w:multiLevelType w:val="multilevel"/>
    <w:tmpl w:val="FA46137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BEB4EC5"/>
    <w:multiLevelType w:val="multilevel"/>
    <w:tmpl w:val="6D98FC9A"/>
    <w:numStyleLink w:val="TableDotPointList"/>
  </w:abstractNum>
  <w:abstractNum w:abstractNumId="17">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3FB3E18"/>
    <w:multiLevelType w:val="multilevel"/>
    <w:tmpl w:val="A316FE50"/>
    <w:numStyleLink w:val="ChapterList"/>
  </w:abstractNum>
  <w:abstractNum w:abstractNumId="23">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4281CEB"/>
    <w:multiLevelType w:val="multilevel"/>
    <w:tmpl w:val="A316FE50"/>
    <w:numStyleLink w:val="ChapterList"/>
  </w:abstractNum>
  <w:abstractNum w:abstractNumId="26">
    <w:nsid w:val="65DF6494"/>
    <w:multiLevelType w:val="multilevel"/>
    <w:tmpl w:val="A316FE50"/>
    <w:numStyleLink w:val="ChapterList"/>
  </w:abstractNum>
  <w:abstractNum w:abstractNumId="27">
    <w:nsid w:val="6D302C09"/>
    <w:multiLevelType w:val="multilevel"/>
    <w:tmpl w:val="A316FE50"/>
    <w:numStyleLink w:val="ChapterList"/>
  </w:abstractNum>
  <w:abstractNum w:abstractNumId="28">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7CAC208D"/>
    <w:multiLevelType w:val="multilevel"/>
    <w:tmpl w:val="A316FE50"/>
    <w:numStyleLink w:val="ChapterList"/>
  </w:abstractNum>
  <w:num w:numId="1">
    <w:abstractNumId w:val="21"/>
  </w:num>
  <w:num w:numId="2">
    <w:abstractNumId w:val="20"/>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8"/>
  </w:num>
  <w:num w:numId="17">
    <w:abstractNumId w:val="29"/>
  </w:num>
  <w:num w:numId="18">
    <w:abstractNumId w:val="10"/>
  </w:num>
  <w:num w:numId="19">
    <w:abstractNumId w:val="19"/>
  </w:num>
  <w:num w:numId="20">
    <w:abstractNumId w:val="23"/>
  </w:num>
  <w:num w:numId="21">
    <w:abstractNumId w:val="24"/>
  </w:num>
  <w:num w:numId="22">
    <w:abstractNumId w:val="14"/>
  </w:num>
  <w:num w:numId="23">
    <w:abstractNumId w:val="16"/>
  </w:num>
  <w:num w:numId="24">
    <w:abstractNumId w:val="27"/>
  </w:num>
  <w:num w:numId="25">
    <w:abstractNumId w:val="30"/>
  </w:num>
  <w:num w:numId="26">
    <w:abstractNumId w:val="25"/>
  </w:num>
  <w:num w:numId="27">
    <w:abstractNumId w:val="11"/>
  </w:num>
  <w:num w:numId="28">
    <w:abstractNumId w:val="22"/>
  </w:num>
  <w:num w:numId="29">
    <w:abstractNumId w:val="12"/>
  </w:num>
  <w:num w:numId="30">
    <w:abstractNumId w:val="26"/>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6"/>
  </w:num>
  <w:num w:numId="32">
    <w:abstractNumId w:val="26"/>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6"/>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6"/>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3"/>
  </w:num>
  <w:num w:numId="36">
    <w:abstractNumId w:val="26"/>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6"/>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6"/>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6"/>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38"/>
    <w:rsid w:val="00003F75"/>
    <w:rsid w:val="00006442"/>
    <w:rsid w:val="00010068"/>
    <w:rsid w:val="00012F66"/>
    <w:rsid w:val="000238A2"/>
    <w:rsid w:val="00023C9B"/>
    <w:rsid w:val="000327A2"/>
    <w:rsid w:val="0003305A"/>
    <w:rsid w:val="00034BE8"/>
    <w:rsid w:val="00050170"/>
    <w:rsid w:val="0005600E"/>
    <w:rsid w:val="00063B07"/>
    <w:rsid w:val="00067E1D"/>
    <w:rsid w:val="000705A5"/>
    <w:rsid w:val="000725C0"/>
    <w:rsid w:val="00075250"/>
    <w:rsid w:val="00076223"/>
    <w:rsid w:val="00076543"/>
    <w:rsid w:val="000835C7"/>
    <w:rsid w:val="00085C5D"/>
    <w:rsid w:val="0009055D"/>
    <w:rsid w:val="000960B7"/>
    <w:rsid w:val="000A0AFD"/>
    <w:rsid w:val="000A10E3"/>
    <w:rsid w:val="000A2094"/>
    <w:rsid w:val="000A341E"/>
    <w:rsid w:val="000A5B26"/>
    <w:rsid w:val="000A6DBE"/>
    <w:rsid w:val="000B7928"/>
    <w:rsid w:val="000B7FBA"/>
    <w:rsid w:val="000C06D9"/>
    <w:rsid w:val="000C0763"/>
    <w:rsid w:val="000D54A6"/>
    <w:rsid w:val="000E089D"/>
    <w:rsid w:val="000E5B9A"/>
    <w:rsid w:val="000E798B"/>
    <w:rsid w:val="000F3F04"/>
    <w:rsid w:val="000F79C1"/>
    <w:rsid w:val="00111349"/>
    <w:rsid w:val="001114E6"/>
    <w:rsid w:val="00113E19"/>
    <w:rsid w:val="0011454F"/>
    <w:rsid w:val="00121EB0"/>
    <w:rsid w:val="00122AF1"/>
    <w:rsid w:val="00123D96"/>
    <w:rsid w:val="0012405D"/>
    <w:rsid w:val="00124E15"/>
    <w:rsid w:val="00131E0C"/>
    <w:rsid w:val="0013336A"/>
    <w:rsid w:val="001370BA"/>
    <w:rsid w:val="0014197C"/>
    <w:rsid w:val="00144F20"/>
    <w:rsid w:val="00146069"/>
    <w:rsid w:val="00147843"/>
    <w:rsid w:val="001605EF"/>
    <w:rsid w:val="00165868"/>
    <w:rsid w:val="00174A29"/>
    <w:rsid w:val="001757E2"/>
    <w:rsid w:val="0018202C"/>
    <w:rsid w:val="0019040E"/>
    <w:rsid w:val="001A7A18"/>
    <w:rsid w:val="001E1D20"/>
    <w:rsid w:val="001E6545"/>
    <w:rsid w:val="001E7BE0"/>
    <w:rsid w:val="001F3626"/>
    <w:rsid w:val="00200B7F"/>
    <w:rsid w:val="00200E96"/>
    <w:rsid w:val="00201B36"/>
    <w:rsid w:val="00220D6C"/>
    <w:rsid w:val="00222D57"/>
    <w:rsid w:val="00231CBA"/>
    <w:rsid w:val="00236A1C"/>
    <w:rsid w:val="00241E1B"/>
    <w:rsid w:val="0024704A"/>
    <w:rsid w:val="00250154"/>
    <w:rsid w:val="0025496A"/>
    <w:rsid w:val="00266048"/>
    <w:rsid w:val="00272FD3"/>
    <w:rsid w:val="0027319B"/>
    <w:rsid w:val="002857E2"/>
    <w:rsid w:val="002A4F1C"/>
    <w:rsid w:val="002A64A2"/>
    <w:rsid w:val="002C35ED"/>
    <w:rsid w:val="002C43E8"/>
    <w:rsid w:val="002C6561"/>
    <w:rsid w:val="002D089B"/>
    <w:rsid w:val="002D2436"/>
    <w:rsid w:val="002D3A13"/>
    <w:rsid w:val="002D6555"/>
    <w:rsid w:val="002E0592"/>
    <w:rsid w:val="002E3A4D"/>
    <w:rsid w:val="002E5FD3"/>
    <w:rsid w:val="002F2244"/>
    <w:rsid w:val="002F3991"/>
    <w:rsid w:val="002F75B0"/>
    <w:rsid w:val="003116FE"/>
    <w:rsid w:val="003140C0"/>
    <w:rsid w:val="00320374"/>
    <w:rsid w:val="00321130"/>
    <w:rsid w:val="003239FE"/>
    <w:rsid w:val="00327259"/>
    <w:rsid w:val="003308D9"/>
    <w:rsid w:val="00345CCB"/>
    <w:rsid w:val="00346BEB"/>
    <w:rsid w:val="003501C2"/>
    <w:rsid w:val="003505E3"/>
    <w:rsid w:val="0036787F"/>
    <w:rsid w:val="00370AE1"/>
    <w:rsid w:val="00370CF4"/>
    <w:rsid w:val="003719A4"/>
    <w:rsid w:val="003731F3"/>
    <w:rsid w:val="00375C6E"/>
    <w:rsid w:val="00376FAF"/>
    <w:rsid w:val="00377CD4"/>
    <w:rsid w:val="00382AE7"/>
    <w:rsid w:val="00386A6F"/>
    <w:rsid w:val="00387BAB"/>
    <w:rsid w:val="0039400F"/>
    <w:rsid w:val="003A311E"/>
    <w:rsid w:val="003A5A84"/>
    <w:rsid w:val="003A5D7E"/>
    <w:rsid w:val="003B2C77"/>
    <w:rsid w:val="003B550D"/>
    <w:rsid w:val="003C1301"/>
    <w:rsid w:val="003C55A4"/>
    <w:rsid w:val="003C5BA3"/>
    <w:rsid w:val="003D14D3"/>
    <w:rsid w:val="003D411B"/>
    <w:rsid w:val="003D6FD9"/>
    <w:rsid w:val="003D7F02"/>
    <w:rsid w:val="003E0794"/>
    <w:rsid w:val="003E68F7"/>
    <w:rsid w:val="003F096C"/>
    <w:rsid w:val="003F4BD0"/>
    <w:rsid w:val="00401A5B"/>
    <w:rsid w:val="00413C7C"/>
    <w:rsid w:val="0043366C"/>
    <w:rsid w:val="004336BE"/>
    <w:rsid w:val="00433B1D"/>
    <w:rsid w:val="00433FD9"/>
    <w:rsid w:val="00436054"/>
    <w:rsid w:val="00441D38"/>
    <w:rsid w:val="00442FB9"/>
    <w:rsid w:val="0044391B"/>
    <w:rsid w:val="00450635"/>
    <w:rsid w:val="00451BB3"/>
    <w:rsid w:val="00456C7D"/>
    <w:rsid w:val="00457BC3"/>
    <w:rsid w:val="00460019"/>
    <w:rsid w:val="00461C4E"/>
    <w:rsid w:val="00465A34"/>
    <w:rsid w:val="00470181"/>
    <w:rsid w:val="004710EB"/>
    <w:rsid w:val="00475D9F"/>
    <w:rsid w:val="00480C91"/>
    <w:rsid w:val="004836D2"/>
    <w:rsid w:val="00486077"/>
    <w:rsid w:val="00492148"/>
    <w:rsid w:val="00492E84"/>
    <w:rsid w:val="004B755A"/>
    <w:rsid w:val="004C1468"/>
    <w:rsid w:val="004D41A0"/>
    <w:rsid w:val="004D6B85"/>
    <w:rsid w:val="004E161F"/>
    <w:rsid w:val="004E4F4B"/>
    <w:rsid w:val="004E6082"/>
    <w:rsid w:val="00500140"/>
    <w:rsid w:val="00502551"/>
    <w:rsid w:val="005052B0"/>
    <w:rsid w:val="0050652E"/>
    <w:rsid w:val="00514205"/>
    <w:rsid w:val="00515E69"/>
    <w:rsid w:val="005177DF"/>
    <w:rsid w:val="00517B68"/>
    <w:rsid w:val="00523617"/>
    <w:rsid w:val="005255EA"/>
    <w:rsid w:val="005408E6"/>
    <w:rsid w:val="0054284D"/>
    <w:rsid w:val="005428D6"/>
    <w:rsid w:val="00555D38"/>
    <w:rsid w:val="00560C14"/>
    <w:rsid w:val="00580C19"/>
    <w:rsid w:val="00582EFC"/>
    <w:rsid w:val="00585AFF"/>
    <w:rsid w:val="005A5348"/>
    <w:rsid w:val="005A5BB3"/>
    <w:rsid w:val="005A76CC"/>
    <w:rsid w:val="005B0D80"/>
    <w:rsid w:val="005B22C7"/>
    <w:rsid w:val="005B546F"/>
    <w:rsid w:val="005C0475"/>
    <w:rsid w:val="005C2B1A"/>
    <w:rsid w:val="005C6FB4"/>
    <w:rsid w:val="005D0F90"/>
    <w:rsid w:val="005D1CDE"/>
    <w:rsid w:val="005E4F34"/>
    <w:rsid w:val="005E741D"/>
    <w:rsid w:val="005E77E1"/>
    <w:rsid w:val="0060211C"/>
    <w:rsid w:val="006043A0"/>
    <w:rsid w:val="006071CA"/>
    <w:rsid w:val="006071E9"/>
    <w:rsid w:val="00621923"/>
    <w:rsid w:val="00640351"/>
    <w:rsid w:val="006412C3"/>
    <w:rsid w:val="00653DA2"/>
    <w:rsid w:val="00657B08"/>
    <w:rsid w:val="006655F9"/>
    <w:rsid w:val="006712FD"/>
    <w:rsid w:val="00672C3B"/>
    <w:rsid w:val="00676AC8"/>
    <w:rsid w:val="00683438"/>
    <w:rsid w:val="006857AE"/>
    <w:rsid w:val="006916A8"/>
    <w:rsid w:val="00694ED8"/>
    <w:rsid w:val="0069645A"/>
    <w:rsid w:val="006A4718"/>
    <w:rsid w:val="006A7B4B"/>
    <w:rsid w:val="006B1CE0"/>
    <w:rsid w:val="006B734D"/>
    <w:rsid w:val="006C1945"/>
    <w:rsid w:val="006C3CEB"/>
    <w:rsid w:val="006C70B6"/>
    <w:rsid w:val="006D4184"/>
    <w:rsid w:val="006D4CA4"/>
    <w:rsid w:val="006E01A2"/>
    <w:rsid w:val="006E084B"/>
    <w:rsid w:val="006E08FB"/>
    <w:rsid w:val="006F7AFB"/>
    <w:rsid w:val="007001D0"/>
    <w:rsid w:val="00703C25"/>
    <w:rsid w:val="00707D39"/>
    <w:rsid w:val="00710171"/>
    <w:rsid w:val="007155B4"/>
    <w:rsid w:val="00717797"/>
    <w:rsid w:val="00725B4F"/>
    <w:rsid w:val="007329C5"/>
    <w:rsid w:val="00736240"/>
    <w:rsid w:val="007439D0"/>
    <w:rsid w:val="007454F8"/>
    <w:rsid w:val="00751E8D"/>
    <w:rsid w:val="00753239"/>
    <w:rsid w:val="007576D2"/>
    <w:rsid w:val="00762AAE"/>
    <w:rsid w:val="007652BC"/>
    <w:rsid w:val="00765925"/>
    <w:rsid w:val="00774214"/>
    <w:rsid w:val="00775B19"/>
    <w:rsid w:val="007871CD"/>
    <w:rsid w:val="00790795"/>
    <w:rsid w:val="00792ECD"/>
    <w:rsid w:val="00793F75"/>
    <w:rsid w:val="007966EF"/>
    <w:rsid w:val="007A1BCB"/>
    <w:rsid w:val="007A4C99"/>
    <w:rsid w:val="007A6453"/>
    <w:rsid w:val="007B188B"/>
    <w:rsid w:val="007B23EE"/>
    <w:rsid w:val="007B65ED"/>
    <w:rsid w:val="007C11F3"/>
    <w:rsid w:val="007D1821"/>
    <w:rsid w:val="007E25E0"/>
    <w:rsid w:val="007E3C31"/>
    <w:rsid w:val="007F4031"/>
    <w:rsid w:val="007F484F"/>
    <w:rsid w:val="007F58AB"/>
    <w:rsid w:val="00805119"/>
    <w:rsid w:val="008077BD"/>
    <w:rsid w:val="008119D2"/>
    <w:rsid w:val="00813210"/>
    <w:rsid w:val="008147F1"/>
    <w:rsid w:val="00817E36"/>
    <w:rsid w:val="008212B5"/>
    <w:rsid w:val="00821379"/>
    <w:rsid w:val="0082333B"/>
    <w:rsid w:val="00827930"/>
    <w:rsid w:val="00830A28"/>
    <w:rsid w:val="00832743"/>
    <w:rsid w:val="00835001"/>
    <w:rsid w:val="00840AB2"/>
    <w:rsid w:val="008413A4"/>
    <w:rsid w:val="00844687"/>
    <w:rsid w:val="008516FE"/>
    <w:rsid w:val="00852B9C"/>
    <w:rsid w:val="00855D57"/>
    <w:rsid w:val="0085713E"/>
    <w:rsid w:val="008644D8"/>
    <w:rsid w:val="008678C4"/>
    <w:rsid w:val="00867F0F"/>
    <w:rsid w:val="008752F1"/>
    <w:rsid w:val="008812AF"/>
    <w:rsid w:val="00885BE8"/>
    <w:rsid w:val="00890245"/>
    <w:rsid w:val="008916FD"/>
    <w:rsid w:val="008923A4"/>
    <w:rsid w:val="00892DB6"/>
    <w:rsid w:val="008A46A0"/>
    <w:rsid w:val="008B0747"/>
    <w:rsid w:val="008B095D"/>
    <w:rsid w:val="008B31CE"/>
    <w:rsid w:val="008B56B5"/>
    <w:rsid w:val="008C3336"/>
    <w:rsid w:val="008C359D"/>
    <w:rsid w:val="008C51F4"/>
    <w:rsid w:val="008C68A9"/>
    <w:rsid w:val="008D0AE4"/>
    <w:rsid w:val="008D4C40"/>
    <w:rsid w:val="008D75E9"/>
    <w:rsid w:val="008F1A67"/>
    <w:rsid w:val="008F6786"/>
    <w:rsid w:val="008F726E"/>
    <w:rsid w:val="00901ED2"/>
    <w:rsid w:val="009125BB"/>
    <w:rsid w:val="00917DED"/>
    <w:rsid w:val="00921AC0"/>
    <w:rsid w:val="00922787"/>
    <w:rsid w:val="00926E36"/>
    <w:rsid w:val="00930A3A"/>
    <w:rsid w:val="00930CCE"/>
    <w:rsid w:val="00932DE0"/>
    <w:rsid w:val="00933984"/>
    <w:rsid w:val="00935C6B"/>
    <w:rsid w:val="00937B71"/>
    <w:rsid w:val="009445F1"/>
    <w:rsid w:val="0095290C"/>
    <w:rsid w:val="009530DE"/>
    <w:rsid w:val="00953F17"/>
    <w:rsid w:val="009615B2"/>
    <w:rsid w:val="00961EC9"/>
    <w:rsid w:val="0096411E"/>
    <w:rsid w:val="00973550"/>
    <w:rsid w:val="009759C8"/>
    <w:rsid w:val="00981ACC"/>
    <w:rsid w:val="009822AE"/>
    <w:rsid w:val="009824D2"/>
    <w:rsid w:val="009977B4"/>
    <w:rsid w:val="00997812"/>
    <w:rsid w:val="009A2B11"/>
    <w:rsid w:val="009A40D6"/>
    <w:rsid w:val="009B0AB7"/>
    <w:rsid w:val="009B2AD6"/>
    <w:rsid w:val="009B3657"/>
    <w:rsid w:val="009B7C08"/>
    <w:rsid w:val="009C380E"/>
    <w:rsid w:val="009E2E2E"/>
    <w:rsid w:val="009E5ACA"/>
    <w:rsid w:val="009E6C76"/>
    <w:rsid w:val="009F0294"/>
    <w:rsid w:val="009F3F4D"/>
    <w:rsid w:val="00A01492"/>
    <w:rsid w:val="00A014B0"/>
    <w:rsid w:val="00A01D60"/>
    <w:rsid w:val="00A02115"/>
    <w:rsid w:val="00A03E30"/>
    <w:rsid w:val="00A04A9F"/>
    <w:rsid w:val="00A07DDF"/>
    <w:rsid w:val="00A10581"/>
    <w:rsid w:val="00A21171"/>
    <w:rsid w:val="00A22C72"/>
    <w:rsid w:val="00A2536D"/>
    <w:rsid w:val="00A26A96"/>
    <w:rsid w:val="00A27B13"/>
    <w:rsid w:val="00A27B94"/>
    <w:rsid w:val="00A31339"/>
    <w:rsid w:val="00A32143"/>
    <w:rsid w:val="00A332EA"/>
    <w:rsid w:val="00A37F77"/>
    <w:rsid w:val="00A40734"/>
    <w:rsid w:val="00A44E9C"/>
    <w:rsid w:val="00A516CB"/>
    <w:rsid w:val="00A53EB2"/>
    <w:rsid w:val="00A54CD3"/>
    <w:rsid w:val="00A575AE"/>
    <w:rsid w:val="00A65D09"/>
    <w:rsid w:val="00A670DF"/>
    <w:rsid w:val="00A705F8"/>
    <w:rsid w:val="00A722B0"/>
    <w:rsid w:val="00A725E5"/>
    <w:rsid w:val="00A82827"/>
    <w:rsid w:val="00A834B8"/>
    <w:rsid w:val="00A86F1A"/>
    <w:rsid w:val="00A9275F"/>
    <w:rsid w:val="00A93921"/>
    <w:rsid w:val="00A96322"/>
    <w:rsid w:val="00AA0F06"/>
    <w:rsid w:val="00AA20C9"/>
    <w:rsid w:val="00AA2141"/>
    <w:rsid w:val="00AA306B"/>
    <w:rsid w:val="00AA4D7F"/>
    <w:rsid w:val="00AA50D8"/>
    <w:rsid w:val="00AA5524"/>
    <w:rsid w:val="00AC325B"/>
    <w:rsid w:val="00AD1AAD"/>
    <w:rsid w:val="00AD4ABE"/>
    <w:rsid w:val="00AD687A"/>
    <w:rsid w:val="00AD6DC4"/>
    <w:rsid w:val="00AD6E17"/>
    <w:rsid w:val="00AD7338"/>
    <w:rsid w:val="00AE23F9"/>
    <w:rsid w:val="00AE78C1"/>
    <w:rsid w:val="00AF0EB2"/>
    <w:rsid w:val="00AF3340"/>
    <w:rsid w:val="00B00748"/>
    <w:rsid w:val="00B00C37"/>
    <w:rsid w:val="00B07492"/>
    <w:rsid w:val="00B07898"/>
    <w:rsid w:val="00B206C1"/>
    <w:rsid w:val="00B26A9D"/>
    <w:rsid w:val="00B27416"/>
    <w:rsid w:val="00B31641"/>
    <w:rsid w:val="00B41810"/>
    <w:rsid w:val="00B44DC2"/>
    <w:rsid w:val="00B45987"/>
    <w:rsid w:val="00B518A5"/>
    <w:rsid w:val="00B60DE2"/>
    <w:rsid w:val="00B6273D"/>
    <w:rsid w:val="00B6379A"/>
    <w:rsid w:val="00B64794"/>
    <w:rsid w:val="00B654ED"/>
    <w:rsid w:val="00B67600"/>
    <w:rsid w:val="00B725B1"/>
    <w:rsid w:val="00B7388C"/>
    <w:rsid w:val="00B7408F"/>
    <w:rsid w:val="00B75DB6"/>
    <w:rsid w:val="00B84B98"/>
    <w:rsid w:val="00B93631"/>
    <w:rsid w:val="00B94871"/>
    <w:rsid w:val="00B94FB4"/>
    <w:rsid w:val="00B97550"/>
    <w:rsid w:val="00BA2235"/>
    <w:rsid w:val="00BA2903"/>
    <w:rsid w:val="00BA728F"/>
    <w:rsid w:val="00BC33C9"/>
    <w:rsid w:val="00BC3DB1"/>
    <w:rsid w:val="00BD4513"/>
    <w:rsid w:val="00BE1FD2"/>
    <w:rsid w:val="00BE681A"/>
    <w:rsid w:val="00BF1C59"/>
    <w:rsid w:val="00C03AF3"/>
    <w:rsid w:val="00C0403F"/>
    <w:rsid w:val="00C05595"/>
    <w:rsid w:val="00C05B2C"/>
    <w:rsid w:val="00C1738A"/>
    <w:rsid w:val="00C26CB0"/>
    <w:rsid w:val="00C272DF"/>
    <w:rsid w:val="00C27414"/>
    <w:rsid w:val="00C32156"/>
    <w:rsid w:val="00C32240"/>
    <w:rsid w:val="00C44D85"/>
    <w:rsid w:val="00C55D39"/>
    <w:rsid w:val="00C643DF"/>
    <w:rsid w:val="00C66826"/>
    <w:rsid w:val="00C6767F"/>
    <w:rsid w:val="00C744BC"/>
    <w:rsid w:val="00C77BB1"/>
    <w:rsid w:val="00C8648B"/>
    <w:rsid w:val="00C87085"/>
    <w:rsid w:val="00C90B72"/>
    <w:rsid w:val="00C973B3"/>
    <w:rsid w:val="00C978EF"/>
    <w:rsid w:val="00CA5F63"/>
    <w:rsid w:val="00CA7CDA"/>
    <w:rsid w:val="00CB007F"/>
    <w:rsid w:val="00CB5470"/>
    <w:rsid w:val="00CB6473"/>
    <w:rsid w:val="00CC09C5"/>
    <w:rsid w:val="00CC5A10"/>
    <w:rsid w:val="00CD02D7"/>
    <w:rsid w:val="00CD1FA8"/>
    <w:rsid w:val="00CD5E66"/>
    <w:rsid w:val="00CD6191"/>
    <w:rsid w:val="00CE1CB4"/>
    <w:rsid w:val="00CE4136"/>
    <w:rsid w:val="00CE5590"/>
    <w:rsid w:val="00CF3913"/>
    <w:rsid w:val="00CF5226"/>
    <w:rsid w:val="00CF5EE9"/>
    <w:rsid w:val="00CF670E"/>
    <w:rsid w:val="00D01826"/>
    <w:rsid w:val="00D01E95"/>
    <w:rsid w:val="00D021CA"/>
    <w:rsid w:val="00D02424"/>
    <w:rsid w:val="00D0286E"/>
    <w:rsid w:val="00D10303"/>
    <w:rsid w:val="00D11D73"/>
    <w:rsid w:val="00D15430"/>
    <w:rsid w:val="00D22699"/>
    <w:rsid w:val="00D363E1"/>
    <w:rsid w:val="00D372B4"/>
    <w:rsid w:val="00D4029F"/>
    <w:rsid w:val="00D4521B"/>
    <w:rsid w:val="00D522E9"/>
    <w:rsid w:val="00D66F0C"/>
    <w:rsid w:val="00D67ADC"/>
    <w:rsid w:val="00D72967"/>
    <w:rsid w:val="00D730A5"/>
    <w:rsid w:val="00D75FB3"/>
    <w:rsid w:val="00D76426"/>
    <w:rsid w:val="00D80A61"/>
    <w:rsid w:val="00D85B38"/>
    <w:rsid w:val="00D90D9C"/>
    <w:rsid w:val="00D91C5F"/>
    <w:rsid w:val="00D93657"/>
    <w:rsid w:val="00D96329"/>
    <w:rsid w:val="00D963F2"/>
    <w:rsid w:val="00D9730F"/>
    <w:rsid w:val="00D9769E"/>
    <w:rsid w:val="00D97B3F"/>
    <w:rsid w:val="00DA35A3"/>
    <w:rsid w:val="00DA4FFE"/>
    <w:rsid w:val="00DA72C6"/>
    <w:rsid w:val="00DB1F26"/>
    <w:rsid w:val="00DB36FF"/>
    <w:rsid w:val="00DB4106"/>
    <w:rsid w:val="00DC3095"/>
    <w:rsid w:val="00DC3695"/>
    <w:rsid w:val="00DD2EC4"/>
    <w:rsid w:val="00DD6306"/>
    <w:rsid w:val="00DE1721"/>
    <w:rsid w:val="00DE2E40"/>
    <w:rsid w:val="00E01A29"/>
    <w:rsid w:val="00E110EE"/>
    <w:rsid w:val="00E162F2"/>
    <w:rsid w:val="00E2061C"/>
    <w:rsid w:val="00E21E80"/>
    <w:rsid w:val="00E31B34"/>
    <w:rsid w:val="00E33716"/>
    <w:rsid w:val="00E47DF5"/>
    <w:rsid w:val="00E509B6"/>
    <w:rsid w:val="00E54185"/>
    <w:rsid w:val="00E7365D"/>
    <w:rsid w:val="00E74BDE"/>
    <w:rsid w:val="00E76CFE"/>
    <w:rsid w:val="00E80C57"/>
    <w:rsid w:val="00E85785"/>
    <w:rsid w:val="00E8655D"/>
    <w:rsid w:val="00E87729"/>
    <w:rsid w:val="00E91A7C"/>
    <w:rsid w:val="00ED1408"/>
    <w:rsid w:val="00ED24E5"/>
    <w:rsid w:val="00ED50A3"/>
    <w:rsid w:val="00ED5864"/>
    <w:rsid w:val="00EE5DAD"/>
    <w:rsid w:val="00EE7884"/>
    <w:rsid w:val="00EF521D"/>
    <w:rsid w:val="00EF789C"/>
    <w:rsid w:val="00F03B26"/>
    <w:rsid w:val="00F053A1"/>
    <w:rsid w:val="00F05754"/>
    <w:rsid w:val="00F14312"/>
    <w:rsid w:val="00F1601D"/>
    <w:rsid w:val="00F165B2"/>
    <w:rsid w:val="00F21D65"/>
    <w:rsid w:val="00F428ED"/>
    <w:rsid w:val="00F47280"/>
    <w:rsid w:val="00F51A71"/>
    <w:rsid w:val="00F57EC5"/>
    <w:rsid w:val="00F605D2"/>
    <w:rsid w:val="00F853D1"/>
    <w:rsid w:val="00F86732"/>
    <w:rsid w:val="00F87253"/>
    <w:rsid w:val="00F87F97"/>
    <w:rsid w:val="00F918CE"/>
    <w:rsid w:val="00F92FE2"/>
    <w:rsid w:val="00F95B90"/>
    <w:rsid w:val="00F97B26"/>
    <w:rsid w:val="00FA129E"/>
    <w:rsid w:val="00FA3792"/>
    <w:rsid w:val="00FB3334"/>
    <w:rsid w:val="00FB53AE"/>
    <w:rsid w:val="00FC604E"/>
    <w:rsid w:val="00FC639E"/>
    <w:rsid w:val="00FC68BD"/>
    <w:rsid w:val="00FD4B5C"/>
    <w:rsid w:val="00FD6187"/>
    <w:rsid w:val="00FE2ED4"/>
    <w:rsid w:val="00FE4340"/>
    <w:rsid w:val="00FF0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2D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787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36787F"/>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spacing w:before="0" w:after="0"/>
    </w:pPr>
    <w:rPr>
      <w:b/>
    </w:rPr>
  </w:style>
  <w:style w:type="paragraph" w:customStyle="1" w:styleId="dotpoint">
    <w:name w:val="dot point"/>
    <w:basedOn w:val="Normal"/>
    <w:rsid w:val="0036787F"/>
    <w:pPr>
      <w:numPr>
        <w:numId w:val="20"/>
      </w:numPr>
    </w:pPr>
  </w:style>
  <w:style w:type="paragraph" w:customStyle="1" w:styleId="dotpoint2">
    <w:name w:val="dot point 2"/>
    <w:basedOn w:val="Normal"/>
    <w:rsid w:val="0036787F"/>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CommentReference">
    <w:name w:val="annotation reference"/>
    <w:basedOn w:val="DefaultParagraphFont"/>
    <w:rsid w:val="00921AC0"/>
    <w:rPr>
      <w:sz w:val="16"/>
      <w:szCs w:val="16"/>
    </w:rPr>
  </w:style>
  <w:style w:type="paragraph" w:styleId="CommentText">
    <w:name w:val="annotation text"/>
    <w:basedOn w:val="Normal"/>
    <w:link w:val="CommentTextChar"/>
    <w:rsid w:val="00921AC0"/>
    <w:rPr>
      <w:sz w:val="20"/>
    </w:rPr>
  </w:style>
  <w:style w:type="character" w:customStyle="1" w:styleId="CommentTextChar">
    <w:name w:val="Comment Text Char"/>
    <w:basedOn w:val="DefaultParagraphFont"/>
    <w:link w:val="CommentText"/>
    <w:rsid w:val="00921AC0"/>
  </w:style>
  <w:style w:type="paragraph" w:styleId="CommentSubject">
    <w:name w:val="annotation subject"/>
    <w:basedOn w:val="CommentText"/>
    <w:next w:val="CommentText"/>
    <w:link w:val="CommentSubjectChar"/>
    <w:rsid w:val="00921AC0"/>
    <w:rPr>
      <w:b/>
      <w:bCs/>
    </w:rPr>
  </w:style>
  <w:style w:type="character" w:customStyle="1" w:styleId="CommentSubjectChar">
    <w:name w:val="Comment Subject Char"/>
    <w:basedOn w:val="CommentTextChar"/>
    <w:link w:val="CommentSubject"/>
    <w:rsid w:val="00921AC0"/>
    <w:rPr>
      <w:b/>
      <w:bCs/>
    </w:rPr>
  </w:style>
  <w:style w:type="paragraph" w:styleId="BalloonText">
    <w:name w:val="Balloon Text"/>
    <w:basedOn w:val="Normal"/>
    <w:link w:val="BalloonTextChar"/>
    <w:rsid w:val="00921AC0"/>
    <w:pPr>
      <w:spacing w:before="0" w:after="0"/>
    </w:pPr>
    <w:rPr>
      <w:rFonts w:ascii="Tahoma" w:hAnsi="Tahoma" w:cs="Tahoma"/>
      <w:sz w:val="16"/>
      <w:szCs w:val="16"/>
    </w:rPr>
  </w:style>
  <w:style w:type="character" w:customStyle="1" w:styleId="BalloonTextChar">
    <w:name w:val="Balloon Text Char"/>
    <w:basedOn w:val="DefaultParagraphFont"/>
    <w:link w:val="BalloonText"/>
    <w:rsid w:val="00921AC0"/>
    <w:rPr>
      <w:rFonts w:ascii="Tahoma" w:hAnsi="Tahoma" w:cs="Tahoma"/>
      <w:sz w:val="16"/>
      <w:szCs w:val="16"/>
    </w:rPr>
  </w:style>
  <w:style w:type="character" w:customStyle="1" w:styleId="Heading3Char">
    <w:name w:val="Heading 3 Char"/>
    <w:basedOn w:val="DefaultParagraphFont"/>
    <w:link w:val="Heading3"/>
    <w:rsid w:val="00981ACC"/>
    <w:rPr>
      <w:rFonts w:ascii="Helvetica" w:hAnsi="Helvetica"/>
      <w:b/>
      <w:sz w:val="22"/>
    </w:rPr>
  </w:style>
  <w:style w:type="paragraph" w:customStyle="1" w:styleId="Bullet">
    <w:name w:val="Bullet"/>
    <w:basedOn w:val="Normal"/>
    <w:link w:val="BulletChar"/>
    <w:rsid w:val="000238A2"/>
    <w:pPr>
      <w:numPr>
        <w:numId w:val="35"/>
      </w:numPr>
    </w:pPr>
  </w:style>
  <w:style w:type="character" w:customStyle="1" w:styleId="BulletChar">
    <w:name w:val="Bullet Char"/>
    <w:basedOn w:val="base-text-paragraphChar"/>
    <w:link w:val="Bullet"/>
    <w:rsid w:val="000238A2"/>
    <w:rPr>
      <w:sz w:val="22"/>
    </w:rPr>
  </w:style>
  <w:style w:type="paragraph" w:customStyle="1" w:styleId="Dash">
    <w:name w:val="Dash"/>
    <w:basedOn w:val="Normal"/>
    <w:link w:val="DashChar"/>
    <w:rsid w:val="000238A2"/>
    <w:pPr>
      <w:numPr>
        <w:ilvl w:val="1"/>
        <w:numId w:val="35"/>
      </w:numPr>
    </w:pPr>
  </w:style>
  <w:style w:type="character" w:customStyle="1" w:styleId="DashChar">
    <w:name w:val="Dash Char"/>
    <w:basedOn w:val="base-text-paragraphChar"/>
    <w:link w:val="Dash"/>
    <w:rsid w:val="000238A2"/>
    <w:rPr>
      <w:sz w:val="22"/>
    </w:rPr>
  </w:style>
  <w:style w:type="paragraph" w:customStyle="1" w:styleId="DoubleDot">
    <w:name w:val="Double Dot"/>
    <w:basedOn w:val="Normal"/>
    <w:link w:val="DoubleDotChar"/>
    <w:rsid w:val="000238A2"/>
    <w:pPr>
      <w:numPr>
        <w:ilvl w:val="2"/>
        <w:numId w:val="35"/>
      </w:numPr>
    </w:pPr>
  </w:style>
  <w:style w:type="character" w:customStyle="1" w:styleId="DoubleDotChar">
    <w:name w:val="Double Dot Char"/>
    <w:basedOn w:val="base-text-paragraphChar"/>
    <w:link w:val="DoubleDot"/>
    <w:rsid w:val="000238A2"/>
    <w:rPr>
      <w:sz w:val="22"/>
    </w:rPr>
  </w:style>
  <w:style w:type="paragraph" w:styleId="Revision">
    <w:name w:val="Revision"/>
    <w:hidden/>
    <w:uiPriority w:val="99"/>
    <w:semiHidden/>
    <w:rsid w:val="00122AF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787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36787F"/>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spacing w:before="0" w:after="0"/>
    </w:pPr>
    <w:rPr>
      <w:b/>
    </w:rPr>
  </w:style>
  <w:style w:type="paragraph" w:customStyle="1" w:styleId="dotpoint">
    <w:name w:val="dot point"/>
    <w:basedOn w:val="Normal"/>
    <w:rsid w:val="0036787F"/>
    <w:pPr>
      <w:numPr>
        <w:numId w:val="20"/>
      </w:numPr>
    </w:pPr>
  </w:style>
  <w:style w:type="paragraph" w:customStyle="1" w:styleId="dotpoint2">
    <w:name w:val="dot point 2"/>
    <w:basedOn w:val="Normal"/>
    <w:rsid w:val="0036787F"/>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CommentReference">
    <w:name w:val="annotation reference"/>
    <w:basedOn w:val="DefaultParagraphFont"/>
    <w:rsid w:val="00921AC0"/>
    <w:rPr>
      <w:sz w:val="16"/>
      <w:szCs w:val="16"/>
    </w:rPr>
  </w:style>
  <w:style w:type="paragraph" w:styleId="CommentText">
    <w:name w:val="annotation text"/>
    <w:basedOn w:val="Normal"/>
    <w:link w:val="CommentTextChar"/>
    <w:rsid w:val="00921AC0"/>
    <w:rPr>
      <w:sz w:val="20"/>
    </w:rPr>
  </w:style>
  <w:style w:type="character" w:customStyle="1" w:styleId="CommentTextChar">
    <w:name w:val="Comment Text Char"/>
    <w:basedOn w:val="DefaultParagraphFont"/>
    <w:link w:val="CommentText"/>
    <w:rsid w:val="00921AC0"/>
  </w:style>
  <w:style w:type="paragraph" w:styleId="CommentSubject">
    <w:name w:val="annotation subject"/>
    <w:basedOn w:val="CommentText"/>
    <w:next w:val="CommentText"/>
    <w:link w:val="CommentSubjectChar"/>
    <w:rsid w:val="00921AC0"/>
    <w:rPr>
      <w:b/>
      <w:bCs/>
    </w:rPr>
  </w:style>
  <w:style w:type="character" w:customStyle="1" w:styleId="CommentSubjectChar">
    <w:name w:val="Comment Subject Char"/>
    <w:basedOn w:val="CommentTextChar"/>
    <w:link w:val="CommentSubject"/>
    <w:rsid w:val="00921AC0"/>
    <w:rPr>
      <w:b/>
      <w:bCs/>
    </w:rPr>
  </w:style>
  <w:style w:type="paragraph" w:styleId="BalloonText">
    <w:name w:val="Balloon Text"/>
    <w:basedOn w:val="Normal"/>
    <w:link w:val="BalloonTextChar"/>
    <w:rsid w:val="00921AC0"/>
    <w:pPr>
      <w:spacing w:before="0" w:after="0"/>
    </w:pPr>
    <w:rPr>
      <w:rFonts w:ascii="Tahoma" w:hAnsi="Tahoma" w:cs="Tahoma"/>
      <w:sz w:val="16"/>
      <w:szCs w:val="16"/>
    </w:rPr>
  </w:style>
  <w:style w:type="character" w:customStyle="1" w:styleId="BalloonTextChar">
    <w:name w:val="Balloon Text Char"/>
    <w:basedOn w:val="DefaultParagraphFont"/>
    <w:link w:val="BalloonText"/>
    <w:rsid w:val="00921AC0"/>
    <w:rPr>
      <w:rFonts w:ascii="Tahoma" w:hAnsi="Tahoma" w:cs="Tahoma"/>
      <w:sz w:val="16"/>
      <w:szCs w:val="16"/>
    </w:rPr>
  </w:style>
  <w:style w:type="character" w:customStyle="1" w:styleId="Heading3Char">
    <w:name w:val="Heading 3 Char"/>
    <w:basedOn w:val="DefaultParagraphFont"/>
    <w:link w:val="Heading3"/>
    <w:rsid w:val="00981ACC"/>
    <w:rPr>
      <w:rFonts w:ascii="Helvetica" w:hAnsi="Helvetica"/>
      <w:b/>
      <w:sz w:val="22"/>
    </w:rPr>
  </w:style>
  <w:style w:type="paragraph" w:customStyle="1" w:styleId="Bullet">
    <w:name w:val="Bullet"/>
    <w:basedOn w:val="Normal"/>
    <w:link w:val="BulletChar"/>
    <w:rsid w:val="000238A2"/>
    <w:pPr>
      <w:numPr>
        <w:numId w:val="35"/>
      </w:numPr>
    </w:pPr>
  </w:style>
  <w:style w:type="character" w:customStyle="1" w:styleId="BulletChar">
    <w:name w:val="Bullet Char"/>
    <w:basedOn w:val="base-text-paragraphChar"/>
    <w:link w:val="Bullet"/>
    <w:rsid w:val="000238A2"/>
    <w:rPr>
      <w:sz w:val="22"/>
    </w:rPr>
  </w:style>
  <w:style w:type="paragraph" w:customStyle="1" w:styleId="Dash">
    <w:name w:val="Dash"/>
    <w:basedOn w:val="Normal"/>
    <w:link w:val="DashChar"/>
    <w:rsid w:val="000238A2"/>
    <w:pPr>
      <w:numPr>
        <w:ilvl w:val="1"/>
        <w:numId w:val="35"/>
      </w:numPr>
    </w:pPr>
  </w:style>
  <w:style w:type="character" w:customStyle="1" w:styleId="DashChar">
    <w:name w:val="Dash Char"/>
    <w:basedOn w:val="base-text-paragraphChar"/>
    <w:link w:val="Dash"/>
    <w:rsid w:val="000238A2"/>
    <w:rPr>
      <w:sz w:val="22"/>
    </w:rPr>
  </w:style>
  <w:style w:type="paragraph" w:customStyle="1" w:styleId="DoubleDot">
    <w:name w:val="Double Dot"/>
    <w:basedOn w:val="Normal"/>
    <w:link w:val="DoubleDotChar"/>
    <w:rsid w:val="000238A2"/>
    <w:pPr>
      <w:numPr>
        <w:ilvl w:val="2"/>
        <w:numId w:val="35"/>
      </w:numPr>
    </w:pPr>
  </w:style>
  <w:style w:type="character" w:customStyle="1" w:styleId="DoubleDotChar">
    <w:name w:val="Double Dot Char"/>
    <w:basedOn w:val="base-text-paragraphChar"/>
    <w:link w:val="DoubleDot"/>
    <w:rsid w:val="000238A2"/>
    <w:rPr>
      <w:sz w:val="22"/>
    </w:rPr>
  </w:style>
  <w:style w:type="paragraph" w:styleId="Revision">
    <w:name w:val="Revision"/>
    <w:hidden/>
    <w:uiPriority w:val="99"/>
    <w:semiHidden/>
    <w:rsid w:val="00122A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48793">
      <w:bodyDiv w:val="1"/>
      <w:marLeft w:val="0"/>
      <w:marRight w:val="0"/>
      <w:marTop w:val="0"/>
      <w:marBottom w:val="0"/>
      <w:divBdr>
        <w:top w:val="none" w:sz="0" w:space="0" w:color="auto"/>
        <w:left w:val="none" w:sz="0" w:space="0" w:color="auto"/>
        <w:bottom w:val="none" w:sz="0" w:space="0" w:color="auto"/>
        <w:right w:val="none" w:sz="0" w:space="0" w:color="auto"/>
      </w:divBdr>
      <w:divsChild>
        <w:div w:id="100224132">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409A-A1C9-4518-9570-108F0A5F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4238</Words>
  <Characters>21547</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Explanatory Material to Exposure Draft: Cessation of the Corporations and Markets Advisory Committee (CAMAC)</vt:lpstr>
    </vt:vector>
  </TitlesOfParts>
  <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 to Exposure Draft: Cessation of the Corporations and Markets Advisory Committee (CAMAC)</dc:title>
  <dc:subject/>
  <dc:creator/>
  <cp:keywords/>
  <cp:lastModifiedBy/>
  <cp:revision>1</cp:revision>
  <dcterms:created xsi:type="dcterms:W3CDTF">2014-09-16T06:11:00Z</dcterms:created>
  <dcterms:modified xsi:type="dcterms:W3CDTF">2014-09-16T06:14:00Z</dcterms:modified>
</cp:coreProperties>
</file>