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3AFCA" w14:textId="77777777" w:rsidR="000E0B74" w:rsidRPr="006D0240" w:rsidRDefault="000E0B74" w:rsidP="008E6292">
      <w:bookmarkStart w:id="0" w:name="_GoBack"/>
      <w:bookmarkEnd w:id="0"/>
    </w:p>
    <w:p w14:paraId="66BBC21B" w14:textId="77777777" w:rsidR="000E0B74" w:rsidRPr="006D0240" w:rsidRDefault="000E0B74" w:rsidP="00C72318">
      <w:pPr>
        <w:pStyle w:val="Crest"/>
        <w:spacing w:after="3000"/>
        <w:jc w:val="right"/>
      </w:pPr>
    </w:p>
    <w:p w14:paraId="4C126AF6" w14:textId="77777777" w:rsidR="000E0B74" w:rsidRPr="00706E8E" w:rsidRDefault="00121BE6" w:rsidP="00121BE6">
      <w:pPr>
        <w:pStyle w:val="Title"/>
      </w:pPr>
      <w:r>
        <w:t>Consumer Data Right Privacy Protections</w:t>
      </w:r>
    </w:p>
    <w:p w14:paraId="799E4172" w14:textId="3866F0F4" w:rsidR="00056880" w:rsidRDefault="009A7967" w:rsidP="000E0B74">
      <w:pPr>
        <w:pStyle w:val="ReportDate"/>
        <w:ind w:right="0"/>
        <w:rPr>
          <w:rFonts w:ascii="Rockwell" w:hAnsi="Rockwell"/>
          <w:sz w:val="24"/>
        </w:rPr>
      </w:pPr>
      <w:r>
        <w:rPr>
          <w:rStyle w:val="ReportDateChar"/>
        </w:rPr>
        <w:t>December</w:t>
      </w:r>
      <w:r w:rsidR="00121BE6">
        <w:rPr>
          <w:rStyle w:val="ReportDateChar"/>
        </w:rPr>
        <w:t xml:space="preserve"> 2018</w:t>
      </w:r>
    </w:p>
    <w:p w14:paraId="4741A9B3" w14:textId="77777777" w:rsidR="002F617F" w:rsidRPr="005D561D" w:rsidRDefault="002F617F" w:rsidP="002F617F">
      <w:pPr>
        <w:pStyle w:val="Divider"/>
      </w:pPr>
    </w:p>
    <w:p w14:paraId="3D181876" w14:textId="77777777" w:rsidR="002F617F" w:rsidRDefault="002F617F"/>
    <w:p w14:paraId="606F37F0" w14:textId="77777777" w:rsidR="000E0B74" w:rsidRDefault="000E0B74" w:rsidP="000E0B74">
      <w:pPr>
        <w:rPr>
          <w:rFonts w:cs="Calibri"/>
          <w:sz w:val="20"/>
        </w:rPr>
      </w:pPr>
    </w:p>
    <w:p w14:paraId="25C1E08F" w14:textId="77777777" w:rsidR="000E0B74" w:rsidRDefault="000E0B74" w:rsidP="000E0B74">
      <w:pPr>
        <w:sectPr w:rsidR="000E0B74" w:rsidSect="00C01DCC">
          <w:headerReference w:type="default" r:id="rId14"/>
          <w:footerReference w:type="even" r:id="rId15"/>
          <w:footerReference w:type="default" r:id="rId16"/>
          <w:pgSz w:w="11906" w:h="16838"/>
          <w:pgMar w:top="1418" w:right="1418" w:bottom="1418" w:left="1418" w:header="709" w:footer="709" w:gutter="0"/>
          <w:cols w:space="720"/>
        </w:sectPr>
      </w:pPr>
    </w:p>
    <w:p w14:paraId="19D096C8" w14:textId="77777777" w:rsidR="000E0B74" w:rsidRDefault="000E0B74" w:rsidP="000E0B74">
      <w:pPr>
        <w:spacing w:before="240"/>
      </w:pPr>
      <w:r w:rsidRPr="00661BF0">
        <w:lastRenderedPageBreak/>
        <w:t xml:space="preserve">© Commonwealth of Australia </w:t>
      </w:r>
      <w:r w:rsidR="00121BE6" w:rsidRPr="00121BE6">
        <w:t>2018</w:t>
      </w:r>
    </w:p>
    <w:p w14:paraId="72353F69" w14:textId="7777777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7"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00121BE6">
        <w:t>and where otherwise stated</w:t>
      </w:r>
      <w:r w:rsidRPr="002F1BC2">
        <w:t>. The full licence terms are available from</w:t>
      </w:r>
      <w:r w:rsidRPr="00476F09">
        <w:rPr>
          <w:rFonts w:cstheme="minorHAnsi"/>
          <w:sz w:val="24"/>
          <w:szCs w:val="24"/>
        </w:rPr>
        <w:t xml:space="preserve"> </w:t>
      </w:r>
      <w:hyperlink r:id="rId18"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7FCE874B" w14:textId="77777777" w:rsidR="000E0B74" w:rsidRDefault="000E0B74" w:rsidP="000E0B74">
      <w:pPr>
        <w:pStyle w:val="ChartGraphic"/>
        <w:jc w:val="left"/>
      </w:pPr>
      <w:r w:rsidRPr="00E56DFB">
        <w:rPr>
          <w:noProof/>
        </w:rPr>
        <w:drawing>
          <wp:inline distT="0" distB="0" distL="0" distR="0" wp14:anchorId="7B12319F" wp14:editId="0406A6E3">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1293485"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20"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14D097EE" w14:textId="77777777" w:rsidR="000E0B74" w:rsidRPr="002F1BC2" w:rsidRDefault="000E0B74" w:rsidP="000E0B74">
      <w:pPr>
        <w:ind w:left="709"/>
        <w:rPr>
          <w:i/>
        </w:rPr>
      </w:pPr>
      <w:r w:rsidRPr="002F1BC2">
        <w:rPr>
          <w:i/>
        </w:rPr>
        <w:t xml:space="preserve">Treasury material used </w:t>
      </w:r>
      <w:r>
        <w:rPr>
          <w:i/>
        </w:rPr>
        <w:t>‘</w:t>
      </w:r>
      <w:r w:rsidRPr="002F1BC2">
        <w:rPr>
          <w:i/>
        </w:rPr>
        <w:t>as supplied</w:t>
      </w:r>
      <w:r>
        <w:rPr>
          <w:i/>
        </w:rPr>
        <w:t>’.</w:t>
      </w:r>
    </w:p>
    <w:p w14:paraId="21612F20"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285991CE" w14:textId="77777777" w:rsidR="000E0B74" w:rsidRPr="00A13A11" w:rsidRDefault="000E0B74" w:rsidP="000E0B74">
      <w:pPr>
        <w:ind w:firstLine="720"/>
      </w:pPr>
      <w:r w:rsidRPr="002F1BC2">
        <w:rPr>
          <w:i/>
        </w:rPr>
        <w:t xml:space="preserve">Source: The </w:t>
      </w:r>
      <w:r w:rsidRPr="002F1BC2">
        <w:rPr>
          <w:i/>
          <w:iCs/>
        </w:rPr>
        <w:t>Aus</w:t>
      </w:r>
      <w:r w:rsidR="00121BE6">
        <w:rPr>
          <w:i/>
          <w:iCs/>
        </w:rPr>
        <w:t>tralian Government the Treasury.</w:t>
      </w:r>
    </w:p>
    <w:p w14:paraId="0F3B41A3" w14:textId="77777777" w:rsidR="000E0B74" w:rsidRPr="006627B4" w:rsidRDefault="000E0B74" w:rsidP="000E0B74">
      <w:pPr>
        <w:spacing w:before="240"/>
      </w:pPr>
      <w:r w:rsidRPr="00CC63CC">
        <w:rPr>
          <w:b/>
        </w:rPr>
        <w:t>Derivative</w:t>
      </w:r>
      <w:r w:rsidRPr="006627B4">
        <w:t xml:space="preserve"> </w:t>
      </w:r>
      <w:r w:rsidRPr="00CC63CC">
        <w:rPr>
          <w:b/>
        </w:rPr>
        <w:t>material</w:t>
      </w:r>
    </w:p>
    <w:p w14:paraId="6F51CDB9"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304E254C" w14:textId="77777777" w:rsidR="000E0B74" w:rsidRPr="006627B4" w:rsidRDefault="000E0B74" w:rsidP="000E0B74">
      <w:pPr>
        <w:ind w:firstLine="720"/>
      </w:pPr>
      <w:r w:rsidRPr="002F1BC2">
        <w:rPr>
          <w:i/>
        </w:rPr>
        <w:t>Based on The Australian Government the Treasury data</w:t>
      </w:r>
      <w:r w:rsidR="00121BE6">
        <w:t>.</w:t>
      </w:r>
    </w:p>
    <w:p w14:paraId="40F9AE73" w14:textId="77777777" w:rsidR="000E0B74" w:rsidRPr="006627B4" w:rsidRDefault="000E0B74" w:rsidP="000E0B74">
      <w:pPr>
        <w:spacing w:before="240"/>
        <w:rPr>
          <w:b/>
        </w:rPr>
      </w:pPr>
      <w:r w:rsidRPr="006627B4">
        <w:rPr>
          <w:b/>
        </w:rPr>
        <w:t>Use of the Coat of Arms</w:t>
      </w:r>
    </w:p>
    <w:p w14:paraId="45A64373" w14:textId="77777777" w:rsidR="000E0B74" w:rsidRPr="006627B4" w:rsidRDefault="000B67CC" w:rsidP="000B67CC">
      <w:r>
        <w:t>The terms under which the Coat of Arms can be used are set out</w:t>
      </w:r>
      <w:r w:rsidR="00DB1432">
        <w:t xml:space="preserve"> on the Department of the Prime </w:t>
      </w:r>
      <w:r>
        <w:t xml:space="preserve">Minister and Cabinet website (see </w:t>
      </w:r>
      <w:hyperlink r:id="rId21" w:history="1">
        <w:r w:rsidRPr="005A283B">
          <w:rPr>
            <w:rStyle w:val="Hyperlink"/>
          </w:rPr>
          <w:t>www.pmc.gov.au/government/commonwealth-coat-arms</w:t>
        </w:r>
      </w:hyperlink>
      <w:r>
        <w:t>).</w:t>
      </w:r>
    </w:p>
    <w:p w14:paraId="16766C2B" w14:textId="77777777" w:rsidR="000E0B74" w:rsidRPr="006627B4" w:rsidRDefault="000E0B74" w:rsidP="000E0B74">
      <w:pPr>
        <w:spacing w:before="240"/>
        <w:rPr>
          <w:b/>
        </w:rPr>
      </w:pPr>
      <w:r>
        <w:rPr>
          <w:b/>
        </w:rPr>
        <w:t>Other u</w:t>
      </w:r>
      <w:r w:rsidRPr="006627B4">
        <w:rPr>
          <w:b/>
        </w:rPr>
        <w:t>ses</w:t>
      </w:r>
    </w:p>
    <w:p w14:paraId="58207BD8" w14:textId="77777777" w:rsidR="000E0B74" w:rsidRPr="006627B4" w:rsidRDefault="000E0B74" w:rsidP="000E0B74">
      <w:r>
        <w:t>E</w:t>
      </w:r>
      <w:r w:rsidRPr="006627B4">
        <w:t>nquiries regarding this licence and any other use of this document are welcome at:</w:t>
      </w:r>
    </w:p>
    <w:p w14:paraId="713BFF95" w14:textId="77777777" w:rsidR="00F836F9" w:rsidRPr="00121BE6" w:rsidRDefault="000E0B74" w:rsidP="00121BE6">
      <w:pPr>
        <w:ind w:left="720"/>
        <w:rPr>
          <w:color w:val="004A7F"/>
        </w:rPr>
        <w:sectPr w:rsidR="00F836F9" w:rsidRPr="00121BE6" w:rsidSect="003C24B4">
          <w:footerReference w:type="default" r:id="rId22"/>
          <w:pgSz w:w="11906" w:h="16838" w:code="9"/>
          <w:pgMar w:top="1418" w:right="1418" w:bottom="1418" w:left="1418" w:header="709" w:footer="709" w:gutter="0"/>
          <w:pgNumType w:fmt="lowerRoman"/>
          <w:cols w:space="708"/>
          <w:docGrid w:linePitch="360"/>
        </w:sectPr>
      </w:pPr>
      <w:r w:rsidRPr="006627B4">
        <w:t>Manager</w:t>
      </w:r>
      <w:r w:rsidR="00A72960">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3" w:history="1">
        <w:r w:rsidRPr="00B31CFB">
          <w:rPr>
            <w:rStyle w:val="Hyperlink"/>
          </w:rPr>
          <w:t>medialiaison@treasury.gov.au</w:t>
        </w:r>
      </w:hyperlink>
    </w:p>
    <w:p w14:paraId="25C8E979" w14:textId="77777777" w:rsidR="00121BE6" w:rsidRDefault="00121BE6" w:rsidP="00121BE6">
      <w:pPr>
        <w:pStyle w:val="Heading2"/>
      </w:pPr>
      <w:r>
        <w:lastRenderedPageBreak/>
        <w:t>The Consumer Data Right impacts upon privacy in two primary ways</w:t>
      </w:r>
    </w:p>
    <w:p w14:paraId="27B1817A" w14:textId="77777777" w:rsidR="00121BE6" w:rsidRDefault="00121BE6" w:rsidP="005D2A0D">
      <w:r>
        <w:t>The right of an individual to access data about themselves is recognised to be a core privacy right. The Consumer Data Right grants additional access rights to those contained in Australian Privacy Principle 12, in relation to designated data sets. This new access right has greater functionality, more security and may apply to different kinds of data than existing privacy rights.</w:t>
      </w:r>
    </w:p>
    <w:p w14:paraId="093D82C1" w14:textId="77777777" w:rsidR="00121BE6" w:rsidRDefault="00121BE6" w:rsidP="005D2A0D">
      <w:r>
        <w:t>The Consumer Data Right also enables individuals to give direct access to their data to third parties. This may also be considered to be an extension of privacy rights. Additionally, in relation to this third party data access, the reforms impose an enhanced privacy framework beyond that which would ordinarily apply, directed at preventing inappropriate collection, disclosure, holding and use of data.</w:t>
      </w:r>
    </w:p>
    <w:p w14:paraId="17CDCAD5" w14:textId="77777777" w:rsidR="0005138B" w:rsidRDefault="00121BE6" w:rsidP="00121BE6">
      <w:pPr>
        <w:pStyle w:val="Heading2"/>
      </w:pPr>
      <w:r>
        <w:t>Targeted application</w:t>
      </w:r>
    </w:p>
    <w:p w14:paraId="4CEB0101" w14:textId="77777777" w:rsidR="00121BE6" w:rsidRPr="00B41552" w:rsidRDefault="00121BE6" w:rsidP="00121BE6">
      <w:pPr>
        <w:rPr>
          <w:b/>
        </w:rPr>
      </w:pPr>
      <w:r>
        <w:rPr>
          <w:b/>
        </w:rPr>
        <w:t>The Consumer Data Right is</w:t>
      </w:r>
      <w:r w:rsidRPr="00B41552">
        <w:rPr>
          <w:b/>
        </w:rPr>
        <w:t xml:space="preserve"> only applied to data sets after</w:t>
      </w:r>
      <w:r>
        <w:rPr>
          <w:b/>
        </w:rPr>
        <w:t xml:space="preserve"> consideration of </w:t>
      </w:r>
      <w:r w:rsidRPr="00B41552">
        <w:rPr>
          <w:b/>
        </w:rPr>
        <w:t>privacy</w:t>
      </w:r>
      <w:r>
        <w:rPr>
          <w:b/>
        </w:rPr>
        <w:t xml:space="preserve"> impacts has taken place.</w:t>
      </w:r>
    </w:p>
    <w:p w14:paraId="6E9262F8" w14:textId="77777777" w:rsidR="00121BE6" w:rsidRDefault="00121BE6" w:rsidP="00121BE6">
      <w:r>
        <w:t xml:space="preserve">Going forward, data sets and data holders will only become subject to the Consumer Data Right following detailed sectoral assessments by the ACCC, in conjunction with the OAIC. </w:t>
      </w:r>
    </w:p>
    <w:p w14:paraId="00EBBB9C" w14:textId="77777777" w:rsidR="00121BE6" w:rsidRDefault="00121BE6" w:rsidP="00121BE6">
      <w:r>
        <w:t xml:space="preserve">The Treasurer must then consider (amongst other things) the privacy and confidentiality impacts before designating a sector as subject to the right. </w:t>
      </w:r>
    </w:p>
    <w:p w14:paraId="6E88F85B" w14:textId="77777777" w:rsidR="00121BE6" w:rsidRDefault="00121BE6" w:rsidP="00121BE6">
      <w:r>
        <w:t>The Treasurer may make regulations to accompany a designation, to ensure that the ACCC made Consumer Data Rules (Rules) contain (or do not contain) certain requirements, including in relation to privacy.</w:t>
      </w:r>
    </w:p>
    <w:p w14:paraId="17ACAD1A" w14:textId="77777777" w:rsidR="00121BE6" w:rsidRDefault="00121BE6" w:rsidP="00121BE6">
      <w:r>
        <w:t xml:space="preserve">In respect of banking data sets, the Open Banking Review carried out the equivalent of the proposed ACCC sectoral assessment process. The transitional provisions of the Bill dispense with the requirement for an additional sectoral assessment for the banking data sets being designated. </w:t>
      </w:r>
    </w:p>
    <w:p w14:paraId="56798EFE" w14:textId="77777777" w:rsidR="00121BE6" w:rsidRDefault="00121BE6" w:rsidP="00121BE6">
      <w:pPr>
        <w:pStyle w:val="Heading2"/>
      </w:pPr>
      <w:r>
        <w:t>A voice for privacy</w:t>
      </w:r>
    </w:p>
    <w:p w14:paraId="106F8A3B" w14:textId="77777777" w:rsidR="00121BE6" w:rsidRPr="00BC4A0E" w:rsidRDefault="00121BE6" w:rsidP="00121BE6">
      <w:pPr>
        <w:pStyle w:val="Dash"/>
        <w:numPr>
          <w:ilvl w:val="0"/>
          <w:numId w:val="0"/>
        </w:numPr>
        <w:rPr>
          <w:b/>
        </w:rPr>
      </w:pPr>
      <w:r w:rsidRPr="00BC4A0E">
        <w:rPr>
          <w:b/>
        </w:rPr>
        <w:t>The Office of the Australian Information Commissioner (OAIC) will act as a source of expertise and advocacy for privacy protection.</w:t>
      </w:r>
    </w:p>
    <w:p w14:paraId="2216B8C0" w14:textId="77777777" w:rsidR="00121BE6" w:rsidRDefault="00121BE6" w:rsidP="00121BE6">
      <w:pPr>
        <w:pStyle w:val="Dash"/>
        <w:numPr>
          <w:ilvl w:val="0"/>
          <w:numId w:val="0"/>
        </w:numPr>
      </w:pPr>
      <w:r>
        <w:t>The OAIC will be an active participant in sector designation, rulemaking and standard setting under the regime. The first two roles are provided for in the Bill, with the latter to be addressed through the Rules and their observer status with the Data Standards Body.</w:t>
      </w:r>
    </w:p>
    <w:p w14:paraId="5CBA63E2" w14:textId="77777777" w:rsidR="00121BE6" w:rsidRDefault="00121BE6" w:rsidP="00121BE6">
      <w:pPr>
        <w:pStyle w:val="Dash"/>
        <w:numPr>
          <w:ilvl w:val="0"/>
          <w:numId w:val="0"/>
        </w:numPr>
      </w:pPr>
      <w:r>
        <w:t>The OAIC must be consulted by the ACCC in relation to sector designation and rulemaking. The OAIC may also independently advise the Treasurer on whether to issue a designation or consent to a rule. The OAIC may make these advices publicly available.</w:t>
      </w:r>
    </w:p>
    <w:p w14:paraId="7596AF89" w14:textId="77777777" w:rsidR="00121BE6" w:rsidRDefault="00121BE6" w:rsidP="00121BE6">
      <w:pPr>
        <w:pStyle w:val="Dash"/>
        <w:numPr>
          <w:ilvl w:val="0"/>
          <w:numId w:val="0"/>
        </w:numPr>
      </w:pPr>
      <w:r>
        <w:t>The ACCC must undertake public consultation in relation to sector designation and rule</w:t>
      </w:r>
      <w:r>
        <w:noBreakHyphen/>
        <w:t>making. In respect of Rules for the banking sector, the transitional provisions of the Bill dispense with the requirement for additional consultation as the ACCC will consult on draft Rules before the Bill is passed.</w:t>
      </w:r>
    </w:p>
    <w:p w14:paraId="1DDE9E55" w14:textId="77777777" w:rsidR="00690A19" w:rsidRDefault="00690A19">
      <w:pPr>
        <w:spacing w:before="0" w:after="160" w:line="259" w:lineRule="auto"/>
        <w:rPr>
          <w:rFonts w:cs="Arial"/>
          <w:iCs/>
          <w:color w:val="004A7F"/>
          <w:kern w:val="32"/>
          <w:sz w:val="36"/>
          <w:szCs w:val="28"/>
        </w:rPr>
      </w:pPr>
      <w:r>
        <w:br w:type="page"/>
      </w:r>
    </w:p>
    <w:p w14:paraId="30D92430" w14:textId="3FE3B68A" w:rsidR="00121BE6" w:rsidRDefault="00121BE6" w:rsidP="00121BE6">
      <w:pPr>
        <w:pStyle w:val="Heading2"/>
      </w:pPr>
      <w:r>
        <w:lastRenderedPageBreak/>
        <w:t>Privacy Safeguards</w:t>
      </w:r>
    </w:p>
    <w:p w14:paraId="154E243A" w14:textId="77777777" w:rsidR="00121BE6" w:rsidRPr="0064047A" w:rsidRDefault="00121BE6" w:rsidP="00121BE6">
      <w:pPr>
        <w:rPr>
          <w:b/>
        </w:rPr>
      </w:pPr>
      <w:r w:rsidRPr="0064047A">
        <w:rPr>
          <w:b/>
        </w:rPr>
        <w:t>Strong minimum privacy protections for collection, disclosure and use</w:t>
      </w:r>
    </w:p>
    <w:p w14:paraId="71D06FED" w14:textId="77777777" w:rsidR="00121BE6" w:rsidRDefault="00121BE6" w:rsidP="00121BE6">
      <w:r>
        <w:t xml:space="preserve">The Bill will create a minimum set of Privacy Safeguards for the Consumer Data Right.  </w:t>
      </w:r>
    </w:p>
    <w:p w14:paraId="6462D367" w14:textId="77777777" w:rsidR="00121BE6" w:rsidRDefault="00121BE6" w:rsidP="00121BE6">
      <w:r>
        <w:t xml:space="preserve">Each </w:t>
      </w:r>
      <w:r w:rsidRPr="000F6B43">
        <w:rPr>
          <w:i/>
        </w:rPr>
        <w:t>Australian Privacy Principle</w:t>
      </w:r>
      <w:r>
        <w:t xml:space="preserve"> will have its equivalent but more onerous Privacy Safeguard. The exception to this is APP12 </w:t>
      </w:r>
      <w:r w:rsidRPr="00E30073">
        <w:rPr>
          <w:i/>
        </w:rPr>
        <w:t>Access to personal information</w:t>
      </w:r>
      <w:r>
        <w:t>, for which the entirety of the Consumer Data Right is the enhanced equivalent.</w:t>
      </w:r>
    </w:p>
    <w:p w14:paraId="3E54FD72" w14:textId="77777777" w:rsidR="00121BE6" w:rsidRDefault="00121BE6" w:rsidP="00121BE6">
      <w:r>
        <w:t xml:space="preserve">The Privacy Safeguards, while generally consistent with the APPs, are more restrictive and, in conjunction with supporting Rules, will be more detailed than their equivalent APPs. They will have broader application, to catch all designated data relating to identifiable natural and legal persons and to bind all accredited data recipients in respect of CDR data they’ve received. To minimise the complexity of the CDR regime, most of the Privacy Safeguards will not apply to data holders. Data holders will instead be subject to the </w:t>
      </w:r>
      <w:r w:rsidRPr="002E230B">
        <w:rPr>
          <w:i/>
        </w:rPr>
        <w:t>Privacy Act 1988</w:t>
      </w:r>
      <w:r>
        <w:t xml:space="preserve"> (Privacy Act).</w:t>
      </w:r>
    </w:p>
    <w:p w14:paraId="5D8BCEE3" w14:textId="77777777" w:rsidR="00121BE6" w:rsidRDefault="00121BE6" w:rsidP="00121BE6">
      <w:r w:rsidRPr="008D42DB">
        <w:t>These stronger protections mitigate risks associated with more convenient and higher velocity transfers of valuable machine readable data; and to instil justified high levels of consumer confidence in the use of the system.</w:t>
      </w:r>
    </w:p>
    <w:p w14:paraId="578CB773" w14:textId="77777777" w:rsidR="00121BE6" w:rsidRDefault="00121BE6" w:rsidP="00121BE6">
      <w:r>
        <w:t>The Privacy Act has a general civil penalty (up to 2000 penalty units and five times that for corporations) only for serious or repeated breaches of privacy, which can apply to breaches of any APP.</w:t>
      </w:r>
      <w:r>
        <w:rPr>
          <w:rStyle w:val="FootnoteReference"/>
        </w:rPr>
        <w:footnoteReference w:id="1"/>
      </w:r>
      <w:r>
        <w:t xml:space="preserve"> Breaches of most Safeguards attract civil penalties, with no requirement for breaches to be serious or repeated – with penalties capped at the greater of, for individuals, $500,000 or, for corporations, $10,000,000; three times the total value of the benefits that have been obtained; or 10% of the annual domestic turnover of the entity committing the breach. This aligns with competition and consumer law penalty amounts.</w:t>
      </w:r>
    </w:p>
    <w:p w14:paraId="4C66A093" w14:textId="77777777" w:rsidR="00121BE6" w:rsidRDefault="00121BE6" w:rsidP="00121BE6">
      <w:pPr>
        <w:pStyle w:val="Heading2"/>
      </w:pPr>
      <w:r>
        <w:t>Further Privacy Protections</w:t>
      </w:r>
    </w:p>
    <w:p w14:paraId="182B1387" w14:textId="77777777" w:rsidR="00121BE6" w:rsidRPr="00697F70" w:rsidRDefault="00121BE6" w:rsidP="00121BE6">
      <w:pPr>
        <w:rPr>
          <w:b/>
        </w:rPr>
      </w:pPr>
      <w:r w:rsidRPr="00697F70">
        <w:rPr>
          <w:b/>
        </w:rPr>
        <w:t xml:space="preserve">The Privacy Safeguards set the </w:t>
      </w:r>
      <w:r w:rsidRPr="00697F70">
        <w:rPr>
          <w:b/>
          <w:u w:val="single"/>
        </w:rPr>
        <w:t>minimum</w:t>
      </w:r>
      <w:r w:rsidRPr="00697F70">
        <w:rPr>
          <w:b/>
        </w:rPr>
        <w:t xml:space="preserve"> protections.</w:t>
      </w:r>
    </w:p>
    <w:p w14:paraId="4798D9A4" w14:textId="77777777" w:rsidR="00121BE6" w:rsidRDefault="00121BE6" w:rsidP="00121BE6">
      <w:r>
        <w:t>In addition to Privacy Safeguards hardwired into the primary legislation, the framework provides flexibility to respond to emerging privacy risks, through rulemaking and standard setting processes.</w:t>
      </w:r>
    </w:p>
    <w:p w14:paraId="4DE239E0" w14:textId="77777777" w:rsidR="00121BE6" w:rsidRDefault="00121BE6" w:rsidP="00121BE6">
      <w:r>
        <w:t>The ACCC may make additional Rules regarding the transfer, holding and use of data within the system, to build upon the Privacy Safeguards.</w:t>
      </w:r>
    </w:p>
    <w:p w14:paraId="7AD32348" w14:textId="77777777" w:rsidR="00121BE6" w:rsidRDefault="00121BE6" w:rsidP="00121BE6">
      <w:r>
        <w:t>The Data Standards Body may make technical standards to support the operation of the Privacy Safeguards and any further protections in the Rules – for example, information security standards.</w:t>
      </w:r>
    </w:p>
    <w:p w14:paraId="10FD8A5A" w14:textId="77777777" w:rsidR="00121BE6" w:rsidRDefault="00121BE6" w:rsidP="00121BE6">
      <w:pPr>
        <w:rPr>
          <w:i/>
        </w:rPr>
      </w:pPr>
      <w:r>
        <w:t xml:space="preserve">Breaches of more specific Rules in addition to any Safeguard can attract civil penalties up to an amount specified in the Rules, capped at the greater of, for individuals, $500,000 or, for corporations, $10,000,000; three times the total value of the benefits that have been obtained; or 10% of the annual turnover of the entity committing the breach. </w:t>
      </w:r>
    </w:p>
    <w:p w14:paraId="69B168A6" w14:textId="77777777" w:rsidR="00121BE6" w:rsidRDefault="00121BE6" w:rsidP="00121BE6">
      <w:r>
        <w:t>There are also other aspects of the CDR legislation that help to protect privacy. For example, a CDR designation instrument for a sector may provide that a particular intermediary is a designated gateway for that sector. Data holders may then be required to transfer data through that designated gateway. Designated gateways will only be able to collect, use and disclose information as specifically provided for in the Rules.</w:t>
      </w:r>
    </w:p>
    <w:p w14:paraId="56088CDC" w14:textId="77777777" w:rsidR="00121BE6" w:rsidRPr="00072D85" w:rsidRDefault="00121BE6" w:rsidP="00121BE6">
      <w:pPr>
        <w:pStyle w:val="Heading2"/>
      </w:pPr>
      <w:r>
        <w:t>Genuine c</w:t>
      </w:r>
      <w:r w:rsidRPr="00072D85">
        <w:t>onsent</w:t>
      </w:r>
    </w:p>
    <w:p w14:paraId="2110A49F" w14:textId="77777777" w:rsidR="00121BE6" w:rsidRPr="00072D85" w:rsidRDefault="00121BE6" w:rsidP="00121BE6">
      <w:pPr>
        <w:rPr>
          <w:b/>
        </w:rPr>
      </w:pPr>
      <w:r w:rsidRPr="00072D85">
        <w:rPr>
          <w:b/>
        </w:rPr>
        <w:t>Consents to collect, disclose, hold or use will need to be genuine.</w:t>
      </w:r>
    </w:p>
    <w:p w14:paraId="1688334B" w14:textId="77777777" w:rsidR="00121BE6" w:rsidRPr="00072D85" w:rsidRDefault="00121BE6" w:rsidP="00121BE6">
      <w:r w:rsidRPr="00072D85">
        <w:t>The Consumer Data Right will provide consumers with the right to access data relating to them held by a business; or to direct that it be transferred to a trusted third party.</w:t>
      </w:r>
    </w:p>
    <w:p w14:paraId="02247B53" w14:textId="77777777" w:rsidR="00121BE6" w:rsidRPr="00072D85" w:rsidRDefault="00121BE6" w:rsidP="00121BE6">
      <w:r w:rsidRPr="00072D85">
        <w:t xml:space="preserve">The Open Banking Review proposed that the ACCC rulemaking should ensure that consent under the regime is genuine. It is intended that the </w:t>
      </w:r>
      <w:r>
        <w:t>R</w:t>
      </w:r>
      <w:r w:rsidRPr="00072D85">
        <w:t xml:space="preserve">ules will set out requirements to ensure that consent is express, informed, </w:t>
      </w:r>
      <w:r>
        <w:t xml:space="preserve">current, </w:t>
      </w:r>
      <w:r w:rsidRPr="00072D85">
        <w:t>clear, specific</w:t>
      </w:r>
      <w:r>
        <w:t xml:space="preserve">, </w:t>
      </w:r>
      <w:r w:rsidRPr="00072D85">
        <w:t>unbundled</w:t>
      </w:r>
      <w:r>
        <w:t xml:space="preserve"> and</w:t>
      </w:r>
      <w:r w:rsidRPr="00072D85">
        <w:t xml:space="preserve"> time limited</w:t>
      </w:r>
      <w:r>
        <w:t>. The Rules will ensure that consent must be given by the relevant people and by those with appropriate capacity. The Rules will be able to set requirements for the processes for obtaining consent.</w:t>
      </w:r>
    </w:p>
    <w:p w14:paraId="4C9BBFAC" w14:textId="77777777" w:rsidR="00121BE6" w:rsidRDefault="00121BE6" w:rsidP="00121BE6">
      <w:r>
        <w:t>The Rules relating to consent will be d</w:t>
      </w:r>
      <w:r w:rsidRPr="00072D85">
        <w:t xml:space="preserve">eveloped </w:t>
      </w:r>
      <w:r>
        <w:t>by the ACCC in consultation with the OAIC, having regard</w:t>
      </w:r>
      <w:r w:rsidRPr="00072D85">
        <w:t xml:space="preserve"> to real world behaviours of consumers and </w:t>
      </w:r>
      <w:r>
        <w:t xml:space="preserve">based upon evidence of </w:t>
      </w:r>
      <w:r w:rsidRPr="00072D85">
        <w:t xml:space="preserve">the </w:t>
      </w:r>
      <w:r>
        <w:t xml:space="preserve">actual </w:t>
      </w:r>
      <w:r w:rsidRPr="00072D85">
        <w:t>eff</w:t>
      </w:r>
      <w:r>
        <w:t>icacy</w:t>
      </w:r>
      <w:r w:rsidRPr="00072D85">
        <w:t xml:space="preserve"> of existing consent processes.</w:t>
      </w:r>
    </w:p>
    <w:p w14:paraId="0E14FCE3" w14:textId="77777777" w:rsidR="00121BE6" w:rsidRPr="00DE62DB" w:rsidRDefault="00121BE6" w:rsidP="00121BE6">
      <w:pPr>
        <w:pStyle w:val="Heading2"/>
      </w:pPr>
      <w:r>
        <w:t>A ‘data safety licence’</w:t>
      </w:r>
    </w:p>
    <w:p w14:paraId="56363AF3" w14:textId="77777777" w:rsidR="00121BE6" w:rsidRPr="00072D85" w:rsidRDefault="00121BE6" w:rsidP="00121BE6">
      <w:pPr>
        <w:pStyle w:val="Dash"/>
        <w:numPr>
          <w:ilvl w:val="0"/>
          <w:numId w:val="0"/>
        </w:numPr>
        <w:rPr>
          <w:b/>
        </w:rPr>
      </w:pPr>
      <w:r w:rsidRPr="00072D85">
        <w:rPr>
          <w:b/>
        </w:rPr>
        <w:t>Data transfer will only be permitted to trusted data recipients</w:t>
      </w:r>
    </w:p>
    <w:p w14:paraId="798055BD" w14:textId="77777777" w:rsidR="00121BE6" w:rsidRDefault="00121BE6" w:rsidP="00121BE6">
      <w:pPr>
        <w:pStyle w:val="Dash"/>
        <w:numPr>
          <w:ilvl w:val="0"/>
          <w:numId w:val="0"/>
        </w:numPr>
      </w:pPr>
      <w:r>
        <w:t xml:space="preserve">Within the CDR system, the Consumer Data Right will generally only permit data relating to identifiable consumers to be transferred to </w:t>
      </w:r>
      <w:r w:rsidRPr="000F1598">
        <w:rPr>
          <w:i/>
        </w:rPr>
        <w:t>accredited</w:t>
      </w:r>
      <w:r>
        <w:t xml:space="preserve"> data recipients (or the consumer themselves).</w:t>
      </w:r>
    </w:p>
    <w:p w14:paraId="4B662F37" w14:textId="77777777" w:rsidR="00121BE6" w:rsidRDefault="00121BE6" w:rsidP="00121BE6">
      <w:pPr>
        <w:pStyle w:val="Dash"/>
        <w:numPr>
          <w:ilvl w:val="0"/>
          <w:numId w:val="0"/>
        </w:numPr>
      </w:pPr>
      <w:r>
        <w:t xml:space="preserve">Transfers of data out of the CDR system will be possible, but highly restricted. </w:t>
      </w:r>
    </w:p>
    <w:p w14:paraId="2A2E3F0D" w14:textId="77777777" w:rsidR="00121BE6" w:rsidRDefault="00121BE6" w:rsidP="00121BE6">
      <w:pPr>
        <w:pStyle w:val="Dash"/>
        <w:numPr>
          <w:ilvl w:val="0"/>
          <w:numId w:val="0"/>
        </w:numPr>
      </w:pPr>
      <w:r>
        <w:t>The ACCC will be responsible for data recipient accreditation. Accreditation will be directed at ensuring that the data recipient is a person who can be trusted to receive, hold and use data. The accreditation criteria will be set out in the Rules and are expected to include information security, privacy, fit and proper and identity verification requirements.</w:t>
      </w:r>
    </w:p>
    <w:p w14:paraId="4B35A90B" w14:textId="77777777" w:rsidR="00121BE6" w:rsidRDefault="00121BE6" w:rsidP="00121BE6">
      <w:pPr>
        <w:pStyle w:val="Dash"/>
        <w:numPr>
          <w:ilvl w:val="0"/>
          <w:numId w:val="0"/>
        </w:numPr>
      </w:pPr>
      <w:r>
        <w:t>It is expected that there will be graduated tiers of accreditation, with high risk data and uses requiring stronger protections to be in place.</w:t>
      </w:r>
    </w:p>
    <w:p w14:paraId="64A2E43C" w14:textId="77777777" w:rsidR="00121BE6" w:rsidRDefault="00121BE6" w:rsidP="00121BE6">
      <w:pPr>
        <w:pStyle w:val="Dash"/>
        <w:numPr>
          <w:ilvl w:val="0"/>
          <w:numId w:val="0"/>
        </w:numPr>
      </w:pPr>
      <w:r>
        <w:t xml:space="preserve">It is expected that the Rules will put in place requirements for data holders to verify the identity and accreditation status of third parties before releasing data. </w:t>
      </w:r>
    </w:p>
    <w:p w14:paraId="581AB873" w14:textId="77777777" w:rsidR="00121BE6" w:rsidRDefault="00121BE6" w:rsidP="00121BE6">
      <w:pPr>
        <w:pStyle w:val="Dash"/>
        <w:numPr>
          <w:ilvl w:val="0"/>
          <w:numId w:val="0"/>
        </w:numPr>
      </w:pPr>
      <w:r>
        <w:t>It is expected that technical standards will require arrangements to be put in place that automatically block access to non-accredited entities. Communications will be required to be encrypted.</w:t>
      </w:r>
    </w:p>
    <w:p w14:paraId="1422E7C6" w14:textId="77777777" w:rsidR="00121BE6" w:rsidRDefault="00121BE6" w:rsidP="00121BE6">
      <w:pPr>
        <w:pStyle w:val="Dash"/>
        <w:numPr>
          <w:ilvl w:val="0"/>
          <w:numId w:val="0"/>
        </w:numPr>
        <w:rPr>
          <w:b/>
        </w:rPr>
      </w:pPr>
      <w:r>
        <w:t>The ACCC will be empowered to suspend, revoke, downgrade or impose conditions upon accreditations.</w:t>
      </w:r>
      <w:r w:rsidRPr="006377E7">
        <w:rPr>
          <w:b/>
        </w:rPr>
        <w:t xml:space="preserve"> </w:t>
      </w:r>
    </w:p>
    <w:p w14:paraId="1A226229" w14:textId="77777777" w:rsidR="00121BE6" w:rsidRPr="006377E7" w:rsidRDefault="00121BE6" w:rsidP="00121BE6">
      <w:pPr>
        <w:pStyle w:val="Dash"/>
        <w:numPr>
          <w:ilvl w:val="0"/>
          <w:numId w:val="0"/>
        </w:numPr>
        <w:rPr>
          <w:b/>
        </w:rPr>
      </w:pPr>
      <w:r w:rsidRPr="006377E7">
        <w:rPr>
          <w:b/>
        </w:rPr>
        <w:t>Data recipients must also be bound by the Privacy Act.</w:t>
      </w:r>
    </w:p>
    <w:p w14:paraId="341C8075" w14:textId="77777777" w:rsidR="00121BE6" w:rsidRDefault="00121BE6" w:rsidP="00121BE6">
      <w:pPr>
        <w:pStyle w:val="Dash"/>
        <w:numPr>
          <w:ilvl w:val="0"/>
          <w:numId w:val="0"/>
        </w:numPr>
      </w:pPr>
      <w:r>
        <w:t>Generally, small to medium sized enterprises are not bound by the Privacy Act.</w:t>
      </w:r>
      <w:r>
        <w:rPr>
          <w:rStyle w:val="FootnoteReference"/>
        </w:rPr>
        <w:footnoteReference w:id="2"/>
      </w:r>
    </w:p>
    <w:p w14:paraId="4478DFDF" w14:textId="77777777" w:rsidR="00121BE6" w:rsidRPr="00DE62DB" w:rsidRDefault="00121BE6" w:rsidP="00121BE6">
      <w:pPr>
        <w:pStyle w:val="Dash"/>
        <w:numPr>
          <w:ilvl w:val="0"/>
          <w:numId w:val="0"/>
        </w:numPr>
      </w:pPr>
      <w:r>
        <w:t xml:space="preserve">The Bill provides that this exception is not available to enterprises that obtain accreditation to receive data under the Consumer Data Right. This means that the Privacy Act will apply to information for which the Privacy Act would otherwise apply (other than Consumer Data Right Data, in relation to which the Privacy Safeguards will instead apply). The Safeguards will protect Consumer Data right data held by accredited data recipients. </w:t>
      </w:r>
    </w:p>
    <w:p w14:paraId="5322799A" w14:textId="07DDB19D" w:rsidR="006178BD" w:rsidRDefault="006178BD">
      <w:pPr>
        <w:spacing w:before="0" w:after="160" w:line="259" w:lineRule="auto"/>
        <w:rPr>
          <w:rFonts w:cs="Arial"/>
          <w:iCs/>
          <w:color w:val="004A7F"/>
          <w:kern w:val="32"/>
          <w:sz w:val="36"/>
          <w:szCs w:val="28"/>
        </w:rPr>
      </w:pPr>
    </w:p>
    <w:p w14:paraId="6C313FE8" w14:textId="0FF8B41D" w:rsidR="00121BE6" w:rsidRDefault="00121BE6" w:rsidP="00121BE6">
      <w:pPr>
        <w:pStyle w:val="Heading2"/>
      </w:pPr>
      <w:r>
        <w:t>Rights to withdraw or delete</w:t>
      </w:r>
    </w:p>
    <w:p w14:paraId="386D9594" w14:textId="77777777" w:rsidR="00121BE6" w:rsidRPr="009E1E95" w:rsidRDefault="00121BE6" w:rsidP="00121BE6">
      <w:pPr>
        <w:rPr>
          <w:b/>
        </w:rPr>
      </w:pPr>
      <w:r w:rsidRPr="009E1E95">
        <w:rPr>
          <w:b/>
        </w:rPr>
        <w:t>There will be rights to withdraw consent to disclosure</w:t>
      </w:r>
      <w:r>
        <w:rPr>
          <w:b/>
        </w:rPr>
        <w:t>s</w:t>
      </w:r>
      <w:r w:rsidRPr="009E1E95">
        <w:rPr>
          <w:b/>
        </w:rPr>
        <w:t xml:space="preserve"> and use</w:t>
      </w:r>
      <w:r>
        <w:rPr>
          <w:b/>
        </w:rPr>
        <w:t xml:space="preserve"> of data</w:t>
      </w:r>
    </w:p>
    <w:p w14:paraId="5F1010A0" w14:textId="77777777" w:rsidR="00121BE6" w:rsidRPr="00D35851" w:rsidRDefault="00121BE6" w:rsidP="00121BE6">
      <w:r w:rsidRPr="00D35851">
        <w:t xml:space="preserve">Consumers will be entitled to withdraw their consent to a data holder providing access to a data recipient.   </w:t>
      </w:r>
    </w:p>
    <w:p w14:paraId="065ABD5E" w14:textId="77777777" w:rsidR="00121BE6" w:rsidRPr="00D35851" w:rsidRDefault="00121BE6" w:rsidP="00121BE6">
      <w:r w:rsidRPr="00EE18E6">
        <w:t xml:space="preserve">The </w:t>
      </w:r>
      <w:r>
        <w:t>R</w:t>
      </w:r>
      <w:r w:rsidRPr="00EE18E6">
        <w:t xml:space="preserve">ules will be able to provide for circumstances in which consumers will be entitled to withdraw a consent previously given to a data recipient for them to use the consumer’s data.  </w:t>
      </w:r>
    </w:p>
    <w:p w14:paraId="621F808F" w14:textId="77777777" w:rsidR="00121BE6" w:rsidRDefault="00121BE6" w:rsidP="00121BE6">
      <w:r w:rsidRPr="00D35851">
        <w:t>The Bill will require data to be deleted</w:t>
      </w:r>
      <w:r>
        <w:t xml:space="preserve"> or de-identified</w:t>
      </w:r>
      <w:r w:rsidRPr="00D35851">
        <w:t xml:space="preserve"> upon any use permission</w:t>
      </w:r>
      <w:r>
        <w:t xml:space="preserve">s becoming spent. </w:t>
      </w:r>
      <w:r w:rsidRPr="00D35851">
        <w:t>This will operate in conjunction with the requirement for all use permissions to be express and specific.</w:t>
      </w:r>
      <w:r>
        <w:t xml:space="preserve"> </w:t>
      </w:r>
    </w:p>
    <w:p w14:paraId="6D93DDBD" w14:textId="77777777" w:rsidR="00121BE6" w:rsidRDefault="00121BE6" w:rsidP="00121BE6">
      <w:pPr>
        <w:pStyle w:val="Heading2"/>
      </w:pPr>
      <w:r>
        <w:t>Dual regulator model</w:t>
      </w:r>
    </w:p>
    <w:p w14:paraId="5CAE9C29" w14:textId="77777777" w:rsidR="00121BE6" w:rsidRPr="009E1E95" w:rsidRDefault="00121BE6" w:rsidP="00121BE6">
      <w:pPr>
        <w:rPr>
          <w:b/>
        </w:rPr>
      </w:pPr>
      <w:r>
        <w:rPr>
          <w:b/>
        </w:rPr>
        <w:t>Regulators will</w:t>
      </w:r>
      <w:r w:rsidRPr="009E1E95">
        <w:rPr>
          <w:b/>
        </w:rPr>
        <w:t xml:space="preserve"> play to their strengths</w:t>
      </w:r>
    </w:p>
    <w:p w14:paraId="31A9BE84" w14:textId="77777777" w:rsidR="00121BE6" w:rsidRDefault="00121BE6" w:rsidP="00121BE6">
      <w:r>
        <w:t>The OAIC will be empowered to provide individual remedies, in conjunction with external dispute resolution arrangements. They will have primary responsibility for enforcing the Privacy Safeguards but may also be delegated enforcement functions relating to the Rules, to support their role.</w:t>
      </w:r>
    </w:p>
    <w:p w14:paraId="57FE9DD3" w14:textId="77777777" w:rsidR="00121BE6" w:rsidRDefault="00121BE6" w:rsidP="00121BE6">
      <w:r>
        <w:t>The ACCC will have a strategic enforcement role (bringing their greater litigation resources and experience to bear), focusing on consumer and competition outcomes. They will have primary responsibility for enforcing the balance of the regime, but may also be delegated enforcement functions relating to the Privacy Safeguards.</w:t>
      </w:r>
    </w:p>
    <w:p w14:paraId="5DF9999E" w14:textId="77777777" w:rsidR="00121BE6" w:rsidRDefault="00121BE6" w:rsidP="00121BE6">
      <w:r>
        <w:t>Between the regulators, there will be a no-wrong door approach to consumer complaints.</w:t>
      </w:r>
    </w:p>
    <w:p w14:paraId="4B8726CD" w14:textId="77777777" w:rsidR="00121BE6" w:rsidRPr="00697F70" w:rsidRDefault="00121BE6" w:rsidP="00121BE6">
      <w:pPr>
        <w:rPr>
          <w:b/>
        </w:rPr>
      </w:pPr>
      <w:r>
        <w:rPr>
          <w:b/>
        </w:rPr>
        <w:t>There will be a graduated and powerful set of regulatory tools.</w:t>
      </w:r>
    </w:p>
    <w:p w14:paraId="1AE86F9A" w14:textId="77777777" w:rsidR="00121BE6" w:rsidRPr="00DE62DB" w:rsidRDefault="00121BE6" w:rsidP="00121BE6">
      <w:pPr>
        <w:pStyle w:val="Bullet"/>
        <w:numPr>
          <w:ilvl w:val="0"/>
          <w:numId w:val="0"/>
        </w:numPr>
        <w:ind w:left="520" w:hanging="520"/>
      </w:pPr>
      <w:r>
        <w:t>The Bill provides regulators with extensive powers:</w:t>
      </w:r>
    </w:p>
    <w:p w14:paraId="620E145A" w14:textId="77777777" w:rsidR="00121BE6" w:rsidRDefault="00121BE6" w:rsidP="00121BE6">
      <w:pPr>
        <w:pStyle w:val="Bullet"/>
        <w:numPr>
          <w:ilvl w:val="0"/>
          <w:numId w:val="19"/>
        </w:numPr>
        <w:spacing w:before="120" w:after="0"/>
        <w:ind w:left="522" w:hanging="522"/>
      </w:pPr>
      <w:r>
        <w:t>Criminal penalties</w:t>
      </w:r>
    </w:p>
    <w:p w14:paraId="512F9D62" w14:textId="77777777" w:rsidR="00121BE6" w:rsidRPr="00DE62DB" w:rsidRDefault="00121BE6" w:rsidP="00121BE6">
      <w:pPr>
        <w:pStyle w:val="Bullet"/>
        <w:numPr>
          <w:ilvl w:val="0"/>
          <w:numId w:val="19"/>
        </w:numPr>
        <w:spacing w:before="60" w:after="0"/>
        <w:ind w:left="522" w:hanging="522"/>
      </w:pPr>
      <w:r w:rsidRPr="00DE62DB">
        <w:t>Civil penalties</w:t>
      </w:r>
    </w:p>
    <w:p w14:paraId="2AB58687" w14:textId="77777777" w:rsidR="00121BE6" w:rsidRPr="00DE62DB" w:rsidRDefault="00121BE6" w:rsidP="00121BE6">
      <w:pPr>
        <w:pStyle w:val="Bullet"/>
        <w:numPr>
          <w:ilvl w:val="0"/>
          <w:numId w:val="19"/>
        </w:numPr>
        <w:spacing w:before="60" w:after="0"/>
        <w:ind w:left="522" w:hanging="522"/>
      </w:pPr>
      <w:r w:rsidRPr="00DE62DB">
        <w:t>Compensation orders</w:t>
      </w:r>
    </w:p>
    <w:p w14:paraId="10F6BF4A" w14:textId="77777777" w:rsidR="00121BE6" w:rsidRPr="00DE62DB" w:rsidRDefault="00121BE6" w:rsidP="00121BE6">
      <w:pPr>
        <w:pStyle w:val="Bullet"/>
        <w:numPr>
          <w:ilvl w:val="0"/>
          <w:numId w:val="19"/>
        </w:numPr>
        <w:spacing w:before="60" w:after="0"/>
        <w:ind w:left="522" w:hanging="522"/>
      </w:pPr>
      <w:r w:rsidRPr="00DE62DB">
        <w:t>Infringement notices</w:t>
      </w:r>
    </w:p>
    <w:p w14:paraId="65152FFB" w14:textId="77777777" w:rsidR="00121BE6" w:rsidRDefault="00121BE6" w:rsidP="00121BE6">
      <w:pPr>
        <w:pStyle w:val="Bullet"/>
        <w:numPr>
          <w:ilvl w:val="0"/>
          <w:numId w:val="19"/>
        </w:numPr>
        <w:spacing w:before="60" w:after="0"/>
        <w:ind w:left="522" w:hanging="522"/>
      </w:pPr>
      <w:r>
        <w:t xml:space="preserve">Injunctive </w:t>
      </w:r>
      <w:r w:rsidRPr="00DE62DB">
        <w:t>orders</w:t>
      </w:r>
    </w:p>
    <w:p w14:paraId="78DE8F90" w14:textId="77777777" w:rsidR="00121BE6" w:rsidRDefault="00121BE6" w:rsidP="00121BE6">
      <w:pPr>
        <w:pStyle w:val="Bullet"/>
        <w:numPr>
          <w:ilvl w:val="0"/>
          <w:numId w:val="19"/>
        </w:numPr>
        <w:spacing w:before="60" w:after="0"/>
        <w:ind w:left="522" w:hanging="522"/>
      </w:pPr>
      <w:r>
        <w:t>Disqualification of directors orders</w:t>
      </w:r>
    </w:p>
    <w:p w14:paraId="0D369049" w14:textId="77777777" w:rsidR="00121BE6" w:rsidRDefault="00121BE6" w:rsidP="00121BE6">
      <w:pPr>
        <w:pStyle w:val="Bullet"/>
        <w:numPr>
          <w:ilvl w:val="0"/>
          <w:numId w:val="19"/>
        </w:numPr>
        <w:spacing w:before="60" w:after="0"/>
        <w:ind w:left="522" w:hanging="522"/>
      </w:pPr>
      <w:r>
        <w:t>Adverse publicity orders</w:t>
      </w:r>
    </w:p>
    <w:p w14:paraId="0149F57F" w14:textId="77777777" w:rsidR="00121BE6" w:rsidRPr="00DE62DB" w:rsidRDefault="00121BE6" w:rsidP="00121BE6">
      <w:pPr>
        <w:pStyle w:val="Bullet"/>
        <w:numPr>
          <w:ilvl w:val="0"/>
          <w:numId w:val="19"/>
        </w:numPr>
        <w:spacing w:before="60" w:after="0"/>
        <w:ind w:left="522" w:hanging="522"/>
      </w:pPr>
      <w:r>
        <w:t>Enforceable undertakings</w:t>
      </w:r>
    </w:p>
    <w:p w14:paraId="0D5BCCBA" w14:textId="77777777" w:rsidR="00121BE6" w:rsidRDefault="00121BE6" w:rsidP="00121BE6">
      <w:pPr>
        <w:pStyle w:val="Bullet"/>
        <w:numPr>
          <w:ilvl w:val="0"/>
          <w:numId w:val="19"/>
        </w:numPr>
        <w:spacing w:before="60" w:after="0"/>
        <w:ind w:left="522" w:hanging="522"/>
      </w:pPr>
      <w:r>
        <w:t>Investigation and auditing powers</w:t>
      </w:r>
    </w:p>
    <w:p w14:paraId="15C9A8E8" w14:textId="77777777" w:rsidR="00121BE6" w:rsidRDefault="00121BE6" w:rsidP="00121BE6">
      <w:pPr>
        <w:pStyle w:val="Bullet"/>
        <w:numPr>
          <w:ilvl w:val="0"/>
          <w:numId w:val="19"/>
        </w:numPr>
        <w:spacing w:before="60" w:after="0"/>
        <w:ind w:left="522" w:hanging="522"/>
      </w:pPr>
      <w:r>
        <w:t>Sectoral assessment/g</w:t>
      </w:r>
      <w:r w:rsidRPr="00DE62DB">
        <w:t>eneral inquiry</w:t>
      </w:r>
      <w:r>
        <w:t xml:space="preserve"> powers</w:t>
      </w:r>
    </w:p>
    <w:p w14:paraId="74618722" w14:textId="77777777" w:rsidR="00121BE6" w:rsidRDefault="00121BE6" w:rsidP="00121BE6">
      <w:pPr>
        <w:pStyle w:val="Bullet"/>
        <w:numPr>
          <w:ilvl w:val="0"/>
          <w:numId w:val="19"/>
        </w:numPr>
        <w:spacing w:before="60"/>
        <w:ind w:left="522" w:hanging="522"/>
      </w:pPr>
      <w:r>
        <w:t>Information sharing</w:t>
      </w:r>
    </w:p>
    <w:p w14:paraId="5C8A2A69" w14:textId="77777777" w:rsidR="00121BE6" w:rsidRDefault="00121BE6" w:rsidP="00121BE6">
      <w:pPr>
        <w:pStyle w:val="Bullet"/>
        <w:numPr>
          <w:ilvl w:val="0"/>
          <w:numId w:val="0"/>
        </w:numPr>
      </w:pPr>
      <w:r>
        <w:t>There will be new criminal penalties for misleading consumers into believing that a data recipient is accredited (or accredited to a level that they are not). There will also be new criminal penalties for misleading consumers that they are using the CDR data sharing system when they are not.</w:t>
      </w:r>
    </w:p>
    <w:p w14:paraId="0CAF3790" w14:textId="592BED06" w:rsidR="00D93A4B" w:rsidRPr="00DE62DB" w:rsidRDefault="00D93A4B" w:rsidP="00D93A4B">
      <w:pPr>
        <w:pStyle w:val="Bullet"/>
        <w:numPr>
          <w:ilvl w:val="0"/>
          <w:numId w:val="0"/>
        </w:numPr>
      </w:pPr>
      <w:r>
        <w:t>The Bill will extend the Privacy Act breach reporting regime to breaches of the CDR Privacy Safeguards and associated rules.</w:t>
      </w:r>
    </w:p>
    <w:p w14:paraId="74D1853F" w14:textId="77777777" w:rsidR="006178BD" w:rsidRDefault="006178BD">
      <w:pPr>
        <w:spacing w:before="0" w:after="160" w:line="259" w:lineRule="auto"/>
        <w:rPr>
          <w:rFonts w:cs="Arial"/>
          <w:iCs/>
          <w:color w:val="004A7F"/>
          <w:kern w:val="32"/>
          <w:sz w:val="36"/>
          <w:szCs w:val="28"/>
        </w:rPr>
      </w:pPr>
      <w:r>
        <w:br w:type="page"/>
      </w:r>
    </w:p>
    <w:p w14:paraId="3B89D463" w14:textId="79FCDDAF" w:rsidR="00121BE6" w:rsidRDefault="00121BE6" w:rsidP="00121BE6">
      <w:pPr>
        <w:pStyle w:val="Heading2"/>
      </w:pPr>
      <w:r w:rsidRPr="008E7608">
        <w:t>Resourcing</w:t>
      </w:r>
    </w:p>
    <w:p w14:paraId="31A5B66D" w14:textId="77777777" w:rsidR="00121BE6" w:rsidRPr="00697F70" w:rsidRDefault="00121BE6" w:rsidP="00121BE6">
      <w:pPr>
        <w:rPr>
          <w:b/>
        </w:rPr>
      </w:pPr>
      <w:r w:rsidRPr="00697F70">
        <w:rPr>
          <w:b/>
        </w:rPr>
        <w:t>Strong protections will be backed by well-resourced regulators</w:t>
      </w:r>
    </w:p>
    <w:p w14:paraId="3D5452FB" w14:textId="77777777" w:rsidR="00121BE6" w:rsidRDefault="00121BE6" w:rsidP="00121BE6">
      <w:r>
        <w:t>The OAIC and other agencies have been granted significant funding to develop, set and enforce privacy protections as part of the Consumer Data Right.</w:t>
      </w:r>
    </w:p>
    <w:p w14:paraId="670049CA" w14:textId="77777777" w:rsidR="00121BE6" w:rsidRDefault="00121BE6" w:rsidP="00121BE6">
      <w:r>
        <w:t>In the 2018-19 Budget, the Government announced that it will provide $45 million and 45 ASL to fund regulators over the next four years.</w:t>
      </w:r>
    </w:p>
    <w:tbl>
      <w:tblPr>
        <w:tblStyle w:val="TableGrid"/>
        <w:tblW w:w="5000" w:type="pct"/>
        <w:jc w:val="center"/>
        <w:tblLook w:val="04A0" w:firstRow="1" w:lastRow="0" w:firstColumn="1" w:lastColumn="0" w:noHBand="0" w:noVBand="1"/>
      </w:tblPr>
      <w:tblGrid>
        <w:gridCol w:w="3886"/>
        <w:gridCol w:w="1216"/>
        <w:gridCol w:w="1215"/>
        <w:gridCol w:w="1215"/>
        <w:gridCol w:w="1215"/>
        <w:gridCol w:w="1215"/>
      </w:tblGrid>
      <w:tr w:rsidR="00121BE6" w:rsidRPr="005859B2" w14:paraId="19C31EFF" w14:textId="77777777" w:rsidTr="00F81532">
        <w:trPr>
          <w:jc w:val="center"/>
        </w:trPr>
        <w:tc>
          <w:tcPr>
            <w:tcW w:w="1950" w:type="pct"/>
            <w:shd w:val="clear" w:color="auto" w:fill="F2F2F2" w:themeFill="background1" w:themeFillShade="F2"/>
            <w:vAlign w:val="center"/>
          </w:tcPr>
          <w:p w14:paraId="111BA5B9" w14:textId="77777777" w:rsidR="00121BE6" w:rsidRPr="00ED199A" w:rsidRDefault="00121BE6" w:rsidP="00F81532">
            <w:pPr>
              <w:pStyle w:val="Financialtable"/>
              <w:spacing w:before="60" w:after="60"/>
              <w:rPr>
                <w:rFonts w:ascii="Garamond" w:hAnsi="Garamond" w:cstheme="minorHAnsi"/>
                <w:b/>
                <w:sz w:val="22"/>
                <w:szCs w:val="24"/>
              </w:rPr>
            </w:pPr>
            <w:r w:rsidRPr="00ED199A">
              <w:rPr>
                <w:rFonts w:ascii="Garamond" w:hAnsi="Garamond" w:cstheme="minorHAnsi"/>
                <w:b/>
                <w:sz w:val="22"/>
                <w:szCs w:val="24"/>
              </w:rPr>
              <w:t>$ millions</w:t>
            </w:r>
          </w:p>
        </w:tc>
        <w:tc>
          <w:tcPr>
            <w:tcW w:w="610" w:type="pct"/>
            <w:shd w:val="clear" w:color="auto" w:fill="F2F2F2" w:themeFill="background1" w:themeFillShade="F2"/>
            <w:vAlign w:val="center"/>
          </w:tcPr>
          <w:p w14:paraId="6CB16DCA" w14:textId="77777777" w:rsidR="00121BE6" w:rsidRPr="00ED199A" w:rsidRDefault="00121BE6" w:rsidP="00F81532">
            <w:pPr>
              <w:pStyle w:val="Financialtable"/>
              <w:spacing w:before="60" w:after="60"/>
              <w:rPr>
                <w:rFonts w:ascii="Garamond" w:hAnsi="Garamond" w:cstheme="minorHAnsi"/>
                <w:b/>
                <w:sz w:val="22"/>
                <w:szCs w:val="24"/>
              </w:rPr>
            </w:pPr>
            <w:r w:rsidRPr="00ED199A">
              <w:rPr>
                <w:rFonts w:ascii="Garamond" w:hAnsi="Garamond" w:cstheme="minorHAnsi"/>
                <w:b/>
                <w:sz w:val="22"/>
                <w:szCs w:val="24"/>
              </w:rPr>
              <w:t>2018-19</w:t>
            </w:r>
          </w:p>
        </w:tc>
        <w:tc>
          <w:tcPr>
            <w:tcW w:w="610" w:type="pct"/>
            <w:shd w:val="clear" w:color="auto" w:fill="F2F2F2" w:themeFill="background1" w:themeFillShade="F2"/>
            <w:vAlign w:val="center"/>
          </w:tcPr>
          <w:p w14:paraId="6DCDD870" w14:textId="77777777" w:rsidR="00121BE6" w:rsidRPr="00ED199A" w:rsidRDefault="00121BE6" w:rsidP="00F81532">
            <w:pPr>
              <w:pStyle w:val="Financialtable"/>
              <w:spacing w:before="60" w:after="60"/>
              <w:rPr>
                <w:rFonts w:ascii="Garamond" w:hAnsi="Garamond" w:cstheme="minorHAnsi"/>
                <w:b/>
                <w:sz w:val="22"/>
                <w:szCs w:val="24"/>
              </w:rPr>
            </w:pPr>
            <w:r w:rsidRPr="00ED199A">
              <w:rPr>
                <w:rFonts w:ascii="Garamond" w:hAnsi="Garamond" w:cstheme="minorHAnsi"/>
                <w:b/>
                <w:sz w:val="22"/>
                <w:szCs w:val="24"/>
              </w:rPr>
              <w:t>2019-20</w:t>
            </w:r>
          </w:p>
        </w:tc>
        <w:tc>
          <w:tcPr>
            <w:tcW w:w="610" w:type="pct"/>
            <w:shd w:val="clear" w:color="auto" w:fill="F2F2F2" w:themeFill="background1" w:themeFillShade="F2"/>
            <w:vAlign w:val="center"/>
          </w:tcPr>
          <w:p w14:paraId="0CF53CD9" w14:textId="77777777" w:rsidR="00121BE6" w:rsidRPr="00ED199A" w:rsidRDefault="00121BE6" w:rsidP="00F81532">
            <w:pPr>
              <w:pStyle w:val="Financialtable"/>
              <w:spacing w:before="60" w:after="60"/>
              <w:rPr>
                <w:rFonts w:ascii="Garamond" w:hAnsi="Garamond" w:cstheme="minorHAnsi"/>
                <w:b/>
                <w:sz w:val="22"/>
                <w:szCs w:val="24"/>
              </w:rPr>
            </w:pPr>
            <w:r w:rsidRPr="00ED199A">
              <w:rPr>
                <w:rFonts w:ascii="Garamond" w:hAnsi="Garamond" w:cstheme="minorHAnsi"/>
                <w:b/>
                <w:sz w:val="22"/>
                <w:szCs w:val="24"/>
              </w:rPr>
              <w:t>2020-21</w:t>
            </w:r>
          </w:p>
        </w:tc>
        <w:tc>
          <w:tcPr>
            <w:tcW w:w="610" w:type="pct"/>
            <w:shd w:val="clear" w:color="auto" w:fill="F2F2F2" w:themeFill="background1" w:themeFillShade="F2"/>
            <w:vAlign w:val="center"/>
          </w:tcPr>
          <w:p w14:paraId="372C038F" w14:textId="77777777" w:rsidR="00121BE6" w:rsidRPr="00ED199A" w:rsidRDefault="00121BE6" w:rsidP="00F81532">
            <w:pPr>
              <w:pStyle w:val="Financialtable"/>
              <w:spacing w:before="60" w:after="60"/>
              <w:rPr>
                <w:rFonts w:ascii="Garamond" w:hAnsi="Garamond" w:cstheme="minorHAnsi"/>
                <w:b/>
                <w:sz w:val="22"/>
                <w:szCs w:val="24"/>
              </w:rPr>
            </w:pPr>
            <w:r w:rsidRPr="00ED199A">
              <w:rPr>
                <w:rFonts w:ascii="Garamond" w:hAnsi="Garamond" w:cstheme="minorHAnsi"/>
                <w:b/>
                <w:sz w:val="22"/>
                <w:szCs w:val="24"/>
              </w:rPr>
              <w:t>2021-22</w:t>
            </w:r>
          </w:p>
        </w:tc>
        <w:tc>
          <w:tcPr>
            <w:tcW w:w="610" w:type="pct"/>
            <w:shd w:val="clear" w:color="auto" w:fill="F2F2F2" w:themeFill="background1" w:themeFillShade="F2"/>
            <w:vAlign w:val="center"/>
          </w:tcPr>
          <w:p w14:paraId="2E915DAA" w14:textId="77777777" w:rsidR="00121BE6" w:rsidRPr="00ED199A" w:rsidRDefault="00121BE6" w:rsidP="00F81532">
            <w:pPr>
              <w:pStyle w:val="Financialtable"/>
              <w:spacing w:before="60" w:after="60"/>
              <w:rPr>
                <w:rFonts w:ascii="Garamond" w:hAnsi="Garamond" w:cstheme="minorHAnsi"/>
                <w:b/>
                <w:sz w:val="22"/>
                <w:szCs w:val="24"/>
              </w:rPr>
            </w:pPr>
            <w:r w:rsidRPr="00ED199A">
              <w:rPr>
                <w:rFonts w:ascii="Garamond" w:hAnsi="Garamond" w:cstheme="minorHAnsi"/>
                <w:b/>
                <w:sz w:val="22"/>
                <w:szCs w:val="24"/>
              </w:rPr>
              <w:t>Total</w:t>
            </w:r>
          </w:p>
        </w:tc>
      </w:tr>
      <w:tr w:rsidR="00121BE6" w:rsidRPr="005859B2" w14:paraId="62DB31DD" w14:textId="77777777" w:rsidTr="00F81532">
        <w:trPr>
          <w:jc w:val="center"/>
        </w:trPr>
        <w:tc>
          <w:tcPr>
            <w:tcW w:w="1950" w:type="pct"/>
            <w:vAlign w:val="center"/>
          </w:tcPr>
          <w:p w14:paraId="6D88E71D" w14:textId="77777777" w:rsidR="00121BE6" w:rsidRPr="00ED199A" w:rsidRDefault="00121BE6" w:rsidP="00F81532">
            <w:pPr>
              <w:pStyle w:val="TableBody-L"/>
              <w:spacing w:before="60" w:after="60"/>
              <w:jc w:val="right"/>
              <w:rPr>
                <w:rFonts w:ascii="Garamond" w:hAnsi="Garamond" w:cstheme="minorHAnsi"/>
                <w:color w:val="auto"/>
                <w:sz w:val="22"/>
                <w:szCs w:val="24"/>
              </w:rPr>
            </w:pPr>
            <w:r w:rsidRPr="00ED199A">
              <w:rPr>
                <w:rFonts w:ascii="Garamond" w:hAnsi="Garamond" w:cstheme="minorHAnsi"/>
                <w:color w:val="auto"/>
                <w:sz w:val="22"/>
                <w:szCs w:val="24"/>
              </w:rPr>
              <w:t>ACCC</w:t>
            </w:r>
          </w:p>
        </w:tc>
        <w:tc>
          <w:tcPr>
            <w:tcW w:w="610" w:type="pct"/>
            <w:vAlign w:val="center"/>
          </w:tcPr>
          <w:p w14:paraId="38173281" w14:textId="77777777" w:rsidR="00121BE6" w:rsidRPr="00ED199A" w:rsidRDefault="00121BE6" w:rsidP="00F81532">
            <w:pPr>
              <w:pStyle w:val="Financialtable"/>
              <w:spacing w:before="60" w:after="60"/>
              <w:rPr>
                <w:rFonts w:ascii="Garamond" w:hAnsi="Garamond" w:cstheme="minorHAnsi"/>
                <w:sz w:val="22"/>
                <w:szCs w:val="24"/>
              </w:rPr>
            </w:pPr>
            <w:r w:rsidRPr="00DC53AB">
              <w:rPr>
                <w:rFonts w:ascii="Garamond" w:hAnsi="Garamond" w:cstheme="minorHAnsi"/>
                <w:sz w:val="22"/>
                <w:szCs w:val="24"/>
              </w:rPr>
              <w:t>5.2</w:t>
            </w:r>
          </w:p>
        </w:tc>
        <w:tc>
          <w:tcPr>
            <w:tcW w:w="610" w:type="pct"/>
            <w:vAlign w:val="center"/>
          </w:tcPr>
          <w:p w14:paraId="6CF95926" w14:textId="77777777" w:rsidR="00121BE6" w:rsidRPr="00ED199A" w:rsidRDefault="00121BE6" w:rsidP="00F81532">
            <w:pPr>
              <w:pStyle w:val="Financialtable"/>
              <w:spacing w:before="60" w:after="60"/>
              <w:rPr>
                <w:rFonts w:ascii="Garamond" w:hAnsi="Garamond" w:cstheme="minorHAnsi"/>
                <w:sz w:val="22"/>
                <w:szCs w:val="24"/>
              </w:rPr>
            </w:pPr>
            <w:r w:rsidRPr="00DC53AB">
              <w:rPr>
                <w:rFonts w:ascii="Garamond" w:hAnsi="Garamond" w:cstheme="minorHAnsi"/>
                <w:sz w:val="22"/>
                <w:szCs w:val="24"/>
              </w:rPr>
              <w:t>5.1</w:t>
            </w:r>
          </w:p>
        </w:tc>
        <w:tc>
          <w:tcPr>
            <w:tcW w:w="610" w:type="pct"/>
            <w:vAlign w:val="center"/>
          </w:tcPr>
          <w:p w14:paraId="34DE024A" w14:textId="77777777" w:rsidR="00121BE6" w:rsidRPr="00ED199A" w:rsidRDefault="00121BE6" w:rsidP="00F81532">
            <w:pPr>
              <w:pStyle w:val="Financialtable"/>
              <w:spacing w:before="60" w:after="60"/>
              <w:rPr>
                <w:rFonts w:ascii="Garamond" w:hAnsi="Garamond" w:cstheme="minorHAnsi"/>
                <w:sz w:val="22"/>
                <w:szCs w:val="24"/>
              </w:rPr>
            </w:pPr>
            <w:r w:rsidRPr="00DC53AB">
              <w:rPr>
                <w:rFonts w:ascii="Garamond" w:hAnsi="Garamond" w:cstheme="minorHAnsi"/>
                <w:sz w:val="22"/>
                <w:szCs w:val="24"/>
              </w:rPr>
              <w:t>4.9</w:t>
            </w:r>
          </w:p>
        </w:tc>
        <w:tc>
          <w:tcPr>
            <w:tcW w:w="610" w:type="pct"/>
            <w:vAlign w:val="center"/>
          </w:tcPr>
          <w:p w14:paraId="440A918C" w14:textId="77777777" w:rsidR="00121BE6" w:rsidRPr="00ED199A" w:rsidRDefault="00121BE6" w:rsidP="00F81532">
            <w:pPr>
              <w:pStyle w:val="Financialtable"/>
              <w:spacing w:before="60" w:after="60"/>
              <w:rPr>
                <w:rFonts w:ascii="Garamond" w:hAnsi="Garamond" w:cstheme="minorHAnsi"/>
                <w:sz w:val="22"/>
                <w:szCs w:val="24"/>
              </w:rPr>
            </w:pPr>
            <w:r w:rsidRPr="00DC53AB">
              <w:rPr>
                <w:rFonts w:ascii="Garamond" w:hAnsi="Garamond" w:cstheme="minorHAnsi"/>
                <w:sz w:val="22"/>
                <w:szCs w:val="24"/>
              </w:rPr>
              <w:t>5.0</w:t>
            </w:r>
          </w:p>
        </w:tc>
        <w:tc>
          <w:tcPr>
            <w:tcW w:w="610" w:type="pct"/>
            <w:vAlign w:val="center"/>
          </w:tcPr>
          <w:p w14:paraId="647E7855" w14:textId="77777777" w:rsidR="00121BE6" w:rsidRPr="00DC53AB" w:rsidRDefault="00121BE6" w:rsidP="00F81532">
            <w:pPr>
              <w:pStyle w:val="Financialtable"/>
              <w:spacing w:before="60" w:after="60"/>
              <w:rPr>
                <w:rFonts w:ascii="Garamond" w:hAnsi="Garamond" w:cstheme="minorHAnsi"/>
                <w:b/>
                <w:sz w:val="22"/>
                <w:szCs w:val="24"/>
              </w:rPr>
            </w:pPr>
            <w:r w:rsidRPr="00DC53AB">
              <w:rPr>
                <w:rFonts w:ascii="Garamond" w:hAnsi="Garamond" w:cstheme="minorHAnsi"/>
                <w:b/>
                <w:sz w:val="22"/>
                <w:szCs w:val="24"/>
              </w:rPr>
              <w:t>20.2</w:t>
            </w:r>
            <w:r>
              <w:rPr>
                <w:rFonts w:ascii="Garamond" w:hAnsi="Garamond" w:cstheme="minorHAnsi"/>
                <w:b/>
                <w:sz w:val="22"/>
                <w:szCs w:val="24"/>
              </w:rPr>
              <w:t>*</w:t>
            </w:r>
          </w:p>
        </w:tc>
      </w:tr>
      <w:tr w:rsidR="00121BE6" w:rsidRPr="005859B2" w14:paraId="3DE82945" w14:textId="77777777" w:rsidTr="00F81532">
        <w:trPr>
          <w:jc w:val="center"/>
        </w:trPr>
        <w:tc>
          <w:tcPr>
            <w:tcW w:w="1950" w:type="pct"/>
            <w:vAlign w:val="center"/>
          </w:tcPr>
          <w:p w14:paraId="0E14D516" w14:textId="77777777" w:rsidR="00121BE6" w:rsidRPr="00ED199A" w:rsidRDefault="00121BE6" w:rsidP="00F81532">
            <w:pPr>
              <w:pStyle w:val="TableBody-L"/>
              <w:spacing w:before="60" w:after="60"/>
              <w:jc w:val="right"/>
              <w:rPr>
                <w:rFonts w:ascii="Garamond" w:hAnsi="Garamond" w:cstheme="minorHAnsi"/>
                <w:color w:val="auto"/>
                <w:sz w:val="22"/>
                <w:szCs w:val="24"/>
              </w:rPr>
            </w:pPr>
            <w:r w:rsidRPr="00ED199A">
              <w:rPr>
                <w:rFonts w:ascii="Garamond" w:hAnsi="Garamond" w:cstheme="minorHAnsi"/>
                <w:color w:val="auto"/>
                <w:sz w:val="22"/>
                <w:szCs w:val="24"/>
              </w:rPr>
              <w:t>OAIC</w:t>
            </w:r>
          </w:p>
        </w:tc>
        <w:tc>
          <w:tcPr>
            <w:tcW w:w="610" w:type="pct"/>
            <w:vAlign w:val="center"/>
          </w:tcPr>
          <w:p w14:paraId="503F72C0" w14:textId="77777777" w:rsidR="00121BE6" w:rsidRPr="00ED199A" w:rsidRDefault="00121BE6" w:rsidP="00F81532">
            <w:pPr>
              <w:pStyle w:val="Financialtable"/>
              <w:spacing w:before="60" w:after="60"/>
              <w:rPr>
                <w:rFonts w:ascii="Garamond" w:hAnsi="Garamond" w:cstheme="minorHAnsi"/>
                <w:sz w:val="22"/>
                <w:szCs w:val="24"/>
              </w:rPr>
            </w:pPr>
            <w:r w:rsidRPr="00DC53AB">
              <w:rPr>
                <w:rFonts w:ascii="Garamond" w:hAnsi="Garamond" w:cstheme="minorHAnsi"/>
                <w:sz w:val="22"/>
                <w:szCs w:val="24"/>
              </w:rPr>
              <w:t>3.6</w:t>
            </w:r>
          </w:p>
        </w:tc>
        <w:tc>
          <w:tcPr>
            <w:tcW w:w="610" w:type="pct"/>
            <w:vAlign w:val="center"/>
          </w:tcPr>
          <w:p w14:paraId="2D220DB6" w14:textId="77777777" w:rsidR="00121BE6" w:rsidRPr="00ED199A" w:rsidRDefault="00121BE6" w:rsidP="00F81532">
            <w:pPr>
              <w:pStyle w:val="Financialtable"/>
              <w:spacing w:before="60" w:after="60"/>
              <w:rPr>
                <w:rFonts w:ascii="Garamond" w:hAnsi="Garamond" w:cstheme="minorHAnsi"/>
                <w:sz w:val="22"/>
                <w:szCs w:val="24"/>
              </w:rPr>
            </w:pPr>
            <w:r w:rsidRPr="00DC53AB">
              <w:rPr>
                <w:rFonts w:ascii="Garamond" w:hAnsi="Garamond" w:cstheme="minorHAnsi"/>
                <w:sz w:val="22"/>
                <w:szCs w:val="24"/>
              </w:rPr>
              <w:t>3.2</w:t>
            </w:r>
          </w:p>
        </w:tc>
        <w:tc>
          <w:tcPr>
            <w:tcW w:w="610" w:type="pct"/>
            <w:vAlign w:val="center"/>
          </w:tcPr>
          <w:p w14:paraId="0E74D06B" w14:textId="77777777" w:rsidR="00121BE6" w:rsidRPr="00ED199A" w:rsidRDefault="00121BE6" w:rsidP="00F81532">
            <w:pPr>
              <w:pStyle w:val="Financialtable"/>
              <w:spacing w:before="60" w:after="60"/>
              <w:rPr>
                <w:rFonts w:ascii="Garamond" w:hAnsi="Garamond" w:cstheme="minorHAnsi"/>
                <w:sz w:val="22"/>
                <w:szCs w:val="24"/>
              </w:rPr>
            </w:pPr>
            <w:r w:rsidRPr="00DC53AB">
              <w:rPr>
                <w:rFonts w:ascii="Garamond" w:hAnsi="Garamond" w:cstheme="minorHAnsi"/>
                <w:sz w:val="22"/>
                <w:szCs w:val="24"/>
              </w:rPr>
              <w:t>3.0</w:t>
            </w:r>
          </w:p>
        </w:tc>
        <w:tc>
          <w:tcPr>
            <w:tcW w:w="610" w:type="pct"/>
            <w:vAlign w:val="center"/>
          </w:tcPr>
          <w:p w14:paraId="326C4F6C" w14:textId="77777777" w:rsidR="00121BE6" w:rsidRPr="00ED199A" w:rsidRDefault="00121BE6" w:rsidP="00F81532">
            <w:pPr>
              <w:pStyle w:val="Financialtable"/>
              <w:spacing w:before="60" w:after="60"/>
              <w:rPr>
                <w:rFonts w:ascii="Garamond" w:hAnsi="Garamond" w:cstheme="minorHAnsi"/>
                <w:sz w:val="22"/>
                <w:szCs w:val="24"/>
              </w:rPr>
            </w:pPr>
            <w:r w:rsidRPr="00DC53AB">
              <w:rPr>
                <w:rFonts w:ascii="Garamond" w:hAnsi="Garamond" w:cstheme="minorHAnsi"/>
                <w:sz w:val="22"/>
                <w:szCs w:val="24"/>
              </w:rPr>
              <w:t>3.1</w:t>
            </w:r>
          </w:p>
        </w:tc>
        <w:tc>
          <w:tcPr>
            <w:tcW w:w="610" w:type="pct"/>
            <w:vAlign w:val="center"/>
          </w:tcPr>
          <w:p w14:paraId="002F9EB5" w14:textId="77777777" w:rsidR="00121BE6" w:rsidRPr="00DC53AB" w:rsidRDefault="00121BE6" w:rsidP="00F81532">
            <w:pPr>
              <w:pStyle w:val="Financialtable"/>
              <w:spacing w:before="60" w:after="60"/>
              <w:rPr>
                <w:rFonts w:ascii="Garamond" w:hAnsi="Garamond" w:cstheme="minorHAnsi"/>
                <w:b/>
                <w:sz w:val="22"/>
                <w:szCs w:val="24"/>
              </w:rPr>
            </w:pPr>
            <w:r w:rsidRPr="00DC53AB">
              <w:rPr>
                <w:rFonts w:ascii="Garamond" w:hAnsi="Garamond" w:cstheme="minorHAnsi"/>
                <w:b/>
                <w:sz w:val="22"/>
                <w:szCs w:val="24"/>
              </w:rPr>
              <w:t>12.9</w:t>
            </w:r>
            <w:r>
              <w:rPr>
                <w:rFonts w:ascii="Garamond" w:hAnsi="Garamond" w:cstheme="minorHAnsi"/>
                <w:b/>
                <w:sz w:val="22"/>
                <w:szCs w:val="24"/>
              </w:rPr>
              <w:t>*</w:t>
            </w:r>
          </w:p>
        </w:tc>
      </w:tr>
      <w:tr w:rsidR="00121BE6" w:rsidRPr="005859B2" w14:paraId="0419B1DE" w14:textId="77777777" w:rsidTr="00F81532">
        <w:trPr>
          <w:jc w:val="center"/>
        </w:trPr>
        <w:tc>
          <w:tcPr>
            <w:tcW w:w="1950" w:type="pct"/>
            <w:vAlign w:val="center"/>
          </w:tcPr>
          <w:p w14:paraId="0E8419A8" w14:textId="77777777" w:rsidR="00121BE6" w:rsidRPr="00ED199A" w:rsidRDefault="00121BE6" w:rsidP="00F81532">
            <w:pPr>
              <w:pStyle w:val="TableBody-L"/>
              <w:spacing w:before="60" w:after="60"/>
              <w:jc w:val="right"/>
              <w:rPr>
                <w:rFonts w:ascii="Garamond" w:hAnsi="Garamond" w:cstheme="minorHAnsi"/>
                <w:color w:val="auto"/>
                <w:sz w:val="22"/>
                <w:szCs w:val="24"/>
              </w:rPr>
            </w:pPr>
            <w:r w:rsidRPr="00ED199A">
              <w:rPr>
                <w:rFonts w:ascii="Garamond" w:hAnsi="Garamond" w:cstheme="minorHAnsi"/>
                <w:color w:val="auto"/>
                <w:sz w:val="22"/>
                <w:szCs w:val="24"/>
              </w:rPr>
              <w:t>CSIRO-Data61</w:t>
            </w:r>
          </w:p>
        </w:tc>
        <w:tc>
          <w:tcPr>
            <w:tcW w:w="610" w:type="pct"/>
            <w:vAlign w:val="center"/>
          </w:tcPr>
          <w:p w14:paraId="7CD8FEDF" w14:textId="77777777" w:rsidR="00121BE6" w:rsidRPr="00ED199A" w:rsidRDefault="00121BE6" w:rsidP="00F81532">
            <w:pPr>
              <w:pStyle w:val="Financialtable"/>
              <w:spacing w:before="60" w:after="60"/>
              <w:rPr>
                <w:rFonts w:ascii="Garamond" w:hAnsi="Garamond" w:cstheme="minorHAnsi"/>
                <w:sz w:val="22"/>
                <w:szCs w:val="24"/>
              </w:rPr>
            </w:pPr>
            <w:r w:rsidRPr="00DC53AB">
              <w:rPr>
                <w:rFonts w:ascii="Garamond" w:hAnsi="Garamond" w:cstheme="minorHAnsi"/>
                <w:sz w:val="22"/>
                <w:szCs w:val="24"/>
              </w:rPr>
              <w:t>3.7</w:t>
            </w:r>
          </w:p>
        </w:tc>
        <w:tc>
          <w:tcPr>
            <w:tcW w:w="610" w:type="pct"/>
            <w:vAlign w:val="center"/>
          </w:tcPr>
          <w:p w14:paraId="2BB69DBC" w14:textId="77777777" w:rsidR="00121BE6" w:rsidRPr="00ED199A" w:rsidRDefault="00121BE6" w:rsidP="00F81532">
            <w:pPr>
              <w:pStyle w:val="Financialtable"/>
              <w:spacing w:before="60" w:after="60"/>
              <w:rPr>
                <w:rFonts w:ascii="Garamond" w:hAnsi="Garamond" w:cstheme="minorHAnsi"/>
                <w:sz w:val="22"/>
                <w:szCs w:val="24"/>
              </w:rPr>
            </w:pPr>
            <w:r w:rsidRPr="00DC53AB">
              <w:rPr>
                <w:rFonts w:ascii="Garamond" w:hAnsi="Garamond" w:cstheme="minorHAnsi"/>
                <w:sz w:val="22"/>
                <w:szCs w:val="24"/>
              </w:rPr>
              <w:t>2.9</w:t>
            </w:r>
          </w:p>
        </w:tc>
        <w:tc>
          <w:tcPr>
            <w:tcW w:w="610" w:type="pct"/>
            <w:vAlign w:val="center"/>
          </w:tcPr>
          <w:p w14:paraId="17CDFE5B" w14:textId="77777777" w:rsidR="00121BE6" w:rsidRPr="00ED199A" w:rsidRDefault="00121BE6" w:rsidP="00F81532">
            <w:pPr>
              <w:pStyle w:val="Financialtable"/>
              <w:spacing w:before="60" w:after="60"/>
              <w:rPr>
                <w:rFonts w:ascii="Garamond" w:hAnsi="Garamond" w:cstheme="minorHAnsi"/>
                <w:sz w:val="22"/>
                <w:szCs w:val="24"/>
              </w:rPr>
            </w:pPr>
            <w:r w:rsidRPr="00DC53AB">
              <w:rPr>
                <w:rFonts w:ascii="Garamond" w:hAnsi="Garamond" w:cstheme="minorHAnsi"/>
                <w:sz w:val="22"/>
                <w:szCs w:val="24"/>
              </w:rPr>
              <w:t>2.5</w:t>
            </w:r>
          </w:p>
        </w:tc>
        <w:tc>
          <w:tcPr>
            <w:tcW w:w="610" w:type="pct"/>
            <w:vAlign w:val="center"/>
          </w:tcPr>
          <w:p w14:paraId="54A3A05B" w14:textId="77777777" w:rsidR="00121BE6" w:rsidRPr="00ED199A" w:rsidRDefault="00121BE6" w:rsidP="00F81532">
            <w:pPr>
              <w:pStyle w:val="Financialtable"/>
              <w:spacing w:before="60" w:after="60"/>
              <w:rPr>
                <w:rFonts w:ascii="Garamond" w:hAnsi="Garamond" w:cstheme="minorHAnsi"/>
                <w:sz w:val="22"/>
                <w:szCs w:val="24"/>
              </w:rPr>
            </w:pPr>
            <w:r w:rsidRPr="00DC53AB">
              <w:rPr>
                <w:rFonts w:ascii="Garamond" w:hAnsi="Garamond" w:cstheme="minorHAnsi"/>
                <w:sz w:val="22"/>
                <w:szCs w:val="24"/>
              </w:rPr>
              <w:t>2.5</w:t>
            </w:r>
          </w:p>
        </w:tc>
        <w:tc>
          <w:tcPr>
            <w:tcW w:w="610" w:type="pct"/>
            <w:vAlign w:val="center"/>
          </w:tcPr>
          <w:p w14:paraId="244B9ED9" w14:textId="77777777" w:rsidR="00121BE6" w:rsidRPr="00DC53AB" w:rsidRDefault="00121BE6" w:rsidP="00F81532">
            <w:pPr>
              <w:pStyle w:val="Financialtable"/>
              <w:spacing w:before="60" w:after="60"/>
              <w:rPr>
                <w:rFonts w:ascii="Garamond" w:hAnsi="Garamond" w:cstheme="minorHAnsi"/>
                <w:b/>
                <w:sz w:val="22"/>
                <w:szCs w:val="24"/>
              </w:rPr>
            </w:pPr>
            <w:r w:rsidRPr="00DC53AB">
              <w:rPr>
                <w:rFonts w:ascii="Garamond" w:hAnsi="Garamond" w:cstheme="minorHAnsi"/>
                <w:b/>
                <w:sz w:val="22"/>
                <w:szCs w:val="24"/>
              </w:rPr>
              <w:t>11.5</w:t>
            </w:r>
            <w:r>
              <w:rPr>
                <w:rFonts w:ascii="Garamond" w:hAnsi="Garamond" w:cstheme="minorHAnsi"/>
                <w:b/>
                <w:sz w:val="22"/>
                <w:szCs w:val="24"/>
              </w:rPr>
              <w:t>*</w:t>
            </w:r>
          </w:p>
        </w:tc>
      </w:tr>
      <w:tr w:rsidR="00121BE6" w:rsidRPr="005859B2" w14:paraId="6D5FD7D0" w14:textId="77777777" w:rsidTr="00F81532">
        <w:trPr>
          <w:trHeight w:val="446"/>
          <w:jc w:val="center"/>
        </w:trPr>
        <w:tc>
          <w:tcPr>
            <w:tcW w:w="1950" w:type="pct"/>
            <w:vAlign w:val="center"/>
          </w:tcPr>
          <w:p w14:paraId="68C94C9D" w14:textId="77777777" w:rsidR="00121BE6" w:rsidRPr="00ED199A" w:rsidRDefault="00121BE6" w:rsidP="00F81532">
            <w:pPr>
              <w:pStyle w:val="Financialtable"/>
              <w:spacing w:before="60" w:after="60"/>
              <w:rPr>
                <w:rFonts w:ascii="Garamond" w:hAnsi="Garamond" w:cstheme="minorHAnsi"/>
                <w:sz w:val="22"/>
                <w:szCs w:val="24"/>
              </w:rPr>
            </w:pPr>
            <w:r w:rsidRPr="00ED199A">
              <w:rPr>
                <w:rStyle w:val="TableHeader-LCharChar"/>
                <w:rFonts w:ascii="Garamond" w:eastAsia="Calibri" w:hAnsi="Garamond" w:cstheme="minorHAnsi"/>
                <w:sz w:val="22"/>
                <w:szCs w:val="24"/>
              </w:rPr>
              <w:t>Total Impact on Underlying Cash:</w:t>
            </w:r>
          </w:p>
        </w:tc>
        <w:tc>
          <w:tcPr>
            <w:tcW w:w="610" w:type="pct"/>
            <w:vAlign w:val="center"/>
          </w:tcPr>
          <w:p w14:paraId="0D8D215E" w14:textId="77777777" w:rsidR="00121BE6" w:rsidRPr="00DC53AB" w:rsidRDefault="00121BE6" w:rsidP="00F81532">
            <w:pPr>
              <w:pStyle w:val="Financialtable"/>
              <w:spacing w:before="60" w:after="60"/>
              <w:rPr>
                <w:rFonts w:ascii="Garamond" w:hAnsi="Garamond" w:cstheme="minorHAnsi"/>
                <w:b/>
                <w:sz w:val="22"/>
                <w:szCs w:val="24"/>
              </w:rPr>
            </w:pPr>
            <w:r w:rsidRPr="00DC53AB">
              <w:rPr>
                <w:rFonts w:ascii="Garamond" w:hAnsi="Garamond" w:cstheme="minorHAnsi"/>
                <w:b/>
                <w:sz w:val="22"/>
                <w:szCs w:val="24"/>
              </w:rPr>
              <w:t>12.5</w:t>
            </w:r>
            <w:r>
              <w:rPr>
                <w:rFonts w:ascii="Garamond" w:hAnsi="Garamond" w:cstheme="minorHAnsi"/>
                <w:b/>
                <w:sz w:val="22"/>
                <w:szCs w:val="24"/>
              </w:rPr>
              <w:t>*</w:t>
            </w:r>
          </w:p>
        </w:tc>
        <w:tc>
          <w:tcPr>
            <w:tcW w:w="610" w:type="pct"/>
            <w:vAlign w:val="center"/>
          </w:tcPr>
          <w:p w14:paraId="7A45D010" w14:textId="77777777" w:rsidR="00121BE6" w:rsidRPr="00DC53AB" w:rsidRDefault="00121BE6" w:rsidP="00F81532">
            <w:pPr>
              <w:pStyle w:val="Financialtable"/>
              <w:spacing w:before="60" w:after="60"/>
              <w:rPr>
                <w:rFonts w:ascii="Garamond" w:hAnsi="Garamond" w:cstheme="minorHAnsi"/>
                <w:b/>
                <w:sz w:val="22"/>
                <w:szCs w:val="24"/>
              </w:rPr>
            </w:pPr>
            <w:r w:rsidRPr="00DC53AB">
              <w:rPr>
                <w:rFonts w:ascii="Garamond" w:hAnsi="Garamond" w:cstheme="minorHAnsi"/>
                <w:b/>
                <w:sz w:val="22"/>
                <w:szCs w:val="24"/>
              </w:rPr>
              <w:t>11.2</w:t>
            </w:r>
            <w:r>
              <w:rPr>
                <w:rFonts w:ascii="Garamond" w:hAnsi="Garamond" w:cstheme="minorHAnsi"/>
                <w:b/>
                <w:sz w:val="22"/>
                <w:szCs w:val="24"/>
              </w:rPr>
              <w:t>*</w:t>
            </w:r>
          </w:p>
        </w:tc>
        <w:tc>
          <w:tcPr>
            <w:tcW w:w="610" w:type="pct"/>
            <w:vAlign w:val="center"/>
          </w:tcPr>
          <w:p w14:paraId="634BE980" w14:textId="77777777" w:rsidR="00121BE6" w:rsidRPr="00DC53AB" w:rsidRDefault="00121BE6" w:rsidP="00F81532">
            <w:pPr>
              <w:pStyle w:val="Financialtable"/>
              <w:spacing w:before="60" w:after="60"/>
              <w:rPr>
                <w:rFonts w:ascii="Garamond" w:hAnsi="Garamond" w:cstheme="minorHAnsi"/>
                <w:b/>
                <w:sz w:val="22"/>
                <w:szCs w:val="24"/>
              </w:rPr>
            </w:pPr>
            <w:r w:rsidRPr="00DC53AB">
              <w:rPr>
                <w:rFonts w:ascii="Garamond" w:hAnsi="Garamond" w:cstheme="minorHAnsi"/>
                <w:b/>
                <w:sz w:val="22"/>
                <w:szCs w:val="24"/>
              </w:rPr>
              <w:t>10.4*</w:t>
            </w:r>
          </w:p>
        </w:tc>
        <w:tc>
          <w:tcPr>
            <w:tcW w:w="610" w:type="pct"/>
            <w:vAlign w:val="center"/>
          </w:tcPr>
          <w:p w14:paraId="7249BEB8" w14:textId="77777777" w:rsidR="00121BE6" w:rsidRPr="00DC53AB" w:rsidRDefault="00121BE6" w:rsidP="00F81532">
            <w:pPr>
              <w:pStyle w:val="Financialtable"/>
              <w:spacing w:before="60" w:after="60"/>
              <w:rPr>
                <w:rFonts w:ascii="Garamond" w:hAnsi="Garamond" w:cstheme="minorHAnsi"/>
                <w:b/>
                <w:sz w:val="22"/>
                <w:szCs w:val="24"/>
              </w:rPr>
            </w:pPr>
            <w:r w:rsidRPr="00DC53AB">
              <w:rPr>
                <w:rFonts w:ascii="Garamond" w:hAnsi="Garamond" w:cstheme="minorHAnsi"/>
                <w:b/>
                <w:sz w:val="22"/>
                <w:szCs w:val="24"/>
              </w:rPr>
              <w:t>10.5</w:t>
            </w:r>
            <w:r>
              <w:rPr>
                <w:rFonts w:ascii="Garamond" w:hAnsi="Garamond" w:cstheme="minorHAnsi"/>
                <w:b/>
                <w:sz w:val="22"/>
                <w:szCs w:val="24"/>
              </w:rPr>
              <w:t>*</w:t>
            </w:r>
          </w:p>
        </w:tc>
        <w:tc>
          <w:tcPr>
            <w:tcW w:w="610" w:type="pct"/>
            <w:vAlign w:val="center"/>
          </w:tcPr>
          <w:p w14:paraId="12269647" w14:textId="77777777" w:rsidR="00121BE6" w:rsidRPr="00DC53AB" w:rsidRDefault="00121BE6" w:rsidP="00F81532">
            <w:pPr>
              <w:pStyle w:val="Financialtable"/>
              <w:spacing w:before="60" w:after="60"/>
              <w:rPr>
                <w:rFonts w:ascii="Garamond" w:hAnsi="Garamond" w:cstheme="minorHAnsi"/>
                <w:b/>
                <w:sz w:val="22"/>
                <w:szCs w:val="24"/>
              </w:rPr>
            </w:pPr>
            <w:r w:rsidRPr="00DC53AB">
              <w:rPr>
                <w:rFonts w:ascii="Garamond" w:hAnsi="Garamond" w:cstheme="minorHAnsi"/>
                <w:b/>
                <w:sz w:val="22"/>
                <w:szCs w:val="24"/>
              </w:rPr>
              <w:t>44.6</w:t>
            </w:r>
            <w:r>
              <w:rPr>
                <w:rFonts w:ascii="Garamond" w:hAnsi="Garamond" w:cstheme="minorHAnsi"/>
                <w:b/>
                <w:sz w:val="22"/>
                <w:szCs w:val="24"/>
              </w:rPr>
              <w:t>*</w:t>
            </w:r>
          </w:p>
        </w:tc>
      </w:tr>
    </w:tbl>
    <w:p w14:paraId="10E74558" w14:textId="77777777" w:rsidR="00121BE6" w:rsidRDefault="00121BE6" w:rsidP="00121BE6"/>
    <w:tbl>
      <w:tblPr>
        <w:tblStyle w:val="TableGrid"/>
        <w:tblW w:w="5000" w:type="pct"/>
        <w:jc w:val="center"/>
        <w:tblLook w:val="04A0" w:firstRow="1" w:lastRow="0" w:firstColumn="1" w:lastColumn="0" w:noHBand="0" w:noVBand="1"/>
      </w:tblPr>
      <w:tblGrid>
        <w:gridCol w:w="3846"/>
        <w:gridCol w:w="1528"/>
        <w:gridCol w:w="1530"/>
        <w:gridCol w:w="1528"/>
        <w:gridCol w:w="1530"/>
      </w:tblGrid>
      <w:tr w:rsidR="00121BE6" w:rsidRPr="005859B2" w14:paraId="0D31EE74" w14:textId="77777777" w:rsidTr="00F81532">
        <w:trPr>
          <w:jc w:val="center"/>
        </w:trPr>
        <w:tc>
          <w:tcPr>
            <w:tcW w:w="1930" w:type="pct"/>
            <w:shd w:val="clear" w:color="auto" w:fill="F2F2F2" w:themeFill="background1" w:themeFillShade="F2"/>
          </w:tcPr>
          <w:p w14:paraId="135C0156" w14:textId="77777777" w:rsidR="00121BE6" w:rsidRPr="00ED199A" w:rsidRDefault="00121BE6" w:rsidP="00F81532">
            <w:pPr>
              <w:pStyle w:val="TableBody-L"/>
              <w:spacing w:before="60" w:after="60"/>
              <w:ind w:left="142"/>
              <w:jc w:val="right"/>
              <w:rPr>
                <w:rFonts w:ascii="Garamond" w:hAnsi="Garamond" w:cstheme="minorHAnsi"/>
                <w:color w:val="auto"/>
                <w:sz w:val="22"/>
                <w:szCs w:val="24"/>
              </w:rPr>
            </w:pPr>
            <w:r w:rsidRPr="00ED199A">
              <w:rPr>
                <w:rFonts w:ascii="Garamond" w:hAnsi="Garamond" w:cstheme="minorHAnsi"/>
                <w:b/>
                <w:sz w:val="22"/>
                <w:szCs w:val="24"/>
              </w:rPr>
              <w:t>ASL</w:t>
            </w:r>
          </w:p>
        </w:tc>
        <w:tc>
          <w:tcPr>
            <w:tcW w:w="767" w:type="pct"/>
            <w:shd w:val="clear" w:color="auto" w:fill="F2F2F2" w:themeFill="background1" w:themeFillShade="F2"/>
          </w:tcPr>
          <w:p w14:paraId="4BABF4D7" w14:textId="77777777" w:rsidR="00121BE6" w:rsidRPr="00ED199A" w:rsidRDefault="00121BE6" w:rsidP="00F81532">
            <w:pPr>
              <w:pStyle w:val="Financialtable"/>
              <w:spacing w:before="60" w:after="60"/>
              <w:rPr>
                <w:rFonts w:ascii="Garamond" w:hAnsi="Garamond" w:cstheme="minorHAnsi"/>
                <w:sz w:val="22"/>
                <w:szCs w:val="24"/>
              </w:rPr>
            </w:pPr>
            <w:r w:rsidRPr="00ED199A">
              <w:rPr>
                <w:rFonts w:ascii="Garamond" w:hAnsi="Garamond" w:cstheme="minorHAnsi"/>
                <w:b/>
                <w:sz w:val="22"/>
                <w:szCs w:val="24"/>
              </w:rPr>
              <w:t>2018-19</w:t>
            </w:r>
          </w:p>
        </w:tc>
        <w:tc>
          <w:tcPr>
            <w:tcW w:w="768" w:type="pct"/>
            <w:shd w:val="clear" w:color="auto" w:fill="F2F2F2" w:themeFill="background1" w:themeFillShade="F2"/>
          </w:tcPr>
          <w:p w14:paraId="1EDCC994" w14:textId="77777777" w:rsidR="00121BE6" w:rsidRPr="00ED199A" w:rsidRDefault="00121BE6" w:rsidP="00F81532">
            <w:pPr>
              <w:pStyle w:val="Financialtable"/>
              <w:spacing w:before="60" w:after="60"/>
              <w:rPr>
                <w:rFonts w:ascii="Garamond" w:hAnsi="Garamond" w:cstheme="minorHAnsi"/>
                <w:sz w:val="22"/>
                <w:szCs w:val="24"/>
              </w:rPr>
            </w:pPr>
            <w:r w:rsidRPr="00ED199A">
              <w:rPr>
                <w:rFonts w:ascii="Garamond" w:hAnsi="Garamond" w:cstheme="minorHAnsi"/>
                <w:b/>
                <w:sz w:val="22"/>
                <w:szCs w:val="24"/>
              </w:rPr>
              <w:t>2019-20</w:t>
            </w:r>
          </w:p>
        </w:tc>
        <w:tc>
          <w:tcPr>
            <w:tcW w:w="767" w:type="pct"/>
            <w:shd w:val="clear" w:color="auto" w:fill="F2F2F2" w:themeFill="background1" w:themeFillShade="F2"/>
          </w:tcPr>
          <w:p w14:paraId="172DF4B5" w14:textId="77777777" w:rsidR="00121BE6" w:rsidRPr="00ED199A" w:rsidRDefault="00121BE6" w:rsidP="00F81532">
            <w:pPr>
              <w:pStyle w:val="Financialtable"/>
              <w:spacing w:before="60" w:after="60"/>
              <w:rPr>
                <w:rFonts w:ascii="Garamond" w:hAnsi="Garamond" w:cstheme="minorHAnsi"/>
                <w:sz w:val="22"/>
                <w:szCs w:val="24"/>
              </w:rPr>
            </w:pPr>
            <w:r w:rsidRPr="00ED199A">
              <w:rPr>
                <w:rFonts w:ascii="Garamond" w:hAnsi="Garamond" w:cstheme="minorHAnsi"/>
                <w:b/>
                <w:sz w:val="22"/>
                <w:szCs w:val="24"/>
              </w:rPr>
              <w:t>2020-21</w:t>
            </w:r>
          </w:p>
        </w:tc>
        <w:tc>
          <w:tcPr>
            <w:tcW w:w="768" w:type="pct"/>
            <w:shd w:val="clear" w:color="auto" w:fill="F2F2F2" w:themeFill="background1" w:themeFillShade="F2"/>
          </w:tcPr>
          <w:p w14:paraId="5911713C" w14:textId="77777777" w:rsidR="00121BE6" w:rsidRPr="00ED199A" w:rsidRDefault="00121BE6" w:rsidP="00F81532">
            <w:pPr>
              <w:pStyle w:val="Financialtable"/>
              <w:spacing w:before="60" w:after="60"/>
              <w:rPr>
                <w:rFonts w:ascii="Garamond" w:hAnsi="Garamond" w:cstheme="minorHAnsi"/>
                <w:sz w:val="22"/>
                <w:szCs w:val="24"/>
              </w:rPr>
            </w:pPr>
            <w:r w:rsidRPr="00ED199A">
              <w:rPr>
                <w:rFonts w:ascii="Garamond" w:hAnsi="Garamond" w:cstheme="minorHAnsi"/>
                <w:b/>
                <w:sz w:val="22"/>
                <w:szCs w:val="24"/>
              </w:rPr>
              <w:t>2021-22</w:t>
            </w:r>
          </w:p>
        </w:tc>
      </w:tr>
      <w:tr w:rsidR="00121BE6" w:rsidRPr="005859B2" w14:paraId="27C42066" w14:textId="77777777" w:rsidTr="00F81532">
        <w:trPr>
          <w:jc w:val="center"/>
        </w:trPr>
        <w:tc>
          <w:tcPr>
            <w:tcW w:w="1930" w:type="pct"/>
            <w:vAlign w:val="center"/>
          </w:tcPr>
          <w:p w14:paraId="4F95A1F2" w14:textId="77777777" w:rsidR="00121BE6" w:rsidRPr="00ED199A" w:rsidRDefault="00121BE6" w:rsidP="00F81532">
            <w:pPr>
              <w:pStyle w:val="TableBody-L"/>
              <w:spacing w:before="60" w:after="60"/>
              <w:ind w:left="142"/>
              <w:jc w:val="right"/>
              <w:rPr>
                <w:rFonts w:ascii="Garamond" w:hAnsi="Garamond" w:cstheme="minorHAnsi"/>
                <w:color w:val="auto"/>
                <w:sz w:val="22"/>
                <w:szCs w:val="24"/>
              </w:rPr>
            </w:pPr>
            <w:r w:rsidRPr="00ED199A">
              <w:rPr>
                <w:rFonts w:ascii="Garamond" w:hAnsi="Garamond" w:cstheme="minorHAnsi"/>
                <w:color w:val="auto"/>
                <w:sz w:val="22"/>
                <w:szCs w:val="24"/>
              </w:rPr>
              <w:t>ACCC staff</w:t>
            </w:r>
          </w:p>
        </w:tc>
        <w:tc>
          <w:tcPr>
            <w:tcW w:w="767" w:type="pct"/>
            <w:vAlign w:val="center"/>
          </w:tcPr>
          <w:p w14:paraId="3A729788" w14:textId="77777777" w:rsidR="00121BE6" w:rsidRPr="00ED199A" w:rsidRDefault="00121BE6" w:rsidP="00F81532">
            <w:pPr>
              <w:pStyle w:val="Financialtable"/>
              <w:spacing w:before="60" w:after="60"/>
              <w:rPr>
                <w:rFonts w:ascii="Garamond" w:hAnsi="Garamond" w:cstheme="minorHAnsi"/>
                <w:sz w:val="22"/>
                <w:szCs w:val="24"/>
              </w:rPr>
            </w:pPr>
            <w:r w:rsidRPr="00ED199A">
              <w:rPr>
                <w:rFonts w:ascii="Garamond" w:hAnsi="Garamond" w:cstheme="minorHAnsi"/>
                <w:sz w:val="22"/>
                <w:szCs w:val="24"/>
              </w:rPr>
              <w:t>19.0</w:t>
            </w:r>
          </w:p>
        </w:tc>
        <w:tc>
          <w:tcPr>
            <w:tcW w:w="768" w:type="pct"/>
            <w:vAlign w:val="center"/>
          </w:tcPr>
          <w:p w14:paraId="592C1558" w14:textId="77777777" w:rsidR="00121BE6" w:rsidRPr="00ED199A" w:rsidRDefault="00121BE6" w:rsidP="00F81532">
            <w:pPr>
              <w:pStyle w:val="Financialtable"/>
              <w:spacing w:before="60" w:after="60"/>
              <w:rPr>
                <w:rFonts w:ascii="Garamond" w:hAnsi="Garamond" w:cstheme="minorHAnsi"/>
                <w:sz w:val="22"/>
                <w:szCs w:val="24"/>
              </w:rPr>
            </w:pPr>
            <w:r w:rsidRPr="00ED199A">
              <w:rPr>
                <w:rFonts w:ascii="Garamond" w:hAnsi="Garamond" w:cstheme="minorHAnsi"/>
                <w:sz w:val="22"/>
                <w:szCs w:val="24"/>
              </w:rPr>
              <w:t>23.0</w:t>
            </w:r>
          </w:p>
        </w:tc>
        <w:tc>
          <w:tcPr>
            <w:tcW w:w="767" w:type="pct"/>
            <w:vAlign w:val="center"/>
          </w:tcPr>
          <w:p w14:paraId="0B3BC21D" w14:textId="77777777" w:rsidR="00121BE6" w:rsidRPr="00ED199A" w:rsidRDefault="00121BE6" w:rsidP="00F81532">
            <w:pPr>
              <w:pStyle w:val="Financialtable"/>
              <w:spacing w:before="60" w:after="60"/>
              <w:rPr>
                <w:rFonts w:ascii="Garamond" w:hAnsi="Garamond" w:cstheme="minorHAnsi"/>
                <w:sz w:val="22"/>
                <w:szCs w:val="24"/>
              </w:rPr>
            </w:pPr>
            <w:r w:rsidRPr="00ED199A">
              <w:rPr>
                <w:rFonts w:ascii="Garamond" w:hAnsi="Garamond" w:cstheme="minorHAnsi"/>
                <w:sz w:val="22"/>
                <w:szCs w:val="24"/>
              </w:rPr>
              <w:t>23.0</w:t>
            </w:r>
          </w:p>
        </w:tc>
        <w:tc>
          <w:tcPr>
            <w:tcW w:w="768" w:type="pct"/>
            <w:vAlign w:val="center"/>
          </w:tcPr>
          <w:p w14:paraId="0E9290A7" w14:textId="77777777" w:rsidR="00121BE6" w:rsidRPr="00ED199A" w:rsidRDefault="00121BE6" w:rsidP="00F81532">
            <w:pPr>
              <w:pStyle w:val="Financialtable"/>
              <w:spacing w:before="60" w:after="60"/>
              <w:rPr>
                <w:rFonts w:ascii="Garamond" w:hAnsi="Garamond" w:cstheme="minorHAnsi"/>
                <w:sz w:val="22"/>
                <w:szCs w:val="24"/>
              </w:rPr>
            </w:pPr>
            <w:r w:rsidRPr="00ED199A">
              <w:rPr>
                <w:rFonts w:ascii="Garamond" w:hAnsi="Garamond" w:cstheme="minorHAnsi"/>
                <w:sz w:val="22"/>
                <w:szCs w:val="24"/>
              </w:rPr>
              <w:t>23.0</w:t>
            </w:r>
          </w:p>
        </w:tc>
      </w:tr>
      <w:tr w:rsidR="00121BE6" w:rsidRPr="005859B2" w14:paraId="628203CE" w14:textId="77777777" w:rsidTr="00F81532">
        <w:trPr>
          <w:jc w:val="center"/>
        </w:trPr>
        <w:tc>
          <w:tcPr>
            <w:tcW w:w="1930" w:type="pct"/>
            <w:vAlign w:val="center"/>
          </w:tcPr>
          <w:p w14:paraId="2A1BB8B5" w14:textId="77777777" w:rsidR="00121BE6" w:rsidRPr="00ED199A" w:rsidRDefault="00121BE6" w:rsidP="00F81532">
            <w:pPr>
              <w:pStyle w:val="TableBody-L"/>
              <w:spacing w:before="60" w:after="60"/>
              <w:ind w:left="142"/>
              <w:jc w:val="right"/>
              <w:rPr>
                <w:rFonts w:ascii="Garamond" w:hAnsi="Garamond" w:cstheme="minorHAnsi"/>
                <w:color w:val="auto"/>
                <w:sz w:val="22"/>
                <w:szCs w:val="24"/>
              </w:rPr>
            </w:pPr>
            <w:r w:rsidRPr="00ED199A">
              <w:rPr>
                <w:rFonts w:ascii="Garamond" w:hAnsi="Garamond" w:cstheme="minorHAnsi"/>
                <w:color w:val="auto"/>
                <w:sz w:val="22"/>
                <w:szCs w:val="24"/>
              </w:rPr>
              <w:t>OAIC staff</w:t>
            </w:r>
          </w:p>
        </w:tc>
        <w:tc>
          <w:tcPr>
            <w:tcW w:w="767" w:type="pct"/>
            <w:vAlign w:val="center"/>
          </w:tcPr>
          <w:p w14:paraId="0489AE75" w14:textId="77777777" w:rsidR="00121BE6" w:rsidRPr="00ED199A" w:rsidRDefault="00121BE6" w:rsidP="00F81532">
            <w:pPr>
              <w:pStyle w:val="Financialtable"/>
              <w:spacing w:before="60" w:after="60"/>
              <w:rPr>
                <w:rFonts w:ascii="Garamond" w:hAnsi="Garamond" w:cstheme="minorHAnsi"/>
                <w:sz w:val="22"/>
                <w:szCs w:val="24"/>
              </w:rPr>
            </w:pPr>
            <w:r w:rsidRPr="00ED199A">
              <w:rPr>
                <w:rFonts w:ascii="Garamond" w:hAnsi="Garamond" w:cstheme="minorHAnsi"/>
                <w:sz w:val="22"/>
                <w:szCs w:val="24"/>
              </w:rPr>
              <w:t>10.0</w:t>
            </w:r>
          </w:p>
        </w:tc>
        <w:tc>
          <w:tcPr>
            <w:tcW w:w="768" w:type="pct"/>
            <w:vAlign w:val="center"/>
          </w:tcPr>
          <w:p w14:paraId="30F6628C" w14:textId="77777777" w:rsidR="00121BE6" w:rsidRPr="00ED199A" w:rsidRDefault="00121BE6" w:rsidP="00F81532">
            <w:pPr>
              <w:pStyle w:val="Financialtable"/>
              <w:spacing w:before="60" w:after="60"/>
              <w:rPr>
                <w:rFonts w:ascii="Garamond" w:hAnsi="Garamond" w:cstheme="minorHAnsi"/>
                <w:sz w:val="22"/>
                <w:szCs w:val="24"/>
              </w:rPr>
            </w:pPr>
            <w:r w:rsidRPr="00ED199A">
              <w:rPr>
                <w:rFonts w:ascii="Garamond" w:hAnsi="Garamond" w:cstheme="minorHAnsi"/>
                <w:sz w:val="22"/>
                <w:szCs w:val="24"/>
              </w:rPr>
              <w:t>15.0</w:t>
            </w:r>
          </w:p>
        </w:tc>
        <w:tc>
          <w:tcPr>
            <w:tcW w:w="767" w:type="pct"/>
            <w:vAlign w:val="center"/>
          </w:tcPr>
          <w:p w14:paraId="772F567E" w14:textId="77777777" w:rsidR="00121BE6" w:rsidRPr="00ED199A" w:rsidRDefault="00121BE6" w:rsidP="00F81532">
            <w:pPr>
              <w:pStyle w:val="Financialtable"/>
              <w:spacing w:before="60" w:after="60"/>
              <w:rPr>
                <w:rFonts w:ascii="Garamond" w:hAnsi="Garamond" w:cstheme="minorHAnsi"/>
                <w:sz w:val="22"/>
                <w:szCs w:val="24"/>
              </w:rPr>
            </w:pPr>
            <w:r w:rsidRPr="00ED199A">
              <w:rPr>
                <w:rFonts w:ascii="Garamond" w:hAnsi="Garamond" w:cstheme="minorHAnsi"/>
                <w:sz w:val="22"/>
                <w:szCs w:val="24"/>
              </w:rPr>
              <w:t>15.0</w:t>
            </w:r>
          </w:p>
        </w:tc>
        <w:tc>
          <w:tcPr>
            <w:tcW w:w="768" w:type="pct"/>
            <w:vAlign w:val="center"/>
          </w:tcPr>
          <w:p w14:paraId="6E162478" w14:textId="77777777" w:rsidR="00121BE6" w:rsidRPr="00ED199A" w:rsidRDefault="00121BE6" w:rsidP="00F81532">
            <w:pPr>
              <w:pStyle w:val="Financialtable"/>
              <w:spacing w:before="60" w:after="60"/>
              <w:rPr>
                <w:rFonts w:ascii="Garamond" w:hAnsi="Garamond" w:cstheme="minorHAnsi"/>
                <w:sz w:val="22"/>
                <w:szCs w:val="24"/>
              </w:rPr>
            </w:pPr>
            <w:r w:rsidRPr="00ED199A">
              <w:rPr>
                <w:rFonts w:ascii="Garamond" w:hAnsi="Garamond" w:cstheme="minorHAnsi"/>
                <w:sz w:val="22"/>
                <w:szCs w:val="24"/>
              </w:rPr>
              <w:t>15.0</w:t>
            </w:r>
          </w:p>
        </w:tc>
      </w:tr>
      <w:tr w:rsidR="00121BE6" w:rsidRPr="005859B2" w14:paraId="17C67D5D" w14:textId="77777777" w:rsidTr="00F81532">
        <w:trPr>
          <w:jc w:val="center"/>
        </w:trPr>
        <w:tc>
          <w:tcPr>
            <w:tcW w:w="1930" w:type="pct"/>
            <w:vAlign w:val="center"/>
          </w:tcPr>
          <w:p w14:paraId="30D8EB8D" w14:textId="77777777" w:rsidR="00121BE6" w:rsidRPr="00ED199A" w:rsidRDefault="00121BE6" w:rsidP="00F81532">
            <w:pPr>
              <w:pStyle w:val="TableBody-L"/>
              <w:spacing w:before="60" w:after="60"/>
              <w:ind w:left="142"/>
              <w:jc w:val="right"/>
              <w:rPr>
                <w:rFonts w:ascii="Garamond" w:hAnsi="Garamond" w:cstheme="minorHAnsi"/>
                <w:color w:val="auto"/>
                <w:sz w:val="22"/>
                <w:szCs w:val="24"/>
              </w:rPr>
            </w:pPr>
            <w:r w:rsidRPr="00ED199A">
              <w:rPr>
                <w:rFonts w:ascii="Garamond" w:hAnsi="Garamond" w:cstheme="minorHAnsi"/>
                <w:color w:val="auto"/>
                <w:sz w:val="22"/>
                <w:szCs w:val="24"/>
              </w:rPr>
              <w:t>CSIRO-Data61 staff</w:t>
            </w:r>
          </w:p>
        </w:tc>
        <w:tc>
          <w:tcPr>
            <w:tcW w:w="767" w:type="pct"/>
            <w:vAlign w:val="center"/>
          </w:tcPr>
          <w:p w14:paraId="0CD1416A" w14:textId="77777777" w:rsidR="00121BE6" w:rsidRPr="00ED199A" w:rsidRDefault="00121BE6" w:rsidP="00F81532">
            <w:pPr>
              <w:pStyle w:val="Financialtable"/>
              <w:spacing w:before="60" w:after="60"/>
              <w:rPr>
                <w:rFonts w:ascii="Garamond" w:hAnsi="Garamond" w:cstheme="minorHAnsi"/>
                <w:sz w:val="22"/>
                <w:szCs w:val="24"/>
              </w:rPr>
            </w:pPr>
            <w:r w:rsidRPr="00ED199A">
              <w:rPr>
                <w:rFonts w:ascii="Garamond" w:hAnsi="Garamond" w:cstheme="minorHAnsi"/>
                <w:sz w:val="22"/>
                <w:szCs w:val="24"/>
              </w:rPr>
              <w:t>11.4</w:t>
            </w:r>
          </w:p>
        </w:tc>
        <w:tc>
          <w:tcPr>
            <w:tcW w:w="768" w:type="pct"/>
            <w:vAlign w:val="center"/>
          </w:tcPr>
          <w:p w14:paraId="52C73408" w14:textId="77777777" w:rsidR="00121BE6" w:rsidRPr="00ED199A" w:rsidRDefault="00121BE6" w:rsidP="00F81532">
            <w:pPr>
              <w:pStyle w:val="Financialtable"/>
              <w:spacing w:before="60" w:after="60"/>
              <w:rPr>
                <w:rFonts w:ascii="Garamond" w:hAnsi="Garamond" w:cstheme="minorHAnsi"/>
                <w:sz w:val="22"/>
                <w:szCs w:val="24"/>
              </w:rPr>
            </w:pPr>
            <w:r w:rsidRPr="00ED199A">
              <w:rPr>
                <w:rFonts w:ascii="Garamond" w:hAnsi="Garamond" w:cstheme="minorHAnsi"/>
                <w:sz w:val="22"/>
                <w:szCs w:val="24"/>
              </w:rPr>
              <w:t>8.3</w:t>
            </w:r>
          </w:p>
        </w:tc>
        <w:tc>
          <w:tcPr>
            <w:tcW w:w="767" w:type="pct"/>
            <w:vAlign w:val="center"/>
          </w:tcPr>
          <w:p w14:paraId="3F23FD69" w14:textId="77777777" w:rsidR="00121BE6" w:rsidRPr="00ED199A" w:rsidRDefault="00121BE6" w:rsidP="00F81532">
            <w:pPr>
              <w:pStyle w:val="Financialtable"/>
              <w:spacing w:before="60" w:after="60"/>
              <w:rPr>
                <w:rFonts w:ascii="Garamond" w:hAnsi="Garamond" w:cstheme="minorHAnsi"/>
                <w:sz w:val="22"/>
                <w:szCs w:val="24"/>
              </w:rPr>
            </w:pPr>
            <w:r w:rsidRPr="00ED199A">
              <w:rPr>
                <w:rFonts w:ascii="Garamond" w:hAnsi="Garamond" w:cstheme="minorHAnsi"/>
                <w:sz w:val="22"/>
                <w:szCs w:val="24"/>
              </w:rPr>
              <w:t>6.7</w:t>
            </w:r>
          </w:p>
        </w:tc>
        <w:tc>
          <w:tcPr>
            <w:tcW w:w="768" w:type="pct"/>
            <w:vAlign w:val="center"/>
          </w:tcPr>
          <w:p w14:paraId="62BD6B33" w14:textId="77777777" w:rsidR="00121BE6" w:rsidRPr="00ED199A" w:rsidRDefault="00121BE6" w:rsidP="00F81532">
            <w:pPr>
              <w:pStyle w:val="Financialtable"/>
              <w:spacing w:before="60" w:after="60"/>
              <w:rPr>
                <w:rFonts w:ascii="Garamond" w:hAnsi="Garamond" w:cstheme="minorHAnsi"/>
                <w:sz w:val="22"/>
                <w:szCs w:val="24"/>
              </w:rPr>
            </w:pPr>
            <w:r w:rsidRPr="00ED199A">
              <w:rPr>
                <w:rFonts w:ascii="Garamond" w:hAnsi="Garamond" w:cstheme="minorHAnsi"/>
                <w:sz w:val="22"/>
                <w:szCs w:val="24"/>
              </w:rPr>
              <w:t>6.7</w:t>
            </w:r>
          </w:p>
        </w:tc>
      </w:tr>
      <w:tr w:rsidR="00121BE6" w:rsidRPr="005859B2" w14:paraId="5F810860" w14:textId="77777777" w:rsidTr="00F81532">
        <w:trPr>
          <w:jc w:val="center"/>
        </w:trPr>
        <w:tc>
          <w:tcPr>
            <w:tcW w:w="1930" w:type="pct"/>
            <w:vAlign w:val="center"/>
          </w:tcPr>
          <w:p w14:paraId="34C41999" w14:textId="77777777" w:rsidR="00121BE6" w:rsidRPr="00ED199A" w:rsidRDefault="00121BE6" w:rsidP="00F81532">
            <w:pPr>
              <w:pStyle w:val="TableBody-L"/>
              <w:spacing w:before="60" w:after="60"/>
              <w:ind w:left="142"/>
              <w:jc w:val="right"/>
              <w:rPr>
                <w:rFonts w:ascii="Garamond" w:hAnsi="Garamond" w:cstheme="minorHAnsi"/>
                <w:b/>
                <w:color w:val="auto"/>
                <w:sz w:val="22"/>
                <w:szCs w:val="24"/>
              </w:rPr>
            </w:pPr>
            <w:r w:rsidRPr="00ED199A">
              <w:rPr>
                <w:rFonts w:ascii="Garamond" w:hAnsi="Garamond" w:cstheme="minorHAnsi"/>
                <w:b/>
                <w:color w:val="auto"/>
                <w:sz w:val="22"/>
                <w:szCs w:val="24"/>
              </w:rPr>
              <w:t xml:space="preserve">Total staff </w:t>
            </w:r>
          </w:p>
        </w:tc>
        <w:tc>
          <w:tcPr>
            <w:tcW w:w="767" w:type="pct"/>
            <w:vAlign w:val="center"/>
          </w:tcPr>
          <w:p w14:paraId="6216E0FD" w14:textId="77777777" w:rsidR="00121BE6" w:rsidRPr="00ED199A" w:rsidRDefault="00121BE6" w:rsidP="00F81532">
            <w:pPr>
              <w:pStyle w:val="Financialtable"/>
              <w:spacing w:before="60" w:after="60"/>
              <w:rPr>
                <w:rFonts w:ascii="Garamond" w:hAnsi="Garamond" w:cstheme="minorHAnsi"/>
                <w:b/>
                <w:sz w:val="22"/>
                <w:szCs w:val="24"/>
              </w:rPr>
            </w:pPr>
            <w:r w:rsidRPr="00ED199A">
              <w:rPr>
                <w:rFonts w:ascii="Garamond" w:hAnsi="Garamond" w:cstheme="minorHAnsi"/>
                <w:b/>
                <w:sz w:val="22"/>
                <w:szCs w:val="24"/>
              </w:rPr>
              <w:t>40.4</w:t>
            </w:r>
          </w:p>
        </w:tc>
        <w:tc>
          <w:tcPr>
            <w:tcW w:w="768" w:type="pct"/>
            <w:vAlign w:val="center"/>
          </w:tcPr>
          <w:p w14:paraId="22C24505" w14:textId="77777777" w:rsidR="00121BE6" w:rsidRPr="00ED199A" w:rsidRDefault="00121BE6" w:rsidP="00F81532">
            <w:pPr>
              <w:pStyle w:val="Financialtable"/>
              <w:spacing w:before="60" w:after="60"/>
              <w:rPr>
                <w:rFonts w:ascii="Garamond" w:hAnsi="Garamond" w:cstheme="minorHAnsi"/>
                <w:b/>
                <w:sz w:val="22"/>
                <w:szCs w:val="24"/>
              </w:rPr>
            </w:pPr>
            <w:r w:rsidRPr="00ED199A">
              <w:rPr>
                <w:rFonts w:ascii="Garamond" w:hAnsi="Garamond" w:cstheme="minorHAnsi"/>
                <w:b/>
                <w:sz w:val="22"/>
                <w:szCs w:val="24"/>
              </w:rPr>
              <w:t>46.3</w:t>
            </w:r>
          </w:p>
        </w:tc>
        <w:tc>
          <w:tcPr>
            <w:tcW w:w="767" w:type="pct"/>
            <w:vAlign w:val="center"/>
          </w:tcPr>
          <w:p w14:paraId="11DE9501" w14:textId="77777777" w:rsidR="00121BE6" w:rsidRPr="00ED199A" w:rsidRDefault="00121BE6" w:rsidP="00F81532">
            <w:pPr>
              <w:pStyle w:val="Financialtable"/>
              <w:spacing w:before="60" w:after="60"/>
              <w:rPr>
                <w:rFonts w:ascii="Garamond" w:hAnsi="Garamond" w:cstheme="minorHAnsi"/>
                <w:b/>
                <w:sz w:val="22"/>
                <w:szCs w:val="24"/>
              </w:rPr>
            </w:pPr>
            <w:r w:rsidRPr="00ED199A">
              <w:rPr>
                <w:rFonts w:ascii="Garamond" w:hAnsi="Garamond" w:cstheme="minorHAnsi"/>
                <w:b/>
                <w:sz w:val="22"/>
                <w:szCs w:val="24"/>
              </w:rPr>
              <w:t>44.7</w:t>
            </w:r>
          </w:p>
        </w:tc>
        <w:tc>
          <w:tcPr>
            <w:tcW w:w="768" w:type="pct"/>
            <w:vAlign w:val="center"/>
          </w:tcPr>
          <w:p w14:paraId="23070615" w14:textId="77777777" w:rsidR="00121BE6" w:rsidRPr="00ED199A" w:rsidRDefault="00121BE6" w:rsidP="00F81532">
            <w:pPr>
              <w:pStyle w:val="Financialtable"/>
              <w:spacing w:before="60" w:after="60"/>
              <w:rPr>
                <w:rFonts w:ascii="Garamond" w:hAnsi="Garamond" w:cstheme="minorHAnsi"/>
                <w:b/>
                <w:sz w:val="22"/>
                <w:szCs w:val="24"/>
              </w:rPr>
            </w:pPr>
            <w:r w:rsidRPr="00ED199A">
              <w:rPr>
                <w:rFonts w:ascii="Garamond" w:hAnsi="Garamond" w:cstheme="minorHAnsi"/>
                <w:b/>
                <w:sz w:val="22"/>
                <w:szCs w:val="24"/>
              </w:rPr>
              <w:t>44.7</w:t>
            </w:r>
          </w:p>
        </w:tc>
      </w:tr>
    </w:tbl>
    <w:p w14:paraId="742B4647" w14:textId="77777777" w:rsidR="00121BE6" w:rsidRDefault="00121BE6" w:rsidP="00121BE6">
      <w:r>
        <w:t>Funding has been included to facilitate consumer and privacy advocate participation in standards setting processes.</w:t>
      </w:r>
    </w:p>
    <w:p w14:paraId="7FF5C157" w14:textId="18166C51" w:rsidR="00A90C40" w:rsidRDefault="00A90C40" w:rsidP="00121BE6">
      <w:r>
        <w:t xml:space="preserve">In the 2018-19 Mid-Year Economic and Fiscal Outlook, the Government provided </w:t>
      </w:r>
      <w:r w:rsidRPr="00A90C40">
        <w:t>additional funding for the A</w:t>
      </w:r>
      <w:r>
        <w:t xml:space="preserve">CCC </w:t>
      </w:r>
      <w:r w:rsidRPr="00A90C40">
        <w:t>to implement new systems and processes to support the rollout of the Consumer Data Right</w:t>
      </w:r>
      <w:r>
        <w:t>. The figures are not for publication due to commercial sensitivities.</w:t>
      </w:r>
    </w:p>
    <w:p w14:paraId="3B341837" w14:textId="77777777" w:rsidR="00121BE6" w:rsidRDefault="00121BE6" w:rsidP="00121BE6">
      <w:pPr>
        <w:rPr>
          <w:sz w:val="16"/>
        </w:rPr>
      </w:pPr>
      <w:r>
        <w:rPr>
          <w:sz w:val="16"/>
        </w:rPr>
        <w:t>*Figures may not sum due to rounding</w:t>
      </w:r>
    </w:p>
    <w:p w14:paraId="5891CA93" w14:textId="77777777" w:rsidR="00121BE6" w:rsidRDefault="00121BE6" w:rsidP="00121BE6">
      <w:pPr>
        <w:pStyle w:val="Heading2"/>
      </w:pPr>
      <w:r>
        <w:t>External dispute resolution</w:t>
      </w:r>
    </w:p>
    <w:p w14:paraId="6C154603" w14:textId="77777777" w:rsidR="00121BE6" w:rsidRPr="009E1E95" w:rsidRDefault="00121BE6" w:rsidP="00121BE6">
      <w:pPr>
        <w:rPr>
          <w:b/>
        </w:rPr>
      </w:pPr>
      <w:r w:rsidRPr="009E1E95">
        <w:rPr>
          <w:b/>
        </w:rPr>
        <w:t>There will be accessible and meaningful remedies.</w:t>
      </w:r>
    </w:p>
    <w:p w14:paraId="072BCE6A" w14:textId="77777777" w:rsidR="00121BE6" w:rsidRDefault="00121BE6" w:rsidP="00121BE6">
      <w:r w:rsidRPr="003C40CE">
        <w:t>Consumer</w:t>
      </w:r>
      <w:r>
        <w:t>s</w:t>
      </w:r>
      <w:r w:rsidRPr="003C40CE">
        <w:t xml:space="preserve"> </w:t>
      </w:r>
      <w:r>
        <w:t>will have</w:t>
      </w:r>
      <w:r w:rsidRPr="003C40CE">
        <w:t xml:space="preserve"> access to external dispute resolution arrangements, leveraging off existing sector specific schemes. The OAIC will also be empowered to provide remedies to individuals (and small and medium sized enterprises).</w:t>
      </w:r>
    </w:p>
    <w:p w14:paraId="369A6C95" w14:textId="77777777" w:rsidR="00121BE6" w:rsidRDefault="00121BE6" w:rsidP="00121BE6">
      <w:r>
        <w:t>While, generally, the enhanced protections will apply to all data and bind all parties handling data</w:t>
      </w:r>
      <w:r w:rsidRPr="00377F72">
        <w:t xml:space="preserve"> </w:t>
      </w:r>
      <w:r>
        <w:t xml:space="preserve">within the system, only individual and small to medium sized enterprise customers will have access to external dispute resolution schemes and OAIC assistance. </w:t>
      </w:r>
    </w:p>
    <w:p w14:paraId="7E6E3B38" w14:textId="77777777" w:rsidR="00F66DA9" w:rsidRDefault="00F66DA9">
      <w:pPr>
        <w:spacing w:before="0" w:after="160" w:line="259" w:lineRule="auto"/>
        <w:rPr>
          <w:rFonts w:cs="Arial"/>
          <w:iCs/>
          <w:color w:val="004A7F"/>
          <w:kern w:val="32"/>
          <w:sz w:val="36"/>
          <w:szCs w:val="28"/>
        </w:rPr>
      </w:pPr>
      <w:r>
        <w:br w:type="page"/>
      </w:r>
    </w:p>
    <w:p w14:paraId="5D44732F" w14:textId="173C46A1" w:rsidR="00121BE6" w:rsidRDefault="00121BE6" w:rsidP="00121BE6">
      <w:pPr>
        <w:pStyle w:val="Heading2"/>
      </w:pPr>
      <w:r w:rsidRPr="00DE62DB">
        <w:t>Direct rights of action</w:t>
      </w:r>
    </w:p>
    <w:p w14:paraId="2603B0DC" w14:textId="77777777" w:rsidR="00121BE6" w:rsidRPr="009E1E95" w:rsidRDefault="00121BE6" w:rsidP="00121BE6">
      <w:pPr>
        <w:rPr>
          <w:b/>
        </w:rPr>
      </w:pPr>
      <w:r>
        <w:rPr>
          <w:b/>
        </w:rPr>
        <w:t>Private remedies – individually or collectively</w:t>
      </w:r>
    </w:p>
    <w:p w14:paraId="76A4B924" w14:textId="77777777" w:rsidR="00121BE6" w:rsidRDefault="00121BE6" w:rsidP="00121BE6">
      <w:r>
        <w:t>A breach of the Privacy Act does not give rise to a direct right of action for compensation by an aggrieved party against the person committing the breach.</w:t>
      </w:r>
      <w:r>
        <w:rPr>
          <w:rStyle w:val="FootnoteReference"/>
        </w:rPr>
        <w:footnoteReference w:id="3"/>
      </w:r>
      <w:r>
        <w:t xml:space="preserve"> </w:t>
      </w:r>
    </w:p>
    <w:p w14:paraId="285F9663" w14:textId="77777777" w:rsidR="00121BE6" w:rsidRDefault="00121BE6" w:rsidP="00121BE6">
      <w:r>
        <w:t xml:space="preserve">The Consumer Data Right Bill provides a direct right of action for breaches of the Consumer Data Right. One or more breaches affecting multiple parties may support a class action. </w:t>
      </w:r>
    </w:p>
    <w:p w14:paraId="761914A0" w14:textId="77777777" w:rsidR="00121BE6" w:rsidRDefault="00121BE6" w:rsidP="00121BE6">
      <w:r>
        <w:t>These rights will exist in parallel to any rights to alternative dispute resolution, and the ability for the ACCC and OAIC to grant remedies</w:t>
      </w:r>
      <w:r>
        <w:rPr>
          <w:rStyle w:val="FootnoteReference"/>
        </w:rPr>
        <w:footnoteReference w:id="4"/>
      </w:r>
      <w:r>
        <w:t xml:space="preserve">. </w:t>
      </w:r>
    </w:p>
    <w:p w14:paraId="3B3934F6" w14:textId="77777777" w:rsidR="00121BE6" w:rsidRDefault="00121BE6" w:rsidP="00121BE6">
      <w:pPr>
        <w:pStyle w:val="Heading2"/>
      </w:pPr>
      <w:r w:rsidRPr="00DE62DB">
        <w:t>Education</w:t>
      </w:r>
    </w:p>
    <w:p w14:paraId="1CB19E5B" w14:textId="77777777" w:rsidR="00121BE6" w:rsidRPr="0064047A" w:rsidRDefault="00121BE6" w:rsidP="00121BE6">
      <w:pPr>
        <w:rPr>
          <w:b/>
        </w:rPr>
      </w:pPr>
      <w:r w:rsidRPr="0064047A">
        <w:rPr>
          <w:b/>
        </w:rPr>
        <w:t>Informing consumers of their privacy rights and remedies</w:t>
      </w:r>
    </w:p>
    <w:p w14:paraId="6514CC7E" w14:textId="77777777" w:rsidR="00121BE6" w:rsidRDefault="00121BE6" w:rsidP="00121BE6">
      <w:r w:rsidRPr="008114DF">
        <w:t>The 201</w:t>
      </w:r>
      <w:r>
        <w:t>8-19</w:t>
      </w:r>
      <w:r w:rsidRPr="008114DF">
        <w:t xml:space="preserve"> Budget</w:t>
      </w:r>
      <w:r>
        <w:t xml:space="preserve"> provided </w:t>
      </w:r>
      <w:r w:rsidRPr="008114DF">
        <w:t xml:space="preserve">both the ACCC and OAIC </w:t>
      </w:r>
      <w:r>
        <w:t xml:space="preserve">with funding </w:t>
      </w:r>
      <w:r w:rsidRPr="008114DF">
        <w:t>to conduct ongoing education of consumers reg</w:t>
      </w:r>
      <w:r>
        <w:t>arding the Consumer Data Right.</w:t>
      </w:r>
      <w:r w:rsidRPr="008114DF">
        <w:t xml:space="preserve"> </w:t>
      </w:r>
    </w:p>
    <w:p w14:paraId="69F5E9E5" w14:textId="77777777" w:rsidR="00121BE6" w:rsidRDefault="00121BE6" w:rsidP="00121BE6">
      <w:r w:rsidRPr="008114DF">
        <w:t xml:space="preserve">Data61 has been provided with funding for the education of </w:t>
      </w:r>
      <w:r>
        <w:t>data holders and recipients</w:t>
      </w:r>
      <w:r w:rsidRPr="008114DF">
        <w:t xml:space="preserve">, including in relation </w:t>
      </w:r>
      <w:r>
        <w:t>t</w:t>
      </w:r>
      <w:r w:rsidRPr="008114DF">
        <w:t>o compliance with technical standards directed at privacy, confidentiality and information security.</w:t>
      </w:r>
    </w:p>
    <w:p w14:paraId="1A1AD427" w14:textId="77777777" w:rsidR="00121BE6" w:rsidRPr="008114DF" w:rsidRDefault="00121BE6" w:rsidP="00121BE6">
      <w:r w:rsidRPr="008114DF">
        <w:t>The legislation empowers the OAIC to issue guidance regarding the Privacy Safeguards.</w:t>
      </w:r>
    </w:p>
    <w:p w14:paraId="1249AD78" w14:textId="77777777" w:rsidR="00121BE6" w:rsidRDefault="00121BE6" w:rsidP="00121BE6">
      <w:pPr>
        <w:pStyle w:val="Heading2"/>
      </w:pPr>
      <w:r>
        <w:t>Coverage</w:t>
      </w:r>
    </w:p>
    <w:p w14:paraId="2F908B25" w14:textId="77777777" w:rsidR="00121BE6" w:rsidRPr="00B41552" w:rsidRDefault="00121BE6" w:rsidP="00121BE6">
      <w:pPr>
        <w:rPr>
          <w:b/>
        </w:rPr>
      </w:pPr>
      <w:r w:rsidRPr="00B41552">
        <w:rPr>
          <w:b/>
        </w:rPr>
        <w:t xml:space="preserve">A broader range of </w:t>
      </w:r>
      <w:r>
        <w:rPr>
          <w:b/>
        </w:rPr>
        <w:t>data</w:t>
      </w:r>
      <w:r w:rsidRPr="00B41552">
        <w:rPr>
          <w:b/>
        </w:rPr>
        <w:t xml:space="preserve"> </w:t>
      </w:r>
      <w:r>
        <w:rPr>
          <w:b/>
        </w:rPr>
        <w:t xml:space="preserve">is caught by the CDR and subject to its privacy </w:t>
      </w:r>
      <w:r w:rsidRPr="00B41552">
        <w:rPr>
          <w:b/>
        </w:rPr>
        <w:t>protections</w:t>
      </w:r>
    </w:p>
    <w:p w14:paraId="5736C6E8" w14:textId="77777777" w:rsidR="00121BE6" w:rsidRDefault="00121BE6" w:rsidP="00121BE6">
      <w:r w:rsidRPr="00B41552">
        <w:t>The Consumer Data Right framework – including its privacy</w:t>
      </w:r>
      <w:r>
        <w:t xml:space="preserve"> and confidentiality</w:t>
      </w:r>
      <w:r w:rsidRPr="00B41552">
        <w:t xml:space="preserve"> protections - can potentially apply to data that </w:t>
      </w:r>
      <w:r w:rsidRPr="00B41552">
        <w:rPr>
          <w:i/>
        </w:rPr>
        <w:t>relates</w:t>
      </w:r>
      <w:r w:rsidRPr="00B41552">
        <w:t xml:space="preserve"> either to a natural or legal person.</w:t>
      </w:r>
      <w:r>
        <w:rPr>
          <w:rStyle w:val="FootnoteReference"/>
        </w:rPr>
        <w:footnoteReference w:id="5"/>
      </w:r>
      <w:r w:rsidRPr="00B41552">
        <w:t xml:space="preserve"> The Privacy Act generally applies to </w:t>
      </w:r>
      <w:r>
        <w:t>the narrower class of data that is</w:t>
      </w:r>
      <w:r w:rsidRPr="00B41552">
        <w:t xml:space="preserve"> </w:t>
      </w:r>
      <w:r w:rsidRPr="00B41552">
        <w:rPr>
          <w:i/>
        </w:rPr>
        <w:t>about</w:t>
      </w:r>
      <w:r w:rsidRPr="00B41552">
        <w:t xml:space="preserve"> an identified or reasonably identifiable </w:t>
      </w:r>
      <w:r>
        <w:t>natural person</w:t>
      </w:r>
      <w:r w:rsidRPr="00B41552">
        <w:t>.</w:t>
      </w:r>
      <w:r>
        <w:t xml:space="preserve"> </w:t>
      </w:r>
    </w:p>
    <w:p w14:paraId="6B79A286" w14:textId="77777777" w:rsidR="00121BE6" w:rsidRPr="00776165" w:rsidRDefault="00121BE6" w:rsidP="00121BE6">
      <w:pPr>
        <w:rPr>
          <w:b/>
        </w:rPr>
      </w:pPr>
      <w:r w:rsidRPr="00776165">
        <w:rPr>
          <w:b/>
        </w:rPr>
        <w:t>A broader range of people benefit from the CDR and its protections</w:t>
      </w:r>
    </w:p>
    <w:p w14:paraId="345CCC44" w14:textId="77777777" w:rsidR="00121BE6" w:rsidRDefault="00121BE6" w:rsidP="00121BE6">
      <w:r>
        <w:t>The Consumer Data Right is exercisable by both natural and legal persons, including small and medium sized enterprises.</w:t>
      </w:r>
    </w:p>
    <w:p w14:paraId="67152198" w14:textId="77777777" w:rsidR="00121BE6" w:rsidRPr="00B41552" w:rsidRDefault="00121BE6" w:rsidP="00121BE6">
      <w:pPr>
        <w:rPr>
          <w:b/>
        </w:rPr>
      </w:pPr>
      <w:r w:rsidRPr="00B41552">
        <w:rPr>
          <w:b/>
        </w:rPr>
        <w:t xml:space="preserve">A broader range of people can be </w:t>
      </w:r>
      <w:r>
        <w:rPr>
          <w:b/>
        </w:rPr>
        <w:t>obliged to provide</w:t>
      </w:r>
      <w:r w:rsidRPr="00B41552">
        <w:rPr>
          <w:b/>
        </w:rPr>
        <w:t xml:space="preserve"> protections</w:t>
      </w:r>
    </w:p>
    <w:p w14:paraId="30B6BCB4" w14:textId="77777777" w:rsidR="00121BE6" w:rsidRDefault="00121BE6" w:rsidP="00121BE6">
      <w:r>
        <w:t xml:space="preserve">The </w:t>
      </w:r>
      <w:r w:rsidRPr="00B41552">
        <w:t>Consumer Data Right framework</w:t>
      </w:r>
      <w:r>
        <w:t xml:space="preserve"> may apply to all data holders covered by a Ministerial designation. Additionally all persons who apply for and obtain accreditation as a data recipient will also be subject to the scheme. It may therefore apply to small and medium sized enterprises, which are not generally caught by the Privacy Act.</w:t>
      </w:r>
    </w:p>
    <w:p w14:paraId="6D722239" w14:textId="77777777" w:rsidR="00121BE6" w:rsidRDefault="00121BE6" w:rsidP="00121BE6">
      <w:r>
        <w:t>The application of the Privacy Act is also extended to persons who hold accreditation, in relation to non-consumer right data.</w:t>
      </w:r>
    </w:p>
    <w:p w14:paraId="4E97E6EF" w14:textId="213D31A2" w:rsidR="00121BE6" w:rsidRPr="00864B17" w:rsidRDefault="005D2A0D" w:rsidP="00121BE6">
      <w:pPr>
        <w:rPr>
          <w:b/>
        </w:rPr>
      </w:pPr>
      <w:r>
        <w:rPr>
          <w:b/>
        </w:rPr>
        <w:t>It applies</w:t>
      </w:r>
      <w:r w:rsidR="00121BE6" w:rsidRPr="00864B17">
        <w:rPr>
          <w:b/>
        </w:rPr>
        <w:t xml:space="preserve"> to Australian entities and Australian data</w:t>
      </w:r>
    </w:p>
    <w:p w14:paraId="34832CD3" w14:textId="77777777" w:rsidR="00121BE6" w:rsidRDefault="00121BE6" w:rsidP="00121BE6">
      <w:r>
        <w:t>Overall, the potential jurisdictional reach of the Consumer Data Right is also broader than that of the Privacy Act.</w:t>
      </w:r>
    </w:p>
    <w:p w14:paraId="1388F546" w14:textId="77777777" w:rsidR="006178BD" w:rsidRDefault="006178BD" w:rsidP="00121BE6">
      <w:pPr>
        <w:sectPr w:rsidR="006178BD" w:rsidSect="00F66DA9">
          <w:headerReference w:type="even" r:id="rId24"/>
          <w:headerReference w:type="default" r:id="rId25"/>
          <w:footerReference w:type="even" r:id="rId26"/>
          <w:footerReference w:type="default" r:id="rId27"/>
          <w:headerReference w:type="first" r:id="rId28"/>
          <w:footerReference w:type="first" r:id="rId29"/>
          <w:pgSz w:w="11906" w:h="16838" w:code="9"/>
          <w:pgMar w:top="1440" w:right="1080" w:bottom="1440" w:left="1080" w:header="709" w:footer="709" w:gutter="0"/>
          <w:cols w:space="708"/>
          <w:docGrid w:linePitch="360"/>
        </w:sectPr>
      </w:pPr>
    </w:p>
    <w:p w14:paraId="54F68102" w14:textId="744482D1" w:rsidR="00121BE6" w:rsidRDefault="006178BD" w:rsidP="006178BD">
      <w:pPr>
        <w:pStyle w:val="Heading2"/>
      </w:pPr>
      <w:r w:rsidRPr="006178BD">
        <w:t>Privacy Protections at Each Stage</w:t>
      </w:r>
    </w:p>
    <w:p w14:paraId="04A976F0" w14:textId="266E886F" w:rsidR="006178BD" w:rsidRPr="006178BD" w:rsidRDefault="006178BD" w:rsidP="006178BD">
      <w:r>
        <w:rPr>
          <w:noProof/>
        </w:rPr>
        <mc:AlternateContent>
          <mc:Choice Requires="wpc">
            <w:drawing>
              <wp:anchor distT="0" distB="0" distL="114300" distR="114300" simplePos="0" relativeHeight="251659264" behindDoc="1" locked="0" layoutInCell="1" allowOverlap="1" wp14:anchorId="7974DADE" wp14:editId="12FD80F8">
                <wp:simplePos x="0" y="0"/>
                <wp:positionH relativeFrom="column">
                  <wp:posOffset>285115</wp:posOffset>
                </wp:positionH>
                <wp:positionV relativeFrom="paragraph">
                  <wp:posOffset>124460</wp:posOffset>
                </wp:positionV>
                <wp:extent cx="8597265" cy="5747385"/>
                <wp:effectExtent l="0" t="0" r="0" b="0"/>
                <wp:wrapTight wrapText="bothSides">
                  <wp:wrapPolygon edited="0">
                    <wp:start x="6844" y="72"/>
                    <wp:lineTo x="6749" y="1146"/>
                    <wp:lineTo x="0" y="1790"/>
                    <wp:lineTo x="0" y="12887"/>
                    <wp:lineTo x="3398" y="13961"/>
                    <wp:lineTo x="3398" y="15106"/>
                    <wp:lineTo x="2106" y="16252"/>
                    <wp:lineTo x="1962" y="16681"/>
                    <wp:lineTo x="1914" y="19688"/>
                    <wp:lineTo x="2010" y="20834"/>
                    <wp:lineTo x="2250" y="21192"/>
                    <wp:lineTo x="19528" y="21192"/>
                    <wp:lineTo x="19767" y="20834"/>
                    <wp:lineTo x="19863" y="19688"/>
                    <wp:lineTo x="19910" y="17254"/>
                    <wp:lineTo x="19719" y="16180"/>
                    <wp:lineTo x="17230" y="15106"/>
                    <wp:lineTo x="17230" y="13961"/>
                    <wp:lineTo x="21538" y="12887"/>
                    <wp:lineTo x="21538" y="1790"/>
                    <wp:lineTo x="14981" y="1360"/>
                    <wp:lineTo x="14933" y="72"/>
                    <wp:lineTo x="6844" y="72"/>
                  </wp:wrapPolygon>
                </wp:wrapTight>
                <wp:docPr id="344" name="Canvas 34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24" name="Rounded Rectangle 324"/>
                        <wps:cNvSpPr/>
                        <wps:spPr>
                          <a:xfrm>
                            <a:off x="2715346" y="63798"/>
                            <a:ext cx="3208314" cy="395511"/>
                          </a:xfrm>
                          <a:prstGeom prst="roundRect">
                            <a:avLst/>
                          </a:prstGeom>
                          <a:solidFill>
                            <a:srgbClr val="FFFFFF"/>
                          </a:solidFill>
                          <a:ln w="19050">
                            <a:solidFill>
                              <a:schemeClr val="accent2"/>
                            </a:solidFill>
                          </a:ln>
                        </wps:spPr>
                        <wps:style>
                          <a:lnRef idx="2">
                            <a:schemeClr val="accent5"/>
                          </a:lnRef>
                          <a:fillRef idx="1">
                            <a:schemeClr val="lt1"/>
                          </a:fillRef>
                          <a:effectRef idx="0">
                            <a:schemeClr val="accent5"/>
                          </a:effectRef>
                          <a:fontRef idx="minor">
                            <a:schemeClr val="dk1"/>
                          </a:fontRef>
                        </wps:style>
                        <wps:txbx>
                          <w:txbxContent>
                            <w:p w14:paraId="20C056F5" w14:textId="77777777" w:rsidR="006178BD" w:rsidRPr="006427CA" w:rsidRDefault="006178BD" w:rsidP="006178BD">
                              <w:pPr>
                                <w:pStyle w:val="NormalWeb"/>
                                <w:spacing w:before="0" w:beforeAutospacing="0" w:after="0" w:afterAutospacing="0" w:line="240" w:lineRule="auto"/>
                                <w:jc w:val="center"/>
                                <w:rPr>
                                  <w:sz w:val="22"/>
                                </w:rPr>
                              </w:pPr>
                              <w:r w:rsidRPr="006427CA">
                                <w:rPr>
                                  <w:rFonts w:asciiTheme="minorHAnsi" w:hAnsi="Calibri" w:cstheme="minorBidi"/>
                                  <w:b/>
                                  <w:bCs/>
                                  <w:color w:val="000000" w:themeColor="dark1"/>
                                  <w:kern w:val="24"/>
                                  <w:sz w:val="18"/>
                                  <w:szCs w:val="20"/>
                                  <w:lang w:val="en-US"/>
                                </w:rPr>
                                <w:t xml:space="preserve">Data Holder </w:t>
                              </w:r>
                              <w:r w:rsidRPr="006427CA">
                                <w:rPr>
                                  <w:rFonts w:asciiTheme="minorHAnsi" w:hAnsi="Calibri" w:cstheme="minorBidi"/>
                                  <w:color w:val="000000" w:themeColor="dark1"/>
                                  <w:kern w:val="24"/>
                                  <w:sz w:val="18"/>
                                  <w:szCs w:val="20"/>
                                  <w:lang w:val="en-US"/>
                                </w:rPr>
                                <w:t>is subject to relevant Australian privacy laws and industry specific privacy and information security laws</w:t>
                              </w:r>
                            </w:p>
                          </w:txbxContent>
                        </wps:txbx>
                        <wps:bodyPr lIns="0" tIns="0" rIns="0" bIns="0" rtlCol="0" anchor="ctr"/>
                      </wps:wsp>
                      <wps:wsp>
                        <wps:cNvPr id="325" name="Rounded Rectangle 325"/>
                        <wps:cNvSpPr/>
                        <wps:spPr>
                          <a:xfrm>
                            <a:off x="801335" y="4284801"/>
                            <a:ext cx="1767690" cy="1318373"/>
                          </a:xfrm>
                          <a:prstGeom prst="roundRect">
                            <a:avLst/>
                          </a:prstGeom>
                          <a:solidFill>
                            <a:srgbClr val="FFFFFF"/>
                          </a:solidFill>
                          <a:ln w="19050">
                            <a:solidFill>
                              <a:schemeClr val="accent5"/>
                            </a:solidFill>
                          </a:ln>
                        </wps:spPr>
                        <wps:style>
                          <a:lnRef idx="2">
                            <a:schemeClr val="accent5"/>
                          </a:lnRef>
                          <a:fillRef idx="1">
                            <a:schemeClr val="lt1"/>
                          </a:fillRef>
                          <a:effectRef idx="0">
                            <a:schemeClr val="accent5"/>
                          </a:effectRef>
                          <a:fontRef idx="minor">
                            <a:schemeClr val="dk1"/>
                          </a:fontRef>
                        </wps:style>
                        <wps:txbx>
                          <w:txbxContent>
                            <w:p w14:paraId="3563E4EC" w14:textId="53259F90" w:rsidR="006178BD" w:rsidRPr="006427CA" w:rsidRDefault="006178BD" w:rsidP="006178BD">
                              <w:pPr>
                                <w:pStyle w:val="NormalWeb"/>
                                <w:spacing w:before="0" w:beforeAutospacing="0" w:after="20" w:afterAutospacing="0" w:line="240" w:lineRule="auto"/>
                                <w:jc w:val="center"/>
                                <w:rPr>
                                  <w:sz w:val="22"/>
                                </w:rPr>
                              </w:pPr>
                              <w:r w:rsidRPr="006427CA">
                                <w:rPr>
                                  <w:rFonts w:asciiTheme="minorHAnsi" w:hAnsi="Calibri" w:cstheme="minorBidi"/>
                                  <w:b/>
                                  <w:bCs/>
                                  <w:color w:val="000000" w:themeColor="dark1"/>
                                  <w:kern w:val="24"/>
                                  <w:sz w:val="18"/>
                                  <w:szCs w:val="20"/>
                                </w:rPr>
                                <w:t>Data transferred to non</w:t>
                              </w:r>
                              <w:r>
                                <w:rPr>
                                  <w:rFonts w:asciiTheme="minorHAnsi" w:hAnsi="Calibri" w:cstheme="minorBidi"/>
                                  <w:b/>
                                  <w:bCs/>
                                  <w:color w:val="000000" w:themeColor="dark1"/>
                                  <w:kern w:val="24"/>
                                  <w:sz w:val="18"/>
                                  <w:szCs w:val="20"/>
                                </w:rPr>
                                <w:noBreakHyphen/>
                              </w:r>
                              <w:r w:rsidRPr="006427CA">
                                <w:rPr>
                                  <w:rFonts w:asciiTheme="minorHAnsi" w:hAnsi="Calibri" w:cstheme="minorBidi"/>
                                  <w:b/>
                                  <w:bCs/>
                                  <w:color w:val="000000" w:themeColor="dark1"/>
                                  <w:kern w:val="24"/>
                                  <w:sz w:val="18"/>
                                  <w:szCs w:val="20"/>
                                </w:rPr>
                                <w:t xml:space="preserve">accredited data recipient </w:t>
                              </w:r>
                            </w:p>
                            <w:p w14:paraId="5451FA7D" w14:textId="77777777" w:rsidR="006178BD" w:rsidRPr="006427CA" w:rsidRDefault="006178BD" w:rsidP="006178BD">
                              <w:pPr>
                                <w:pStyle w:val="ListParagraph"/>
                                <w:numPr>
                                  <w:ilvl w:val="0"/>
                                  <w:numId w:val="20"/>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 xml:space="preserve">Data recipient </w:t>
                              </w:r>
                              <w:r w:rsidRPr="006427CA">
                                <w:rPr>
                                  <w:rFonts w:hAnsi="Calibri"/>
                                  <w:color w:val="000000" w:themeColor="dark1"/>
                                  <w:kern w:val="24"/>
                                  <w:sz w:val="18"/>
                                  <w:lang w:val="en-US"/>
                                </w:rPr>
                                <w:t>is subject to relevant Australian privacy laws and any industry specific privacy and information security laws</w:t>
                              </w:r>
                            </w:p>
                          </w:txbxContent>
                        </wps:txbx>
                        <wps:bodyPr lIns="0" tIns="0" rIns="0" bIns="0" rtlCol="0" anchor="t" anchorCtr="0"/>
                      </wps:wsp>
                      <wps:wsp>
                        <wps:cNvPr id="326" name="Rounded Rectangle 326"/>
                        <wps:cNvSpPr/>
                        <wps:spPr>
                          <a:xfrm>
                            <a:off x="5750018" y="4284802"/>
                            <a:ext cx="2118141" cy="1318372"/>
                          </a:xfrm>
                          <a:prstGeom prst="roundRect">
                            <a:avLst/>
                          </a:prstGeom>
                          <a:solidFill>
                            <a:srgbClr val="FFFFFF"/>
                          </a:solidFill>
                          <a:ln w="19050">
                            <a:solidFill>
                              <a:schemeClr val="accent5"/>
                            </a:solidFill>
                          </a:ln>
                        </wps:spPr>
                        <wps:style>
                          <a:lnRef idx="2">
                            <a:schemeClr val="accent5"/>
                          </a:lnRef>
                          <a:fillRef idx="1">
                            <a:schemeClr val="lt1"/>
                          </a:fillRef>
                          <a:effectRef idx="0">
                            <a:schemeClr val="accent5"/>
                          </a:effectRef>
                          <a:fontRef idx="minor">
                            <a:schemeClr val="dk1"/>
                          </a:fontRef>
                        </wps:style>
                        <wps:txbx>
                          <w:txbxContent>
                            <w:p w14:paraId="67C1DB38" w14:textId="77777777" w:rsidR="006178BD" w:rsidRPr="006427CA" w:rsidRDefault="006178BD" w:rsidP="006178BD">
                              <w:pPr>
                                <w:pStyle w:val="NormalWeb"/>
                                <w:spacing w:before="0" w:beforeAutospacing="0" w:after="20" w:afterAutospacing="0" w:line="240" w:lineRule="auto"/>
                                <w:jc w:val="center"/>
                                <w:rPr>
                                  <w:sz w:val="22"/>
                                </w:rPr>
                              </w:pPr>
                              <w:r w:rsidRPr="006427CA">
                                <w:rPr>
                                  <w:rFonts w:asciiTheme="minorHAnsi" w:hAnsi="Calibri" w:cstheme="minorBidi"/>
                                  <w:b/>
                                  <w:bCs/>
                                  <w:color w:val="000000" w:themeColor="dark1"/>
                                  <w:kern w:val="24"/>
                                  <w:sz w:val="18"/>
                                  <w:szCs w:val="20"/>
                                </w:rPr>
                                <w:t>Accredited Person becomes the new Data Holder as a result of the consumer switching to that provider</w:t>
                              </w:r>
                            </w:p>
                            <w:p w14:paraId="1303DF3E" w14:textId="77777777" w:rsidR="006178BD" w:rsidRPr="006427CA" w:rsidRDefault="006178BD" w:rsidP="006178BD">
                              <w:pPr>
                                <w:pStyle w:val="ListParagraph"/>
                                <w:numPr>
                                  <w:ilvl w:val="0"/>
                                  <w:numId w:val="21"/>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 xml:space="preserve">Data Holder </w:t>
                              </w:r>
                              <w:r w:rsidRPr="006427CA">
                                <w:rPr>
                                  <w:rFonts w:hAnsi="Calibri"/>
                                  <w:color w:val="000000" w:themeColor="dark1"/>
                                  <w:kern w:val="24"/>
                                  <w:sz w:val="18"/>
                                  <w:lang w:val="en-US"/>
                                </w:rPr>
                                <w:t xml:space="preserve">is subject to relevant Australian privacy laws and industry specific privacy and information security laws </w:t>
                              </w:r>
                            </w:p>
                          </w:txbxContent>
                        </wps:txbx>
                        <wps:bodyPr lIns="0" tIns="0" rIns="0" bIns="0" rtlCol="0" anchor="t" anchorCtr="0"/>
                      </wps:wsp>
                      <wps:wsp>
                        <wps:cNvPr id="327" name="Rounded Rectangle 327"/>
                        <wps:cNvSpPr/>
                        <wps:spPr>
                          <a:xfrm>
                            <a:off x="3064998" y="4280161"/>
                            <a:ext cx="2356178" cy="1323014"/>
                          </a:xfrm>
                          <a:prstGeom prst="roundRect">
                            <a:avLst/>
                          </a:prstGeom>
                          <a:solidFill>
                            <a:srgbClr val="FFFFFF"/>
                          </a:solidFill>
                          <a:ln w="19050">
                            <a:solidFill>
                              <a:schemeClr val="accent5"/>
                            </a:solidFill>
                          </a:ln>
                        </wps:spPr>
                        <wps:style>
                          <a:lnRef idx="2">
                            <a:schemeClr val="accent5"/>
                          </a:lnRef>
                          <a:fillRef idx="1">
                            <a:schemeClr val="lt1"/>
                          </a:fillRef>
                          <a:effectRef idx="0">
                            <a:schemeClr val="accent5"/>
                          </a:effectRef>
                          <a:fontRef idx="minor">
                            <a:schemeClr val="dk1"/>
                          </a:fontRef>
                        </wps:style>
                        <wps:txbx>
                          <w:txbxContent>
                            <w:p w14:paraId="63A7096D" w14:textId="77777777" w:rsidR="006178BD" w:rsidRPr="006427CA" w:rsidRDefault="006178BD" w:rsidP="006178BD">
                              <w:pPr>
                                <w:pStyle w:val="NormalWeb"/>
                                <w:spacing w:before="0" w:beforeAutospacing="0" w:after="20" w:afterAutospacing="0" w:line="240" w:lineRule="auto"/>
                                <w:jc w:val="center"/>
                                <w:rPr>
                                  <w:sz w:val="22"/>
                                </w:rPr>
                              </w:pPr>
                              <w:r w:rsidRPr="006427CA">
                                <w:rPr>
                                  <w:rFonts w:asciiTheme="minorHAnsi" w:hAnsi="Calibri" w:cstheme="minorBidi"/>
                                  <w:b/>
                                  <w:bCs/>
                                  <w:color w:val="000000" w:themeColor="dark1"/>
                                  <w:kern w:val="24"/>
                                  <w:sz w:val="18"/>
                                  <w:szCs w:val="20"/>
                                </w:rPr>
                                <w:t xml:space="preserve">Data transferred to </w:t>
                              </w:r>
                              <w:r w:rsidRPr="006427CA">
                                <w:rPr>
                                  <w:rFonts w:asciiTheme="minorHAnsi" w:hAnsi="Calibri" w:cstheme="minorBidi"/>
                                  <w:b/>
                                  <w:bCs/>
                                  <w:i/>
                                  <w:iCs/>
                                  <w:color w:val="000000" w:themeColor="dark1"/>
                                  <w:kern w:val="24"/>
                                  <w:sz w:val="18"/>
                                  <w:szCs w:val="20"/>
                                </w:rPr>
                                <w:t xml:space="preserve">overseas </w:t>
                              </w:r>
                              <w:r w:rsidRPr="006427CA">
                                <w:rPr>
                                  <w:rFonts w:asciiTheme="minorHAnsi" w:hAnsi="Calibri" w:cstheme="minorBidi"/>
                                  <w:b/>
                                  <w:bCs/>
                                  <w:color w:val="000000" w:themeColor="dark1"/>
                                  <w:kern w:val="24"/>
                                  <w:sz w:val="18"/>
                                  <w:szCs w:val="20"/>
                                </w:rPr>
                                <w:t xml:space="preserve">non-accredited data recipient </w:t>
                              </w:r>
                            </w:p>
                            <w:p w14:paraId="1A217663" w14:textId="77777777" w:rsidR="006178BD" w:rsidRPr="006427CA" w:rsidRDefault="006178BD" w:rsidP="006178BD">
                              <w:pPr>
                                <w:pStyle w:val="ListParagraph"/>
                                <w:numPr>
                                  <w:ilvl w:val="0"/>
                                  <w:numId w:val="22"/>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 xml:space="preserve">Data recipient </w:t>
                              </w:r>
                              <w:r w:rsidRPr="006427CA">
                                <w:rPr>
                                  <w:rFonts w:hAnsi="Calibri"/>
                                  <w:color w:val="000000" w:themeColor="dark1"/>
                                  <w:kern w:val="24"/>
                                  <w:sz w:val="18"/>
                                  <w:lang w:val="en-US"/>
                                </w:rPr>
                                <w:t>is subject to relevant foreign privacy laws</w:t>
                              </w:r>
                            </w:p>
                            <w:p w14:paraId="10C77B00" w14:textId="77777777" w:rsidR="006178BD" w:rsidRPr="006427CA" w:rsidRDefault="006178BD" w:rsidP="006178BD">
                              <w:pPr>
                                <w:pStyle w:val="ListParagraph"/>
                                <w:numPr>
                                  <w:ilvl w:val="0"/>
                                  <w:numId w:val="22"/>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lang w:val="en-US"/>
                                </w:rPr>
                                <w:t>Where foreign privacy laws do not provide substantially similar protections to the Privacy Safeguards, the Accredited Person may remain liable for future breaches</w:t>
                              </w:r>
                            </w:p>
                          </w:txbxContent>
                        </wps:txbx>
                        <wps:bodyPr lIns="0" tIns="0" rIns="0" bIns="0" rtlCol="0" anchor="t" anchorCtr="0"/>
                      </wps:wsp>
                      <wps:wsp>
                        <wps:cNvPr id="328" name="Rectangle 328"/>
                        <wps:cNvSpPr/>
                        <wps:spPr>
                          <a:xfrm>
                            <a:off x="0" y="501549"/>
                            <a:ext cx="8569411" cy="2900418"/>
                          </a:xfrm>
                          <a:prstGeom prst="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9" name="Rounded Rectangle 329"/>
                        <wps:cNvSpPr/>
                        <wps:spPr>
                          <a:xfrm>
                            <a:off x="971380" y="565606"/>
                            <a:ext cx="3889195" cy="840500"/>
                          </a:xfrm>
                          <a:prstGeom prst="roundRect">
                            <a:avLst/>
                          </a:prstGeom>
                          <a:solidFill>
                            <a:srgbClr val="FFFFFF"/>
                          </a:solidFill>
                          <a:ln w="19050">
                            <a:solidFill>
                              <a:schemeClr val="accent6"/>
                            </a:solidFill>
                          </a:ln>
                        </wps:spPr>
                        <wps:style>
                          <a:lnRef idx="2">
                            <a:schemeClr val="accent5"/>
                          </a:lnRef>
                          <a:fillRef idx="1">
                            <a:schemeClr val="lt1"/>
                          </a:fillRef>
                          <a:effectRef idx="0">
                            <a:schemeClr val="accent5"/>
                          </a:effectRef>
                          <a:fontRef idx="minor">
                            <a:schemeClr val="dk1"/>
                          </a:fontRef>
                        </wps:style>
                        <wps:txbx>
                          <w:txbxContent>
                            <w:p w14:paraId="09DC2710" w14:textId="77777777" w:rsidR="006178BD" w:rsidRPr="006427CA" w:rsidRDefault="006178BD" w:rsidP="006178BD">
                              <w:pPr>
                                <w:pStyle w:val="NormalWeb"/>
                                <w:spacing w:before="0" w:beforeAutospacing="0" w:after="20" w:afterAutospacing="0" w:line="240" w:lineRule="auto"/>
                                <w:jc w:val="center"/>
                                <w:rPr>
                                  <w:sz w:val="22"/>
                                </w:rPr>
                              </w:pPr>
                              <w:r w:rsidRPr="006427CA">
                                <w:rPr>
                                  <w:rFonts w:asciiTheme="minorHAnsi" w:hAnsi="Calibri" w:cstheme="minorBidi"/>
                                  <w:b/>
                                  <w:bCs/>
                                  <w:color w:val="000000" w:themeColor="dark1"/>
                                  <w:kern w:val="24"/>
                                  <w:sz w:val="18"/>
                                  <w:szCs w:val="20"/>
                                </w:rPr>
                                <w:t>Data Holder: Consumer requests access</w:t>
                              </w:r>
                            </w:p>
                            <w:p w14:paraId="5DD34DBA" w14:textId="77777777" w:rsidR="006178BD" w:rsidRPr="006427CA" w:rsidRDefault="006178BD" w:rsidP="006178BD">
                              <w:pPr>
                                <w:pStyle w:val="NormalWeb"/>
                                <w:spacing w:before="0" w:beforeAutospacing="0" w:after="20" w:afterAutospacing="0" w:line="240" w:lineRule="auto"/>
                                <w:rPr>
                                  <w:sz w:val="22"/>
                                </w:rPr>
                              </w:pPr>
                              <w:r w:rsidRPr="006427CA">
                                <w:rPr>
                                  <w:rFonts w:asciiTheme="minorHAnsi" w:hAnsi="Calibri" w:cstheme="minorBidi"/>
                                  <w:color w:val="000000" w:themeColor="dark1"/>
                                  <w:kern w:val="24"/>
                                  <w:sz w:val="18"/>
                                  <w:szCs w:val="20"/>
                                </w:rPr>
                                <w:t xml:space="preserve">Data Holder is now </w:t>
                              </w:r>
                              <w:r w:rsidRPr="006427CA">
                                <w:rPr>
                                  <w:rFonts w:asciiTheme="minorHAnsi" w:hAnsi="Calibri" w:cstheme="minorBidi"/>
                                  <w:b/>
                                  <w:bCs/>
                                  <w:color w:val="000000" w:themeColor="dark1"/>
                                  <w:kern w:val="24"/>
                                  <w:sz w:val="18"/>
                                  <w:szCs w:val="20"/>
                                </w:rPr>
                                <w:t>also</w:t>
                              </w:r>
                              <w:r w:rsidRPr="006427CA">
                                <w:rPr>
                                  <w:rFonts w:asciiTheme="minorHAnsi" w:hAnsi="Calibri" w:cstheme="minorBidi"/>
                                  <w:color w:val="000000" w:themeColor="dark1"/>
                                  <w:kern w:val="24"/>
                                  <w:sz w:val="18"/>
                                  <w:szCs w:val="20"/>
                                </w:rPr>
                                <w:t xml:space="preserve"> subject to:</w:t>
                              </w:r>
                            </w:p>
                            <w:p w14:paraId="0E59CC43" w14:textId="77777777" w:rsidR="006178BD" w:rsidRPr="006427CA" w:rsidRDefault="006178BD" w:rsidP="006178BD">
                              <w:pPr>
                                <w:pStyle w:val="ListParagraph"/>
                                <w:numPr>
                                  <w:ilvl w:val="0"/>
                                  <w:numId w:val="23"/>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Privacy Safeguards relating to disclosure (notifications, quality and correction); and</w:t>
                              </w:r>
                            </w:p>
                            <w:p w14:paraId="25FDEB33" w14:textId="77777777" w:rsidR="006178BD" w:rsidRPr="006427CA" w:rsidRDefault="006178BD" w:rsidP="006178BD">
                              <w:pPr>
                                <w:pStyle w:val="ListParagraph"/>
                                <w:numPr>
                                  <w:ilvl w:val="0"/>
                                  <w:numId w:val="23"/>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Any additional privacy related Rules</w:t>
                              </w:r>
                            </w:p>
                          </w:txbxContent>
                        </wps:txbx>
                        <wps:bodyPr lIns="0" tIns="0" rIns="0" bIns="0" rtlCol="0" anchor="ctr"/>
                      </wps:wsp>
                      <wps:wsp>
                        <wps:cNvPr id="330" name="Rounded Rectangle 330"/>
                        <wps:cNvSpPr/>
                        <wps:spPr>
                          <a:xfrm>
                            <a:off x="3085607" y="1768914"/>
                            <a:ext cx="2335740" cy="1569508"/>
                          </a:xfrm>
                          <a:prstGeom prst="roundRect">
                            <a:avLst/>
                          </a:prstGeom>
                          <a:solidFill>
                            <a:srgbClr val="FFFFFF"/>
                          </a:solidFill>
                          <a:ln w="19050">
                            <a:solidFill>
                              <a:schemeClr val="accent6"/>
                            </a:solidFill>
                          </a:ln>
                        </wps:spPr>
                        <wps:style>
                          <a:lnRef idx="2">
                            <a:schemeClr val="accent5"/>
                          </a:lnRef>
                          <a:fillRef idx="1">
                            <a:schemeClr val="lt1"/>
                          </a:fillRef>
                          <a:effectRef idx="0">
                            <a:schemeClr val="accent5"/>
                          </a:effectRef>
                          <a:fontRef idx="minor">
                            <a:schemeClr val="dk1"/>
                          </a:fontRef>
                        </wps:style>
                        <wps:txbx>
                          <w:txbxContent>
                            <w:p w14:paraId="1BB2D59C" w14:textId="77777777" w:rsidR="006178BD" w:rsidRPr="006427CA" w:rsidRDefault="006178BD" w:rsidP="006178BD">
                              <w:pPr>
                                <w:pStyle w:val="NormalWeb"/>
                                <w:spacing w:before="0" w:beforeAutospacing="0" w:after="20" w:afterAutospacing="0" w:line="240" w:lineRule="auto"/>
                                <w:jc w:val="center"/>
                                <w:rPr>
                                  <w:rFonts w:asciiTheme="minorHAnsi" w:hAnsi="Calibri" w:cstheme="minorBidi"/>
                                  <w:b/>
                                  <w:bCs/>
                                  <w:color w:val="000000" w:themeColor="dark1"/>
                                  <w:kern w:val="24"/>
                                  <w:sz w:val="18"/>
                                  <w:szCs w:val="20"/>
                                </w:rPr>
                              </w:pPr>
                              <w:r w:rsidRPr="006427CA">
                                <w:rPr>
                                  <w:rFonts w:asciiTheme="minorHAnsi" w:hAnsi="Calibri" w:cstheme="minorBidi"/>
                                  <w:b/>
                                  <w:bCs/>
                                  <w:color w:val="000000" w:themeColor="dark1"/>
                                  <w:kern w:val="24"/>
                                  <w:sz w:val="18"/>
                                  <w:szCs w:val="20"/>
                                </w:rPr>
                                <w:t>Accredited Person:</w:t>
                              </w:r>
                              <w:r>
                                <w:rPr>
                                  <w:rFonts w:asciiTheme="minorHAnsi" w:hAnsi="Calibri" w:cstheme="minorBidi"/>
                                  <w:b/>
                                  <w:bCs/>
                                  <w:color w:val="000000" w:themeColor="dark1"/>
                                  <w:kern w:val="24"/>
                                  <w:sz w:val="18"/>
                                  <w:szCs w:val="20"/>
                                </w:rPr>
                                <w:t xml:space="preserve"> </w:t>
                              </w:r>
                              <w:r w:rsidRPr="006427CA">
                                <w:rPr>
                                  <w:rFonts w:asciiTheme="minorHAnsi" w:hAnsi="Calibri" w:cstheme="minorBidi"/>
                                  <w:b/>
                                  <w:bCs/>
                                  <w:color w:val="000000" w:themeColor="dark1"/>
                                  <w:kern w:val="24"/>
                                  <w:sz w:val="18"/>
                                  <w:szCs w:val="20"/>
                                </w:rPr>
                                <w:t>Data received</w:t>
                              </w:r>
                            </w:p>
                            <w:p w14:paraId="36B973BA" w14:textId="77777777" w:rsidR="006178BD" w:rsidRPr="006427CA" w:rsidRDefault="006178BD" w:rsidP="006178BD">
                              <w:pPr>
                                <w:pStyle w:val="NormalWeb"/>
                                <w:spacing w:before="0" w:beforeAutospacing="0" w:after="20" w:afterAutospacing="0" w:line="240" w:lineRule="auto"/>
                                <w:rPr>
                                  <w:rFonts w:asciiTheme="minorHAnsi" w:hAnsi="Calibri" w:cstheme="minorBidi"/>
                                  <w:bCs/>
                                  <w:i/>
                                  <w:color w:val="000000" w:themeColor="dark1"/>
                                  <w:kern w:val="24"/>
                                  <w:sz w:val="18"/>
                                  <w:szCs w:val="20"/>
                                </w:rPr>
                              </w:pPr>
                              <w:r w:rsidRPr="006427CA">
                                <w:rPr>
                                  <w:rFonts w:asciiTheme="minorHAnsi" w:hAnsi="Calibri" w:cstheme="minorBidi"/>
                                  <w:bCs/>
                                  <w:i/>
                                  <w:color w:val="000000" w:themeColor="dark1"/>
                                  <w:kern w:val="24"/>
                                  <w:sz w:val="18"/>
                                  <w:szCs w:val="20"/>
                                </w:rPr>
                                <w:t xml:space="preserve">For data received through CDR </w:t>
                              </w:r>
                            </w:p>
                            <w:p w14:paraId="039966F0" w14:textId="77777777" w:rsidR="006178BD" w:rsidRPr="006427CA" w:rsidRDefault="006178BD" w:rsidP="006178BD">
                              <w:pPr>
                                <w:pStyle w:val="ListParagraph"/>
                                <w:numPr>
                                  <w:ilvl w:val="0"/>
                                  <w:numId w:val="23"/>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Accredited Person is subject to Privacy Safeguards instead of the Australian Privacy Principles and</w:t>
                              </w:r>
                            </w:p>
                            <w:p w14:paraId="2F0EB9CA" w14:textId="77777777" w:rsidR="006178BD" w:rsidRPr="006427CA" w:rsidRDefault="006178BD" w:rsidP="006178BD">
                              <w:pPr>
                                <w:pStyle w:val="ListParagraph"/>
                                <w:numPr>
                                  <w:ilvl w:val="0"/>
                                  <w:numId w:val="23"/>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Any additional privacy related Rules</w:t>
                              </w:r>
                            </w:p>
                            <w:p w14:paraId="62FA417D" w14:textId="77777777" w:rsidR="006178BD" w:rsidRPr="006427CA" w:rsidRDefault="006178BD" w:rsidP="006178BD">
                              <w:pPr>
                                <w:pStyle w:val="NormalWeb"/>
                                <w:spacing w:before="0" w:beforeAutospacing="0" w:after="20" w:afterAutospacing="0" w:line="240" w:lineRule="auto"/>
                                <w:rPr>
                                  <w:rFonts w:asciiTheme="minorHAnsi" w:hAnsi="Calibri" w:cstheme="minorBidi"/>
                                  <w:bCs/>
                                  <w:i/>
                                  <w:color w:val="000000" w:themeColor="dark1"/>
                                  <w:kern w:val="24"/>
                                  <w:sz w:val="18"/>
                                  <w:szCs w:val="20"/>
                                </w:rPr>
                              </w:pPr>
                              <w:r w:rsidRPr="006427CA">
                                <w:rPr>
                                  <w:rFonts w:asciiTheme="minorHAnsi" w:hAnsi="Calibri" w:cstheme="minorBidi"/>
                                  <w:bCs/>
                                  <w:i/>
                                  <w:color w:val="000000" w:themeColor="dark1"/>
                                  <w:kern w:val="24"/>
                                  <w:sz w:val="18"/>
                                  <w:szCs w:val="20"/>
                                </w:rPr>
                                <w:t>For other personal data</w:t>
                              </w:r>
                            </w:p>
                            <w:p w14:paraId="35AF40B6" w14:textId="77777777" w:rsidR="006178BD" w:rsidRPr="006427CA" w:rsidRDefault="006178BD" w:rsidP="006178BD">
                              <w:pPr>
                                <w:pStyle w:val="ListParagraph"/>
                                <w:numPr>
                                  <w:ilvl w:val="0"/>
                                  <w:numId w:val="23"/>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The Privacy Act exception for SMEs does not apply</w:t>
                              </w:r>
                              <w:r>
                                <w:rPr>
                                  <w:rFonts w:hAnsi="Calibri"/>
                                  <w:color w:val="000000" w:themeColor="dark1"/>
                                  <w:kern w:val="24"/>
                                  <w:sz w:val="18"/>
                                </w:rPr>
                                <w:t xml:space="preserve"> </w:t>
                              </w:r>
                            </w:p>
                            <w:p w14:paraId="1F5259F7" w14:textId="77777777" w:rsidR="006178BD" w:rsidRPr="006427CA" w:rsidRDefault="006178BD" w:rsidP="006178BD">
                              <w:pPr>
                                <w:pStyle w:val="NormalWeb"/>
                                <w:spacing w:before="0" w:beforeAutospacing="0" w:after="0" w:afterAutospacing="0" w:line="240" w:lineRule="auto"/>
                                <w:rPr>
                                  <w:sz w:val="22"/>
                                </w:rPr>
                              </w:pPr>
                              <w:r>
                                <w:rPr>
                                  <w:rFonts w:asciiTheme="minorHAnsi" w:hAnsi="Calibri" w:cstheme="minorBidi"/>
                                  <w:color w:val="000000" w:themeColor="dark1"/>
                                  <w:kern w:val="24"/>
                                  <w:sz w:val="18"/>
                                  <w:szCs w:val="20"/>
                                </w:rPr>
                                <w:t xml:space="preserve"> </w:t>
                              </w:r>
                            </w:p>
                          </w:txbxContent>
                        </wps:txbx>
                        <wps:bodyPr lIns="0" tIns="0" rIns="0" bIns="0" rtlCol="0" anchor="ctr"/>
                      </wps:wsp>
                      <wps:wsp>
                        <wps:cNvPr id="331" name="Rounded Rectangle 331"/>
                        <wps:cNvSpPr/>
                        <wps:spPr>
                          <a:xfrm>
                            <a:off x="474774" y="1768913"/>
                            <a:ext cx="2321857" cy="1569510"/>
                          </a:xfrm>
                          <a:prstGeom prst="roundRect">
                            <a:avLst/>
                          </a:prstGeom>
                          <a:solidFill>
                            <a:srgbClr val="FFFFFF"/>
                          </a:solidFill>
                          <a:ln w="19050">
                            <a:solidFill>
                              <a:schemeClr val="accent6"/>
                            </a:solidFill>
                          </a:ln>
                        </wps:spPr>
                        <wps:style>
                          <a:lnRef idx="2">
                            <a:schemeClr val="accent5"/>
                          </a:lnRef>
                          <a:fillRef idx="1">
                            <a:schemeClr val="lt1"/>
                          </a:fillRef>
                          <a:effectRef idx="0">
                            <a:schemeClr val="accent5"/>
                          </a:effectRef>
                          <a:fontRef idx="minor">
                            <a:schemeClr val="dk1"/>
                          </a:fontRef>
                        </wps:style>
                        <wps:txbx>
                          <w:txbxContent>
                            <w:p w14:paraId="2923ADFC" w14:textId="77777777" w:rsidR="006178BD" w:rsidRPr="006427CA" w:rsidRDefault="006178BD" w:rsidP="006178BD">
                              <w:pPr>
                                <w:pStyle w:val="NormalWeb"/>
                                <w:spacing w:before="0" w:beforeAutospacing="0" w:after="20" w:afterAutospacing="0" w:line="240" w:lineRule="auto"/>
                                <w:jc w:val="center"/>
                                <w:rPr>
                                  <w:sz w:val="22"/>
                                </w:rPr>
                              </w:pPr>
                              <w:r w:rsidRPr="006427CA">
                                <w:rPr>
                                  <w:rFonts w:asciiTheme="minorHAnsi" w:hAnsi="Calibri" w:cstheme="minorBidi"/>
                                  <w:b/>
                                  <w:bCs/>
                                  <w:color w:val="000000" w:themeColor="dark1"/>
                                  <w:kern w:val="24"/>
                                  <w:sz w:val="18"/>
                                  <w:szCs w:val="20"/>
                                </w:rPr>
                                <w:t>Designated Gateways:</w:t>
                              </w:r>
                              <w:r>
                                <w:rPr>
                                  <w:rFonts w:asciiTheme="minorHAnsi" w:hAnsi="Calibri" w:cstheme="minorBidi"/>
                                  <w:b/>
                                  <w:bCs/>
                                  <w:color w:val="000000" w:themeColor="dark1"/>
                                  <w:kern w:val="24"/>
                                  <w:sz w:val="18"/>
                                  <w:szCs w:val="20"/>
                                </w:rPr>
                                <w:t xml:space="preserve"> </w:t>
                              </w:r>
                              <w:r w:rsidRPr="006427CA">
                                <w:rPr>
                                  <w:rFonts w:asciiTheme="minorHAnsi" w:hAnsi="Calibri" w:cstheme="minorBidi"/>
                                  <w:b/>
                                  <w:bCs/>
                                  <w:color w:val="000000" w:themeColor="dark1"/>
                                  <w:kern w:val="24"/>
                                  <w:sz w:val="18"/>
                                  <w:szCs w:val="20"/>
                                </w:rPr>
                                <w:t xml:space="preserve">Data received </w:t>
                              </w:r>
                            </w:p>
                            <w:p w14:paraId="58D6732A" w14:textId="77777777" w:rsidR="006178BD" w:rsidRPr="006427CA" w:rsidRDefault="006178BD" w:rsidP="006178BD">
                              <w:pPr>
                                <w:pStyle w:val="NormalWeb"/>
                                <w:spacing w:before="0" w:beforeAutospacing="0" w:after="20" w:afterAutospacing="0" w:line="240" w:lineRule="auto"/>
                                <w:rPr>
                                  <w:sz w:val="22"/>
                                </w:rPr>
                              </w:pPr>
                              <w:r w:rsidRPr="006427CA">
                                <w:rPr>
                                  <w:rFonts w:asciiTheme="minorHAnsi" w:hAnsi="Calibri" w:cstheme="minorBidi"/>
                                  <w:color w:val="000000" w:themeColor="dark1"/>
                                  <w:kern w:val="24"/>
                                  <w:sz w:val="18"/>
                                  <w:szCs w:val="20"/>
                                </w:rPr>
                                <w:t>If data is transferred through a Designated Gateway, the Gateway is subject to:</w:t>
                              </w:r>
                            </w:p>
                            <w:p w14:paraId="360CEB33" w14:textId="77777777" w:rsidR="006178BD" w:rsidRPr="006427CA" w:rsidRDefault="006178BD" w:rsidP="006178BD">
                              <w:pPr>
                                <w:pStyle w:val="ListParagraph"/>
                                <w:numPr>
                                  <w:ilvl w:val="0"/>
                                  <w:numId w:val="23"/>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Privacy Safeguards that limit any uses and disclosures and require data to be stored securely</w:t>
                              </w:r>
                            </w:p>
                            <w:p w14:paraId="28A7CE4F" w14:textId="77777777" w:rsidR="006178BD" w:rsidRPr="006427CA" w:rsidRDefault="006178BD" w:rsidP="006178BD">
                              <w:pPr>
                                <w:pStyle w:val="ListParagraph"/>
                                <w:numPr>
                                  <w:ilvl w:val="0"/>
                                  <w:numId w:val="23"/>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The Rules cannot authorise uses except where necessary to facilitate transfer.</w:t>
                              </w:r>
                            </w:p>
                            <w:p w14:paraId="48A26AD1" w14:textId="77777777" w:rsidR="006178BD" w:rsidRPr="006427CA" w:rsidRDefault="006178BD" w:rsidP="006178BD">
                              <w:pPr>
                                <w:pStyle w:val="ListParagraph"/>
                                <w:numPr>
                                  <w:ilvl w:val="0"/>
                                  <w:numId w:val="23"/>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Otherwise APPs apply</w:t>
                              </w:r>
                            </w:p>
                          </w:txbxContent>
                        </wps:txbx>
                        <wps:bodyPr lIns="0" tIns="0" rIns="0" bIns="0" rtlCol="0" anchor="t" anchorCtr="0"/>
                      </wps:wsp>
                      <wps:wsp>
                        <wps:cNvPr id="332" name="Rounded Rectangle 332"/>
                        <wps:cNvSpPr/>
                        <wps:spPr>
                          <a:xfrm>
                            <a:off x="5734233" y="1768914"/>
                            <a:ext cx="2149710" cy="1569508"/>
                          </a:xfrm>
                          <a:prstGeom prst="roundRect">
                            <a:avLst/>
                          </a:prstGeom>
                          <a:solidFill>
                            <a:srgbClr val="FFFFFF"/>
                          </a:solidFill>
                          <a:ln w="19050">
                            <a:solidFill>
                              <a:schemeClr val="accent6"/>
                            </a:solidFill>
                          </a:ln>
                        </wps:spPr>
                        <wps:style>
                          <a:lnRef idx="2">
                            <a:schemeClr val="accent5"/>
                          </a:lnRef>
                          <a:fillRef idx="1">
                            <a:schemeClr val="lt1"/>
                          </a:fillRef>
                          <a:effectRef idx="0">
                            <a:schemeClr val="accent5"/>
                          </a:effectRef>
                          <a:fontRef idx="minor">
                            <a:schemeClr val="dk1"/>
                          </a:fontRef>
                        </wps:style>
                        <wps:txbx>
                          <w:txbxContent>
                            <w:p w14:paraId="0BF505AF" w14:textId="77777777" w:rsidR="006178BD" w:rsidRPr="006427CA" w:rsidRDefault="006178BD" w:rsidP="006178BD">
                              <w:pPr>
                                <w:pStyle w:val="NormalWeb"/>
                                <w:spacing w:before="0" w:beforeAutospacing="0" w:after="20" w:afterAutospacing="0" w:line="240" w:lineRule="auto"/>
                                <w:jc w:val="center"/>
                                <w:rPr>
                                  <w:rFonts w:asciiTheme="minorHAnsi" w:hAnsi="Calibri" w:cstheme="minorBidi"/>
                                  <w:b/>
                                  <w:bCs/>
                                  <w:color w:val="000000" w:themeColor="dark1"/>
                                  <w:kern w:val="24"/>
                                  <w:sz w:val="18"/>
                                  <w:szCs w:val="20"/>
                                </w:rPr>
                              </w:pPr>
                              <w:r w:rsidRPr="006427CA">
                                <w:rPr>
                                  <w:rFonts w:asciiTheme="minorHAnsi" w:hAnsi="Calibri" w:cstheme="minorBidi"/>
                                  <w:b/>
                                  <w:bCs/>
                                  <w:color w:val="000000" w:themeColor="dark1"/>
                                  <w:kern w:val="24"/>
                                  <w:sz w:val="18"/>
                                  <w:szCs w:val="20"/>
                                </w:rPr>
                                <w:t>Transferred to another Accredited Person (including where overseas)</w:t>
                              </w:r>
                            </w:p>
                            <w:p w14:paraId="51E7C145" w14:textId="77777777" w:rsidR="006178BD" w:rsidRPr="006427CA" w:rsidRDefault="006178BD" w:rsidP="006178BD">
                              <w:pPr>
                                <w:pStyle w:val="ListParagraph"/>
                                <w:numPr>
                                  <w:ilvl w:val="0"/>
                                  <w:numId w:val="23"/>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The same obligations apply</w:t>
                              </w:r>
                            </w:p>
                          </w:txbxContent>
                        </wps:txbx>
                        <wps:bodyPr lIns="0" tIns="0" rIns="0" bIns="0" rtlCol="0" anchor="t"/>
                      </wps:wsp>
                      <wps:wsp>
                        <wps:cNvPr id="333" name="Straight Arrow Connector 333"/>
                        <wps:cNvCnPr>
                          <a:stCxn id="330" idx="3"/>
                          <a:endCxn id="332" idx="1"/>
                        </wps:cNvCnPr>
                        <wps:spPr>
                          <a:xfrm>
                            <a:off x="5421347" y="2553668"/>
                            <a:ext cx="312886" cy="0"/>
                          </a:xfrm>
                          <a:prstGeom prst="straightConnector1">
                            <a:avLst/>
                          </a:prstGeom>
                          <a:ln w="19050">
                            <a:solidFill>
                              <a:schemeClr val="accent6"/>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4" name="Elbow Connector 334"/>
                        <wps:cNvCnPr>
                          <a:stCxn id="329" idx="2"/>
                          <a:endCxn id="330" idx="0"/>
                        </wps:cNvCnPr>
                        <wps:spPr>
                          <a:xfrm rot="16200000" flipH="1">
                            <a:off x="3403323" y="918760"/>
                            <a:ext cx="362808" cy="1337499"/>
                          </a:xfrm>
                          <a:prstGeom prst="bentConnector3">
                            <a:avLst>
                              <a:gd name="adj1" fmla="val 50000"/>
                            </a:avLst>
                          </a:prstGeom>
                          <a:ln w="19050">
                            <a:solidFill>
                              <a:schemeClr val="accent6"/>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5" name="Elbow Connector 335"/>
                        <wps:cNvCnPr>
                          <a:stCxn id="329" idx="2"/>
                          <a:endCxn id="331" idx="0"/>
                        </wps:cNvCnPr>
                        <wps:spPr>
                          <a:xfrm rot="5400000">
                            <a:off x="2094438" y="947372"/>
                            <a:ext cx="362807" cy="1280275"/>
                          </a:xfrm>
                          <a:prstGeom prst="bentConnector3">
                            <a:avLst>
                              <a:gd name="adj1" fmla="val 50000"/>
                            </a:avLst>
                          </a:prstGeom>
                          <a:ln w="19050">
                            <a:solidFill>
                              <a:schemeClr val="accent6"/>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6" name="Straight Arrow Connector 336"/>
                        <wps:cNvCnPr>
                          <a:stCxn id="330" idx="2"/>
                          <a:endCxn id="327" idx="0"/>
                        </wps:cNvCnPr>
                        <wps:spPr>
                          <a:xfrm flipH="1">
                            <a:off x="4243087" y="3338422"/>
                            <a:ext cx="10390" cy="941739"/>
                          </a:xfrm>
                          <a:prstGeom prst="straightConnector1">
                            <a:avLst/>
                          </a:prstGeom>
                          <a:ln w="19050">
                            <a:solidFill>
                              <a:schemeClr val="accent5"/>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7" name="Elbow Connector 337"/>
                        <wps:cNvCnPr>
                          <a:endCxn id="325" idx="0"/>
                        </wps:cNvCnPr>
                        <wps:spPr>
                          <a:xfrm rot="10800000" flipV="1">
                            <a:off x="1685180" y="3515095"/>
                            <a:ext cx="2568298" cy="769706"/>
                          </a:xfrm>
                          <a:prstGeom prst="bentConnector2">
                            <a:avLst/>
                          </a:prstGeom>
                          <a:ln w="19050">
                            <a:solidFill>
                              <a:schemeClr val="accent5"/>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8" name="Elbow Connector 338"/>
                        <wps:cNvCnPr>
                          <a:stCxn id="330" idx="2"/>
                          <a:endCxn id="326" idx="0"/>
                        </wps:cNvCnPr>
                        <wps:spPr>
                          <a:xfrm rot="16200000" flipH="1">
                            <a:off x="5058093" y="2533806"/>
                            <a:ext cx="946380" cy="2555612"/>
                          </a:xfrm>
                          <a:prstGeom prst="bentConnector3">
                            <a:avLst>
                              <a:gd name="adj1" fmla="val 18073"/>
                            </a:avLst>
                          </a:prstGeom>
                          <a:ln w="19050">
                            <a:solidFill>
                              <a:schemeClr val="accent5"/>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9" name="Straight Connector 339"/>
                        <wps:cNvCnPr/>
                        <wps:spPr>
                          <a:xfrm>
                            <a:off x="6432384" y="3343695"/>
                            <a:ext cx="0" cy="171400"/>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340" name="TextBox 119"/>
                        <wps:cNvSpPr txBox="1"/>
                        <wps:spPr>
                          <a:xfrm>
                            <a:off x="7045051" y="3419259"/>
                            <a:ext cx="1252855" cy="323850"/>
                          </a:xfrm>
                          <a:prstGeom prst="rect">
                            <a:avLst/>
                          </a:prstGeom>
                          <a:noFill/>
                        </wps:spPr>
                        <wps:txbx>
                          <w:txbxContent>
                            <w:p w14:paraId="4E9F2761" w14:textId="77777777" w:rsidR="006178BD" w:rsidRDefault="006178BD" w:rsidP="006178BD">
                              <w:pPr>
                                <w:pStyle w:val="NormalWeb"/>
                                <w:spacing w:before="0" w:beforeAutospacing="0" w:after="0" w:afterAutospacing="0"/>
                              </w:pPr>
                              <w:r>
                                <w:rPr>
                                  <w:rFonts w:asciiTheme="minorHAnsi" w:hAnsi="Calibri" w:cstheme="minorBidi"/>
                                  <w:b/>
                                  <w:bCs/>
                                  <w:color w:val="222A35" w:themeColor="text2" w:themeShade="80"/>
                                  <w:kern w:val="24"/>
                                  <w:sz w:val="20"/>
                                  <w:szCs w:val="20"/>
                                </w:rPr>
                                <w:t>Outside CDR system</w:t>
                              </w:r>
                            </w:p>
                          </w:txbxContent>
                        </wps:txbx>
                        <wps:bodyPr wrap="square" rtlCol="0">
                          <a:spAutoFit/>
                        </wps:bodyPr>
                      </wps:wsp>
                      <wps:wsp>
                        <wps:cNvPr id="341" name="TextBox 120"/>
                        <wps:cNvSpPr txBox="1"/>
                        <wps:spPr>
                          <a:xfrm>
                            <a:off x="1416180" y="3617577"/>
                            <a:ext cx="3149888" cy="533003"/>
                          </a:xfrm>
                          <a:prstGeom prst="rect">
                            <a:avLst/>
                          </a:prstGeom>
                          <a:solidFill>
                            <a:srgbClr val="FFFFFF"/>
                          </a:solidFill>
                          <a:ln w="28575">
                            <a:solidFill>
                              <a:schemeClr val="accent4">
                                <a:lumMod val="60000"/>
                                <a:lumOff val="40000"/>
                              </a:schemeClr>
                            </a:solidFill>
                          </a:ln>
                        </wps:spPr>
                        <wps:txbx>
                          <w:txbxContent>
                            <w:p w14:paraId="5921DF2D" w14:textId="77777777" w:rsidR="006178BD" w:rsidRPr="006427CA" w:rsidRDefault="006178BD" w:rsidP="006178BD">
                              <w:pPr>
                                <w:pStyle w:val="NormalWeb"/>
                                <w:spacing w:before="0" w:beforeAutospacing="0" w:after="0" w:afterAutospacing="0" w:line="240" w:lineRule="auto"/>
                                <w:rPr>
                                  <w:sz w:val="17"/>
                                  <w:szCs w:val="17"/>
                                </w:rPr>
                              </w:pPr>
                              <w:r w:rsidRPr="006427CA">
                                <w:rPr>
                                  <w:rFonts w:asciiTheme="minorHAnsi" w:hAnsi="Calibri" w:cstheme="minorBidi"/>
                                  <w:color w:val="000000" w:themeColor="text1"/>
                                  <w:kern w:val="24"/>
                                  <w:sz w:val="17"/>
                                  <w:szCs w:val="17"/>
                                </w:rPr>
                                <w:t>Accredited Person is subject to Privacy Safeguards and Rules when transferring data outside of the CDR system, including overseas</w:t>
                              </w:r>
                              <w:r>
                                <w:rPr>
                                  <w:rFonts w:asciiTheme="minorHAnsi" w:hAnsi="Calibri" w:cstheme="minorBidi"/>
                                  <w:color w:val="000000" w:themeColor="text1"/>
                                  <w:kern w:val="24"/>
                                  <w:sz w:val="17"/>
                                  <w:szCs w:val="17"/>
                                </w:rPr>
                                <w:t>. Note transfer to non-accredited data recipients is highly restricted.</w:t>
                              </w:r>
                            </w:p>
                          </w:txbxContent>
                        </wps:txbx>
                        <wps:bodyPr wrap="square" rtlCol="0">
                          <a:noAutofit/>
                        </wps:bodyPr>
                      </wps:wsp>
                      <wps:wsp>
                        <wps:cNvPr id="342" name="TextBox 121"/>
                        <wps:cNvSpPr txBox="1"/>
                        <wps:spPr>
                          <a:xfrm>
                            <a:off x="7045051" y="504665"/>
                            <a:ext cx="1346200" cy="323850"/>
                          </a:xfrm>
                          <a:prstGeom prst="rect">
                            <a:avLst/>
                          </a:prstGeom>
                          <a:noFill/>
                        </wps:spPr>
                        <wps:txbx>
                          <w:txbxContent>
                            <w:p w14:paraId="3B1C6E28" w14:textId="77777777" w:rsidR="006178BD" w:rsidRDefault="006178BD" w:rsidP="006178BD">
                              <w:pPr>
                                <w:pStyle w:val="NormalWeb"/>
                                <w:spacing w:before="0" w:beforeAutospacing="0" w:after="0" w:afterAutospacing="0"/>
                              </w:pPr>
                              <w:r>
                                <w:rPr>
                                  <w:rFonts w:asciiTheme="minorHAnsi" w:hAnsi="Calibri" w:cstheme="minorBidi"/>
                                  <w:b/>
                                  <w:bCs/>
                                  <w:color w:val="222A35" w:themeColor="text2" w:themeShade="80"/>
                                  <w:kern w:val="24"/>
                                  <w:sz w:val="20"/>
                                  <w:szCs w:val="20"/>
                                </w:rPr>
                                <w:t>Inside CDR system</w:t>
                              </w:r>
                            </w:p>
                          </w:txbxContent>
                        </wps:txbx>
                        <wps:bodyPr wrap="square" rtlCol="0">
                          <a:spAutoFit/>
                        </wps:bodyPr>
                      </wps:wsp>
                      <wps:wsp>
                        <wps:cNvPr id="343" name="TextBox 122"/>
                        <wps:cNvSpPr txBox="1"/>
                        <wps:spPr>
                          <a:xfrm>
                            <a:off x="7045051" y="255169"/>
                            <a:ext cx="1252855" cy="323850"/>
                          </a:xfrm>
                          <a:prstGeom prst="rect">
                            <a:avLst/>
                          </a:prstGeom>
                          <a:noFill/>
                        </wps:spPr>
                        <wps:txbx>
                          <w:txbxContent>
                            <w:p w14:paraId="3643DBE8" w14:textId="77777777" w:rsidR="006178BD" w:rsidRDefault="006178BD" w:rsidP="006178BD">
                              <w:pPr>
                                <w:pStyle w:val="NormalWeb"/>
                                <w:spacing w:before="0" w:beforeAutospacing="0" w:after="0" w:afterAutospacing="0"/>
                              </w:pPr>
                              <w:r>
                                <w:rPr>
                                  <w:rFonts w:asciiTheme="minorHAnsi" w:hAnsi="Calibri" w:cstheme="minorBidi"/>
                                  <w:b/>
                                  <w:bCs/>
                                  <w:color w:val="222A35" w:themeColor="text2" w:themeShade="80"/>
                                  <w:kern w:val="24"/>
                                  <w:sz w:val="20"/>
                                  <w:szCs w:val="20"/>
                                </w:rPr>
                                <w:t>Outside CDR system</w:t>
                              </w:r>
                            </w:p>
                          </w:txbxContent>
                        </wps:txbx>
                        <wps:bodyPr wrap="square" rtlCol="0">
                          <a:spAutoFit/>
                        </wps:bodyPr>
                      </wps:wsp>
                    </wpc:wpc>
                  </a:graphicData>
                </a:graphic>
                <wp14:sizeRelH relativeFrom="page">
                  <wp14:pctWidth>0</wp14:pctWidth>
                </wp14:sizeRelH>
                <wp14:sizeRelV relativeFrom="page">
                  <wp14:pctHeight>0</wp14:pctHeight>
                </wp14:sizeRelV>
              </wp:anchor>
            </w:drawing>
          </mc:Choice>
          <mc:Fallback>
            <w:pict>
              <v:group id="Canvas 344" o:spid="_x0000_s1026" editas="canvas" style="position:absolute;margin-left:22.45pt;margin-top:9.8pt;width:676.95pt;height:452.55pt;z-index:-251657216" coordsize="85972,5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5972;height:57473;visibility:visible;mso-wrap-style:square">
                  <v:fill o:detectmouseclick="t"/>
                  <v:path o:connecttype="none"/>
                </v:shape>
                <v:roundrect id="Rounded Rectangle 324" o:spid="_x0000_s1028" style="position:absolute;left:27153;top:637;width:32083;height:39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RuoMcA&#10;AADcAAAADwAAAGRycy9kb3ducmV2LnhtbESPT2vCQBDF74LfYRmhl6IbtRWJbiQWCu2tWtEep9nJ&#10;H83Optmtpt/eLQgeH2/e781brjpTizO1rrKsYDyKQBBnVldcKNh9vg7nIJxH1lhbJgV/5GCV9HtL&#10;jLW98IbOW1+IAGEXo4LS+yaW0mUlGXQj2xAHL7etQR9kW0jd4iXATS0nUTSTBisODSU29FJSdtr+&#10;mvBGWkfpNx2e5z9f48eP/Ni97w9rpR4GXboA4anz9+Nb+k0rmE6e4H9MIIB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EbqDHAAAA3AAAAA8AAAAAAAAAAAAAAAAAmAIAAGRy&#10;cy9kb3ducmV2LnhtbFBLBQYAAAAABAAEAPUAAACMAwAAAAA=&#10;" strokecolor="#ed7d31 [3205]" strokeweight="1.5pt">
                  <v:stroke joinstyle="miter"/>
                  <v:textbox inset="0,0,0,0">
                    <w:txbxContent>
                      <w:p w14:paraId="20C056F5" w14:textId="77777777" w:rsidR="006178BD" w:rsidRPr="006427CA" w:rsidRDefault="006178BD" w:rsidP="006178BD">
                        <w:pPr>
                          <w:pStyle w:val="NormalWeb"/>
                          <w:spacing w:before="0" w:beforeAutospacing="0" w:after="0" w:afterAutospacing="0" w:line="240" w:lineRule="auto"/>
                          <w:jc w:val="center"/>
                          <w:rPr>
                            <w:sz w:val="22"/>
                          </w:rPr>
                        </w:pPr>
                        <w:r w:rsidRPr="006427CA">
                          <w:rPr>
                            <w:rFonts w:asciiTheme="minorHAnsi" w:hAnsi="Calibri" w:cstheme="minorBidi"/>
                            <w:b/>
                            <w:bCs/>
                            <w:color w:val="000000" w:themeColor="dark1"/>
                            <w:kern w:val="24"/>
                            <w:sz w:val="18"/>
                            <w:szCs w:val="20"/>
                            <w:lang w:val="en-US"/>
                          </w:rPr>
                          <w:t xml:space="preserve">Data Holder </w:t>
                        </w:r>
                        <w:r w:rsidRPr="006427CA">
                          <w:rPr>
                            <w:rFonts w:asciiTheme="minorHAnsi" w:hAnsi="Calibri" w:cstheme="minorBidi"/>
                            <w:color w:val="000000" w:themeColor="dark1"/>
                            <w:kern w:val="24"/>
                            <w:sz w:val="18"/>
                            <w:szCs w:val="20"/>
                            <w:lang w:val="en-US"/>
                          </w:rPr>
                          <w:t>is subject to relevant Australian privacy laws and industry specific privacy and information security laws</w:t>
                        </w:r>
                      </w:p>
                    </w:txbxContent>
                  </v:textbox>
                </v:roundrect>
                <v:roundrect id="Rounded Rectangle 325" o:spid="_x0000_s1029" style="position:absolute;left:8013;top:42848;width:17677;height:131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HsUA&#10;AADcAAAADwAAAGRycy9kb3ducmV2LnhtbESPQUsDMRSE74L/ITyhN5tti6LbpkULLeJFrC29Pjav&#10;SdjNy3aTdtd/bwTB4zAz3zCL1eAbcaUuusAKJuMCBHEVtGOjYP+1uX8CEROyxiYwKfimCKvl7c0C&#10;Sx16/qTrLhmRIRxLVGBTakspY2XJYxyHljh7p9B5TFl2RuoO+wz3jZwWxaP06DgvWGxpbamqdxev&#10;4P1ozWHr6ll/en6tjdvL83nzodTobniZg0g0pP/wX/tNK5hNH+D3TD4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2IexQAAANwAAAAPAAAAAAAAAAAAAAAAAJgCAABkcnMv&#10;ZG93bnJldi54bWxQSwUGAAAAAAQABAD1AAAAigMAAAAA&#10;" strokecolor="#4472c4 [3208]" strokeweight="1.5pt">
                  <v:stroke joinstyle="miter"/>
                  <v:textbox inset="0,0,0,0">
                    <w:txbxContent>
                      <w:p w14:paraId="3563E4EC" w14:textId="53259F90" w:rsidR="006178BD" w:rsidRPr="006427CA" w:rsidRDefault="006178BD" w:rsidP="006178BD">
                        <w:pPr>
                          <w:pStyle w:val="NormalWeb"/>
                          <w:spacing w:before="0" w:beforeAutospacing="0" w:after="20" w:afterAutospacing="0" w:line="240" w:lineRule="auto"/>
                          <w:jc w:val="center"/>
                          <w:rPr>
                            <w:sz w:val="22"/>
                          </w:rPr>
                        </w:pPr>
                        <w:r w:rsidRPr="006427CA">
                          <w:rPr>
                            <w:rFonts w:asciiTheme="minorHAnsi" w:hAnsi="Calibri" w:cstheme="minorBidi"/>
                            <w:b/>
                            <w:bCs/>
                            <w:color w:val="000000" w:themeColor="dark1"/>
                            <w:kern w:val="24"/>
                            <w:sz w:val="18"/>
                            <w:szCs w:val="20"/>
                          </w:rPr>
                          <w:t>Data transferred to non</w:t>
                        </w:r>
                        <w:r>
                          <w:rPr>
                            <w:rFonts w:asciiTheme="minorHAnsi" w:hAnsi="Calibri" w:cstheme="minorBidi"/>
                            <w:b/>
                            <w:bCs/>
                            <w:color w:val="000000" w:themeColor="dark1"/>
                            <w:kern w:val="24"/>
                            <w:sz w:val="18"/>
                            <w:szCs w:val="20"/>
                          </w:rPr>
                          <w:noBreakHyphen/>
                        </w:r>
                        <w:r w:rsidRPr="006427CA">
                          <w:rPr>
                            <w:rFonts w:asciiTheme="minorHAnsi" w:hAnsi="Calibri" w:cstheme="minorBidi"/>
                            <w:b/>
                            <w:bCs/>
                            <w:color w:val="000000" w:themeColor="dark1"/>
                            <w:kern w:val="24"/>
                            <w:sz w:val="18"/>
                            <w:szCs w:val="20"/>
                          </w:rPr>
                          <w:t xml:space="preserve">accredited data recipient </w:t>
                        </w:r>
                      </w:p>
                      <w:p w14:paraId="5451FA7D" w14:textId="77777777" w:rsidR="006178BD" w:rsidRPr="006427CA" w:rsidRDefault="006178BD" w:rsidP="006178BD">
                        <w:pPr>
                          <w:pStyle w:val="ListParagraph"/>
                          <w:numPr>
                            <w:ilvl w:val="0"/>
                            <w:numId w:val="20"/>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 xml:space="preserve">Data recipient </w:t>
                        </w:r>
                        <w:r w:rsidRPr="006427CA">
                          <w:rPr>
                            <w:rFonts w:hAnsi="Calibri"/>
                            <w:color w:val="000000" w:themeColor="dark1"/>
                            <w:kern w:val="24"/>
                            <w:sz w:val="18"/>
                            <w:lang w:val="en-US"/>
                          </w:rPr>
                          <w:t>is subject to relevant Australian privacy laws and any industry specific privacy and information security laws</w:t>
                        </w:r>
                      </w:p>
                    </w:txbxContent>
                  </v:textbox>
                </v:roundrect>
                <v:roundrect id="Rounded Rectangle 326" o:spid="_x0000_s1030" style="position:absolute;left:57500;top:42848;width:21181;height:131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8acUA&#10;AADcAAAADwAAAGRycy9kb3ducmV2LnhtbESPQWsCMRSE74X+h/AK3mq2CtJujdIWFOlFai29PjbP&#10;JOzmZd1Ed/vvjSD0OMzMN8x8OfhGnKmLLrCCp3EBgrgK2rFRsP9ePT6DiAlZYxOYFPxRhOXi/m6O&#10;pQ49f9F5l4zIEI4lKrAptaWUsbLkMY5DS5y9Q+g8piw7I3WHfYb7Rk6KYiY9Os4LFlv6sFTVu5NX&#10;8Plrzc/a1dP+8PJeG7eXx+Nqq9ToYXh7BZFoSP/hW3ujFUwnM7ieyUd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fxpxQAAANwAAAAPAAAAAAAAAAAAAAAAAJgCAABkcnMv&#10;ZG93bnJldi54bWxQSwUGAAAAAAQABAD1AAAAigMAAAAA&#10;" strokecolor="#4472c4 [3208]" strokeweight="1.5pt">
                  <v:stroke joinstyle="miter"/>
                  <v:textbox inset="0,0,0,0">
                    <w:txbxContent>
                      <w:p w14:paraId="67C1DB38" w14:textId="77777777" w:rsidR="006178BD" w:rsidRPr="006427CA" w:rsidRDefault="006178BD" w:rsidP="006178BD">
                        <w:pPr>
                          <w:pStyle w:val="NormalWeb"/>
                          <w:spacing w:before="0" w:beforeAutospacing="0" w:after="20" w:afterAutospacing="0" w:line="240" w:lineRule="auto"/>
                          <w:jc w:val="center"/>
                          <w:rPr>
                            <w:sz w:val="22"/>
                          </w:rPr>
                        </w:pPr>
                        <w:r w:rsidRPr="006427CA">
                          <w:rPr>
                            <w:rFonts w:asciiTheme="minorHAnsi" w:hAnsi="Calibri" w:cstheme="minorBidi"/>
                            <w:b/>
                            <w:bCs/>
                            <w:color w:val="000000" w:themeColor="dark1"/>
                            <w:kern w:val="24"/>
                            <w:sz w:val="18"/>
                            <w:szCs w:val="20"/>
                          </w:rPr>
                          <w:t>Accredited Person becomes the new Data Holder as a result of the consumer switching to that provider</w:t>
                        </w:r>
                      </w:p>
                      <w:p w14:paraId="1303DF3E" w14:textId="77777777" w:rsidR="006178BD" w:rsidRPr="006427CA" w:rsidRDefault="006178BD" w:rsidP="006178BD">
                        <w:pPr>
                          <w:pStyle w:val="ListParagraph"/>
                          <w:numPr>
                            <w:ilvl w:val="0"/>
                            <w:numId w:val="21"/>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 xml:space="preserve">Data Holder </w:t>
                        </w:r>
                        <w:r w:rsidRPr="006427CA">
                          <w:rPr>
                            <w:rFonts w:hAnsi="Calibri"/>
                            <w:color w:val="000000" w:themeColor="dark1"/>
                            <w:kern w:val="24"/>
                            <w:sz w:val="18"/>
                            <w:lang w:val="en-US"/>
                          </w:rPr>
                          <w:t xml:space="preserve">is subject to relevant Australian privacy laws and industry specific privacy and information security laws </w:t>
                        </w:r>
                      </w:p>
                    </w:txbxContent>
                  </v:textbox>
                </v:roundrect>
                <v:roundrect id="Rounded Rectangle 327" o:spid="_x0000_s1031" style="position:absolute;left:30649;top:42801;width:23562;height:132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Z8sUA&#10;AADcAAAADwAAAGRycy9kb3ducmV2LnhtbESPT2sCMRTE74V+h/AK3mpWhf5ZjdIKSuml1CpeH5tn&#10;Enbzsm6iu/32TaHQ4zAzv2EWq8E34kpddIEVTMYFCOIqaMdGwf5rc/8EIiZkjU1gUvBNEVbL25sF&#10;ljr0/EnXXTIiQziWqMCm1JZSxsqSxzgOLXH2TqHzmLLsjNQd9hnuGzktigfp0XFesNjS2lJV7y5e&#10;wfvRmsPW1bP+9PxaG7eX5/PmQ6nR3fAyB5FoSP/hv/abVjCbPsLvmXw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VnyxQAAANwAAAAPAAAAAAAAAAAAAAAAAJgCAABkcnMv&#10;ZG93bnJldi54bWxQSwUGAAAAAAQABAD1AAAAigMAAAAA&#10;" strokecolor="#4472c4 [3208]" strokeweight="1.5pt">
                  <v:stroke joinstyle="miter"/>
                  <v:textbox inset="0,0,0,0">
                    <w:txbxContent>
                      <w:p w14:paraId="63A7096D" w14:textId="77777777" w:rsidR="006178BD" w:rsidRPr="006427CA" w:rsidRDefault="006178BD" w:rsidP="006178BD">
                        <w:pPr>
                          <w:pStyle w:val="NormalWeb"/>
                          <w:spacing w:before="0" w:beforeAutospacing="0" w:after="20" w:afterAutospacing="0" w:line="240" w:lineRule="auto"/>
                          <w:jc w:val="center"/>
                          <w:rPr>
                            <w:sz w:val="22"/>
                          </w:rPr>
                        </w:pPr>
                        <w:r w:rsidRPr="006427CA">
                          <w:rPr>
                            <w:rFonts w:asciiTheme="minorHAnsi" w:hAnsi="Calibri" w:cstheme="minorBidi"/>
                            <w:b/>
                            <w:bCs/>
                            <w:color w:val="000000" w:themeColor="dark1"/>
                            <w:kern w:val="24"/>
                            <w:sz w:val="18"/>
                            <w:szCs w:val="20"/>
                          </w:rPr>
                          <w:t xml:space="preserve">Data transferred to </w:t>
                        </w:r>
                        <w:r w:rsidRPr="006427CA">
                          <w:rPr>
                            <w:rFonts w:asciiTheme="minorHAnsi" w:hAnsi="Calibri" w:cstheme="minorBidi"/>
                            <w:b/>
                            <w:bCs/>
                            <w:i/>
                            <w:iCs/>
                            <w:color w:val="000000" w:themeColor="dark1"/>
                            <w:kern w:val="24"/>
                            <w:sz w:val="18"/>
                            <w:szCs w:val="20"/>
                          </w:rPr>
                          <w:t xml:space="preserve">overseas </w:t>
                        </w:r>
                        <w:r w:rsidRPr="006427CA">
                          <w:rPr>
                            <w:rFonts w:asciiTheme="minorHAnsi" w:hAnsi="Calibri" w:cstheme="minorBidi"/>
                            <w:b/>
                            <w:bCs/>
                            <w:color w:val="000000" w:themeColor="dark1"/>
                            <w:kern w:val="24"/>
                            <w:sz w:val="18"/>
                            <w:szCs w:val="20"/>
                          </w:rPr>
                          <w:t xml:space="preserve">non-accredited data recipient </w:t>
                        </w:r>
                      </w:p>
                      <w:p w14:paraId="1A217663" w14:textId="77777777" w:rsidR="006178BD" w:rsidRPr="006427CA" w:rsidRDefault="006178BD" w:rsidP="006178BD">
                        <w:pPr>
                          <w:pStyle w:val="ListParagraph"/>
                          <w:numPr>
                            <w:ilvl w:val="0"/>
                            <w:numId w:val="22"/>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 xml:space="preserve">Data recipient </w:t>
                        </w:r>
                        <w:r w:rsidRPr="006427CA">
                          <w:rPr>
                            <w:rFonts w:hAnsi="Calibri"/>
                            <w:color w:val="000000" w:themeColor="dark1"/>
                            <w:kern w:val="24"/>
                            <w:sz w:val="18"/>
                            <w:lang w:val="en-US"/>
                          </w:rPr>
                          <w:t>is subject to relevant foreign privacy laws</w:t>
                        </w:r>
                      </w:p>
                      <w:p w14:paraId="10C77B00" w14:textId="77777777" w:rsidR="006178BD" w:rsidRPr="006427CA" w:rsidRDefault="006178BD" w:rsidP="006178BD">
                        <w:pPr>
                          <w:pStyle w:val="ListParagraph"/>
                          <w:numPr>
                            <w:ilvl w:val="0"/>
                            <w:numId w:val="22"/>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lang w:val="en-US"/>
                          </w:rPr>
                          <w:t>Where foreign privacy laws do not provide substantially similar protections to the Privacy Safeguards, the Accredited Person may remain liable for future breaches</w:t>
                        </w:r>
                      </w:p>
                    </w:txbxContent>
                  </v:textbox>
                </v:roundrect>
                <v:rect id="Rectangle 328" o:spid="_x0000_s1032" style="position:absolute;top:5015;width:85694;height:29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q0usEA&#10;AADcAAAADwAAAGRycy9kb3ducmV2LnhtbERPzWrCQBC+F3yHZQQvRTeNICa6SizY9GSp+gBDdkyC&#10;2dmQXU3y9t1DwePH97/dD6YRT+pcbVnBxyICQVxYXXOp4Ho5ztcgnEfW2FgmBSM52O8mb1tMte35&#10;l55nX4oQwi5FBZX3bSqlKyoy6Ba2JQ7czXYGfYBdKXWHfQg3jYyjaCUN1hwaKmzps6Lifn4YBXGS&#10;fOX28LMkHJP4kRUnl6/elZpNh2wDwtPgX+J/97dWsIzD2nAmHAG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6tLrBAAAA3AAAAA8AAAAAAAAAAAAAAAAAmAIAAGRycy9kb3du&#10;cmV2LnhtbFBLBQYAAAAABAAEAPUAAACGAwAAAAA=&#10;" fillcolor="#d8d8d8 [2732]" strokecolor="black [3213]" strokeweight="1.5pt"/>
                <v:roundrect id="Rounded Rectangle 329" o:spid="_x0000_s1033" style="position:absolute;left:9713;top:5656;width:38892;height:84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2micMA&#10;AADcAAAADwAAAGRycy9kb3ducmV2LnhtbESPwW7CMBBE75X4B2uRuBWHILUlYBBUrQTHUD5giZck&#10;Il5HsUlMv75GQupxNDtvdlabYBrRU+dqywpm0wQEcWF1zaWC08/36wcI55E1NpZJwZ0cbNajlxVm&#10;2g6cU3/0pYgQdhkqqLxvMyldUZFBN7UtcfQutjPoo+xKqTscItw0Mk2SN2mw5thQYUufFRXX483E&#10;N/bhnfLb7871nN4P568wzA65UpNx2C5BeAr+//iZ3msF83QBjzGRAH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2micMAAADcAAAADwAAAAAAAAAAAAAAAACYAgAAZHJzL2Rv&#10;d25yZXYueG1sUEsFBgAAAAAEAAQA9QAAAIgDAAAAAA==&#10;" strokecolor="#70ad47 [3209]" strokeweight="1.5pt">
                  <v:stroke joinstyle="miter"/>
                  <v:textbox inset="0,0,0,0">
                    <w:txbxContent>
                      <w:p w14:paraId="09DC2710" w14:textId="77777777" w:rsidR="006178BD" w:rsidRPr="006427CA" w:rsidRDefault="006178BD" w:rsidP="006178BD">
                        <w:pPr>
                          <w:pStyle w:val="NormalWeb"/>
                          <w:spacing w:before="0" w:beforeAutospacing="0" w:after="20" w:afterAutospacing="0" w:line="240" w:lineRule="auto"/>
                          <w:jc w:val="center"/>
                          <w:rPr>
                            <w:sz w:val="22"/>
                          </w:rPr>
                        </w:pPr>
                        <w:r w:rsidRPr="006427CA">
                          <w:rPr>
                            <w:rFonts w:asciiTheme="minorHAnsi" w:hAnsi="Calibri" w:cstheme="minorBidi"/>
                            <w:b/>
                            <w:bCs/>
                            <w:color w:val="000000" w:themeColor="dark1"/>
                            <w:kern w:val="24"/>
                            <w:sz w:val="18"/>
                            <w:szCs w:val="20"/>
                          </w:rPr>
                          <w:t>Data Holder: Consumer requests access</w:t>
                        </w:r>
                      </w:p>
                      <w:p w14:paraId="5DD34DBA" w14:textId="77777777" w:rsidR="006178BD" w:rsidRPr="006427CA" w:rsidRDefault="006178BD" w:rsidP="006178BD">
                        <w:pPr>
                          <w:pStyle w:val="NormalWeb"/>
                          <w:spacing w:before="0" w:beforeAutospacing="0" w:after="20" w:afterAutospacing="0" w:line="240" w:lineRule="auto"/>
                          <w:rPr>
                            <w:sz w:val="22"/>
                          </w:rPr>
                        </w:pPr>
                        <w:r w:rsidRPr="006427CA">
                          <w:rPr>
                            <w:rFonts w:asciiTheme="minorHAnsi" w:hAnsi="Calibri" w:cstheme="minorBidi"/>
                            <w:color w:val="000000" w:themeColor="dark1"/>
                            <w:kern w:val="24"/>
                            <w:sz w:val="18"/>
                            <w:szCs w:val="20"/>
                          </w:rPr>
                          <w:t xml:space="preserve">Data Holder is now </w:t>
                        </w:r>
                        <w:r w:rsidRPr="006427CA">
                          <w:rPr>
                            <w:rFonts w:asciiTheme="minorHAnsi" w:hAnsi="Calibri" w:cstheme="minorBidi"/>
                            <w:b/>
                            <w:bCs/>
                            <w:color w:val="000000" w:themeColor="dark1"/>
                            <w:kern w:val="24"/>
                            <w:sz w:val="18"/>
                            <w:szCs w:val="20"/>
                          </w:rPr>
                          <w:t>also</w:t>
                        </w:r>
                        <w:r w:rsidRPr="006427CA">
                          <w:rPr>
                            <w:rFonts w:asciiTheme="minorHAnsi" w:hAnsi="Calibri" w:cstheme="minorBidi"/>
                            <w:color w:val="000000" w:themeColor="dark1"/>
                            <w:kern w:val="24"/>
                            <w:sz w:val="18"/>
                            <w:szCs w:val="20"/>
                          </w:rPr>
                          <w:t xml:space="preserve"> subject to:</w:t>
                        </w:r>
                      </w:p>
                      <w:p w14:paraId="0E59CC43" w14:textId="77777777" w:rsidR="006178BD" w:rsidRPr="006427CA" w:rsidRDefault="006178BD" w:rsidP="006178BD">
                        <w:pPr>
                          <w:pStyle w:val="ListParagraph"/>
                          <w:numPr>
                            <w:ilvl w:val="0"/>
                            <w:numId w:val="23"/>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Privacy Safeguards relating to disclosure (notifications, quality and correction); and</w:t>
                        </w:r>
                      </w:p>
                      <w:p w14:paraId="25FDEB33" w14:textId="77777777" w:rsidR="006178BD" w:rsidRPr="006427CA" w:rsidRDefault="006178BD" w:rsidP="006178BD">
                        <w:pPr>
                          <w:pStyle w:val="ListParagraph"/>
                          <w:numPr>
                            <w:ilvl w:val="0"/>
                            <w:numId w:val="23"/>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Any additional privacy related Rules</w:t>
                        </w:r>
                      </w:p>
                    </w:txbxContent>
                  </v:textbox>
                </v:roundrect>
                <v:roundrect id="Rounded Rectangle 330" o:spid="_x0000_s1034" style="position:absolute;left:30856;top:17689;width:23357;height:156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6ZycMA&#10;AADcAAAADwAAAGRycy9kb3ducmV2LnhtbESPwW7CMAyG75P2DpEncVtTQGJTR0DbNCQ4FvYAXuO1&#10;1RqnakIbeHp8QNrR+v1//rzeJtepkYbQejYwz3JQxJW3LdcGvk+751dQISJb7DyTgQsF2G4eH9ZY&#10;WD9xSeMx1kogHAo00MTYF1qHqiGHIfM9sWS/fnAYZRxqbQecBO46vcjzlXbYslxosKfPhqq/49mJ&#10;xj69UHm+foSRF5fDz1ea5ofSmNlTen8DFSnF/+V7e28NLJeiL88IAf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6ZycMAAADcAAAADwAAAAAAAAAAAAAAAACYAgAAZHJzL2Rv&#10;d25yZXYueG1sUEsFBgAAAAAEAAQA9QAAAIgDAAAAAA==&#10;" strokecolor="#70ad47 [3209]" strokeweight="1.5pt">
                  <v:stroke joinstyle="miter"/>
                  <v:textbox inset="0,0,0,0">
                    <w:txbxContent>
                      <w:p w14:paraId="1BB2D59C" w14:textId="77777777" w:rsidR="006178BD" w:rsidRPr="006427CA" w:rsidRDefault="006178BD" w:rsidP="006178BD">
                        <w:pPr>
                          <w:pStyle w:val="NormalWeb"/>
                          <w:spacing w:before="0" w:beforeAutospacing="0" w:after="20" w:afterAutospacing="0" w:line="240" w:lineRule="auto"/>
                          <w:jc w:val="center"/>
                          <w:rPr>
                            <w:rFonts w:asciiTheme="minorHAnsi" w:hAnsi="Calibri" w:cstheme="minorBidi"/>
                            <w:b/>
                            <w:bCs/>
                            <w:color w:val="000000" w:themeColor="dark1"/>
                            <w:kern w:val="24"/>
                            <w:sz w:val="18"/>
                            <w:szCs w:val="20"/>
                          </w:rPr>
                        </w:pPr>
                        <w:r w:rsidRPr="006427CA">
                          <w:rPr>
                            <w:rFonts w:asciiTheme="minorHAnsi" w:hAnsi="Calibri" w:cstheme="minorBidi"/>
                            <w:b/>
                            <w:bCs/>
                            <w:color w:val="000000" w:themeColor="dark1"/>
                            <w:kern w:val="24"/>
                            <w:sz w:val="18"/>
                            <w:szCs w:val="20"/>
                          </w:rPr>
                          <w:t>Accredited Person:</w:t>
                        </w:r>
                        <w:r>
                          <w:rPr>
                            <w:rFonts w:asciiTheme="minorHAnsi" w:hAnsi="Calibri" w:cstheme="minorBidi"/>
                            <w:b/>
                            <w:bCs/>
                            <w:color w:val="000000" w:themeColor="dark1"/>
                            <w:kern w:val="24"/>
                            <w:sz w:val="18"/>
                            <w:szCs w:val="20"/>
                          </w:rPr>
                          <w:t xml:space="preserve"> </w:t>
                        </w:r>
                        <w:r w:rsidRPr="006427CA">
                          <w:rPr>
                            <w:rFonts w:asciiTheme="minorHAnsi" w:hAnsi="Calibri" w:cstheme="minorBidi"/>
                            <w:b/>
                            <w:bCs/>
                            <w:color w:val="000000" w:themeColor="dark1"/>
                            <w:kern w:val="24"/>
                            <w:sz w:val="18"/>
                            <w:szCs w:val="20"/>
                          </w:rPr>
                          <w:t>Data received</w:t>
                        </w:r>
                      </w:p>
                      <w:p w14:paraId="36B973BA" w14:textId="77777777" w:rsidR="006178BD" w:rsidRPr="006427CA" w:rsidRDefault="006178BD" w:rsidP="006178BD">
                        <w:pPr>
                          <w:pStyle w:val="NormalWeb"/>
                          <w:spacing w:before="0" w:beforeAutospacing="0" w:after="20" w:afterAutospacing="0" w:line="240" w:lineRule="auto"/>
                          <w:rPr>
                            <w:rFonts w:asciiTheme="minorHAnsi" w:hAnsi="Calibri" w:cstheme="minorBidi"/>
                            <w:bCs/>
                            <w:i/>
                            <w:color w:val="000000" w:themeColor="dark1"/>
                            <w:kern w:val="24"/>
                            <w:sz w:val="18"/>
                            <w:szCs w:val="20"/>
                          </w:rPr>
                        </w:pPr>
                        <w:r w:rsidRPr="006427CA">
                          <w:rPr>
                            <w:rFonts w:asciiTheme="minorHAnsi" w:hAnsi="Calibri" w:cstheme="minorBidi"/>
                            <w:bCs/>
                            <w:i/>
                            <w:color w:val="000000" w:themeColor="dark1"/>
                            <w:kern w:val="24"/>
                            <w:sz w:val="18"/>
                            <w:szCs w:val="20"/>
                          </w:rPr>
                          <w:t xml:space="preserve">For data received through CDR </w:t>
                        </w:r>
                      </w:p>
                      <w:p w14:paraId="039966F0" w14:textId="77777777" w:rsidR="006178BD" w:rsidRPr="006427CA" w:rsidRDefault="006178BD" w:rsidP="006178BD">
                        <w:pPr>
                          <w:pStyle w:val="ListParagraph"/>
                          <w:numPr>
                            <w:ilvl w:val="0"/>
                            <w:numId w:val="23"/>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Accredited Person is subject to Privacy Safeguards instead of the Australian Privacy Principles and</w:t>
                        </w:r>
                      </w:p>
                      <w:p w14:paraId="2F0EB9CA" w14:textId="77777777" w:rsidR="006178BD" w:rsidRPr="006427CA" w:rsidRDefault="006178BD" w:rsidP="006178BD">
                        <w:pPr>
                          <w:pStyle w:val="ListParagraph"/>
                          <w:numPr>
                            <w:ilvl w:val="0"/>
                            <w:numId w:val="23"/>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Any additional privacy related Rules</w:t>
                        </w:r>
                      </w:p>
                      <w:p w14:paraId="62FA417D" w14:textId="77777777" w:rsidR="006178BD" w:rsidRPr="006427CA" w:rsidRDefault="006178BD" w:rsidP="006178BD">
                        <w:pPr>
                          <w:pStyle w:val="NormalWeb"/>
                          <w:spacing w:before="0" w:beforeAutospacing="0" w:after="20" w:afterAutospacing="0" w:line="240" w:lineRule="auto"/>
                          <w:rPr>
                            <w:rFonts w:asciiTheme="minorHAnsi" w:hAnsi="Calibri" w:cstheme="minorBidi"/>
                            <w:bCs/>
                            <w:i/>
                            <w:color w:val="000000" w:themeColor="dark1"/>
                            <w:kern w:val="24"/>
                            <w:sz w:val="18"/>
                            <w:szCs w:val="20"/>
                          </w:rPr>
                        </w:pPr>
                        <w:r w:rsidRPr="006427CA">
                          <w:rPr>
                            <w:rFonts w:asciiTheme="minorHAnsi" w:hAnsi="Calibri" w:cstheme="minorBidi"/>
                            <w:bCs/>
                            <w:i/>
                            <w:color w:val="000000" w:themeColor="dark1"/>
                            <w:kern w:val="24"/>
                            <w:sz w:val="18"/>
                            <w:szCs w:val="20"/>
                          </w:rPr>
                          <w:t>For other personal data</w:t>
                        </w:r>
                      </w:p>
                      <w:p w14:paraId="35AF40B6" w14:textId="77777777" w:rsidR="006178BD" w:rsidRPr="006427CA" w:rsidRDefault="006178BD" w:rsidP="006178BD">
                        <w:pPr>
                          <w:pStyle w:val="ListParagraph"/>
                          <w:numPr>
                            <w:ilvl w:val="0"/>
                            <w:numId w:val="23"/>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The Privacy Act exception for SMEs does not apply</w:t>
                        </w:r>
                        <w:r>
                          <w:rPr>
                            <w:rFonts w:hAnsi="Calibri"/>
                            <w:color w:val="000000" w:themeColor="dark1"/>
                            <w:kern w:val="24"/>
                            <w:sz w:val="18"/>
                          </w:rPr>
                          <w:t xml:space="preserve"> </w:t>
                        </w:r>
                      </w:p>
                      <w:p w14:paraId="1F5259F7" w14:textId="77777777" w:rsidR="006178BD" w:rsidRPr="006427CA" w:rsidRDefault="006178BD" w:rsidP="006178BD">
                        <w:pPr>
                          <w:pStyle w:val="NormalWeb"/>
                          <w:spacing w:before="0" w:beforeAutospacing="0" w:after="0" w:afterAutospacing="0" w:line="240" w:lineRule="auto"/>
                          <w:rPr>
                            <w:sz w:val="22"/>
                          </w:rPr>
                        </w:pPr>
                        <w:r>
                          <w:rPr>
                            <w:rFonts w:asciiTheme="minorHAnsi" w:hAnsi="Calibri" w:cstheme="minorBidi"/>
                            <w:color w:val="000000" w:themeColor="dark1"/>
                            <w:kern w:val="24"/>
                            <w:sz w:val="18"/>
                            <w:szCs w:val="20"/>
                          </w:rPr>
                          <w:t xml:space="preserve"> </w:t>
                        </w:r>
                      </w:p>
                    </w:txbxContent>
                  </v:textbox>
                </v:roundrect>
                <v:roundrect id="Rounded Rectangle 331" o:spid="_x0000_s1035" style="position:absolute;left:4747;top:17689;width:23219;height:156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YOscA&#10;AADcAAAADwAAAGRycy9kb3ducmV2LnhtbESPS2vDMBCE74X8B7GFXkoiq4EQnMimBPqCtjSPQ4+L&#10;tbFdWytXUhP331eFQo/DzHzDrMvR9uJEPrSONahZBoK4cqblWsNhfzddgggR2WDvmDR8U4CymFys&#10;MTfuzFs67WItEoRDjhqaGIdcylA1ZDHM3ECcvKPzFmOSvpbG4znBbS9vsmwhLbacFhocaNNQ1e2+&#10;rIYH9ek7df/x8vrm1eL4/qS66+de66vL8XYFItIY/8N/7UejYT5X8HsmHQFZ/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zmDrHAAAA3AAAAA8AAAAAAAAAAAAAAAAAmAIAAGRy&#10;cy9kb3ducmV2LnhtbFBLBQYAAAAABAAEAPUAAACMAwAAAAA=&#10;" strokecolor="#70ad47 [3209]" strokeweight="1.5pt">
                  <v:stroke joinstyle="miter"/>
                  <v:textbox inset="0,0,0,0">
                    <w:txbxContent>
                      <w:p w14:paraId="2923ADFC" w14:textId="77777777" w:rsidR="006178BD" w:rsidRPr="006427CA" w:rsidRDefault="006178BD" w:rsidP="006178BD">
                        <w:pPr>
                          <w:pStyle w:val="NormalWeb"/>
                          <w:spacing w:before="0" w:beforeAutospacing="0" w:after="20" w:afterAutospacing="0" w:line="240" w:lineRule="auto"/>
                          <w:jc w:val="center"/>
                          <w:rPr>
                            <w:sz w:val="22"/>
                          </w:rPr>
                        </w:pPr>
                        <w:r w:rsidRPr="006427CA">
                          <w:rPr>
                            <w:rFonts w:asciiTheme="minorHAnsi" w:hAnsi="Calibri" w:cstheme="minorBidi"/>
                            <w:b/>
                            <w:bCs/>
                            <w:color w:val="000000" w:themeColor="dark1"/>
                            <w:kern w:val="24"/>
                            <w:sz w:val="18"/>
                            <w:szCs w:val="20"/>
                          </w:rPr>
                          <w:t>Designated Gateways:</w:t>
                        </w:r>
                        <w:r>
                          <w:rPr>
                            <w:rFonts w:asciiTheme="minorHAnsi" w:hAnsi="Calibri" w:cstheme="minorBidi"/>
                            <w:b/>
                            <w:bCs/>
                            <w:color w:val="000000" w:themeColor="dark1"/>
                            <w:kern w:val="24"/>
                            <w:sz w:val="18"/>
                            <w:szCs w:val="20"/>
                          </w:rPr>
                          <w:t xml:space="preserve"> </w:t>
                        </w:r>
                        <w:r w:rsidRPr="006427CA">
                          <w:rPr>
                            <w:rFonts w:asciiTheme="minorHAnsi" w:hAnsi="Calibri" w:cstheme="minorBidi"/>
                            <w:b/>
                            <w:bCs/>
                            <w:color w:val="000000" w:themeColor="dark1"/>
                            <w:kern w:val="24"/>
                            <w:sz w:val="18"/>
                            <w:szCs w:val="20"/>
                          </w:rPr>
                          <w:t xml:space="preserve">Data received </w:t>
                        </w:r>
                      </w:p>
                      <w:p w14:paraId="58D6732A" w14:textId="77777777" w:rsidR="006178BD" w:rsidRPr="006427CA" w:rsidRDefault="006178BD" w:rsidP="006178BD">
                        <w:pPr>
                          <w:pStyle w:val="NormalWeb"/>
                          <w:spacing w:before="0" w:beforeAutospacing="0" w:after="20" w:afterAutospacing="0" w:line="240" w:lineRule="auto"/>
                          <w:rPr>
                            <w:sz w:val="22"/>
                          </w:rPr>
                        </w:pPr>
                        <w:r w:rsidRPr="006427CA">
                          <w:rPr>
                            <w:rFonts w:asciiTheme="minorHAnsi" w:hAnsi="Calibri" w:cstheme="minorBidi"/>
                            <w:color w:val="000000" w:themeColor="dark1"/>
                            <w:kern w:val="24"/>
                            <w:sz w:val="18"/>
                            <w:szCs w:val="20"/>
                          </w:rPr>
                          <w:t>If data is transferred through a Designated Gateway, the Gateway is subject to:</w:t>
                        </w:r>
                      </w:p>
                      <w:p w14:paraId="360CEB33" w14:textId="77777777" w:rsidR="006178BD" w:rsidRPr="006427CA" w:rsidRDefault="006178BD" w:rsidP="006178BD">
                        <w:pPr>
                          <w:pStyle w:val="ListParagraph"/>
                          <w:numPr>
                            <w:ilvl w:val="0"/>
                            <w:numId w:val="23"/>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Privacy Safeguards that limit any uses and disclosures and require data to be stored securely</w:t>
                        </w:r>
                      </w:p>
                      <w:p w14:paraId="28A7CE4F" w14:textId="77777777" w:rsidR="006178BD" w:rsidRPr="006427CA" w:rsidRDefault="006178BD" w:rsidP="006178BD">
                        <w:pPr>
                          <w:pStyle w:val="ListParagraph"/>
                          <w:numPr>
                            <w:ilvl w:val="0"/>
                            <w:numId w:val="23"/>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The Rules cannot authorise uses except where necessary to facilitate transfer.</w:t>
                        </w:r>
                      </w:p>
                      <w:p w14:paraId="48A26AD1" w14:textId="77777777" w:rsidR="006178BD" w:rsidRPr="006427CA" w:rsidRDefault="006178BD" w:rsidP="006178BD">
                        <w:pPr>
                          <w:pStyle w:val="ListParagraph"/>
                          <w:numPr>
                            <w:ilvl w:val="0"/>
                            <w:numId w:val="23"/>
                          </w:numPr>
                          <w:tabs>
                            <w:tab w:val="clear" w:pos="720"/>
                            <w:tab w:val="num" w:pos="284"/>
                          </w:tabs>
                          <w:spacing w:before="0" w:after="0" w:line="240" w:lineRule="auto"/>
                          <w:ind w:left="284" w:hanging="284"/>
                          <w:rPr>
                            <w:rFonts w:eastAsia="Times New Roman"/>
                            <w:sz w:val="18"/>
                          </w:rPr>
                        </w:pPr>
                        <w:r w:rsidRPr="006427CA">
                          <w:rPr>
                            <w:rFonts w:hAnsi="Calibri"/>
                            <w:color w:val="000000" w:themeColor="dark1"/>
                            <w:kern w:val="24"/>
                            <w:sz w:val="18"/>
                          </w:rPr>
                          <w:t>Otherwise APPs apply</w:t>
                        </w:r>
                      </w:p>
                    </w:txbxContent>
                  </v:textbox>
                </v:roundrect>
                <v:roundrect id="Rounded Rectangle 332" o:spid="_x0000_s1036" style="position:absolute;left:57342;top:17689;width:21497;height:156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GTcgA&#10;AADcAAAADwAAAGRycy9kb3ducmV2LnhtbESPT0sDMRTE70K/Q3iFXqTNpoUi26ZFBK2CFvvn0ONj&#10;87q77uZlTWK7fnsjCB6HmfkNs1z3thUX8qF2rEFNMhDEhTM1lxqOh8fxHYgQkQ22jknDNwVYrwY3&#10;S8yNu/KOLvtYigThkKOGKsYulzIUFVkME9cRJ+/svMWYpC+l8XhNcNvKaZbNpcWa00KFHT1UVDT7&#10;L6thoz59o54+3rbvXs3PpxfV3L62Wo+G/f0CRKQ+/of/2s9Gw2w2hd8z6Qj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4QZNyAAAANwAAAAPAAAAAAAAAAAAAAAAAJgCAABk&#10;cnMvZG93bnJldi54bWxQSwUGAAAAAAQABAD1AAAAjQMAAAAA&#10;" strokecolor="#70ad47 [3209]" strokeweight="1.5pt">
                  <v:stroke joinstyle="miter"/>
                  <v:textbox inset="0,0,0,0">
                    <w:txbxContent>
                      <w:p w14:paraId="0BF505AF" w14:textId="77777777" w:rsidR="006178BD" w:rsidRPr="006427CA" w:rsidRDefault="006178BD" w:rsidP="006178BD">
                        <w:pPr>
                          <w:pStyle w:val="NormalWeb"/>
                          <w:spacing w:before="0" w:beforeAutospacing="0" w:after="20" w:afterAutospacing="0" w:line="240" w:lineRule="auto"/>
                          <w:jc w:val="center"/>
                          <w:rPr>
                            <w:rFonts w:asciiTheme="minorHAnsi" w:hAnsi="Calibri" w:cstheme="minorBidi"/>
                            <w:b/>
                            <w:bCs/>
                            <w:color w:val="000000" w:themeColor="dark1"/>
                            <w:kern w:val="24"/>
                            <w:sz w:val="18"/>
                            <w:szCs w:val="20"/>
                          </w:rPr>
                        </w:pPr>
                        <w:r w:rsidRPr="006427CA">
                          <w:rPr>
                            <w:rFonts w:asciiTheme="minorHAnsi" w:hAnsi="Calibri" w:cstheme="minorBidi"/>
                            <w:b/>
                            <w:bCs/>
                            <w:color w:val="000000" w:themeColor="dark1"/>
                            <w:kern w:val="24"/>
                            <w:sz w:val="18"/>
                            <w:szCs w:val="20"/>
                          </w:rPr>
                          <w:t>Transferred to another Accredited Person (including where overseas)</w:t>
                        </w:r>
                      </w:p>
                      <w:p w14:paraId="51E7C145" w14:textId="77777777" w:rsidR="006178BD" w:rsidRPr="006427CA" w:rsidRDefault="006178BD" w:rsidP="006178BD">
                        <w:pPr>
                          <w:pStyle w:val="ListParagraph"/>
                          <w:numPr>
                            <w:ilvl w:val="0"/>
                            <w:numId w:val="23"/>
                          </w:numPr>
                          <w:tabs>
                            <w:tab w:val="clear" w:pos="720"/>
                            <w:tab w:val="num" w:pos="284"/>
                          </w:tabs>
                          <w:spacing w:before="0" w:after="0" w:line="240" w:lineRule="auto"/>
                          <w:ind w:left="284" w:hanging="284"/>
                          <w:rPr>
                            <w:rFonts w:hAnsi="Calibri"/>
                            <w:color w:val="000000" w:themeColor="dark1"/>
                            <w:kern w:val="24"/>
                            <w:sz w:val="18"/>
                          </w:rPr>
                        </w:pPr>
                        <w:r w:rsidRPr="006427CA">
                          <w:rPr>
                            <w:rFonts w:hAnsi="Calibri"/>
                            <w:color w:val="000000" w:themeColor="dark1"/>
                            <w:kern w:val="24"/>
                            <w:sz w:val="18"/>
                          </w:rPr>
                          <w:t>The same obligations apply</w:t>
                        </w:r>
                      </w:p>
                    </w:txbxContent>
                  </v:textbox>
                </v:roundrect>
                <v:shapetype id="_x0000_t32" coordsize="21600,21600" o:spt="32" o:oned="t" path="m,l21600,21600e" filled="f">
                  <v:path arrowok="t" fillok="f" o:connecttype="none"/>
                  <o:lock v:ext="edit" shapetype="t"/>
                </v:shapetype>
                <v:shape id="Straight Arrow Connector 333" o:spid="_x0000_s1037" type="#_x0000_t32" style="position:absolute;left:54213;top:25536;width:31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Q2P8UAAADcAAAADwAAAGRycy9kb3ducmV2LnhtbESPUWvCMBSF3wf+h3AHe5vpVhhSjSKC&#10;MNgGGmXs8dpc22Jz0zVZ7P69EQQfD+ec73Bmi8G2IlLvG8cKXsYZCOLSmYYrBfvd+nkCwgdkg61j&#10;UvBPHhbz0cMMC+POvKWoQyUShH2BCuoQukJKX9Zk0Y9dR5y8o+sthiT7SpoezwluW/maZW/SYsNp&#10;ocaOVjWVJ/1nFRDrz83X5vfj+xR/dquo41YfpFJPj8NyCiLQEO7hW/vdKMjzHK5n0hG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Q2P8UAAADcAAAADwAAAAAAAAAA&#10;AAAAAAChAgAAZHJzL2Rvd25yZXYueG1sUEsFBgAAAAAEAAQA+QAAAJMDAAAAAA==&#10;" strokecolor="#70ad47 [3209]" strokeweight="1.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4" o:spid="_x0000_s1038" type="#_x0000_t34" style="position:absolute;left:34033;top:9187;width:3628;height:133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0/nMcAAADcAAAADwAAAGRycy9kb3ducmV2LnhtbESPT2vCQBTE74LfYXlCL1I3aVqR1FVK&#10;IKUHL7V66O2RfSax2bchu82fb+8WCh6HmfkNs92PphE9da62rCBeRSCIC6trLhWcvvLHDQjnkTU2&#10;lknBRA72u/lsi6m2A39Sf/SlCBB2KSqovG9TKV1RkUG3si1x8C62M+iD7EqpOxwC3DTyKYrW0mDN&#10;YaHClrKKip/jr1FwyaZTvjnQ9eVafr8vB32mJI6VeliMb68gPI3+Hv5vf2gFSfIMf2fCEZC7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TT+cxwAAANwAAAAPAAAAAAAA&#10;AAAAAAAAAKECAABkcnMvZG93bnJldi54bWxQSwUGAAAAAAQABAD5AAAAlQMAAAAA&#10;" strokecolor="#70ad47 [3209]" strokeweight="1.5pt">
                  <v:stroke endarrow="block"/>
                </v:shape>
                <v:shape id="Elbow Connector 335" o:spid="_x0000_s1039" type="#_x0000_t34" style="position:absolute;left:20944;top:9474;width:3628;height:1280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5wb8UAAADcAAAADwAAAGRycy9kb3ducmV2LnhtbESPQWsCMRSE74X+h/AK3mpWpUVWoxRF&#10;sdBDjV68vW6eu2k3L8smuuu/N4VCj8PMfMPMl72rxZXaYD0rGA0zEMSFN5ZLBcfD5nkKIkRkg7Vn&#10;UnCjAMvF48Mcc+M73tNVx1IkCIccFVQxNrmUoajIYRj6hjh5Z986jEm2pTQtdgnuajnOslfp0HJa&#10;qLChVUXFj744BSvHnxrt91l3+vTFdj3afrxvlBo89W8zEJH6+B/+a++MgsnkBX7Pp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5wb8UAAADcAAAADwAAAAAAAAAA&#10;AAAAAAChAgAAZHJzL2Rvd25yZXYueG1sUEsFBgAAAAAEAAQA+QAAAJMDAAAAAA==&#10;" strokecolor="#70ad47 [3209]" strokeweight="1.5pt">
                  <v:stroke endarrow="block"/>
                </v:shape>
                <v:shape id="Straight Arrow Connector 336" o:spid="_x0000_s1040" type="#_x0000_t32" style="position:absolute;left:42430;top:33384;width:104;height:94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38v8MAAADcAAAADwAAAGRycy9kb3ducmV2LnhtbESPQWvCQBSE74X+h+UVvDUbDUiJWUWK&#10;gifBtOL1kX0modm3Ibuajb/eLRR6HGbmG6bYBNOJOw2utaxgnqQgiCurW64VfH/t3z9AOI+ssbNM&#10;CiZysFm/vhSYazvyie6lr0WEsMtRQeN9n0vpqoYMusT2xNG72sGgj3KopR5wjHDTyUWaLqXBluNC&#10;gz19NlT9lDej4EqXcn9Ek5124Vg/truzC9Ncqdlb2K5AeAr+P/zXPmgFWbaE3zPxCMj1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t/L/DAAAA3AAAAA8AAAAAAAAAAAAA&#10;AAAAoQIAAGRycy9kb3ducmV2LnhtbFBLBQYAAAAABAAEAPkAAACRAwAAAAA=&#10;" strokecolor="#4472c4 [3208]" strokeweight="1.5pt">
                  <v:stroke endarrow="block" joinstyle="miter"/>
                </v:shape>
                <v:shapetype id="_x0000_t33" coordsize="21600,21600" o:spt="33" o:oned="t" path="m,l21600,r,21600e" filled="f">
                  <v:stroke joinstyle="miter"/>
                  <v:path arrowok="t" fillok="f" o:connecttype="none"/>
                  <o:lock v:ext="edit" shapetype="t"/>
                </v:shapetype>
                <v:shape id="Elbow Connector 337" o:spid="_x0000_s1041" type="#_x0000_t33" style="position:absolute;left:16851;top:35150;width:25683;height:769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xcsQAAADcAAAADwAAAGRycy9kb3ducmV2LnhtbESPQWsCMRSE74X+h/AKvdVsla2yNUop&#10;qHvxUO0PeGxeN0s3L2kS3e2/N4LgcZiZb5jlerS9OFOInWMFr5MCBHHjdMetgu/j5mUBIiZkjb1j&#10;UvBPEdarx4clVtoN/EXnQ2pFhnCsUIFJyVdSxsaQxThxnjh7Py5YTFmGVuqAQ4bbXk6L4k1a7Dgv&#10;GPT0aaj5PZysAh+2+93WzP/6U+1lOSxK29alUs9P48c7iERjuodv7VormM3mcD2Tj4Bc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cHFyxAAAANwAAAAPAAAAAAAAAAAA&#10;AAAAAKECAABkcnMvZG93bnJldi54bWxQSwUGAAAAAAQABAD5AAAAkgMAAAAA&#10;" strokecolor="#4472c4 [3208]" strokeweight="1.5pt">
                  <v:stroke endarrow="block"/>
                </v:shape>
                <v:shape id="Elbow Connector 338" o:spid="_x0000_s1042" type="#_x0000_t34" style="position:absolute;left:50580;top:25338;width:9464;height:2555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vxcsIAAADcAAAADwAAAGRycy9kb3ducmV2LnhtbERPTYvCMBC9L/gfwgheljV1CyK1qaiw&#10;UBBh1UXwNjRjW2wmtYla//3mIHh8vO900ZtG3KlztWUFk3EEgriwuuZSwd/h52sGwnlkjY1lUvAk&#10;B4ts8JFiou2Dd3Tf+1KEEHYJKqi8bxMpXVGRQTe2LXHgzrYz6APsSqk7fIRw08jvKJpKgzWHhgpb&#10;WldUXPY3o+D0e9Qzk6/z23UTH9vT53Y1OWilRsN+OQfhqfdv8cudawVxHNaGM+EIy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avxcsIAAADcAAAADwAAAAAAAAAAAAAA&#10;AAChAgAAZHJzL2Rvd25yZXYueG1sUEsFBgAAAAAEAAQA+QAAAJADAAAAAA==&#10;" adj="3904" strokecolor="#4472c4 [3208]" strokeweight="1.5pt">
                  <v:stroke endarrow="block"/>
                </v:shape>
                <v:line id="Straight Connector 339" o:spid="_x0000_s1043" style="position:absolute;visibility:visible;mso-wrap-style:square" from="64323,33436" to="64323,35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fNLsUAAADcAAAADwAAAGRycy9kb3ducmV2LnhtbESPQWsCMRSE7wX/Q3hCb5rVBWlXoxSl&#10;ovYgtT3o7bF53SxuXrZJquu/bwpCj8PMfMPMFp1txIV8qB0rGA0zEMSl0zVXCj4/XgdPIEJE1tg4&#10;JgU3CrCY9x5mWGh35Xe6HGIlEoRDgQpMjG0hZSgNWQxD1xIn78t5izFJX0nt8ZrgtpHjLJtIizWn&#10;BYMtLQ2V58OPVbAqvT0fd601b6fv/Xqbb+LaHZV67HcvUxCRuvgfvrc3WkGeP8Pf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fNLsUAAADcAAAADwAAAAAAAAAA&#10;AAAAAAChAgAAZHJzL2Rvd25yZXYueG1sUEsFBgAAAAAEAAQA+QAAAJMDAAAAAA==&#10;" strokecolor="#4472c4 [3208]" strokeweight="1.5pt">
                  <v:stroke joinstyle="miter"/>
                </v:line>
                <v:shapetype id="_x0000_t202" coordsize="21600,21600" o:spt="202" path="m,l,21600r21600,l21600,xe">
                  <v:stroke joinstyle="miter"/>
                  <v:path gradientshapeok="t" o:connecttype="rect"/>
                </v:shapetype>
                <v:shape id="TextBox 119" o:spid="_x0000_s1044" type="#_x0000_t202" style="position:absolute;left:70450;top:34192;width:1252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l2MAA&#10;AADcAAAADwAAAGRycy9kb3ducmV2LnhtbERPTWvCQBC9F/wPyxR6041tlRKzEVELHnqppvchO2ZD&#10;s7MhOzXx33cPhR4f77vYTr5TNxpiG9jAcpGBIq6DbbkxUF3e52+goiBb7AKTgTtF2JazhwJzG0b+&#10;pNtZGpVCOOZowIn0udaxduQxLkJPnLhrGDxKgkOj7YBjCvedfs6ytfbYcmpw2NPeUf19/vEGROxu&#10;ea+OPp6+po/D6LJ6hZUxT4/TbgNKaJJ/8Z/7ZA28vKb5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pl2MAAAADcAAAADwAAAAAAAAAAAAAAAACYAgAAZHJzL2Rvd25y&#10;ZXYueG1sUEsFBgAAAAAEAAQA9QAAAIUDAAAAAA==&#10;" filled="f" stroked="f">
                  <v:textbox style="mso-fit-shape-to-text:t">
                    <w:txbxContent>
                      <w:p w14:paraId="4E9F2761" w14:textId="77777777" w:rsidR="006178BD" w:rsidRDefault="006178BD" w:rsidP="006178BD">
                        <w:pPr>
                          <w:pStyle w:val="NormalWeb"/>
                          <w:spacing w:before="0" w:beforeAutospacing="0" w:after="0" w:afterAutospacing="0"/>
                        </w:pPr>
                        <w:r>
                          <w:rPr>
                            <w:rFonts w:asciiTheme="minorHAnsi" w:hAnsi="Calibri" w:cstheme="minorBidi"/>
                            <w:b/>
                            <w:bCs/>
                            <w:color w:val="222A35" w:themeColor="text2" w:themeShade="80"/>
                            <w:kern w:val="24"/>
                            <w:sz w:val="20"/>
                            <w:szCs w:val="20"/>
                          </w:rPr>
                          <w:t>Outside CDR system</w:t>
                        </w:r>
                      </w:p>
                    </w:txbxContent>
                  </v:textbox>
                </v:shape>
                <v:shape id="TextBox 120" o:spid="_x0000_s1045" type="#_x0000_t202" style="position:absolute;left:14161;top:36175;width:31499;height:5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8GMUA&#10;AADcAAAADwAAAGRycy9kb3ducmV2LnhtbESPQWvCQBSE7wX/w/IKvekmjRaNWaUILbag0Kh4fWRf&#10;k2D2bcxuNf33XUHocZiZb5hs2ZtGXKhztWUF8SgCQVxYXXOpYL97G05BOI+ssbFMCn7JwXIxeMgw&#10;1fbKX3TJfSkChF2KCirv21RKV1Rk0I1sSxy8b9sZ9EF2pdQdXgPcNPI5il6kwZrDQoUtrSoqTvmP&#10;URAlfDD0vs21n35Odsl5Mzt+zJR6euxf5yA89f4/fG+vtYJkHMPt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H3wYxQAAANwAAAAPAAAAAAAAAAAAAAAAAJgCAABkcnMv&#10;ZG93bnJldi54bWxQSwUGAAAAAAQABAD1AAAAigMAAAAA&#10;" strokecolor="#ffd966 [1943]" strokeweight="2.25pt">
                  <v:textbox>
                    <w:txbxContent>
                      <w:p w14:paraId="5921DF2D" w14:textId="77777777" w:rsidR="006178BD" w:rsidRPr="006427CA" w:rsidRDefault="006178BD" w:rsidP="006178BD">
                        <w:pPr>
                          <w:pStyle w:val="NormalWeb"/>
                          <w:spacing w:before="0" w:beforeAutospacing="0" w:after="0" w:afterAutospacing="0" w:line="240" w:lineRule="auto"/>
                          <w:rPr>
                            <w:sz w:val="17"/>
                            <w:szCs w:val="17"/>
                          </w:rPr>
                        </w:pPr>
                        <w:r w:rsidRPr="006427CA">
                          <w:rPr>
                            <w:rFonts w:asciiTheme="minorHAnsi" w:hAnsi="Calibri" w:cstheme="minorBidi"/>
                            <w:color w:val="000000" w:themeColor="text1"/>
                            <w:kern w:val="24"/>
                            <w:sz w:val="17"/>
                            <w:szCs w:val="17"/>
                          </w:rPr>
                          <w:t>Accredited Person is subject to Privacy Safeguards and Rules when transferring data outside of the CDR system, including overseas</w:t>
                        </w:r>
                        <w:r>
                          <w:rPr>
                            <w:rFonts w:asciiTheme="minorHAnsi" w:hAnsi="Calibri" w:cstheme="minorBidi"/>
                            <w:color w:val="000000" w:themeColor="text1"/>
                            <w:kern w:val="24"/>
                            <w:sz w:val="17"/>
                            <w:szCs w:val="17"/>
                          </w:rPr>
                          <w:t>. Note transfer to non-accredited data recipients is highly restricted.</w:t>
                        </w:r>
                      </w:p>
                    </w:txbxContent>
                  </v:textbox>
                </v:shape>
                <v:shape id="TextBox 121" o:spid="_x0000_s1046" type="#_x0000_t202" style="position:absolute;left:70450;top:5046;width:1346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eNMMA&#10;AADcAAAADwAAAGRycy9kb3ducmV2LnhtbESPQWvCQBSE7wX/w/IEb3WjtkWiq4hV8NBLbbw/ss9s&#10;MPs2ZF9N/PfdQqHHYWa+YdbbwTfqTl2sAxuYTTNQxGWwNVcGiq/j8xJUFGSLTWAy8KAI283oaY25&#10;DT1/0v0slUoQjjkacCJtrnUsHXmM09ASJ+8aOo+SZFdp22Gf4L7R8yx70x5rTgsOW9o7Km/nb29A&#10;xO5mj+Lg4+kyfLz3LitfsTBmMh52K1BCg/yH/9ona2DxM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ReNMMAAADcAAAADwAAAAAAAAAAAAAAAACYAgAAZHJzL2Rv&#10;d25yZXYueG1sUEsFBgAAAAAEAAQA9QAAAIgDAAAAAA==&#10;" filled="f" stroked="f">
                  <v:textbox style="mso-fit-shape-to-text:t">
                    <w:txbxContent>
                      <w:p w14:paraId="3B1C6E28" w14:textId="77777777" w:rsidR="006178BD" w:rsidRDefault="006178BD" w:rsidP="006178BD">
                        <w:pPr>
                          <w:pStyle w:val="NormalWeb"/>
                          <w:spacing w:before="0" w:beforeAutospacing="0" w:after="0" w:afterAutospacing="0"/>
                        </w:pPr>
                        <w:r>
                          <w:rPr>
                            <w:rFonts w:asciiTheme="minorHAnsi" w:hAnsi="Calibri" w:cstheme="minorBidi"/>
                            <w:b/>
                            <w:bCs/>
                            <w:color w:val="222A35" w:themeColor="text2" w:themeShade="80"/>
                            <w:kern w:val="24"/>
                            <w:sz w:val="20"/>
                            <w:szCs w:val="20"/>
                          </w:rPr>
                          <w:t>Inside CDR system</w:t>
                        </w:r>
                      </w:p>
                    </w:txbxContent>
                  </v:textbox>
                </v:shape>
                <v:shape id="TextBox 122" o:spid="_x0000_s1047" type="#_x0000_t202" style="position:absolute;left:70450;top:2551;width:1252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7r8MA&#10;AADcAAAADwAAAGRycy9kb3ducmV2LnhtbESPQWvCQBSE7wX/w/KE3urGaotEVxG14KGX2nh/ZJ/Z&#10;YPZtyL6a+O/dQqHHYWa+YVabwTfqRl2sAxuYTjJQxGWwNVcGiu+PlwWoKMgWm8Bk4E4RNuvR0wpz&#10;G3r+ottJKpUgHHM04ETaXOtYOvIYJ6ElTt4ldB4lya7StsM+wX2jX7PsXXusOS04bGnnqLyefrwB&#10;Ebud3ouDj8fz8LnvXVa+YWHM83jYLkEJDfIf/msfrYHZfAa/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j7r8MAAADcAAAADwAAAAAAAAAAAAAAAACYAgAAZHJzL2Rv&#10;d25yZXYueG1sUEsFBgAAAAAEAAQA9QAAAIgDAAAAAA==&#10;" filled="f" stroked="f">
                  <v:textbox style="mso-fit-shape-to-text:t">
                    <w:txbxContent>
                      <w:p w14:paraId="3643DBE8" w14:textId="77777777" w:rsidR="006178BD" w:rsidRDefault="006178BD" w:rsidP="006178BD">
                        <w:pPr>
                          <w:pStyle w:val="NormalWeb"/>
                          <w:spacing w:before="0" w:beforeAutospacing="0" w:after="0" w:afterAutospacing="0"/>
                        </w:pPr>
                        <w:r>
                          <w:rPr>
                            <w:rFonts w:asciiTheme="minorHAnsi" w:hAnsi="Calibri" w:cstheme="minorBidi"/>
                            <w:b/>
                            <w:bCs/>
                            <w:color w:val="222A35" w:themeColor="text2" w:themeShade="80"/>
                            <w:kern w:val="24"/>
                            <w:sz w:val="20"/>
                            <w:szCs w:val="20"/>
                          </w:rPr>
                          <w:t>Outside CDR system</w:t>
                        </w:r>
                      </w:p>
                    </w:txbxContent>
                  </v:textbox>
                </v:shape>
                <w10:wrap type="tight"/>
              </v:group>
            </w:pict>
          </mc:Fallback>
        </mc:AlternateContent>
      </w:r>
    </w:p>
    <w:sectPr w:rsidR="006178BD" w:rsidRPr="006178BD" w:rsidSect="006178BD">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50347" w14:textId="77777777" w:rsidR="00121BE6" w:rsidRDefault="00121BE6">
      <w:pPr>
        <w:spacing w:before="0" w:after="0"/>
      </w:pPr>
      <w:r>
        <w:separator/>
      </w:r>
    </w:p>
  </w:endnote>
  <w:endnote w:type="continuationSeparator" w:id="0">
    <w:p w14:paraId="6E7DF797" w14:textId="77777777" w:rsidR="00121BE6" w:rsidRDefault="00121B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3B3FD" w14:textId="77777777" w:rsidR="00EF145E" w:rsidRDefault="00EF145E" w:rsidP="003C24B4">
    <w:pPr>
      <w:pStyle w:val="FooterEven"/>
    </w:pPr>
    <w:r>
      <w:rPr>
        <w:noProof w:val="0"/>
      </w:rPr>
      <w:fldChar w:fldCharType="begin"/>
    </w:r>
    <w:r>
      <w:instrText xml:space="preserve"> PAGE   \* MERGEFORMAT </w:instrText>
    </w:r>
    <w:r>
      <w:rPr>
        <w:noProof w:val="0"/>
      </w:rPr>
      <w:fldChar w:fldCharType="separate"/>
    </w:r>
    <w:r w:rsidR="00AF3963">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0B4EA" w14:textId="77777777" w:rsidR="00C72318" w:rsidRDefault="00C72318">
    <w:pPr>
      <w:pStyle w:val="Footer"/>
    </w:pPr>
    <w:r>
      <w:rPr>
        <w:noProof/>
      </w:rPr>
      <w:drawing>
        <wp:anchor distT="0" distB="0" distL="114300" distR="114300" simplePos="0" relativeHeight="251659264" behindDoc="1" locked="0" layoutInCell="1" allowOverlap="1" wp14:anchorId="10DE9D4C" wp14:editId="47451AEA">
          <wp:simplePos x="904875" y="5705475"/>
          <wp:positionH relativeFrom="page">
            <wp:align>center</wp:align>
          </wp:positionH>
          <wp:positionV relativeFrom="page">
            <wp:align>bottom</wp:align>
          </wp:positionV>
          <wp:extent cx="7560000" cy="5959800"/>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959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31414" w14:textId="77777777" w:rsidR="00EF145E" w:rsidRDefault="00EF145E" w:rsidP="006C5B73">
    <w:pPr>
      <w:pStyle w:val="FooterOdd"/>
    </w:pPr>
    <w:r>
      <w:fldChar w:fldCharType="begin"/>
    </w:r>
    <w:r>
      <w:instrText xml:space="preserve"> PAGE   \* MERGEFORMAT </w:instrText>
    </w:r>
    <w:r>
      <w:fldChar w:fldCharType="separate"/>
    </w:r>
    <w:r w:rsidR="00121BE6">
      <w:rPr>
        <w:noProof/>
      </w:rPr>
      <w:t>iii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BE9BE" w14:textId="77777777" w:rsidR="00EF145E" w:rsidRPr="00E77C89" w:rsidRDefault="00EF145E" w:rsidP="00EE1447">
    <w:pPr>
      <w:pStyle w:val="FooterEven"/>
    </w:pPr>
    <w:r>
      <w:fldChar w:fldCharType="begin"/>
    </w:r>
    <w:r>
      <w:instrText xml:space="preserve"> PAGE  \* Arabic  \* MERGEFORMAT </w:instrText>
    </w:r>
    <w:r>
      <w:fldChar w:fldCharType="separate"/>
    </w:r>
    <w:r w:rsidR="00AF3963">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34328" w14:textId="77777777" w:rsidR="00EF145E" w:rsidRDefault="00EF145E" w:rsidP="006C5B73">
    <w:pPr>
      <w:pStyle w:val="FooterOdd"/>
    </w:pPr>
    <w:r>
      <w:fldChar w:fldCharType="begin"/>
    </w:r>
    <w:r>
      <w:instrText xml:space="preserve"> PAGE   \* MERGEFORMAT </w:instrText>
    </w:r>
    <w:r>
      <w:fldChar w:fldCharType="separate"/>
    </w:r>
    <w:r w:rsidR="00AF3963">
      <w:rPr>
        <w:noProof/>
      </w:rPr>
      <w:t>3</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97A6A" w14:textId="77777777" w:rsidR="00EF145E" w:rsidRDefault="00EF1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D0B30" w14:textId="77777777" w:rsidR="00121BE6" w:rsidRDefault="00121BE6">
      <w:pPr>
        <w:spacing w:before="0" w:after="0"/>
      </w:pPr>
      <w:r>
        <w:separator/>
      </w:r>
    </w:p>
  </w:footnote>
  <w:footnote w:type="continuationSeparator" w:id="0">
    <w:p w14:paraId="5C311871" w14:textId="77777777" w:rsidR="00121BE6" w:rsidRDefault="00121BE6">
      <w:pPr>
        <w:spacing w:before="0" w:after="0"/>
      </w:pPr>
      <w:r>
        <w:continuationSeparator/>
      </w:r>
    </w:p>
  </w:footnote>
  <w:footnote w:id="1">
    <w:p w14:paraId="41266696" w14:textId="77777777" w:rsidR="00121BE6" w:rsidRDefault="00121BE6" w:rsidP="00121BE6">
      <w:pPr>
        <w:pStyle w:val="FootnoteText"/>
      </w:pPr>
      <w:r>
        <w:rPr>
          <w:rStyle w:val="FootnoteReference"/>
        </w:rPr>
        <w:footnoteRef/>
      </w:r>
      <w:r>
        <w:t xml:space="preserve"> A penalty unit is currently $210</w:t>
      </w:r>
    </w:p>
  </w:footnote>
  <w:footnote w:id="2">
    <w:p w14:paraId="793A71B0" w14:textId="77777777" w:rsidR="00121BE6" w:rsidRDefault="00121BE6" w:rsidP="00121BE6">
      <w:pPr>
        <w:pStyle w:val="FootnoteText"/>
      </w:pPr>
      <w:r>
        <w:rPr>
          <w:rStyle w:val="FootnoteReference"/>
        </w:rPr>
        <w:footnoteRef/>
      </w:r>
      <w:r>
        <w:t xml:space="preserve"> The Privacy Act 1988 defines SMEs as businesses with annual turnovers of less than $3 million.</w:t>
      </w:r>
    </w:p>
  </w:footnote>
  <w:footnote w:id="3">
    <w:p w14:paraId="52286E0A" w14:textId="77777777" w:rsidR="00121BE6" w:rsidRDefault="00121BE6" w:rsidP="00121BE6">
      <w:pPr>
        <w:pStyle w:val="FootnoteText"/>
      </w:pPr>
      <w:r>
        <w:rPr>
          <w:rStyle w:val="FootnoteReference"/>
        </w:rPr>
        <w:footnoteRef/>
      </w:r>
      <w:r>
        <w:t xml:space="preserve"> </w:t>
      </w:r>
      <w:r w:rsidRPr="00D9253A">
        <w:t>The Privacy Act does, however, allow an individual to seek injunctive relief through the courts.</w:t>
      </w:r>
      <w:r>
        <w:t xml:space="preserve"> Some direct rights of action may arise from the relevant conduct under other laws, such as defamation laws, breach of contract or consumer laws regarding misleading and deceptive conduct. </w:t>
      </w:r>
    </w:p>
  </w:footnote>
  <w:footnote w:id="4">
    <w:p w14:paraId="74124E45" w14:textId="77777777" w:rsidR="00121BE6" w:rsidRDefault="00121BE6" w:rsidP="00121BE6">
      <w:pPr>
        <w:pStyle w:val="FootnoteText"/>
      </w:pPr>
      <w:r>
        <w:rPr>
          <w:rStyle w:val="FootnoteReference"/>
        </w:rPr>
        <w:footnoteRef/>
      </w:r>
      <w:r>
        <w:t xml:space="preserve"> The OAIC is limited to providing remedies to individuals and small and medium sized enterprises.</w:t>
      </w:r>
    </w:p>
  </w:footnote>
  <w:footnote w:id="5">
    <w:p w14:paraId="7D51A8B2" w14:textId="77777777" w:rsidR="00121BE6" w:rsidRDefault="00121BE6" w:rsidP="00121BE6">
      <w:pPr>
        <w:pStyle w:val="CommentText"/>
        <w:spacing w:after="0"/>
      </w:pPr>
      <w:r>
        <w:rPr>
          <w:rStyle w:val="FootnoteReference"/>
        </w:rPr>
        <w:footnoteRef/>
      </w:r>
      <w:r>
        <w:t xml:space="preserve"> Only when that type of data is designated as being subject to the regime.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EAED7" w14:textId="77777777" w:rsidR="00C72318" w:rsidRDefault="00C72318">
    <w:pPr>
      <w:pStyle w:val="Header"/>
    </w:pPr>
    <w:r>
      <w:rPr>
        <w:noProof/>
      </w:rPr>
      <w:drawing>
        <wp:anchor distT="0" distB="0" distL="114300" distR="114300" simplePos="0" relativeHeight="251658240" behindDoc="1" locked="0" layoutInCell="1" allowOverlap="1" wp14:anchorId="3833EC4B" wp14:editId="3AFCD75B">
          <wp:simplePos x="904875" y="447675"/>
          <wp:positionH relativeFrom="page">
            <wp:align>center</wp:align>
          </wp:positionH>
          <wp:positionV relativeFrom="page">
            <wp:posOffset>180340</wp:posOffset>
          </wp:positionV>
          <wp:extent cx="7200000" cy="107964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86FCB" w14:textId="77777777" w:rsidR="00EF145E" w:rsidRPr="001F3912" w:rsidRDefault="009A7967" w:rsidP="00A12F62">
    <w:pPr>
      <w:pStyle w:val="HeaderEven"/>
    </w:pPr>
    <w:fldSimple w:instr=" STYLEREF  Title  \* MERGEFORMAT ">
      <w:r w:rsidR="00AF3963">
        <w:rPr>
          <w:noProof/>
        </w:rPr>
        <w:t>Consumer Data Right Privacy Protections</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35688" w14:textId="77777777" w:rsidR="00EF145E" w:rsidRPr="001F3912" w:rsidRDefault="00EF145E" w:rsidP="00121BE6">
    <w:pPr>
      <w:pStyle w:val="HeaderOdd"/>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A10A2" w14:textId="77777777" w:rsidR="00EF145E" w:rsidRDefault="00EF1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6CC4E5D"/>
    <w:multiLevelType w:val="multilevel"/>
    <w:tmpl w:val="D10E9CF6"/>
    <w:numStyleLink w:val="OneLevelList"/>
  </w:abstractNum>
  <w:abstractNum w:abstractNumId="4">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1963F79"/>
    <w:multiLevelType w:val="multilevel"/>
    <w:tmpl w:val="677EEC00"/>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48C5F47"/>
    <w:multiLevelType w:val="hybridMultilevel"/>
    <w:tmpl w:val="C9045990"/>
    <w:lvl w:ilvl="0" w:tplc="76BC9CB4">
      <w:start w:val="1"/>
      <w:numFmt w:val="bullet"/>
      <w:lvlText w:val="•"/>
      <w:lvlJc w:val="left"/>
      <w:pPr>
        <w:tabs>
          <w:tab w:val="num" w:pos="720"/>
        </w:tabs>
        <w:ind w:left="720" w:hanging="360"/>
      </w:pPr>
      <w:rPr>
        <w:rFonts w:ascii="Arial" w:hAnsi="Arial" w:hint="default"/>
      </w:rPr>
    </w:lvl>
    <w:lvl w:ilvl="1" w:tplc="1BAE5E10" w:tentative="1">
      <w:start w:val="1"/>
      <w:numFmt w:val="bullet"/>
      <w:lvlText w:val="•"/>
      <w:lvlJc w:val="left"/>
      <w:pPr>
        <w:tabs>
          <w:tab w:val="num" w:pos="1440"/>
        </w:tabs>
        <w:ind w:left="1440" w:hanging="360"/>
      </w:pPr>
      <w:rPr>
        <w:rFonts w:ascii="Arial" w:hAnsi="Arial" w:hint="default"/>
      </w:rPr>
    </w:lvl>
    <w:lvl w:ilvl="2" w:tplc="FCB0A6B6" w:tentative="1">
      <w:start w:val="1"/>
      <w:numFmt w:val="bullet"/>
      <w:lvlText w:val="•"/>
      <w:lvlJc w:val="left"/>
      <w:pPr>
        <w:tabs>
          <w:tab w:val="num" w:pos="2160"/>
        </w:tabs>
        <w:ind w:left="2160" w:hanging="360"/>
      </w:pPr>
      <w:rPr>
        <w:rFonts w:ascii="Arial" w:hAnsi="Arial" w:hint="default"/>
      </w:rPr>
    </w:lvl>
    <w:lvl w:ilvl="3" w:tplc="277885F0" w:tentative="1">
      <w:start w:val="1"/>
      <w:numFmt w:val="bullet"/>
      <w:lvlText w:val="•"/>
      <w:lvlJc w:val="left"/>
      <w:pPr>
        <w:tabs>
          <w:tab w:val="num" w:pos="2880"/>
        </w:tabs>
        <w:ind w:left="2880" w:hanging="360"/>
      </w:pPr>
      <w:rPr>
        <w:rFonts w:ascii="Arial" w:hAnsi="Arial" w:hint="default"/>
      </w:rPr>
    </w:lvl>
    <w:lvl w:ilvl="4" w:tplc="DAB877EE" w:tentative="1">
      <w:start w:val="1"/>
      <w:numFmt w:val="bullet"/>
      <w:lvlText w:val="•"/>
      <w:lvlJc w:val="left"/>
      <w:pPr>
        <w:tabs>
          <w:tab w:val="num" w:pos="3600"/>
        </w:tabs>
        <w:ind w:left="3600" w:hanging="360"/>
      </w:pPr>
      <w:rPr>
        <w:rFonts w:ascii="Arial" w:hAnsi="Arial" w:hint="default"/>
      </w:rPr>
    </w:lvl>
    <w:lvl w:ilvl="5" w:tplc="7F569DCA" w:tentative="1">
      <w:start w:val="1"/>
      <w:numFmt w:val="bullet"/>
      <w:lvlText w:val="•"/>
      <w:lvlJc w:val="left"/>
      <w:pPr>
        <w:tabs>
          <w:tab w:val="num" w:pos="4320"/>
        </w:tabs>
        <w:ind w:left="4320" w:hanging="360"/>
      </w:pPr>
      <w:rPr>
        <w:rFonts w:ascii="Arial" w:hAnsi="Arial" w:hint="default"/>
      </w:rPr>
    </w:lvl>
    <w:lvl w:ilvl="6" w:tplc="E3303FCC" w:tentative="1">
      <w:start w:val="1"/>
      <w:numFmt w:val="bullet"/>
      <w:lvlText w:val="•"/>
      <w:lvlJc w:val="left"/>
      <w:pPr>
        <w:tabs>
          <w:tab w:val="num" w:pos="5040"/>
        </w:tabs>
        <w:ind w:left="5040" w:hanging="360"/>
      </w:pPr>
      <w:rPr>
        <w:rFonts w:ascii="Arial" w:hAnsi="Arial" w:hint="default"/>
      </w:rPr>
    </w:lvl>
    <w:lvl w:ilvl="7" w:tplc="042EBA98" w:tentative="1">
      <w:start w:val="1"/>
      <w:numFmt w:val="bullet"/>
      <w:lvlText w:val="•"/>
      <w:lvlJc w:val="left"/>
      <w:pPr>
        <w:tabs>
          <w:tab w:val="num" w:pos="5760"/>
        </w:tabs>
        <w:ind w:left="5760" w:hanging="360"/>
      </w:pPr>
      <w:rPr>
        <w:rFonts w:ascii="Arial" w:hAnsi="Arial" w:hint="default"/>
      </w:rPr>
    </w:lvl>
    <w:lvl w:ilvl="8" w:tplc="DB84DD4C" w:tentative="1">
      <w:start w:val="1"/>
      <w:numFmt w:val="bullet"/>
      <w:lvlText w:val="•"/>
      <w:lvlJc w:val="left"/>
      <w:pPr>
        <w:tabs>
          <w:tab w:val="num" w:pos="6480"/>
        </w:tabs>
        <w:ind w:left="6480" w:hanging="360"/>
      </w:pPr>
      <w:rPr>
        <w:rFonts w:ascii="Arial" w:hAnsi="Arial" w:hint="default"/>
      </w:rPr>
    </w:lvl>
  </w:abstractNum>
  <w:abstractNum w:abstractNumId="12">
    <w:nsid w:val="4B6C433B"/>
    <w:multiLevelType w:val="hybridMultilevel"/>
    <w:tmpl w:val="E41E0F16"/>
    <w:lvl w:ilvl="0" w:tplc="03260B7E">
      <w:start w:val="1"/>
      <w:numFmt w:val="bullet"/>
      <w:lvlText w:val="•"/>
      <w:lvlJc w:val="left"/>
      <w:pPr>
        <w:tabs>
          <w:tab w:val="num" w:pos="720"/>
        </w:tabs>
        <w:ind w:left="720" w:hanging="360"/>
      </w:pPr>
      <w:rPr>
        <w:rFonts w:ascii="Arial" w:hAnsi="Arial" w:hint="default"/>
      </w:rPr>
    </w:lvl>
    <w:lvl w:ilvl="1" w:tplc="3E500796" w:tentative="1">
      <w:start w:val="1"/>
      <w:numFmt w:val="bullet"/>
      <w:lvlText w:val="•"/>
      <w:lvlJc w:val="left"/>
      <w:pPr>
        <w:tabs>
          <w:tab w:val="num" w:pos="1440"/>
        </w:tabs>
        <w:ind w:left="1440" w:hanging="360"/>
      </w:pPr>
      <w:rPr>
        <w:rFonts w:ascii="Arial" w:hAnsi="Arial" w:hint="default"/>
      </w:rPr>
    </w:lvl>
    <w:lvl w:ilvl="2" w:tplc="40E87EA4" w:tentative="1">
      <w:start w:val="1"/>
      <w:numFmt w:val="bullet"/>
      <w:lvlText w:val="•"/>
      <w:lvlJc w:val="left"/>
      <w:pPr>
        <w:tabs>
          <w:tab w:val="num" w:pos="2160"/>
        </w:tabs>
        <w:ind w:left="2160" w:hanging="360"/>
      </w:pPr>
      <w:rPr>
        <w:rFonts w:ascii="Arial" w:hAnsi="Arial" w:hint="default"/>
      </w:rPr>
    </w:lvl>
    <w:lvl w:ilvl="3" w:tplc="ECBA5304" w:tentative="1">
      <w:start w:val="1"/>
      <w:numFmt w:val="bullet"/>
      <w:lvlText w:val="•"/>
      <w:lvlJc w:val="left"/>
      <w:pPr>
        <w:tabs>
          <w:tab w:val="num" w:pos="2880"/>
        </w:tabs>
        <w:ind w:left="2880" w:hanging="360"/>
      </w:pPr>
      <w:rPr>
        <w:rFonts w:ascii="Arial" w:hAnsi="Arial" w:hint="default"/>
      </w:rPr>
    </w:lvl>
    <w:lvl w:ilvl="4" w:tplc="4FAAA844" w:tentative="1">
      <w:start w:val="1"/>
      <w:numFmt w:val="bullet"/>
      <w:lvlText w:val="•"/>
      <w:lvlJc w:val="left"/>
      <w:pPr>
        <w:tabs>
          <w:tab w:val="num" w:pos="3600"/>
        </w:tabs>
        <w:ind w:left="3600" w:hanging="360"/>
      </w:pPr>
      <w:rPr>
        <w:rFonts w:ascii="Arial" w:hAnsi="Arial" w:hint="default"/>
      </w:rPr>
    </w:lvl>
    <w:lvl w:ilvl="5" w:tplc="D64817D6" w:tentative="1">
      <w:start w:val="1"/>
      <w:numFmt w:val="bullet"/>
      <w:lvlText w:val="•"/>
      <w:lvlJc w:val="left"/>
      <w:pPr>
        <w:tabs>
          <w:tab w:val="num" w:pos="4320"/>
        </w:tabs>
        <w:ind w:left="4320" w:hanging="360"/>
      </w:pPr>
      <w:rPr>
        <w:rFonts w:ascii="Arial" w:hAnsi="Arial" w:hint="default"/>
      </w:rPr>
    </w:lvl>
    <w:lvl w:ilvl="6" w:tplc="CC3E2644" w:tentative="1">
      <w:start w:val="1"/>
      <w:numFmt w:val="bullet"/>
      <w:lvlText w:val="•"/>
      <w:lvlJc w:val="left"/>
      <w:pPr>
        <w:tabs>
          <w:tab w:val="num" w:pos="5040"/>
        </w:tabs>
        <w:ind w:left="5040" w:hanging="360"/>
      </w:pPr>
      <w:rPr>
        <w:rFonts w:ascii="Arial" w:hAnsi="Arial" w:hint="default"/>
      </w:rPr>
    </w:lvl>
    <w:lvl w:ilvl="7" w:tplc="7F02179A" w:tentative="1">
      <w:start w:val="1"/>
      <w:numFmt w:val="bullet"/>
      <w:lvlText w:val="•"/>
      <w:lvlJc w:val="left"/>
      <w:pPr>
        <w:tabs>
          <w:tab w:val="num" w:pos="5760"/>
        </w:tabs>
        <w:ind w:left="5760" w:hanging="360"/>
      </w:pPr>
      <w:rPr>
        <w:rFonts w:ascii="Arial" w:hAnsi="Arial" w:hint="default"/>
      </w:rPr>
    </w:lvl>
    <w:lvl w:ilvl="8" w:tplc="E268542C" w:tentative="1">
      <w:start w:val="1"/>
      <w:numFmt w:val="bullet"/>
      <w:lvlText w:val="•"/>
      <w:lvlJc w:val="left"/>
      <w:pPr>
        <w:tabs>
          <w:tab w:val="num" w:pos="6480"/>
        </w:tabs>
        <w:ind w:left="6480" w:hanging="360"/>
      </w:pPr>
      <w:rPr>
        <w:rFonts w:ascii="Arial" w:hAnsi="Arial" w:hint="default"/>
      </w:rPr>
    </w:lvl>
  </w:abstractNum>
  <w:abstractNum w:abstractNumId="13">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4">
    <w:nsid w:val="510D2021"/>
    <w:multiLevelType w:val="multilevel"/>
    <w:tmpl w:val="72F8140E"/>
    <w:numStyleLink w:val="OutlineList"/>
  </w:abstractNum>
  <w:abstractNum w:abstractNumId="15">
    <w:nsid w:val="52CF0340"/>
    <w:multiLevelType w:val="hybridMultilevel"/>
    <w:tmpl w:val="B15243EE"/>
    <w:lvl w:ilvl="0" w:tplc="802A40F2">
      <w:start w:val="1"/>
      <w:numFmt w:val="bullet"/>
      <w:lvlText w:val="•"/>
      <w:lvlJc w:val="left"/>
      <w:pPr>
        <w:tabs>
          <w:tab w:val="num" w:pos="720"/>
        </w:tabs>
        <w:ind w:left="720" w:hanging="360"/>
      </w:pPr>
      <w:rPr>
        <w:rFonts w:ascii="Arial" w:hAnsi="Arial" w:hint="default"/>
      </w:rPr>
    </w:lvl>
    <w:lvl w:ilvl="1" w:tplc="E0FA7EE0" w:tentative="1">
      <w:start w:val="1"/>
      <w:numFmt w:val="bullet"/>
      <w:lvlText w:val="•"/>
      <w:lvlJc w:val="left"/>
      <w:pPr>
        <w:tabs>
          <w:tab w:val="num" w:pos="1440"/>
        </w:tabs>
        <w:ind w:left="1440" w:hanging="360"/>
      </w:pPr>
      <w:rPr>
        <w:rFonts w:ascii="Arial" w:hAnsi="Arial" w:hint="default"/>
      </w:rPr>
    </w:lvl>
    <w:lvl w:ilvl="2" w:tplc="EE304C5C" w:tentative="1">
      <w:start w:val="1"/>
      <w:numFmt w:val="bullet"/>
      <w:lvlText w:val="•"/>
      <w:lvlJc w:val="left"/>
      <w:pPr>
        <w:tabs>
          <w:tab w:val="num" w:pos="2160"/>
        </w:tabs>
        <w:ind w:left="2160" w:hanging="360"/>
      </w:pPr>
      <w:rPr>
        <w:rFonts w:ascii="Arial" w:hAnsi="Arial" w:hint="default"/>
      </w:rPr>
    </w:lvl>
    <w:lvl w:ilvl="3" w:tplc="C3B4807E" w:tentative="1">
      <w:start w:val="1"/>
      <w:numFmt w:val="bullet"/>
      <w:lvlText w:val="•"/>
      <w:lvlJc w:val="left"/>
      <w:pPr>
        <w:tabs>
          <w:tab w:val="num" w:pos="2880"/>
        </w:tabs>
        <w:ind w:left="2880" w:hanging="360"/>
      </w:pPr>
      <w:rPr>
        <w:rFonts w:ascii="Arial" w:hAnsi="Arial" w:hint="default"/>
      </w:rPr>
    </w:lvl>
    <w:lvl w:ilvl="4" w:tplc="FD7AB8B0" w:tentative="1">
      <w:start w:val="1"/>
      <w:numFmt w:val="bullet"/>
      <w:lvlText w:val="•"/>
      <w:lvlJc w:val="left"/>
      <w:pPr>
        <w:tabs>
          <w:tab w:val="num" w:pos="3600"/>
        </w:tabs>
        <w:ind w:left="3600" w:hanging="360"/>
      </w:pPr>
      <w:rPr>
        <w:rFonts w:ascii="Arial" w:hAnsi="Arial" w:hint="default"/>
      </w:rPr>
    </w:lvl>
    <w:lvl w:ilvl="5" w:tplc="CB4A728A" w:tentative="1">
      <w:start w:val="1"/>
      <w:numFmt w:val="bullet"/>
      <w:lvlText w:val="•"/>
      <w:lvlJc w:val="left"/>
      <w:pPr>
        <w:tabs>
          <w:tab w:val="num" w:pos="4320"/>
        </w:tabs>
        <w:ind w:left="4320" w:hanging="360"/>
      </w:pPr>
      <w:rPr>
        <w:rFonts w:ascii="Arial" w:hAnsi="Arial" w:hint="default"/>
      </w:rPr>
    </w:lvl>
    <w:lvl w:ilvl="6" w:tplc="7A6612A8" w:tentative="1">
      <w:start w:val="1"/>
      <w:numFmt w:val="bullet"/>
      <w:lvlText w:val="•"/>
      <w:lvlJc w:val="left"/>
      <w:pPr>
        <w:tabs>
          <w:tab w:val="num" w:pos="5040"/>
        </w:tabs>
        <w:ind w:left="5040" w:hanging="360"/>
      </w:pPr>
      <w:rPr>
        <w:rFonts w:ascii="Arial" w:hAnsi="Arial" w:hint="default"/>
      </w:rPr>
    </w:lvl>
    <w:lvl w:ilvl="7" w:tplc="1A3AA440" w:tentative="1">
      <w:start w:val="1"/>
      <w:numFmt w:val="bullet"/>
      <w:lvlText w:val="•"/>
      <w:lvlJc w:val="left"/>
      <w:pPr>
        <w:tabs>
          <w:tab w:val="num" w:pos="5760"/>
        </w:tabs>
        <w:ind w:left="5760" w:hanging="360"/>
      </w:pPr>
      <w:rPr>
        <w:rFonts w:ascii="Arial" w:hAnsi="Arial" w:hint="default"/>
      </w:rPr>
    </w:lvl>
    <w:lvl w:ilvl="8" w:tplc="9944685A" w:tentative="1">
      <w:start w:val="1"/>
      <w:numFmt w:val="bullet"/>
      <w:lvlText w:val="•"/>
      <w:lvlJc w:val="left"/>
      <w:pPr>
        <w:tabs>
          <w:tab w:val="num" w:pos="6480"/>
        </w:tabs>
        <w:ind w:left="6480" w:hanging="360"/>
      </w:pPr>
      <w:rPr>
        <w:rFonts w:ascii="Arial" w:hAnsi="Arial" w:hint="default"/>
      </w:rPr>
    </w:lvl>
  </w:abstractNum>
  <w:abstractNum w:abstractNumId="16">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4192AF4"/>
    <w:multiLevelType w:val="hybridMultilevel"/>
    <w:tmpl w:val="FC2A84AE"/>
    <w:lvl w:ilvl="0" w:tplc="82880F34">
      <w:start w:val="1"/>
      <w:numFmt w:val="bullet"/>
      <w:lvlText w:val="•"/>
      <w:lvlJc w:val="left"/>
      <w:pPr>
        <w:tabs>
          <w:tab w:val="num" w:pos="720"/>
        </w:tabs>
        <w:ind w:left="720" w:hanging="360"/>
      </w:pPr>
      <w:rPr>
        <w:rFonts w:ascii="Arial" w:hAnsi="Arial" w:hint="default"/>
      </w:rPr>
    </w:lvl>
    <w:lvl w:ilvl="1" w:tplc="B986F1FA" w:tentative="1">
      <w:start w:val="1"/>
      <w:numFmt w:val="bullet"/>
      <w:lvlText w:val="•"/>
      <w:lvlJc w:val="left"/>
      <w:pPr>
        <w:tabs>
          <w:tab w:val="num" w:pos="1440"/>
        </w:tabs>
        <w:ind w:left="1440" w:hanging="360"/>
      </w:pPr>
      <w:rPr>
        <w:rFonts w:ascii="Arial" w:hAnsi="Arial" w:hint="default"/>
      </w:rPr>
    </w:lvl>
    <w:lvl w:ilvl="2" w:tplc="A80C880A" w:tentative="1">
      <w:start w:val="1"/>
      <w:numFmt w:val="bullet"/>
      <w:lvlText w:val="•"/>
      <w:lvlJc w:val="left"/>
      <w:pPr>
        <w:tabs>
          <w:tab w:val="num" w:pos="2160"/>
        </w:tabs>
        <w:ind w:left="2160" w:hanging="360"/>
      </w:pPr>
      <w:rPr>
        <w:rFonts w:ascii="Arial" w:hAnsi="Arial" w:hint="default"/>
      </w:rPr>
    </w:lvl>
    <w:lvl w:ilvl="3" w:tplc="503A36B6" w:tentative="1">
      <w:start w:val="1"/>
      <w:numFmt w:val="bullet"/>
      <w:lvlText w:val="•"/>
      <w:lvlJc w:val="left"/>
      <w:pPr>
        <w:tabs>
          <w:tab w:val="num" w:pos="2880"/>
        </w:tabs>
        <w:ind w:left="2880" w:hanging="360"/>
      </w:pPr>
      <w:rPr>
        <w:rFonts w:ascii="Arial" w:hAnsi="Arial" w:hint="default"/>
      </w:rPr>
    </w:lvl>
    <w:lvl w:ilvl="4" w:tplc="4FFA9086" w:tentative="1">
      <w:start w:val="1"/>
      <w:numFmt w:val="bullet"/>
      <w:lvlText w:val="•"/>
      <w:lvlJc w:val="left"/>
      <w:pPr>
        <w:tabs>
          <w:tab w:val="num" w:pos="3600"/>
        </w:tabs>
        <w:ind w:left="3600" w:hanging="360"/>
      </w:pPr>
      <w:rPr>
        <w:rFonts w:ascii="Arial" w:hAnsi="Arial" w:hint="default"/>
      </w:rPr>
    </w:lvl>
    <w:lvl w:ilvl="5" w:tplc="001A3B84" w:tentative="1">
      <w:start w:val="1"/>
      <w:numFmt w:val="bullet"/>
      <w:lvlText w:val="•"/>
      <w:lvlJc w:val="left"/>
      <w:pPr>
        <w:tabs>
          <w:tab w:val="num" w:pos="4320"/>
        </w:tabs>
        <w:ind w:left="4320" w:hanging="360"/>
      </w:pPr>
      <w:rPr>
        <w:rFonts w:ascii="Arial" w:hAnsi="Arial" w:hint="default"/>
      </w:rPr>
    </w:lvl>
    <w:lvl w:ilvl="6" w:tplc="99F6FB4C" w:tentative="1">
      <w:start w:val="1"/>
      <w:numFmt w:val="bullet"/>
      <w:lvlText w:val="•"/>
      <w:lvlJc w:val="left"/>
      <w:pPr>
        <w:tabs>
          <w:tab w:val="num" w:pos="5040"/>
        </w:tabs>
        <w:ind w:left="5040" w:hanging="360"/>
      </w:pPr>
      <w:rPr>
        <w:rFonts w:ascii="Arial" w:hAnsi="Arial" w:hint="default"/>
      </w:rPr>
    </w:lvl>
    <w:lvl w:ilvl="7" w:tplc="47CE2CC4" w:tentative="1">
      <w:start w:val="1"/>
      <w:numFmt w:val="bullet"/>
      <w:lvlText w:val="•"/>
      <w:lvlJc w:val="left"/>
      <w:pPr>
        <w:tabs>
          <w:tab w:val="num" w:pos="5760"/>
        </w:tabs>
        <w:ind w:left="5760" w:hanging="360"/>
      </w:pPr>
      <w:rPr>
        <w:rFonts w:ascii="Arial" w:hAnsi="Arial" w:hint="default"/>
      </w:rPr>
    </w:lvl>
    <w:lvl w:ilvl="8" w:tplc="A5D8BC40" w:tentative="1">
      <w:start w:val="1"/>
      <w:numFmt w:val="bullet"/>
      <w:lvlText w:val="•"/>
      <w:lvlJc w:val="left"/>
      <w:pPr>
        <w:tabs>
          <w:tab w:val="num" w:pos="6480"/>
        </w:tabs>
        <w:ind w:left="6480" w:hanging="360"/>
      </w:pPr>
      <w:rPr>
        <w:rFonts w:ascii="Arial" w:hAnsi="Arial" w:hint="default"/>
      </w:rPr>
    </w:lvl>
  </w:abstractNum>
  <w:abstractNum w:abstractNumId="18">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8"/>
  </w:num>
  <w:num w:numId="2">
    <w:abstractNumId w:val="0"/>
  </w:num>
  <w:num w:numId="3">
    <w:abstractNumId w:val="10"/>
  </w:num>
  <w:num w:numId="4">
    <w:abstractNumId w:val="2"/>
  </w:num>
  <w:num w:numId="5">
    <w:abstractNumId w:val="3"/>
  </w:num>
  <w:num w:numId="6">
    <w:abstractNumId w:val="14"/>
  </w:num>
  <w:num w:numId="7">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4"/>
  </w:num>
  <w:num w:numId="9">
    <w:abstractNumId w:val="1"/>
  </w:num>
  <w:num w:numId="10">
    <w:abstractNumId w:val="7"/>
  </w:num>
  <w:num w:numId="11">
    <w:abstractNumId w:val="19"/>
  </w:num>
  <w:num w:numId="12">
    <w:abstractNumId w:val="14"/>
  </w:num>
  <w:num w:numId="13">
    <w:abstractNumId w:val="20"/>
  </w:num>
  <w:num w:numId="14">
    <w:abstractNumId w:val="13"/>
  </w:num>
  <w:num w:numId="15">
    <w:abstractNumId w:val="6"/>
  </w:num>
  <w:num w:numId="16">
    <w:abstractNumId w:val="16"/>
  </w:num>
  <w:num w:numId="17">
    <w:abstractNumId w:val="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5"/>
  </w:num>
  <w:num w:numId="21">
    <w:abstractNumId w:val="17"/>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BE6"/>
    <w:rsid w:val="00011725"/>
    <w:rsid w:val="00012C62"/>
    <w:rsid w:val="0002544D"/>
    <w:rsid w:val="0004274D"/>
    <w:rsid w:val="00043348"/>
    <w:rsid w:val="0004483F"/>
    <w:rsid w:val="0005138B"/>
    <w:rsid w:val="000522B7"/>
    <w:rsid w:val="00056880"/>
    <w:rsid w:val="000675D1"/>
    <w:rsid w:val="00073521"/>
    <w:rsid w:val="000775DE"/>
    <w:rsid w:val="00087FAF"/>
    <w:rsid w:val="000B67CC"/>
    <w:rsid w:val="000C571D"/>
    <w:rsid w:val="000C5F40"/>
    <w:rsid w:val="000E0B74"/>
    <w:rsid w:val="000E7901"/>
    <w:rsid w:val="00121BE6"/>
    <w:rsid w:val="00131DC3"/>
    <w:rsid w:val="00135E4C"/>
    <w:rsid w:val="001373F5"/>
    <w:rsid w:val="001606CF"/>
    <w:rsid w:val="0016128D"/>
    <w:rsid w:val="0017089D"/>
    <w:rsid w:val="0019101A"/>
    <w:rsid w:val="001972D2"/>
    <w:rsid w:val="001C358D"/>
    <w:rsid w:val="001F1B27"/>
    <w:rsid w:val="00221EC0"/>
    <w:rsid w:val="00231049"/>
    <w:rsid w:val="002314D2"/>
    <w:rsid w:val="0023305C"/>
    <w:rsid w:val="00241881"/>
    <w:rsid w:val="0024294C"/>
    <w:rsid w:val="0025652F"/>
    <w:rsid w:val="00263B6C"/>
    <w:rsid w:val="00272939"/>
    <w:rsid w:val="0027590B"/>
    <w:rsid w:val="00285969"/>
    <w:rsid w:val="002A74EF"/>
    <w:rsid w:val="002B3829"/>
    <w:rsid w:val="002C22EF"/>
    <w:rsid w:val="002E454C"/>
    <w:rsid w:val="002F617F"/>
    <w:rsid w:val="00300109"/>
    <w:rsid w:val="00306894"/>
    <w:rsid w:val="003122F4"/>
    <w:rsid w:val="003268D5"/>
    <w:rsid w:val="003448F6"/>
    <w:rsid w:val="00350759"/>
    <w:rsid w:val="00354D27"/>
    <w:rsid w:val="0035738A"/>
    <w:rsid w:val="003858A6"/>
    <w:rsid w:val="00392DCC"/>
    <w:rsid w:val="003A5B36"/>
    <w:rsid w:val="003C24B4"/>
    <w:rsid w:val="003E20D6"/>
    <w:rsid w:val="003E4D87"/>
    <w:rsid w:val="00401082"/>
    <w:rsid w:val="00416762"/>
    <w:rsid w:val="00416E55"/>
    <w:rsid w:val="0042518A"/>
    <w:rsid w:val="00445265"/>
    <w:rsid w:val="004559CE"/>
    <w:rsid w:val="00460E1A"/>
    <w:rsid w:val="00463DF8"/>
    <w:rsid w:val="00475085"/>
    <w:rsid w:val="00476CF6"/>
    <w:rsid w:val="00477AA8"/>
    <w:rsid w:val="00492FCB"/>
    <w:rsid w:val="004A0F11"/>
    <w:rsid w:val="004A3EAA"/>
    <w:rsid w:val="004A7D97"/>
    <w:rsid w:val="004B5133"/>
    <w:rsid w:val="004C41B6"/>
    <w:rsid w:val="004D6E37"/>
    <w:rsid w:val="004E00EA"/>
    <w:rsid w:val="004F4B92"/>
    <w:rsid w:val="00516785"/>
    <w:rsid w:val="0052419D"/>
    <w:rsid w:val="005301F8"/>
    <w:rsid w:val="005312FC"/>
    <w:rsid w:val="0053569E"/>
    <w:rsid w:val="0053603D"/>
    <w:rsid w:val="0053742A"/>
    <w:rsid w:val="00537C85"/>
    <w:rsid w:val="00541D29"/>
    <w:rsid w:val="00562F17"/>
    <w:rsid w:val="0056582C"/>
    <w:rsid w:val="005868DE"/>
    <w:rsid w:val="005966B7"/>
    <w:rsid w:val="005B5E2A"/>
    <w:rsid w:val="005C02A4"/>
    <w:rsid w:val="005C20D2"/>
    <w:rsid w:val="005C32FE"/>
    <w:rsid w:val="005D024A"/>
    <w:rsid w:val="005D2A0D"/>
    <w:rsid w:val="005D4FD4"/>
    <w:rsid w:val="005D6D64"/>
    <w:rsid w:val="00601650"/>
    <w:rsid w:val="00605AFD"/>
    <w:rsid w:val="006123D4"/>
    <w:rsid w:val="0061445B"/>
    <w:rsid w:val="006178BD"/>
    <w:rsid w:val="00624C4B"/>
    <w:rsid w:val="00685CF7"/>
    <w:rsid w:val="00686165"/>
    <w:rsid w:val="00690A19"/>
    <w:rsid w:val="00691CB5"/>
    <w:rsid w:val="006A37F5"/>
    <w:rsid w:val="006C1892"/>
    <w:rsid w:val="006C5B73"/>
    <w:rsid w:val="006C645D"/>
    <w:rsid w:val="006E3CC3"/>
    <w:rsid w:val="00706E8E"/>
    <w:rsid w:val="00722B53"/>
    <w:rsid w:val="007509DD"/>
    <w:rsid w:val="00763474"/>
    <w:rsid w:val="00784C0A"/>
    <w:rsid w:val="00794B40"/>
    <w:rsid w:val="007A1079"/>
    <w:rsid w:val="007B76AB"/>
    <w:rsid w:val="007D592B"/>
    <w:rsid w:val="007D5AA6"/>
    <w:rsid w:val="007D7A91"/>
    <w:rsid w:val="007E6456"/>
    <w:rsid w:val="00811943"/>
    <w:rsid w:val="008311B8"/>
    <w:rsid w:val="00834243"/>
    <w:rsid w:val="00857969"/>
    <w:rsid w:val="00882CC4"/>
    <w:rsid w:val="008C7F71"/>
    <w:rsid w:val="008D339F"/>
    <w:rsid w:val="008E6292"/>
    <w:rsid w:val="00925AA5"/>
    <w:rsid w:val="0093540D"/>
    <w:rsid w:val="0094019D"/>
    <w:rsid w:val="00942C11"/>
    <w:rsid w:val="0094351F"/>
    <w:rsid w:val="009547F8"/>
    <w:rsid w:val="009729D4"/>
    <w:rsid w:val="009817B0"/>
    <w:rsid w:val="009821CE"/>
    <w:rsid w:val="009A277C"/>
    <w:rsid w:val="009A658F"/>
    <w:rsid w:val="009A7967"/>
    <w:rsid w:val="009E171B"/>
    <w:rsid w:val="00A015E8"/>
    <w:rsid w:val="00A07D47"/>
    <w:rsid w:val="00A12F62"/>
    <w:rsid w:val="00A14FE9"/>
    <w:rsid w:val="00A3749B"/>
    <w:rsid w:val="00A37D87"/>
    <w:rsid w:val="00A50D88"/>
    <w:rsid w:val="00A56923"/>
    <w:rsid w:val="00A62E42"/>
    <w:rsid w:val="00A64A71"/>
    <w:rsid w:val="00A72960"/>
    <w:rsid w:val="00A72D8F"/>
    <w:rsid w:val="00A90C40"/>
    <w:rsid w:val="00A93401"/>
    <w:rsid w:val="00AC3196"/>
    <w:rsid w:val="00AE2F90"/>
    <w:rsid w:val="00AF3963"/>
    <w:rsid w:val="00B03DD6"/>
    <w:rsid w:val="00B3583B"/>
    <w:rsid w:val="00B37A8F"/>
    <w:rsid w:val="00B65347"/>
    <w:rsid w:val="00B87927"/>
    <w:rsid w:val="00BD26AA"/>
    <w:rsid w:val="00BD454F"/>
    <w:rsid w:val="00C01DCC"/>
    <w:rsid w:val="00C202B3"/>
    <w:rsid w:val="00C21EE0"/>
    <w:rsid w:val="00C30297"/>
    <w:rsid w:val="00C72318"/>
    <w:rsid w:val="00C724E6"/>
    <w:rsid w:val="00C747A5"/>
    <w:rsid w:val="00C85314"/>
    <w:rsid w:val="00CA0116"/>
    <w:rsid w:val="00CA4BC0"/>
    <w:rsid w:val="00CA5CA8"/>
    <w:rsid w:val="00CB0157"/>
    <w:rsid w:val="00CB5205"/>
    <w:rsid w:val="00CC559D"/>
    <w:rsid w:val="00CD654B"/>
    <w:rsid w:val="00CE223E"/>
    <w:rsid w:val="00CF3F0D"/>
    <w:rsid w:val="00D145F5"/>
    <w:rsid w:val="00D355F0"/>
    <w:rsid w:val="00D43AC8"/>
    <w:rsid w:val="00D56113"/>
    <w:rsid w:val="00D833D9"/>
    <w:rsid w:val="00D83BD9"/>
    <w:rsid w:val="00D93A4B"/>
    <w:rsid w:val="00D94DCF"/>
    <w:rsid w:val="00D94EAE"/>
    <w:rsid w:val="00DA586F"/>
    <w:rsid w:val="00DB08DA"/>
    <w:rsid w:val="00DB1432"/>
    <w:rsid w:val="00DB7F09"/>
    <w:rsid w:val="00DC00E8"/>
    <w:rsid w:val="00DC1C56"/>
    <w:rsid w:val="00DC4756"/>
    <w:rsid w:val="00DC6379"/>
    <w:rsid w:val="00DE3C77"/>
    <w:rsid w:val="00DF6F61"/>
    <w:rsid w:val="00E101C6"/>
    <w:rsid w:val="00E22D51"/>
    <w:rsid w:val="00E50E7C"/>
    <w:rsid w:val="00E51545"/>
    <w:rsid w:val="00E51D9E"/>
    <w:rsid w:val="00E537D1"/>
    <w:rsid w:val="00E567E6"/>
    <w:rsid w:val="00E56971"/>
    <w:rsid w:val="00E61484"/>
    <w:rsid w:val="00E711D7"/>
    <w:rsid w:val="00E815E1"/>
    <w:rsid w:val="00E902B0"/>
    <w:rsid w:val="00E902E8"/>
    <w:rsid w:val="00EA23AC"/>
    <w:rsid w:val="00EA7C3D"/>
    <w:rsid w:val="00EB6878"/>
    <w:rsid w:val="00EC1E0E"/>
    <w:rsid w:val="00EC236D"/>
    <w:rsid w:val="00EC6B16"/>
    <w:rsid w:val="00EE1447"/>
    <w:rsid w:val="00EF145E"/>
    <w:rsid w:val="00EF2BBB"/>
    <w:rsid w:val="00F0082D"/>
    <w:rsid w:val="00F015AB"/>
    <w:rsid w:val="00F07C90"/>
    <w:rsid w:val="00F57BED"/>
    <w:rsid w:val="00F66DA9"/>
    <w:rsid w:val="00F7613A"/>
    <w:rsid w:val="00F82746"/>
    <w:rsid w:val="00F836F9"/>
    <w:rsid w:val="00F845D7"/>
    <w:rsid w:val="00F92279"/>
    <w:rsid w:val="00FB4D21"/>
    <w:rsid w:val="00FB762B"/>
    <w:rsid w:val="00FC6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D6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475085"/>
    <w:pPr>
      <w:spacing w:before="480"/>
      <w:outlineLvl w:val="0"/>
    </w:pPr>
    <w:rPr>
      <w:bCs w:val="0"/>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1972D2"/>
    <w:pPr>
      <w:outlineLvl w:val="4"/>
    </w:pPr>
    <w:rPr>
      <w:b/>
      <w:bCs w:val="0"/>
      <w:iCs/>
      <w:sz w:val="22"/>
    </w:rPr>
  </w:style>
  <w:style w:type="paragraph" w:styleId="Heading6">
    <w:name w:val="heading 6"/>
    <w:basedOn w:val="HeadingBase"/>
    <w:next w:val="Normal"/>
    <w:link w:val="Heading6Char"/>
    <w:qFormat/>
    <w:rsid w:val="001972D2"/>
    <w:pPr>
      <w:outlineLvl w:val="5"/>
    </w:pPr>
    <w:rPr>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085"/>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1972D2"/>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ody,Bullet + line,b,b + line,b1,level 1"/>
    <w:basedOn w:val="Normal"/>
    <w:link w:val="BulletChar"/>
    <w:qFormat/>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link w:val="DashChar"/>
    <w:qFormat/>
    <w:rsid w:val="000E0B74"/>
    <w:pPr>
      <w:numPr>
        <w:ilvl w:val="1"/>
        <w:numId w:val="1"/>
      </w:numPr>
      <w:spacing w:before="0"/>
      <w:ind w:left="568"/>
    </w:pPr>
  </w:style>
  <w:style w:type="paragraph" w:customStyle="1" w:styleId="DoubleDot">
    <w:name w:val="Double Dot"/>
    <w:basedOn w:val="Normal"/>
    <w:qFormat/>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EE1447"/>
    <w:pPr>
      <w:keepNext/>
      <w:tabs>
        <w:tab w:val="clear" w:pos="4513"/>
        <w:tab w:val="clear" w:pos="9026"/>
      </w:tabs>
      <w:jc w:val="left"/>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1F1B27"/>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uiPriority w:val="5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25652F"/>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25652F"/>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24294C"/>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24294C"/>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475085"/>
    <w:pPr>
      <w:keepNext/>
      <w:spacing w:after="120" w:line="240" w:lineRule="auto"/>
    </w:pPr>
    <w:rPr>
      <w:rFonts w:ascii="Calibri" w:eastAsia="Times New Roman" w:hAnsi="Calibri" w:cs="Arial"/>
      <w:bCs/>
      <w:color w:val="004A7F"/>
      <w:kern w:val="32"/>
      <w:sz w:val="48"/>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A12F62"/>
    <w:pPr>
      <w:jc w:val="left"/>
    </w:pPr>
  </w:style>
  <w:style w:type="paragraph" w:customStyle="1" w:styleId="HeaderOdd">
    <w:name w:val="Header Odd"/>
    <w:basedOn w:val="Header"/>
    <w:qFormat/>
    <w:rsid w:val="00A12F62"/>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ulletChar">
    <w:name w:val="Bullet Char"/>
    <w:aliases w:val="Body Char,Bullet + line Char,b + line Char,b + line Char Char,b Char,b Char Char,b1 Char,level 1 Char,L Char,List Paragraph1 Char,List Paragraph11 Char,Number Char,Recommendation Char,List Paragraph2 Char,Bullets Char"/>
    <w:basedOn w:val="DefaultParagraphFont"/>
    <w:link w:val="Bullet"/>
    <w:rsid w:val="00121BE6"/>
    <w:rPr>
      <w:rFonts w:ascii="Calibri" w:eastAsia="Times New Roman" w:hAnsi="Calibri" w:cs="Times New Roman"/>
      <w:szCs w:val="20"/>
      <w:lang w:eastAsia="en-AU"/>
    </w:rPr>
  </w:style>
  <w:style w:type="character" w:customStyle="1" w:styleId="DashChar">
    <w:name w:val="Dash Char"/>
    <w:basedOn w:val="DefaultParagraphFont"/>
    <w:link w:val="Dash"/>
    <w:rsid w:val="00121BE6"/>
    <w:rPr>
      <w:rFonts w:ascii="Calibri" w:eastAsia="Times New Roman" w:hAnsi="Calibri" w:cs="Times New Roman"/>
      <w:szCs w:val="20"/>
      <w:lang w:eastAsia="en-AU"/>
    </w:rPr>
  </w:style>
  <w:style w:type="paragraph" w:customStyle="1" w:styleId="TableHeader-LChar">
    <w:name w:val="TableHeader-L Char"/>
    <w:basedOn w:val="Normal"/>
    <w:link w:val="TableHeader-LCharChar"/>
    <w:rsid w:val="00121BE6"/>
    <w:pPr>
      <w:autoSpaceDE w:val="0"/>
      <w:autoSpaceDN w:val="0"/>
      <w:adjustRightInd w:val="0"/>
      <w:spacing w:before="0" w:after="0"/>
    </w:pPr>
    <w:rPr>
      <w:rFonts w:ascii="Times New Roman" w:hAnsi="Times New Roman"/>
      <w:b/>
      <w:color w:val="000000"/>
      <w:sz w:val="20"/>
      <w:szCs w:val="26"/>
    </w:rPr>
  </w:style>
  <w:style w:type="character" w:customStyle="1" w:styleId="TableHeader-LCharChar">
    <w:name w:val="TableHeader-L Char Char"/>
    <w:basedOn w:val="DefaultParagraphFont"/>
    <w:link w:val="TableHeader-LChar"/>
    <w:rsid w:val="00121BE6"/>
    <w:rPr>
      <w:rFonts w:ascii="Times New Roman" w:eastAsia="Times New Roman" w:hAnsi="Times New Roman" w:cs="Times New Roman"/>
      <w:b/>
      <w:color w:val="000000"/>
      <w:sz w:val="20"/>
      <w:szCs w:val="26"/>
      <w:lang w:eastAsia="en-AU"/>
    </w:rPr>
  </w:style>
  <w:style w:type="paragraph" w:customStyle="1" w:styleId="TableBody-L">
    <w:name w:val="TableBody-L"/>
    <w:basedOn w:val="Normal"/>
    <w:rsid w:val="00121BE6"/>
    <w:pPr>
      <w:autoSpaceDE w:val="0"/>
      <w:autoSpaceDN w:val="0"/>
      <w:adjustRightInd w:val="0"/>
      <w:spacing w:before="0" w:after="0"/>
    </w:pPr>
    <w:rPr>
      <w:rFonts w:ascii="Times New Roman" w:hAnsi="Times New Roman"/>
      <w:color w:val="000000"/>
      <w:sz w:val="20"/>
      <w:szCs w:val="26"/>
    </w:rPr>
  </w:style>
  <w:style w:type="paragraph" w:customStyle="1" w:styleId="Financialtable">
    <w:name w:val="Financial table"/>
    <w:basedOn w:val="Normal"/>
    <w:link w:val="FinancialtableChar"/>
    <w:uiPriority w:val="1"/>
    <w:qFormat/>
    <w:rsid w:val="00121BE6"/>
    <w:pPr>
      <w:tabs>
        <w:tab w:val="left" w:pos="284"/>
      </w:tabs>
      <w:spacing w:before="40" w:after="40"/>
      <w:jc w:val="right"/>
    </w:pPr>
    <w:rPr>
      <w:rFonts w:eastAsia="Calibri"/>
      <w:sz w:val="18"/>
      <w:szCs w:val="18"/>
      <w:lang w:eastAsia="en-US"/>
    </w:rPr>
  </w:style>
  <w:style w:type="character" w:customStyle="1" w:styleId="FinancialtableChar">
    <w:name w:val="Financial table Char"/>
    <w:basedOn w:val="DefaultParagraphFont"/>
    <w:link w:val="Financialtable"/>
    <w:uiPriority w:val="1"/>
    <w:rsid w:val="00121BE6"/>
    <w:rPr>
      <w:rFonts w:ascii="Calibri" w:eastAsia="Calibri" w:hAnsi="Calibri" w:cs="Times New Roman"/>
      <w:sz w:val="18"/>
      <w:szCs w:val="18"/>
    </w:rPr>
  </w:style>
  <w:style w:type="paragraph" w:styleId="CommentText">
    <w:name w:val="annotation text"/>
    <w:basedOn w:val="Normal"/>
    <w:link w:val="CommentTextChar"/>
    <w:uiPriority w:val="99"/>
    <w:unhideWhenUsed/>
    <w:rsid w:val="00121BE6"/>
    <w:pPr>
      <w:spacing w:before="0" w:after="20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21BE6"/>
    <w:rPr>
      <w:sz w:val="20"/>
      <w:szCs w:val="20"/>
    </w:rPr>
  </w:style>
  <w:style w:type="paragraph" w:styleId="NormalWeb">
    <w:name w:val="Normal (Web)"/>
    <w:basedOn w:val="Normal"/>
    <w:uiPriority w:val="99"/>
    <w:semiHidden/>
    <w:unhideWhenUsed/>
    <w:rsid w:val="006178BD"/>
    <w:pPr>
      <w:spacing w:before="100" w:beforeAutospacing="1" w:after="100" w:afterAutospacing="1" w:line="360" w:lineRule="auto"/>
    </w:pPr>
    <w:rPr>
      <w:rFonts w:ascii="Times New Roman" w:eastAsiaTheme="minorEastAsia" w:hAnsi="Times New Roman"/>
      <w:sz w:val="24"/>
      <w:szCs w:val="24"/>
    </w:rPr>
  </w:style>
  <w:style w:type="paragraph" w:styleId="ListParagraph">
    <w:name w:val="List Paragraph"/>
    <w:basedOn w:val="Normal"/>
    <w:uiPriority w:val="34"/>
    <w:qFormat/>
    <w:rsid w:val="006178BD"/>
    <w:pPr>
      <w:spacing w:before="200" w:after="200" w:line="360" w:lineRule="auto"/>
      <w:ind w:left="720"/>
      <w:contextualSpacing/>
    </w:pPr>
    <w:rPr>
      <w:rFonts w:asciiTheme="minorHAnsi" w:eastAsiaTheme="minorEastAsia" w:hAnsiTheme="minorHAnsi" w:cstheme="minorBidi"/>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475085"/>
    <w:pPr>
      <w:spacing w:before="480"/>
      <w:outlineLvl w:val="0"/>
    </w:pPr>
    <w:rPr>
      <w:bCs w:val="0"/>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1972D2"/>
    <w:pPr>
      <w:outlineLvl w:val="4"/>
    </w:pPr>
    <w:rPr>
      <w:b/>
      <w:bCs w:val="0"/>
      <w:iCs/>
      <w:sz w:val="22"/>
    </w:rPr>
  </w:style>
  <w:style w:type="paragraph" w:styleId="Heading6">
    <w:name w:val="heading 6"/>
    <w:basedOn w:val="HeadingBase"/>
    <w:next w:val="Normal"/>
    <w:link w:val="Heading6Char"/>
    <w:qFormat/>
    <w:rsid w:val="001972D2"/>
    <w:pPr>
      <w:outlineLvl w:val="5"/>
    </w:pPr>
    <w:rPr>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085"/>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1972D2"/>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ody,Bullet + line,b,b + line,b1,level 1"/>
    <w:basedOn w:val="Normal"/>
    <w:link w:val="BulletChar"/>
    <w:qFormat/>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link w:val="DashChar"/>
    <w:qFormat/>
    <w:rsid w:val="000E0B74"/>
    <w:pPr>
      <w:numPr>
        <w:ilvl w:val="1"/>
        <w:numId w:val="1"/>
      </w:numPr>
      <w:spacing w:before="0"/>
      <w:ind w:left="568"/>
    </w:pPr>
  </w:style>
  <w:style w:type="paragraph" w:customStyle="1" w:styleId="DoubleDot">
    <w:name w:val="Double Dot"/>
    <w:basedOn w:val="Normal"/>
    <w:qFormat/>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EE1447"/>
    <w:pPr>
      <w:keepNext/>
      <w:tabs>
        <w:tab w:val="clear" w:pos="4513"/>
        <w:tab w:val="clear" w:pos="9026"/>
      </w:tabs>
      <w:jc w:val="left"/>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1F1B27"/>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uiPriority w:val="5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25652F"/>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25652F"/>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24294C"/>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24294C"/>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475085"/>
    <w:pPr>
      <w:keepNext/>
      <w:spacing w:after="120" w:line="240" w:lineRule="auto"/>
    </w:pPr>
    <w:rPr>
      <w:rFonts w:ascii="Calibri" w:eastAsia="Times New Roman" w:hAnsi="Calibri" w:cs="Arial"/>
      <w:bCs/>
      <w:color w:val="004A7F"/>
      <w:kern w:val="32"/>
      <w:sz w:val="48"/>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A12F62"/>
    <w:pPr>
      <w:jc w:val="left"/>
    </w:pPr>
  </w:style>
  <w:style w:type="paragraph" w:customStyle="1" w:styleId="HeaderOdd">
    <w:name w:val="Header Odd"/>
    <w:basedOn w:val="Header"/>
    <w:qFormat/>
    <w:rsid w:val="00A12F62"/>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ulletChar">
    <w:name w:val="Bullet Char"/>
    <w:aliases w:val="Body Char,Bullet + line Char,b + line Char,b + line Char Char,b Char,b Char Char,b1 Char,level 1 Char,L Char,List Paragraph1 Char,List Paragraph11 Char,Number Char,Recommendation Char,List Paragraph2 Char,Bullets Char"/>
    <w:basedOn w:val="DefaultParagraphFont"/>
    <w:link w:val="Bullet"/>
    <w:rsid w:val="00121BE6"/>
    <w:rPr>
      <w:rFonts w:ascii="Calibri" w:eastAsia="Times New Roman" w:hAnsi="Calibri" w:cs="Times New Roman"/>
      <w:szCs w:val="20"/>
      <w:lang w:eastAsia="en-AU"/>
    </w:rPr>
  </w:style>
  <w:style w:type="character" w:customStyle="1" w:styleId="DashChar">
    <w:name w:val="Dash Char"/>
    <w:basedOn w:val="DefaultParagraphFont"/>
    <w:link w:val="Dash"/>
    <w:rsid w:val="00121BE6"/>
    <w:rPr>
      <w:rFonts w:ascii="Calibri" w:eastAsia="Times New Roman" w:hAnsi="Calibri" w:cs="Times New Roman"/>
      <w:szCs w:val="20"/>
      <w:lang w:eastAsia="en-AU"/>
    </w:rPr>
  </w:style>
  <w:style w:type="paragraph" w:customStyle="1" w:styleId="TableHeader-LChar">
    <w:name w:val="TableHeader-L Char"/>
    <w:basedOn w:val="Normal"/>
    <w:link w:val="TableHeader-LCharChar"/>
    <w:rsid w:val="00121BE6"/>
    <w:pPr>
      <w:autoSpaceDE w:val="0"/>
      <w:autoSpaceDN w:val="0"/>
      <w:adjustRightInd w:val="0"/>
      <w:spacing w:before="0" w:after="0"/>
    </w:pPr>
    <w:rPr>
      <w:rFonts w:ascii="Times New Roman" w:hAnsi="Times New Roman"/>
      <w:b/>
      <w:color w:val="000000"/>
      <w:sz w:val="20"/>
      <w:szCs w:val="26"/>
    </w:rPr>
  </w:style>
  <w:style w:type="character" w:customStyle="1" w:styleId="TableHeader-LCharChar">
    <w:name w:val="TableHeader-L Char Char"/>
    <w:basedOn w:val="DefaultParagraphFont"/>
    <w:link w:val="TableHeader-LChar"/>
    <w:rsid w:val="00121BE6"/>
    <w:rPr>
      <w:rFonts w:ascii="Times New Roman" w:eastAsia="Times New Roman" w:hAnsi="Times New Roman" w:cs="Times New Roman"/>
      <w:b/>
      <w:color w:val="000000"/>
      <w:sz w:val="20"/>
      <w:szCs w:val="26"/>
      <w:lang w:eastAsia="en-AU"/>
    </w:rPr>
  </w:style>
  <w:style w:type="paragraph" w:customStyle="1" w:styleId="TableBody-L">
    <w:name w:val="TableBody-L"/>
    <w:basedOn w:val="Normal"/>
    <w:rsid w:val="00121BE6"/>
    <w:pPr>
      <w:autoSpaceDE w:val="0"/>
      <w:autoSpaceDN w:val="0"/>
      <w:adjustRightInd w:val="0"/>
      <w:spacing w:before="0" w:after="0"/>
    </w:pPr>
    <w:rPr>
      <w:rFonts w:ascii="Times New Roman" w:hAnsi="Times New Roman"/>
      <w:color w:val="000000"/>
      <w:sz w:val="20"/>
      <w:szCs w:val="26"/>
    </w:rPr>
  </w:style>
  <w:style w:type="paragraph" w:customStyle="1" w:styleId="Financialtable">
    <w:name w:val="Financial table"/>
    <w:basedOn w:val="Normal"/>
    <w:link w:val="FinancialtableChar"/>
    <w:uiPriority w:val="1"/>
    <w:qFormat/>
    <w:rsid w:val="00121BE6"/>
    <w:pPr>
      <w:tabs>
        <w:tab w:val="left" w:pos="284"/>
      </w:tabs>
      <w:spacing w:before="40" w:after="40"/>
      <w:jc w:val="right"/>
    </w:pPr>
    <w:rPr>
      <w:rFonts w:eastAsia="Calibri"/>
      <w:sz w:val="18"/>
      <w:szCs w:val="18"/>
      <w:lang w:eastAsia="en-US"/>
    </w:rPr>
  </w:style>
  <w:style w:type="character" w:customStyle="1" w:styleId="FinancialtableChar">
    <w:name w:val="Financial table Char"/>
    <w:basedOn w:val="DefaultParagraphFont"/>
    <w:link w:val="Financialtable"/>
    <w:uiPriority w:val="1"/>
    <w:rsid w:val="00121BE6"/>
    <w:rPr>
      <w:rFonts w:ascii="Calibri" w:eastAsia="Calibri" w:hAnsi="Calibri" w:cs="Times New Roman"/>
      <w:sz w:val="18"/>
      <w:szCs w:val="18"/>
    </w:rPr>
  </w:style>
  <w:style w:type="paragraph" w:styleId="CommentText">
    <w:name w:val="annotation text"/>
    <w:basedOn w:val="Normal"/>
    <w:link w:val="CommentTextChar"/>
    <w:uiPriority w:val="99"/>
    <w:unhideWhenUsed/>
    <w:rsid w:val="00121BE6"/>
    <w:pPr>
      <w:spacing w:before="0" w:after="20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21BE6"/>
    <w:rPr>
      <w:sz w:val="20"/>
      <w:szCs w:val="20"/>
    </w:rPr>
  </w:style>
  <w:style w:type="paragraph" w:styleId="NormalWeb">
    <w:name w:val="Normal (Web)"/>
    <w:basedOn w:val="Normal"/>
    <w:uiPriority w:val="99"/>
    <w:semiHidden/>
    <w:unhideWhenUsed/>
    <w:rsid w:val="006178BD"/>
    <w:pPr>
      <w:spacing w:before="100" w:beforeAutospacing="1" w:after="100" w:afterAutospacing="1" w:line="360" w:lineRule="auto"/>
    </w:pPr>
    <w:rPr>
      <w:rFonts w:ascii="Times New Roman" w:eastAsiaTheme="minorEastAsia" w:hAnsi="Times New Roman"/>
      <w:sz w:val="24"/>
      <w:szCs w:val="24"/>
    </w:rPr>
  </w:style>
  <w:style w:type="paragraph" w:styleId="ListParagraph">
    <w:name w:val="List Paragraph"/>
    <w:basedOn w:val="Normal"/>
    <w:uiPriority w:val="34"/>
    <w:qFormat/>
    <w:rsid w:val="006178BD"/>
    <w:pPr>
      <w:spacing w:before="200" w:after="200" w:line="360" w:lineRule="auto"/>
      <w:ind w:left="720"/>
      <w:contextualSpacing/>
    </w:pPr>
    <w:rPr>
      <w:rFonts w:asciiTheme="minorHAnsi" w:eastAsiaTheme="minorEastAsia" w:hAnsiTheme="minorHAnsi"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creativecommons.org/licenses/by/3.0/au/legalcode"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pmc.gov.au/government/commonwealth-coat-arms"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creativecommons.org/licenses/by/3.0/au/deed.e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creativecommons.org/licenses/by/3.0/au/deed.en"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medialiaison@treasury.gov.au"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Basic%20A4%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16427" ma:contentTypeDescription="" ma:contentTypeScope="" ma:versionID="d25a904d9ffd9d89887a239f44127b85">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16f59817d12c356334f63fdd4cbf933c"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Value>
    </TaxCatchAll>
    <TaxKeywordTaxHTField xmlns="0f563589-9cf9-4143-b1eb-fb0534803d38">
      <Terms xmlns="http://schemas.microsoft.com/office/infopath/2007/PartnerControls"/>
    </TaxKeywordTaxHTField>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2018MG-133-35956</_dlc_DocId>
    <_dlc_DocIdUrl xmlns="0f563589-9cf9-4143-b1eb-fb0534803d38">
      <Url>http://tweb/sites/mg/sbccpd/_layouts/15/DocIdRedir.aspx?ID=2018MG-133-35956</Url>
      <Description>2018MG-133-35956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EAB19-028E-4C5E-93E8-650414601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5F5D1-99FD-4DEE-8B5B-082C52156F02}">
  <ds:schemaRefs>
    <ds:schemaRef ds:uri="http://schemas.microsoft.com/sharepoint/events"/>
  </ds:schemaRefs>
</ds:datastoreItem>
</file>

<file path=customXml/itemProps3.xml><?xml version="1.0" encoding="utf-8"?>
<ds:datastoreItem xmlns:ds="http://schemas.openxmlformats.org/officeDocument/2006/customXml" ds:itemID="{31AE7D53-E716-4997-A6B8-8B0428F81B82}">
  <ds:schemaRefs>
    <ds:schemaRef ds:uri="office.server.policy"/>
  </ds:schemaRefs>
</ds:datastoreItem>
</file>

<file path=customXml/itemProps4.xml><?xml version="1.0" encoding="utf-8"?>
<ds:datastoreItem xmlns:ds="http://schemas.openxmlformats.org/officeDocument/2006/customXml" ds:itemID="{BB225468-48D9-44C1-83C1-DF6D5D8B6428}">
  <ds:schemaRefs>
    <ds:schemaRef ds:uri="http://schemas.microsoft.com/sharepoint/v3/contenttype/forms"/>
  </ds:schemaRefs>
</ds:datastoreItem>
</file>

<file path=customXml/itemProps5.xml><?xml version="1.0" encoding="utf-8"?>
<ds:datastoreItem xmlns:ds="http://schemas.openxmlformats.org/officeDocument/2006/customXml" ds:itemID="{F98A7A57-3DA1-4141-8326-3713EAABAF87}">
  <ds:schemaRefs>
    <ds:schemaRef ds:uri="http://schemas.microsoft.com/office/2006/metadata/properties"/>
    <ds:schemaRef ds:uri="http://purl.org/dc/dcmitype/"/>
    <ds:schemaRef ds:uri="http://schemas.microsoft.com/sharepoint/v3"/>
    <ds:schemaRef ds:uri="d4dd4adf-ddb3-46a3-8d7c-fab3fb2a6bc7"/>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sharepoint/v4"/>
    <ds:schemaRef ds:uri="0f563589-9cf9-4143-b1eb-fb0534803d38"/>
  </ds:schemaRefs>
</ds:datastoreItem>
</file>

<file path=customXml/itemProps6.xml><?xml version="1.0" encoding="utf-8"?>
<ds:datastoreItem xmlns:ds="http://schemas.openxmlformats.org/officeDocument/2006/customXml" ds:itemID="{CBD0DB29-F3BB-4F99-98EC-AC6E1351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A4 Report.dotm</Template>
  <TotalTime>44</TotalTime>
  <Pages>9</Pages>
  <Words>2657</Words>
  <Characters>14512</Characters>
  <Application>Microsoft Office Word</Application>
  <DocSecurity>0</DocSecurity>
  <Lines>308</Lines>
  <Paragraphs>206</Paragraphs>
  <ScaleCrop>false</ScaleCrop>
  <HeadingPairs>
    <vt:vector size="2" baseType="variant">
      <vt:variant>
        <vt:lpstr>Title</vt:lpstr>
      </vt:variant>
      <vt:variant>
        <vt:i4>1</vt:i4>
      </vt:variant>
    </vt:vector>
  </HeadingPairs>
  <TitlesOfParts>
    <vt:vector size="1" baseType="lpstr">
      <vt:lpstr>Consumer Data Right Privacy Protections</vt:lpstr>
    </vt:vector>
  </TitlesOfParts>
  <Company>Australian Government - The Treasury</Company>
  <LinksUpToDate>false</LinksUpToDate>
  <CharactersWithSpaces>16963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Data Right Privacy Protections</dc:title>
  <dc:creator>Treasury</dc:creator>
  <cp:lastModifiedBy>Hill, Christine</cp:lastModifiedBy>
  <cp:revision>9</cp:revision>
  <cp:lastPrinted>2018-12-21T00:36:00Z</cp:lastPrinted>
  <dcterms:created xsi:type="dcterms:W3CDTF">2018-11-26T01:10:00Z</dcterms:created>
  <dcterms:modified xsi:type="dcterms:W3CDTF">2018-12-21T04:16:00Z</dcterms:modified>
</cp:coreProperties>
</file>