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561" w:rsidRDefault="000808C8" w:rsidP="000808C8">
      <w:pPr>
        <w:pStyle w:val="Heading1"/>
        <w:ind w:left="0"/>
      </w:pPr>
      <w:bookmarkStart w:id="0" w:name="_GoBack"/>
      <w:bookmarkEnd w:id="0"/>
      <w:r>
        <w:t>Dis</w:t>
      </w:r>
      <w:r w:rsidR="008B4314">
        <w:rPr>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9.45pt;margin-top:45.1pt;width:99pt;height:57.75pt;z-index:251657728;mso-position-horizontal-relative:page;mso-position-vertical-relative:page" o:allowoverlap="f">
            <v:imagedata r:id="rId9" o:title="Corrs%20logo%202004_35mm"/>
            <w10:wrap type="square" anchorx="page" anchory="page"/>
            <w10:anchorlock/>
          </v:shape>
        </w:pict>
      </w:r>
      <w:r>
        <w:t>cussion Paper on Proposed Amendments to the Corporations Act</w:t>
      </w:r>
    </w:p>
    <w:p w:rsidR="000808C8" w:rsidRDefault="000808C8" w:rsidP="000808C8">
      <w:pPr>
        <w:pStyle w:val="Heading2"/>
      </w:pPr>
      <w:r>
        <w:t>Summary</w:t>
      </w:r>
    </w:p>
    <w:p w:rsidR="0021390B" w:rsidRDefault="000808C8" w:rsidP="000808C8">
      <w:r>
        <w:t xml:space="preserve">We set out below </w:t>
      </w:r>
      <w:r w:rsidR="0021390B">
        <w:t xml:space="preserve">our </w:t>
      </w:r>
      <w:r>
        <w:t xml:space="preserve">submissions in response to Treasury’s Discussion Paper on the Proposed Amendments </w:t>
      </w:r>
      <w:r w:rsidR="00DF588A">
        <w:t xml:space="preserve">to </w:t>
      </w:r>
      <w:r>
        <w:t>the Cor</w:t>
      </w:r>
      <w:r w:rsidR="0021390B">
        <w:t>porations Act</w:t>
      </w:r>
      <w:r w:rsidR="00DF588A">
        <w:t>; specifically, in connection with the proposed changes to the dividend provisions in s254T of the Act</w:t>
      </w:r>
      <w:r w:rsidR="0021390B">
        <w:t>.</w:t>
      </w:r>
    </w:p>
    <w:p w:rsidR="0021390B" w:rsidRDefault="0021390B" w:rsidP="000808C8">
      <w:r>
        <w:t>In summary:</w:t>
      </w:r>
    </w:p>
    <w:p w:rsidR="00B06D2E" w:rsidRDefault="0021390B" w:rsidP="000A355C">
      <w:pPr>
        <w:pStyle w:val="CorrsBullet"/>
        <w:tabs>
          <w:tab w:val="clear" w:pos="850"/>
          <w:tab w:val="num" w:pos="709"/>
        </w:tabs>
        <w:ind w:left="709" w:hanging="709"/>
      </w:pPr>
      <w:r>
        <w:t>Of all the options suggested in the Discussion Paper</w:t>
      </w:r>
      <w:r w:rsidR="002501F6">
        <w:t xml:space="preserve"> to amend the dividend test</w:t>
      </w:r>
      <w:r>
        <w:t>, we support Option 4</w:t>
      </w:r>
      <w:r w:rsidR="001D58F3">
        <w:t xml:space="preserve"> (</w:t>
      </w:r>
      <w:r>
        <w:t>which enables companies to choose between a “profits test” or “</w:t>
      </w:r>
      <w:r w:rsidR="001D58F3">
        <w:t xml:space="preserve">net </w:t>
      </w:r>
      <w:r w:rsidR="001D58F3" w:rsidRPr="000A355C">
        <w:t>assets</w:t>
      </w:r>
      <w:r w:rsidR="001D58F3">
        <w:t>/solvency</w:t>
      </w:r>
      <w:r>
        <w:t>” test</w:t>
      </w:r>
      <w:r w:rsidR="001D58F3">
        <w:t xml:space="preserve">), subject to </w:t>
      </w:r>
      <w:r w:rsidR="002501F6">
        <w:t xml:space="preserve">certain </w:t>
      </w:r>
      <w:r w:rsidR="001D58F3">
        <w:t>amendments</w:t>
      </w:r>
      <w:r w:rsidR="00DF588A">
        <w:t xml:space="preserve"> as outlined below</w:t>
      </w:r>
      <w:r w:rsidR="00B06D2E">
        <w:t>:</w:t>
      </w:r>
      <w:r>
        <w:t xml:space="preserve">  </w:t>
      </w:r>
    </w:p>
    <w:p w:rsidR="007751EE" w:rsidRPr="000A355C" w:rsidRDefault="007751EE" w:rsidP="000A355C">
      <w:pPr>
        <w:pStyle w:val="Heading4"/>
      </w:pPr>
      <w:r>
        <w:t xml:space="preserve">Treasury should specifically clarify that </w:t>
      </w:r>
      <w:r w:rsidRPr="000A355C">
        <w:t xml:space="preserve">a dividend paid otherwise than out of profits is otherwise authorised by law and will not require shareholder approval under Chapter 2J of the Act.  </w:t>
      </w:r>
    </w:p>
    <w:p w:rsidR="001D58F3" w:rsidRPr="000A355C" w:rsidRDefault="001D58F3" w:rsidP="000A355C">
      <w:pPr>
        <w:pStyle w:val="Heading4"/>
      </w:pPr>
      <w:r w:rsidRPr="000A355C">
        <w:t xml:space="preserve">In determining whether a company has sufficient net assets to pay a dividend, we </w:t>
      </w:r>
      <w:r w:rsidR="00DF588A" w:rsidRPr="000A355C">
        <w:t>consider that a calculation of net assets in accordance with applicable accounting standards would be unduly restrictive – rather, we support the New Zealand formulation of this test, whereby consideration should also be given to all circumstances which may affect the value of the company’s assets and liabilities, including valuations of assets or estimates of liabilities that are reasonable in the circumstances.</w:t>
      </w:r>
    </w:p>
    <w:p w:rsidR="000808C8" w:rsidRPr="000A355C" w:rsidRDefault="00B02640" w:rsidP="000A355C">
      <w:pPr>
        <w:pStyle w:val="Heading4"/>
      </w:pPr>
      <w:r w:rsidRPr="000A355C">
        <w:t xml:space="preserve">The net assets test as described above should </w:t>
      </w:r>
      <w:r w:rsidR="0021390B" w:rsidRPr="000A355C">
        <w:t xml:space="preserve">be met </w:t>
      </w:r>
      <w:r w:rsidR="003333BA">
        <w:t xml:space="preserve">as </w:t>
      </w:r>
      <w:r w:rsidR="00BA07DB">
        <w:t xml:space="preserve">nearly as </w:t>
      </w:r>
      <w:r w:rsidR="003333BA">
        <w:t xml:space="preserve">practicable </w:t>
      </w:r>
      <w:r w:rsidR="00BA07DB">
        <w:t xml:space="preserve">before </w:t>
      </w:r>
      <w:r w:rsidR="0021390B" w:rsidRPr="000A355C">
        <w:t xml:space="preserve">the </w:t>
      </w:r>
      <w:r w:rsidR="00BA07DB">
        <w:t xml:space="preserve">time </w:t>
      </w:r>
      <w:r w:rsidR="0021390B" w:rsidRPr="000A355C">
        <w:t xml:space="preserve">relevant dividend is </w:t>
      </w:r>
      <w:r w:rsidR="00046305" w:rsidRPr="000A355C">
        <w:t xml:space="preserve">either </w:t>
      </w:r>
      <w:r w:rsidR="00DF588A" w:rsidRPr="000A355C">
        <w:t>“</w:t>
      </w:r>
      <w:r w:rsidR="0021390B" w:rsidRPr="000A355C">
        <w:t>declared</w:t>
      </w:r>
      <w:r w:rsidR="00DF588A" w:rsidRPr="000A355C">
        <w:t>”</w:t>
      </w:r>
      <w:r w:rsidR="0021390B" w:rsidRPr="000A355C">
        <w:t xml:space="preserve"> or </w:t>
      </w:r>
      <w:r w:rsidR="00DF588A" w:rsidRPr="000A355C">
        <w:t>“</w:t>
      </w:r>
      <w:r w:rsidR="0021390B" w:rsidRPr="000A355C">
        <w:t>determined</w:t>
      </w:r>
      <w:r w:rsidR="00DF588A" w:rsidRPr="000A355C">
        <w:t xml:space="preserve">” (rather than </w:t>
      </w:r>
      <w:r w:rsidR="00046305" w:rsidRPr="000A355C">
        <w:t xml:space="preserve">either </w:t>
      </w:r>
      <w:r w:rsidR="00CD7C74" w:rsidRPr="000A355C">
        <w:t>“declared” or “</w:t>
      </w:r>
      <w:r w:rsidR="00DF588A" w:rsidRPr="000A355C">
        <w:t>paid</w:t>
      </w:r>
      <w:r w:rsidR="00CD7C74" w:rsidRPr="000A355C">
        <w:t>”</w:t>
      </w:r>
      <w:r w:rsidR="00DF588A" w:rsidRPr="000A355C">
        <w:t>)</w:t>
      </w:r>
      <w:r w:rsidR="0021390B" w:rsidRPr="000A355C">
        <w:t xml:space="preserve">. </w:t>
      </w:r>
    </w:p>
    <w:p w:rsidR="00B06D2E" w:rsidRDefault="00B06D2E" w:rsidP="000A355C">
      <w:pPr>
        <w:pStyle w:val="CorrsBullet"/>
        <w:tabs>
          <w:tab w:val="clear" w:pos="850"/>
          <w:tab w:val="num" w:pos="709"/>
        </w:tabs>
        <w:ind w:left="709" w:hanging="709"/>
      </w:pPr>
      <w:r>
        <w:t xml:space="preserve">Another alternative to Option 4 (not canvassed by the Discussion Paper but which we consider has merit) is to revert to the previous profits test in s254T </w:t>
      </w:r>
      <w:r w:rsidRPr="00B06D2E">
        <w:rPr>
          <w:b/>
        </w:rPr>
        <w:t>and</w:t>
      </w:r>
      <w:r>
        <w:t xml:space="preserve"> amend the equal capital reduction provisions in Chapter 2J of the Act so that a company can effect an equal capital reduction without shareholder approval, provided the company has sufficient net assets for the capital reduction and meets the other requirements in s256B(1)(a) and (b). This would have the same practical effect as Option 4, and is likely to be less confusing for shareholders, particularly from a tax perspective.</w:t>
      </w:r>
    </w:p>
    <w:p w:rsidR="00DF588A" w:rsidRDefault="002501F6" w:rsidP="002501F6">
      <w:pPr>
        <w:pStyle w:val="Heading2"/>
      </w:pPr>
      <w:r>
        <w:t>Reasons for supporting Option 4</w:t>
      </w:r>
    </w:p>
    <w:p w:rsidR="00014489" w:rsidRDefault="00014489" w:rsidP="00014489">
      <w:pPr>
        <w:pStyle w:val="Heading3"/>
      </w:pPr>
      <w:bookmarkStart w:id="1" w:name="_Ref315790276"/>
      <w:r>
        <w:t>Background to section 254T</w:t>
      </w:r>
      <w:bookmarkEnd w:id="1"/>
    </w:p>
    <w:p w:rsidR="00014489" w:rsidRDefault="00014489" w:rsidP="002501F6">
      <w:r>
        <w:t xml:space="preserve">Section </w:t>
      </w:r>
      <w:r w:rsidR="002501F6">
        <w:t>254T was amended in June 2010</w:t>
      </w:r>
      <w:r>
        <w:t xml:space="preserve"> to replace the requirement that a dividend could only be paid out of profits (the “profits test”) with a provision that permits a company to pay a dividend if:</w:t>
      </w:r>
    </w:p>
    <w:p w:rsidR="00014489" w:rsidRPr="00014489" w:rsidRDefault="00014489" w:rsidP="00846397">
      <w:pPr>
        <w:pStyle w:val="Heading4"/>
        <w:tabs>
          <w:tab w:val="clear" w:pos="1277"/>
          <w:tab w:val="num" w:pos="1418"/>
        </w:tabs>
        <w:ind w:left="1418"/>
      </w:pPr>
      <w:r w:rsidRPr="00014489">
        <w:t>its assets exceed its liabilities immediately before the dividend is declared and the excess is sufficient for the payment of the dividend;</w:t>
      </w:r>
    </w:p>
    <w:p w:rsidR="00014489" w:rsidRPr="00014489" w:rsidRDefault="00014489" w:rsidP="00846397">
      <w:pPr>
        <w:pStyle w:val="Heading4"/>
        <w:tabs>
          <w:tab w:val="clear" w:pos="1277"/>
          <w:tab w:val="num" w:pos="1418"/>
        </w:tabs>
        <w:ind w:left="1418"/>
      </w:pPr>
      <w:r w:rsidRPr="00014489">
        <w:lastRenderedPageBreak/>
        <w:t>it is fair and reasonable to the company’s shareholders as a whole; and</w:t>
      </w:r>
    </w:p>
    <w:p w:rsidR="00014489" w:rsidRPr="00014489" w:rsidRDefault="00014489" w:rsidP="00846397">
      <w:pPr>
        <w:pStyle w:val="Heading4"/>
        <w:tabs>
          <w:tab w:val="clear" w:pos="1277"/>
          <w:tab w:val="num" w:pos="1418"/>
        </w:tabs>
        <w:ind w:left="1418"/>
      </w:pPr>
      <w:r w:rsidRPr="00014489">
        <w:t>it does not materially prejudice the company’s ability to pay its creditors.</w:t>
      </w:r>
    </w:p>
    <w:p w:rsidR="00014489" w:rsidRDefault="00014489" w:rsidP="002501F6">
      <w:r>
        <w:t xml:space="preserve">(the “net asset test”). </w:t>
      </w:r>
    </w:p>
    <w:p w:rsidR="00014489" w:rsidRDefault="00014489" w:rsidP="00014489">
      <w:pPr>
        <w:pStyle w:val="Heading3"/>
      </w:pPr>
      <w:r>
        <w:t xml:space="preserve">Difficulties associated with </w:t>
      </w:r>
      <w:r w:rsidR="003875CB">
        <w:t xml:space="preserve">s254T and </w:t>
      </w:r>
      <w:r>
        <w:t>net asset test</w:t>
      </w:r>
    </w:p>
    <w:p w:rsidR="00824777" w:rsidRDefault="000A355C" w:rsidP="002501F6">
      <w:r>
        <w:t xml:space="preserve">Following </w:t>
      </w:r>
      <w:r w:rsidR="00014489">
        <w:t xml:space="preserve">this amendment, </w:t>
      </w:r>
      <w:r w:rsidR="002501F6">
        <w:t xml:space="preserve">it became apparent to us that a number of </w:t>
      </w:r>
      <w:r w:rsidR="00014489">
        <w:t xml:space="preserve">our </w:t>
      </w:r>
      <w:r w:rsidR="002501F6">
        <w:t xml:space="preserve">clients </w:t>
      </w:r>
      <w:r>
        <w:t xml:space="preserve">have been or would be </w:t>
      </w:r>
      <w:r w:rsidR="002501F6">
        <w:t>adversely affected by the changes. In particular, leveraged companies with large amount</w:t>
      </w:r>
      <w:r w:rsidR="00B73AF3">
        <w:t>s</w:t>
      </w:r>
      <w:r w:rsidR="002501F6">
        <w:t xml:space="preserve"> of internally generated goodwill </w:t>
      </w:r>
      <w:r w:rsidR="00B73AF3">
        <w:t xml:space="preserve">which cannot be recognised in their accounts and </w:t>
      </w:r>
      <w:r w:rsidR="00046305">
        <w:t xml:space="preserve">companies holding assets with low historical book values </w:t>
      </w:r>
      <w:r w:rsidR="002501F6">
        <w:t xml:space="preserve">that </w:t>
      </w:r>
      <w:r w:rsidR="00046305">
        <w:t xml:space="preserve">do </w:t>
      </w:r>
      <w:r w:rsidR="002501F6">
        <w:t xml:space="preserve">not adopt a fair value accounting methodology </w:t>
      </w:r>
      <w:r w:rsidR="00046305">
        <w:t xml:space="preserve">have </w:t>
      </w:r>
      <w:r w:rsidR="00014489">
        <w:t xml:space="preserve">found themselves </w:t>
      </w:r>
      <w:r w:rsidR="003875CB">
        <w:t xml:space="preserve">prohibited </w:t>
      </w:r>
      <w:r w:rsidR="00824777">
        <w:t xml:space="preserve">from paying dividends as a result of </w:t>
      </w:r>
      <w:r w:rsidR="00014489">
        <w:t xml:space="preserve">the </w:t>
      </w:r>
      <w:r w:rsidR="002501F6">
        <w:t>net asset test</w:t>
      </w:r>
      <w:r w:rsidR="00824777">
        <w:t>, even though these companies ha</w:t>
      </w:r>
      <w:r w:rsidR="00B73AF3">
        <w:t>ve</w:t>
      </w:r>
      <w:r w:rsidR="00824777">
        <w:t xml:space="preserve"> sufficient profits and </w:t>
      </w:r>
      <w:r w:rsidR="00B73AF3">
        <w:t xml:space="preserve">are </w:t>
      </w:r>
      <w:r>
        <w:t xml:space="preserve">robustly </w:t>
      </w:r>
      <w:r w:rsidR="00824777">
        <w:t>solvent</w:t>
      </w:r>
      <w:r w:rsidR="002501F6">
        <w:t>.</w:t>
      </w:r>
    </w:p>
    <w:p w:rsidR="003875CB" w:rsidRDefault="003875CB" w:rsidP="002501F6">
      <w:r>
        <w:t xml:space="preserve">There are </w:t>
      </w:r>
      <w:r w:rsidR="000A355C">
        <w:t xml:space="preserve">a number of </w:t>
      </w:r>
      <w:r>
        <w:t>other difficulties caused by the current</w:t>
      </w:r>
      <w:r w:rsidR="00046305">
        <w:t xml:space="preserve"> </w:t>
      </w:r>
      <w:r>
        <w:t>formulation of s254T which are also referred to in the Discussion Paper</w:t>
      </w:r>
      <w:r w:rsidR="000A355C">
        <w:t xml:space="preserve"> and addressed in this submission.</w:t>
      </w:r>
    </w:p>
    <w:p w:rsidR="003875CB" w:rsidRDefault="00A322A1" w:rsidP="00014489">
      <w:pPr>
        <w:pStyle w:val="Heading3"/>
      </w:pPr>
      <w:r>
        <w:t>The p</w:t>
      </w:r>
      <w:r w:rsidR="00D36464">
        <w:t xml:space="preserve">rofits test should be reintroduced </w:t>
      </w:r>
      <w:r w:rsidR="002059DC">
        <w:t>as an alternative</w:t>
      </w:r>
    </w:p>
    <w:p w:rsidR="00A231FB" w:rsidRDefault="00014489" w:rsidP="002501F6">
      <w:r>
        <w:t xml:space="preserve">One of the reasons for the 2010 amendments to s254T was that the previous profits test was inconsistent with the trend to lessen the Australian capital maintenance doctrine – indeed, limbs (b) and (c) of the net asset test in paragraph </w:t>
      </w:r>
      <w:r>
        <w:fldChar w:fldCharType="begin"/>
      </w:r>
      <w:r>
        <w:instrText xml:space="preserve"> REF _Ref315790276 \r \h </w:instrText>
      </w:r>
      <w:r>
        <w:fldChar w:fldCharType="separate"/>
      </w:r>
      <w:r w:rsidR="00BA07DB">
        <w:t>2.1</w:t>
      </w:r>
      <w:r>
        <w:fldChar w:fldCharType="end"/>
      </w:r>
      <w:r>
        <w:t xml:space="preserve"> above mirror the </w:t>
      </w:r>
      <w:r w:rsidR="003875CB">
        <w:t xml:space="preserve">requirements in the capital reduction provisions of the Act in </w:t>
      </w:r>
      <w:r w:rsidR="00CD7C74">
        <w:t>s</w:t>
      </w:r>
      <w:r w:rsidR="003875CB">
        <w:t>256B(1)(a) and (b) respectively.</w:t>
      </w:r>
      <w:r w:rsidR="00A163D2">
        <w:t xml:space="preserve">  The policy rationale of s254T was to enable companies to pay a dividend even if it did not have sufficient profits at the time of payment, provided the company could meet the net asset requirements.</w:t>
      </w:r>
    </w:p>
    <w:p w:rsidR="003875CB" w:rsidRDefault="003875CB" w:rsidP="002501F6">
      <w:r>
        <w:t xml:space="preserve">However, the recent releases by the ATO (including Draft TR2-11/D8 and the associated counsels’ opinion) make it clear that for income tax purposes, </w:t>
      </w:r>
      <w:r w:rsidR="00A163D2">
        <w:t xml:space="preserve">a </w:t>
      </w:r>
      <w:r w:rsidR="000A355C">
        <w:t>“</w:t>
      </w:r>
      <w:r w:rsidR="00A163D2">
        <w:t>dividend</w:t>
      </w:r>
      <w:r w:rsidR="000A355C">
        <w:t xml:space="preserve">” </w:t>
      </w:r>
      <w:r w:rsidR="00A163D2">
        <w:t xml:space="preserve">inherently involves a distribution of profits and s254T has not done away with this meaning.  The corollary to this is that a distribution to shareholders which is not made out of profits is in fact a capital reduction, from both an accounting and tax perspective. </w:t>
      </w:r>
      <w:r w:rsidR="00E14CD6">
        <w:t xml:space="preserve">  </w:t>
      </w:r>
    </w:p>
    <w:p w:rsidR="00A163D2" w:rsidRDefault="00A163D2" w:rsidP="002501F6">
      <w:r>
        <w:t xml:space="preserve">Leaving aside the issue of whether or not such a distribution would amount to an unauthorised capital reduction from a corporate law perspective (see further </w:t>
      </w:r>
      <w:r w:rsidR="007751EE">
        <w:t xml:space="preserve">paragraph </w:t>
      </w:r>
      <w:r w:rsidR="007751EE">
        <w:fldChar w:fldCharType="begin"/>
      </w:r>
      <w:r w:rsidR="007751EE">
        <w:instrText xml:space="preserve"> REF _Ref315798037 \r \h </w:instrText>
      </w:r>
      <w:r w:rsidR="007751EE">
        <w:fldChar w:fldCharType="separate"/>
      </w:r>
      <w:r w:rsidR="00BA07DB">
        <w:t>3.1</w:t>
      </w:r>
      <w:r w:rsidR="007751EE">
        <w:fldChar w:fldCharType="end"/>
      </w:r>
      <w:r w:rsidR="007751EE">
        <w:t xml:space="preserve"> below</w:t>
      </w:r>
      <w:r>
        <w:t xml:space="preserve">) the practical effect of s254T is that companies that </w:t>
      </w:r>
      <w:r w:rsidR="00CD7C74">
        <w:t xml:space="preserve">currently </w:t>
      </w:r>
      <w:r>
        <w:t xml:space="preserve">wish to pay a “dividend” (as that word is generally understood by shareholders and companies, </w:t>
      </w:r>
      <w:r w:rsidR="00BA07DB">
        <w:t>i.e.</w:t>
      </w:r>
      <w:r>
        <w:t xml:space="preserve"> a distribution that is generally assessable as income and frankable)</w:t>
      </w:r>
      <w:r w:rsidR="00B06D2E">
        <w:t xml:space="preserve"> will </w:t>
      </w:r>
      <w:r w:rsidR="000A355C">
        <w:t xml:space="preserve">currently </w:t>
      </w:r>
      <w:r w:rsidR="00B06D2E">
        <w:t xml:space="preserve">have to comply with the profit test </w:t>
      </w:r>
      <w:r w:rsidR="000A355C">
        <w:t xml:space="preserve">and </w:t>
      </w:r>
      <w:r w:rsidR="00B06D2E">
        <w:t xml:space="preserve">also the net asset test. </w:t>
      </w:r>
      <w:r w:rsidR="00D36464">
        <w:t xml:space="preserve"> </w:t>
      </w:r>
    </w:p>
    <w:p w:rsidR="00B06D2E" w:rsidRDefault="00E14CD6" w:rsidP="002501F6">
      <w:r>
        <w:t xml:space="preserve">If one assumes </w:t>
      </w:r>
      <w:r w:rsidR="00B06D2E">
        <w:t xml:space="preserve">that s254T </w:t>
      </w:r>
      <w:r w:rsidR="000A355C">
        <w:t>does allow</w:t>
      </w:r>
      <w:r w:rsidR="00B06D2E">
        <w:t xml:space="preserve"> distributions to be made from capital without breaching Chapter 2J of the Act, the</w:t>
      </w:r>
      <w:r>
        <w:t>n the</w:t>
      </w:r>
      <w:r w:rsidR="00B06D2E">
        <w:t xml:space="preserve"> only additional </w:t>
      </w:r>
      <w:r>
        <w:t xml:space="preserve">significant </w:t>
      </w:r>
      <w:r w:rsidR="00B06D2E">
        <w:t xml:space="preserve">benefit of the current s254T as compared to its predecessor provision is that a company </w:t>
      </w:r>
      <w:r>
        <w:t xml:space="preserve">does </w:t>
      </w:r>
      <w:r w:rsidR="00B06D2E">
        <w:t>not need shareholder approval for an equal capital reduction, provided the company’s assets exceed its liabilities by the amount of that capital reduction</w:t>
      </w:r>
      <w:r w:rsidR="007751EE">
        <w:t xml:space="preserve"> (see further our submissions in paragraph </w:t>
      </w:r>
      <w:r w:rsidR="007751EE">
        <w:fldChar w:fldCharType="begin"/>
      </w:r>
      <w:r w:rsidR="007751EE">
        <w:instrText xml:space="preserve"> REF _Ref315798134 \r \h </w:instrText>
      </w:r>
      <w:r w:rsidR="007751EE">
        <w:fldChar w:fldCharType="separate"/>
      </w:r>
      <w:r w:rsidR="00BA07DB">
        <w:t>4</w:t>
      </w:r>
      <w:r w:rsidR="007751EE">
        <w:fldChar w:fldCharType="end"/>
      </w:r>
      <w:r w:rsidR="007751EE">
        <w:t xml:space="preserve"> below</w:t>
      </w:r>
      <w:r w:rsidR="00D36464" w:rsidRPr="007751EE">
        <w:t>)</w:t>
      </w:r>
      <w:r w:rsidR="00B06D2E" w:rsidRPr="007751EE">
        <w:t>.</w:t>
      </w:r>
    </w:p>
    <w:p w:rsidR="002059DC" w:rsidRDefault="00D36464" w:rsidP="00046305">
      <w:pPr>
        <w:pStyle w:val="CorrsBullet"/>
        <w:numPr>
          <w:ilvl w:val="0"/>
          <w:numId w:val="0"/>
        </w:numPr>
      </w:pPr>
      <w:r>
        <w:t>For this reason, we are of the view that Option 4 is the best of the alternatives presented in the discussion paper, as it allows companies to choose between a profits test or a net asset test.</w:t>
      </w:r>
      <w:r w:rsidR="002059DC">
        <w:t xml:space="preserve">  </w:t>
      </w:r>
    </w:p>
    <w:p w:rsidR="002059DC" w:rsidRDefault="002059DC" w:rsidP="002059DC">
      <w:pPr>
        <w:pStyle w:val="Heading2"/>
      </w:pPr>
      <w:r>
        <w:t>Suggested amendments to Option 4</w:t>
      </w:r>
    </w:p>
    <w:p w:rsidR="007751EE" w:rsidRDefault="007751EE" w:rsidP="007751EE">
      <w:r>
        <w:t xml:space="preserve">We suggest below a number of amendments to Option 4 which we consider would be beneficial.  Of these amendments, the amendment proposed in paragraph </w:t>
      </w:r>
      <w:r>
        <w:fldChar w:fldCharType="begin"/>
      </w:r>
      <w:r>
        <w:instrText xml:space="preserve"> REF _Ref315798037 \r \h </w:instrText>
      </w:r>
      <w:r>
        <w:fldChar w:fldCharType="separate"/>
      </w:r>
      <w:r w:rsidR="00BA07DB">
        <w:t>3.1</w:t>
      </w:r>
      <w:r>
        <w:fldChar w:fldCharType="end"/>
      </w:r>
      <w:r>
        <w:t xml:space="preserve"> below in relation to the application of Chapter 2J is the most</w:t>
      </w:r>
      <w:r w:rsidR="00A61D01">
        <w:t xml:space="preserve"> significant.</w:t>
      </w:r>
    </w:p>
    <w:p w:rsidR="007751EE" w:rsidRDefault="007751EE" w:rsidP="002059DC">
      <w:pPr>
        <w:pStyle w:val="Heading3"/>
      </w:pPr>
      <w:bookmarkStart w:id="2" w:name="_Ref315798037"/>
      <w:r>
        <w:lastRenderedPageBreak/>
        <w:t>Application of Chapter 2J</w:t>
      </w:r>
      <w:bookmarkEnd w:id="2"/>
      <w:r>
        <w:t xml:space="preserve"> of the Act</w:t>
      </w:r>
    </w:p>
    <w:p w:rsidR="00001A35" w:rsidRDefault="00001A35" w:rsidP="00001A35">
      <w:pPr>
        <w:pStyle w:val="NormalIndent"/>
        <w:ind w:left="0"/>
      </w:pPr>
      <w:r>
        <w:t xml:space="preserve">We consider that there is sufficient doubt as to </w:t>
      </w:r>
      <w:r w:rsidR="00E14CD6">
        <w:t xml:space="preserve">whether </w:t>
      </w:r>
      <w:r>
        <w:t>a distribution other than out of profits of the company under s254T would amount to an unauthorised capital reduction in breach of Chapter 2J of the Act.</w:t>
      </w:r>
    </w:p>
    <w:p w:rsidR="00001A35" w:rsidRDefault="00001A35" w:rsidP="00001A35">
      <w:pPr>
        <w:pStyle w:val="NormalIndent"/>
        <w:ind w:left="0"/>
      </w:pPr>
      <w:r>
        <w:t xml:space="preserve">We also note </w:t>
      </w:r>
      <w:r w:rsidR="00A61D01">
        <w:t xml:space="preserve">the </w:t>
      </w:r>
      <w:r>
        <w:t xml:space="preserve">Counsels’ opinion released by the ATO </w:t>
      </w:r>
      <w:r w:rsidR="00DC71B9">
        <w:t>which suggests that in Counsels’ view a distribution which is effectively a capital return must comply with Chapter 2J (notwithstanding that the distribution meets the requirements of s254T).</w:t>
      </w:r>
    </w:p>
    <w:p w:rsidR="00A61D01" w:rsidRDefault="00A61D01" w:rsidP="00A61D01">
      <w:pPr>
        <w:pStyle w:val="NormalIndent"/>
        <w:ind w:left="0"/>
      </w:pPr>
      <w:r>
        <w:t xml:space="preserve">We suggest that </w:t>
      </w:r>
      <w:r w:rsidR="00001A35">
        <w:t>legislative amendment is required to clarify that a payment of a dividend in compliance with s254T is a circumstance where a capital reduction is “otherwise authorised” by the law for the purposes of Chapter 2J.</w:t>
      </w:r>
      <w:r>
        <w:t xml:space="preserve">  </w:t>
      </w:r>
    </w:p>
    <w:p w:rsidR="00001A35" w:rsidRDefault="00A61D01" w:rsidP="00A61D01">
      <w:pPr>
        <w:pStyle w:val="NormalIndent"/>
        <w:ind w:left="0"/>
      </w:pPr>
      <w:r>
        <w:t>Given the consequences of the ambiguity, we expect that companies will continue to adopt a prudent approach of only paying dividends out of profits until this clarification is provided.</w:t>
      </w:r>
    </w:p>
    <w:p w:rsidR="00D36464" w:rsidRDefault="002059DC" w:rsidP="002059DC">
      <w:pPr>
        <w:pStyle w:val="Heading3"/>
      </w:pPr>
      <w:r>
        <w:t>Method of calculating net assets</w:t>
      </w:r>
      <w:r w:rsidR="00A322A1">
        <w:t xml:space="preserve"> </w:t>
      </w:r>
    </w:p>
    <w:p w:rsidR="002059DC" w:rsidRDefault="002059DC" w:rsidP="002059DC">
      <w:pPr>
        <w:pStyle w:val="CorrsBullet"/>
        <w:numPr>
          <w:ilvl w:val="0"/>
          <w:numId w:val="0"/>
        </w:numPr>
      </w:pPr>
      <w:r>
        <w:t xml:space="preserve">In determining whether a company has sufficient net assets to pay a dividends, we consider that a calculation of net assets in accordance with applicable accounting standards </w:t>
      </w:r>
      <w:r w:rsidR="00A61D01">
        <w:t xml:space="preserve">may, at times, </w:t>
      </w:r>
      <w:r>
        <w:t>be unduly restrictive – rather, we support the New Zealand formulation of this test, whereby c</w:t>
      </w:r>
      <w:r w:rsidRPr="00DF588A">
        <w:t>onsideration should also be given to all circumstances which may affect the value of the company’s assets and liabilities</w:t>
      </w:r>
      <w:r>
        <w:t>, including</w:t>
      </w:r>
      <w:r w:rsidRPr="00DF588A">
        <w:t xml:space="preserve"> valuations of assets or estimates of liabilities that are reasonable in the circumstances</w:t>
      </w:r>
      <w:r>
        <w:t>.</w:t>
      </w:r>
    </w:p>
    <w:p w:rsidR="00B73AF3" w:rsidRDefault="00B73AF3" w:rsidP="00B73AF3">
      <w:pPr>
        <w:pStyle w:val="CorrsBullet"/>
        <w:numPr>
          <w:ilvl w:val="0"/>
          <w:numId w:val="0"/>
        </w:numPr>
      </w:pPr>
      <w:r>
        <w:t xml:space="preserve">This would avoid </w:t>
      </w:r>
      <w:r w:rsidR="00A61D01">
        <w:t xml:space="preserve">a “dividend trap” (preventing dividends from flowing to shareholders) </w:t>
      </w:r>
      <w:r>
        <w:t xml:space="preserve">that may be encountered by companies in Australia which have a large amount of internally generated goodwill or brands, or which have assets with low book values but high fair market values. </w:t>
      </w:r>
    </w:p>
    <w:p w:rsidR="0006099C" w:rsidRDefault="00B73AF3" w:rsidP="002059DC">
      <w:pPr>
        <w:pStyle w:val="CorrsBullet"/>
        <w:numPr>
          <w:ilvl w:val="0"/>
          <w:numId w:val="0"/>
        </w:numPr>
      </w:pPr>
      <w:r>
        <w:t xml:space="preserve">We note that this sort of approach </w:t>
      </w:r>
      <w:r w:rsidR="00A61D01">
        <w:t xml:space="preserve">has </w:t>
      </w:r>
      <w:r>
        <w:t xml:space="preserve">precedent in an Australian context – for example, the </w:t>
      </w:r>
      <w:r w:rsidRPr="00B73AF3">
        <w:t>calculation of assets for thin capitalisation purposes</w:t>
      </w:r>
      <w:r>
        <w:t xml:space="preserve"> allows </w:t>
      </w:r>
      <w:r w:rsidRPr="00B73AF3">
        <w:t xml:space="preserve">companies to recognise and revalue internally </w:t>
      </w:r>
      <w:r>
        <w:t>generated goodwill and brands.</w:t>
      </w:r>
      <w:r w:rsidR="00846397">
        <w:rPr>
          <w:rStyle w:val="FootnoteReference"/>
        </w:rPr>
        <w:footnoteReference w:id="1"/>
      </w:r>
      <w:r w:rsidR="00A61D01">
        <w:t xml:space="preserve"> </w:t>
      </w:r>
    </w:p>
    <w:p w:rsidR="0006099C" w:rsidRDefault="00A61D01" w:rsidP="002059DC">
      <w:pPr>
        <w:pStyle w:val="CorrsBullet"/>
        <w:numPr>
          <w:ilvl w:val="0"/>
          <w:numId w:val="0"/>
        </w:numPr>
      </w:pPr>
      <w:r>
        <w:t xml:space="preserve">Further, </w:t>
      </w:r>
      <w:r w:rsidR="0006099C">
        <w:t xml:space="preserve">the amendments suggested above do not compromise </w:t>
      </w:r>
      <w:r>
        <w:t>the interests of creditors</w:t>
      </w:r>
      <w:r w:rsidR="0006099C">
        <w:t xml:space="preserve">, which </w:t>
      </w:r>
      <w:r>
        <w:t xml:space="preserve"> </w:t>
      </w:r>
      <w:r w:rsidR="0006099C">
        <w:t xml:space="preserve">will be protected </w:t>
      </w:r>
      <w:r>
        <w:t xml:space="preserve">by </w:t>
      </w:r>
      <w:r w:rsidR="0006099C">
        <w:t xml:space="preserve">requirement in s254T that </w:t>
      </w:r>
      <w:r w:rsidR="00EE5285">
        <w:t xml:space="preserve">the </w:t>
      </w:r>
      <w:r w:rsidR="0006099C">
        <w:t xml:space="preserve">dividend does not </w:t>
      </w:r>
      <w:r w:rsidR="0006099C" w:rsidRPr="0006099C">
        <w:t>materially prejudice the company</w:t>
      </w:r>
      <w:r w:rsidR="0006099C">
        <w:t xml:space="preserve">’s ability to pay its creditors and the </w:t>
      </w:r>
      <w:r>
        <w:t xml:space="preserve">overarching </w:t>
      </w:r>
      <w:r w:rsidR="0006099C">
        <w:t>obligation on directors in s588G to prevent a company from trading insolvent.</w:t>
      </w:r>
    </w:p>
    <w:p w:rsidR="00C033A7" w:rsidRDefault="002059DC" w:rsidP="002059DC">
      <w:pPr>
        <w:pStyle w:val="Heading3"/>
      </w:pPr>
      <w:r>
        <w:t>Timing for calculation of net asset test</w:t>
      </w:r>
    </w:p>
    <w:p w:rsidR="002059DC" w:rsidRDefault="002059DC" w:rsidP="002059DC">
      <w:pPr>
        <w:pStyle w:val="NormalIndent"/>
        <w:ind w:left="0"/>
      </w:pPr>
      <w:r>
        <w:t xml:space="preserve">The Discussion Paper currently proposes that the calculation of a company’s net assets be undertaken </w:t>
      </w:r>
      <w:r w:rsidR="007751EE">
        <w:t>“</w:t>
      </w:r>
      <w:r>
        <w:t>immediate</w:t>
      </w:r>
      <w:r w:rsidR="007751EE">
        <w:t xml:space="preserve">ly </w:t>
      </w:r>
      <w:r>
        <w:t xml:space="preserve">before the time </w:t>
      </w:r>
      <w:r w:rsidRPr="002059DC">
        <w:t>either the dividend is declared or for payment of the dividend</w:t>
      </w:r>
      <w:r w:rsidR="007751EE">
        <w:t>”.</w:t>
      </w:r>
    </w:p>
    <w:p w:rsidR="007751EE" w:rsidRDefault="007751EE" w:rsidP="002059DC">
      <w:pPr>
        <w:pStyle w:val="NormalIndent"/>
        <w:ind w:left="0"/>
      </w:pPr>
      <w:r>
        <w:t xml:space="preserve">We welcome the addition of the words “payment of the dividend”, which is a departure from the current formulation in s254T and recognises the </w:t>
      </w:r>
      <w:r w:rsidRPr="003875CB">
        <w:t>fact that many boards “determine” rather than “declare” dividends.</w:t>
      </w:r>
      <w:r w:rsidR="0006099C">
        <w:t xml:space="preserve">  </w:t>
      </w:r>
    </w:p>
    <w:p w:rsidR="00D75B71" w:rsidRDefault="00DC71B9" w:rsidP="00DC71B9">
      <w:pPr>
        <w:pStyle w:val="CorrsBullet"/>
        <w:numPr>
          <w:ilvl w:val="0"/>
          <w:numId w:val="0"/>
        </w:numPr>
      </w:pPr>
      <w:r>
        <w:t xml:space="preserve">However, we are of the view that a better formulation would be if the net assets test is met before the </w:t>
      </w:r>
      <w:r w:rsidR="00D75B71">
        <w:t xml:space="preserve">time either the </w:t>
      </w:r>
      <w:r>
        <w:t xml:space="preserve">relevant dividend is “declared” </w:t>
      </w:r>
      <w:r w:rsidRPr="002501F6">
        <w:rPr>
          <w:b/>
        </w:rPr>
        <w:t>or</w:t>
      </w:r>
      <w:r>
        <w:t xml:space="preserve"> “determined”</w:t>
      </w:r>
      <w:r w:rsidR="00D75B71">
        <w:t xml:space="preserve">.  </w:t>
      </w:r>
    </w:p>
    <w:p w:rsidR="00D75B71" w:rsidRDefault="00D75B71" w:rsidP="00DC71B9">
      <w:pPr>
        <w:pStyle w:val="CorrsBullet"/>
        <w:numPr>
          <w:ilvl w:val="0"/>
          <w:numId w:val="0"/>
        </w:numPr>
      </w:pPr>
      <w:r>
        <w:lastRenderedPageBreak/>
        <w:t>The reality is that many companies “determine” rather than “declare” dividends, given t</w:t>
      </w:r>
      <w:r w:rsidRPr="00D75B71">
        <w:t>he legal implications of “declaring” a dividend (which gives rise to a debt)</w:t>
      </w:r>
      <w:r>
        <w:t xml:space="preserve">.  If the net asset calculation has to be undertaken immediately prior to payment of a dividend, companies will effectively have to run the calculations twice – once when the dividend is determined and again just prior to payment of the dividend. </w:t>
      </w:r>
    </w:p>
    <w:p w:rsidR="00DC71B9" w:rsidRDefault="00D75B71" w:rsidP="00DC71B9">
      <w:pPr>
        <w:pStyle w:val="CorrsBullet"/>
        <w:numPr>
          <w:ilvl w:val="0"/>
          <w:numId w:val="0"/>
        </w:numPr>
      </w:pPr>
      <w:r>
        <w:t>This would increase the burden of compliance on companies, particularly if Treasury ultimately determines that the net asset test has to be undertaken by reference to applicable accounting standards (rather than a less rigid reasonable or realisable value formulation).</w:t>
      </w:r>
    </w:p>
    <w:p w:rsidR="003333BA" w:rsidRDefault="0006099C" w:rsidP="00DC71B9">
      <w:pPr>
        <w:pStyle w:val="CorrsBullet"/>
        <w:numPr>
          <w:ilvl w:val="0"/>
          <w:numId w:val="0"/>
        </w:numPr>
      </w:pPr>
      <w:r>
        <w:t>There has also been some concern over the requirement that the net asset calculation be undertaken “immediately” before the declaration of th</w:t>
      </w:r>
      <w:r w:rsidR="003333BA">
        <w:t xml:space="preserve">e relevant dividend. </w:t>
      </w:r>
      <w:r>
        <w:t xml:space="preserve"> The preparation of accounts is not an event that can be undertaken in “real time”</w:t>
      </w:r>
      <w:r w:rsidR="003333BA">
        <w:t xml:space="preserve"> – as a generalisation, most accounts prepared to an audit level standard take between 45 – 60 days to prepare</w:t>
      </w:r>
      <w:r>
        <w:t xml:space="preserve">.  </w:t>
      </w:r>
    </w:p>
    <w:p w:rsidR="00344A01" w:rsidRDefault="0006099C" w:rsidP="00344A01">
      <w:pPr>
        <w:pStyle w:val="CorrsBullet"/>
        <w:numPr>
          <w:ilvl w:val="0"/>
          <w:numId w:val="0"/>
        </w:numPr>
      </w:pPr>
      <w:r>
        <w:t xml:space="preserve">This </w:t>
      </w:r>
      <w:r w:rsidR="00344A01">
        <w:t xml:space="preserve">lag </w:t>
      </w:r>
      <w:r>
        <w:t xml:space="preserve">is </w:t>
      </w:r>
      <w:r w:rsidR="00344A01">
        <w:t xml:space="preserve">another pillar in the argument against calculating the net asset test by reference to </w:t>
      </w:r>
      <w:r w:rsidR="003333BA">
        <w:t>accounting standards</w:t>
      </w:r>
      <w:r w:rsidR="00344A01">
        <w:t xml:space="preserve"> - a less restrictive test based on realisable or reasonable value would enable companies to perform a net asset calculation within a realistic time frame that is considerably more proximate </w:t>
      </w:r>
      <w:r w:rsidR="00EE5285">
        <w:t xml:space="preserve">in time </w:t>
      </w:r>
      <w:r w:rsidR="00344A01">
        <w:t>to the declaration or determination of the dividend.</w:t>
      </w:r>
    </w:p>
    <w:p w:rsidR="00344A01" w:rsidRDefault="00344A01" w:rsidP="00344A01">
      <w:pPr>
        <w:pStyle w:val="CorrsBullet"/>
        <w:numPr>
          <w:ilvl w:val="0"/>
          <w:numId w:val="0"/>
        </w:numPr>
      </w:pPr>
      <w:r>
        <w:t xml:space="preserve">For this reason, we would support a formulation of s254T </w:t>
      </w:r>
      <w:r w:rsidR="00BA07DB">
        <w:t xml:space="preserve">where the net asset test is calculated “as </w:t>
      </w:r>
      <w:r>
        <w:t>nearly as practicable</w:t>
      </w:r>
      <w:r w:rsidR="00BA07DB">
        <w:t>”</w:t>
      </w:r>
      <w:r>
        <w:t xml:space="preserve"> </w:t>
      </w:r>
      <w:r w:rsidR="00BA07DB">
        <w:t xml:space="preserve">before </w:t>
      </w:r>
      <w:r>
        <w:t xml:space="preserve">the time when </w:t>
      </w:r>
      <w:r w:rsidRPr="000A355C">
        <w:t>the relevant dividend is either declared or determined</w:t>
      </w:r>
      <w:r w:rsidR="00BA07DB">
        <w:t xml:space="preserve">.  </w:t>
      </w:r>
    </w:p>
    <w:p w:rsidR="002059DC" w:rsidRDefault="007751EE" w:rsidP="007751EE">
      <w:pPr>
        <w:pStyle w:val="Heading2"/>
      </w:pPr>
      <w:bookmarkStart w:id="3" w:name="_Ref315798134"/>
      <w:r>
        <w:t>Alternative to Option 4 – amendment of the equal capital reduction provisions</w:t>
      </w:r>
      <w:bookmarkEnd w:id="3"/>
    </w:p>
    <w:p w:rsidR="00D75B71" w:rsidRDefault="00D75B71" w:rsidP="00D75B71">
      <w:r>
        <w:t xml:space="preserve">We </w:t>
      </w:r>
      <w:r w:rsidR="00BA07DB">
        <w:t xml:space="preserve">support </w:t>
      </w:r>
      <w:r>
        <w:t>another alternative to Option 4 which has not been canvassed by the Discussion Paper</w:t>
      </w:r>
      <w:r w:rsidR="002E74CC">
        <w:t xml:space="preserve"> but which </w:t>
      </w:r>
      <w:r>
        <w:t xml:space="preserve">has the same practical effect as </w:t>
      </w:r>
      <w:r w:rsidR="002E74CC">
        <w:t xml:space="preserve">Option 4, with </w:t>
      </w:r>
      <w:r w:rsidR="00E14CD6">
        <w:t xml:space="preserve">some </w:t>
      </w:r>
      <w:r>
        <w:t>additional benefits.</w:t>
      </w:r>
    </w:p>
    <w:p w:rsidR="00D75B71" w:rsidRDefault="00D75B71" w:rsidP="00D75B71">
      <w:r>
        <w:t xml:space="preserve">The </w:t>
      </w:r>
      <w:r w:rsidR="00EE5285">
        <w:t xml:space="preserve">proposed </w:t>
      </w:r>
      <w:r>
        <w:t>alternative is to revert to the previous profits test in s254T for the payment of dividends</w:t>
      </w:r>
      <w:r w:rsidR="002E74CC">
        <w:t xml:space="preserve"> while simultaneously </w:t>
      </w:r>
      <w:r>
        <w:t>amend</w:t>
      </w:r>
      <w:r w:rsidR="002E74CC">
        <w:t>ing</w:t>
      </w:r>
      <w:r>
        <w:t xml:space="preserve"> the equal capital reduction provisions in Chapter 2J of the Act</w:t>
      </w:r>
      <w:r w:rsidR="002E74CC">
        <w:t>. The amendments would allow</w:t>
      </w:r>
      <w:r>
        <w:t xml:space="preserve"> a company </w:t>
      </w:r>
      <w:r w:rsidR="002E74CC">
        <w:t xml:space="preserve">to </w:t>
      </w:r>
      <w:r>
        <w:t>undertake an equal capital reduction without having to obtain shareholder approval,</w:t>
      </w:r>
      <w:r w:rsidR="00BA07DB">
        <w:t xml:space="preserve"> if</w:t>
      </w:r>
      <w:r>
        <w:t>:</w:t>
      </w:r>
    </w:p>
    <w:p w:rsidR="00D75B71" w:rsidRDefault="00D75B71" w:rsidP="00D75B71">
      <w:pPr>
        <w:pStyle w:val="Defa"/>
      </w:pPr>
      <w:r>
        <w:t xml:space="preserve">The company’s </w:t>
      </w:r>
      <w:r w:rsidRPr="00D75B71">
        <w:t xml:space="preserve">assets exceed its liabilities immediately before the dividend is declared </w:t>
      </w:r>
      <w:r>
        <w:t xml:space="preserve">or determined </w:t>
      </w:r>
      <w:r w:rsidRPr="00D75B71">
        <w:t xml:space="preserve">and the excess is sufficient for the </w:t>
      </w:r>
      <w:r>
        <w:t>consideration to be provided under the capital reduction;</w:t>
      </w:r>
    </w:p>
    <w:p w:rsidR="00D75B71" w:rsidRDefault="00D75B71" w:rsidP="00D75B71">
      <w:pPr>
        <w:pStyle w:val="Defa"/>
      </w:pPr>
      <w:r>
        <w:t xml:space="preserve">The </w:t>
      </w:r>
      <w:r w:rsidR="002E74CC">
        <w:t>reduction is fair and reasonable to the company’s shareholders as a whole; and</w:t>
      </w:r>
    </w:p>
    <w:p w:rsidR="002E74CC" w:rsidRDefault="002E74CC" w:rsidP="00D75B71">
      <w:pPr>
        <w:pStyle w:val="Defa"/>
      </w:pPr>
      <w:r>
        <w:t>The reduction does not materially prejudice the company’s ability to pay its creditors.</w:t>
      </w:r>
    </w:p>
    <w:p w:rsidR="002E74CC" w:rsidRDefault="00D75B71" w:rsidP="00D75B71">
      <w:r>
        <w:t>This would have the same practical effect as Option 4</w:t>
      </w:r>
      <w:r w:rsidR="002E74CC">
        <w:t xml:space="preserve"> in that companies </w:t>
      </w:r>
      <w:r w:rsidR="00E14CD6">
        <w:t xml:space="preserve">that </w:t>
      </w:r>
      <w:r w:rsidR="002E74CC">
        <w:t>meet the profits test can continue to pay dividends as they have done in the past (and such dividends would be generally assessable as income and frankable).  Companies that do not have sufficient profits will also be able to make distributions to shareholders through a return of capital, provided</w:t>
      </w:r>
      <w:r w:rsidR="00BA07DB">
        <w:t xml:space="preserve"> that</w:t>
      </w:r>
      <w:r w:rsidR="002E74CC">
        <w:t xml:space="preserve"> those companies are able to meet the “net asset” test.</w:t>
      </w:r>
    </w:p>
    <w:p w:rsidR="00D75B71" w:rsidRDefault="002E74CC" w:rsidP="00D75B71">
      <w:r>
        <w:lastRenderedPageBreak/>
        <w:t xml:space="preserve">This is </w:t>
      </w:r>
      <w:r w:rsidR="00D75B71">
        <w:t xml:space="preserve">likely to be less confusing for shareholders, </w:t>
      </w:r>
      <w:r>
        <w:t xml:space="preserve">as they will be able to clearly identify which distributions have the nature of a “dividend” </w:t>
      </w:r>
      <w:r w:rsidR="006032A6">
        <w:t xml:space="preserve">(in the sense that they are assessable and frankable) and which distributions are effectively returns of capital. </w:t>
      </w:r>
    </w:p>
    <w:p w:rsidR="00046305" w:rsidRDefault="00046305" w:rsidP="00D75B71">
      <w:r>
        <w:t>As against this we recognise that</w:t>
      </w:r>
      <w:r w:rsidR="00B73AF3">
        <w:t>,</w:t>
      </w:r>
      <w:r>
        <w:t xml:space="preserve"> </w:t>
      </w:r>
      <w:r w:rsidR="00B73AF3">
        <w:t xml:space="preserve">unlike Option 4, this alternative does not allow companies the flexibility to call a distribution which is effectively a capital return a “dividend”, which </w:t>
      </w:r>
      <w:r w:rsidR="00E14CD6">
        <w:t xml:space="preserve">some </w:t>
      </w:r>
      <w:r w:rsidR="00B73AF3">
        <w:t>companies may wish to do in certain circumstances (for example, to signal an intention to continue paying dividends)</w:t>
      </w:r>
      <w:r w:rsidR="00EE5285">
        <w:t>.</w:t>
      </w:r>
    </w:p>
    <w:p w:rsidR="006032A6" w:rsidRDefault="006032A6" w:rsidP="006032A6">
      <w:pPr>
        <w:pStyle w:val="Heading2"/>
      </w:pPr>
      <w:r>
        <w:t>Contacts</w:t>
      </w:r>
    </w:p>
    <w:p w:rsidR="006032A6" w:rsidRDefault="006032A6" w:rsidP="006032A6">
      <w:r>
        <w:t xml:space="preserve">If you have any questions in relation to this submission, please feel free to contact any of the following </w:t>
      </w:r>
      <w:r w:rsidR="00846397">
        <w:t>partners who have contributed to this submission</w:t>
      </w:r>
      <w:r>
        <w:t>:</w:t>
      </w:r>
    </w:p>
    <w:p w:rsidR="004776F5" w:rsidRPr="004776F5" w:rsidRDefault="003333BA" w:rsidP="004776F5">
      <w:r w:rsidRPr="004776F5">
        <w:t>Sandy Mak</w:t>
      </w:r>
      <w:r w:rsidRPr="004776F5">
        <w:tab/>
        <w:t xml:space="preserve">   +612 9210 6171, or </w:t>
      </w:r>
      <w:r>
        <w:t xml:space="preserve">by </w:t>
      </w:r>
      <w:r w:rsidRPr="004776F5">
        <w:t>email</w:t>
      </w:r>
      <w:r w:rsidR="00EE5285">
        <w:t>:</w:t>
      </w:r>
      <w:r w:rsidRPr="004776F5">
        <w:t xml:space="preserve"> </w:t>
      </w:r>
      <w:hyperlink r:id="rId10" w:history="1">
        <w:r w:rsidRPr="004776F5">
          <w:rPr>
            <w:rStyle w:val="Hyperlink"/>
          </w:rPr>
          <w:t>Sandy.Mak@corrs.com.au</w:t>
        </w:r>
      </w:hyperlink>
      <w:r w:rsidRPr="004776F5">
        <w:br/>
      </w:r>
      <w:r w:rsidR="004776F5" w:rsidRPr="004776F5">
        <w:t xml:space="preserve">Stephanie Daveson +617 3228 9493, or </w:t>
      </w:r>
      <w:r w:rsidR="0028301D">
        <w:t xml:space="preserve">by </w:t>
      </w:r>
      <w:r w:rsidR="004776F5" w:rsidRPr="004776F5">
        <w:t>email:</w:t>
      </w:r>
      <w:r w:rsidR="0028301D">
        <w:t xml:space="preserve"> </w:t>
      </w:r>
      <w:hyperlink r:id="rId11" w:history="1">
        <w:r w:rsidRPr="001E65E0">
          <w:rPr>
            <w:rStyle w:val="Hyperlink"/>
          </w:rPr>
          <w:t>Stephanie.Daveson@corrs.com.au</w:t>
        </w:r>
      </w:hyperlink>
      <w:r>
        <w:t xml:space="preserve"> </w:t>
      </w:r>
      <w:r w:rsidR="004776F5" w:rsidRPr="004776F5">
        <w:br/>
        <w:t>Braddon Jolley</w:t>
      </w:r>
      <w:r w:rsidR="004776F5" w:rsidRPr="004776F5">
        <w:tab/>
        <w:t xml:space="preserve">   +612 9210 6945, or </w:t>
      </w:r>
      <w:r w:rsidR="0028301D">
        <w:t xml:space="preserve">by </w:t>
      </w:r>
      <w:r w:rsidR="004776F5" w:rsidRPr="004776F5">
        <w:t xml:space="preserve">email: </w:t>
      </w:r>
      <w:hyperlink r:id="rId12" w:history="1">
        <w:r w:rsidR="004776F5" w:rsidRPr="004776F5">
          <w:rPr>
            <w:rStyle w:val="Hyperlink"/>
          </w:rPr>
          <w:t>Braddon.Jolley@corrs.com.au</w:t>
        </w:r>
      </w:hyperlink>
      <w:r w:rsidR="004776F5" w:rsidRPr="004776F5">
        <w:br/>
        <w:t>Andrew Lumsden</w:t>
      </w:r>
      <w:r w:rsidR="004776F5" w:rsidRPr="004776F5">
        <w:tab/>
        <w:t xml:space="preserve">   +612 9210 6385</w:t>
      </w:r>
      <w:r w:rsidR="0028301D">
        <w:t>, or by e</w:t>
      </w:r>
      <w:r w:rsidR="004776F5" w:rsidRPr="004776F5">
        <w:t xml:space="preserve">mail: </w:t>
      </w:r>
      <w:hyperlink r:id="rId13" w:history="1">
        <w:r w:rsidR="004776F5" w:rsidRPr="004776F5">
          <w:rPr>
            <w:rStyle w:val="Hyperlink"/>
          </w:rPr>
          <w:t>Andrew.Lumsden@corrs.com.au</w:t>
        </w:r>
      </w:hyperlink>
      <w:r w:rsidR="004776F5" w:rsidRPr="004776F5">
        <w:br/>
        <w:t>Reynah Tang</w:t>
      </w:r>
      <w:r w:rsidR="004776F5" w:rsidRPr="004776F5">
        <w:tab/>
        <w:t xml:space="preserve">   +613 9672 3535, or </w:t>
      </w:r>
      <w:r w:rsidR="0028301D">
        <w:t xml:space="preserve">by </w:t>
      </w:r>
      <w:r w:rsidR="004776F5" w:rsidRPr="004776F5">
        <w:t xml:space="preserve">email: </w:t>
      </w:r>
      <w:hyperlink r:id="rId14" w:history="1">
        <w:r w:rsidRPr="001E65E0">
          <w:rPr>
            <w:rStyle w:val="Hyperlink"/>
          </w:rPr>
          <w:t>Reynah.Tang@corrs.com.au</w:t>
        </w:r>
      </w:hyperlink>
      <w:r>
        <w:t xml:space="preserve"> </w:t>
      </w:r>
    </w:p>
    <w:p w:rsidR="004776F5" w:rsidRDefault="004776F5" w:rsidP="006032A6"/>
    <w:p w:rsidR="00846397" w:rsidRDefault="00846397" w:rsidP="006032A6">
      <w:pPr>
        <w:rPr>
          <w:b/>
        </w:rPr>
      </w:pPr>
      <w:r>
        <w:rPr>
          <w:b/>
        </w:rPr>
        <w:t>Corrs Chambers Westgarth</w:t>
      </w:r>
    </w:p>
    <w:p w:rsidR="00846397" w:rsidRPr="00846397" w:rsidRDefault="003333BA" w:rsidP="006032A6">
      <w:r>
        <w:t>3</w:t>
      </w:r>
      <w:r w:rsidR="00846397">
        <w:t xml:space="preserve"> February 2012</w:t>
      </w:r>
    </w:p>
    <w:p w:rsidR="006032A6" w:rsidRPr="006032A6" w:rsidRDefault="006032A6" w:rsidP="006032A6"/>
    <w:sectPr w:rsidR="006032A6" w:rsidRPr="006032A6" w:rsidSect="000808C8">
      <w:footerReference w:type="even" r:id="rId15"/>
      <w:footerReference w:type="default" r:id="rId16"/>
      <w:footerReference w:type="first" r:id="rId17"/>
      <w:pgSz w:w="11907" w:h="16840" w:code="9"/>
      <w:pgMar w:top="2268" w:right="1418" w:bottom="1701" w:left="1560" w:header="851" w:footer="567" w:gutter="0"/>
      <w:paperSrc w:first="7" w:other="7"/>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A61" w:rsidRDefault="00275A61">
      <w:r>
        <w:separator/>
      </w:r>
    </w:p>
  </w:endnote>
  <w:endnote w:type="continuationSeparator" w:id="0">
    <w:p w:rsidR="00275A61" w:rsidRDefault="0027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AF4" w:rsidRDefault="005C6AF4">
    <w:pPr>
      <w:pStyle w:val="Footer"/>
    </w:pPr>
    <w:r>
      <w:fldChar w:fldCharType="begin"/>
    </w:r>
    <w:r>
      <w:instrText xml:space="preserve"> if </w:instrText>
    </w:r>
    <w:fldSimple w:instr=" docproperty mDocID ">
      <w:r w:rsidR="00BA07DB">
        <w:instrText>6355178/1</w:instrText>
      </w:r>
    </w:fldSimple>
    <w:r>
      <w:instrText xml:space="preserve"> = "" "</w:instrText>
    </w:r>
    <w:fldSimple w:instr=" FILENAME \p ">
      <w:r>
        <w:instrText>C:\program files\microsoft office\templates\ccw\Letter.dot</w:instrText>
      </w:r>
    </w:fldSimple>
    <w:r>
      <w:instrText>" "</w:instrText>
    </w:r>
    <w:fldSimple w:instr=" docproperty  mDocID  \* charFORMAT ">
      <w:r w:rsidR="00BA07DB">
        <w:instrText>6355178/1</w:instrText>
      </w:r>
    </w:fldSimple>
    <w:r>
      <w:instrText xml:space="preserve">" </w:instrText>
    </w:r>
    <w:r>
      <w:fldChar w:fldCharType="separate"/>
    </w:r>
    <w:r w:rsidR="00BA07DB">
      <w:rPr>
        <w:noProof/>
      </w:rPr>
      <w:t>6355178/1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A" w:rsidRPr="00290FCB" w:rsidRDefault="00944A74" w:rsidP="007B6FAB">
    <w:pPr>
      <w:pStyle w:val="Footer"/>
      <w:tabs>
        <w:tab w:val="clear" w:pos="7655"/>
        <w:tab w:val="right" w:pos="8222"/>
      </w:tabs>
    </w:pPr>
    <w:r>
      <w:fldChar w:fldCharType="begin"/>
    </w:r>
    <w:r w:rsidR="00290FCB">
      <w:instrText xml:space="preserve"> if </w:instrText>
    </w:r>
    <w:r>
      <w:fldChar w:fldCharType="begin"/>
    </w:r>
    <w:r w:rsidR="00290FCB">
      <w:instrText xml:space="preserve"> docproperty mDocID </w:instrText>
    </w:r>
    <w:r>
      <w:fldChar w:fldCharType="separate"/>
    </w:r>
    <w:r w:rsidR="00BA07DB">
      <w:instrText>6355178/1</w:instrText>
    </w:r>
    <w:r>
      <w:fldChar w:fldCharType="end"/>
    </w:r>
    <w:r w:rsidR="00290FCB">
      <w:instrText xml:space="preserve"> = "" "</w:instrText>
    </w:r>
    <w:fldSimple w:instr=" FILENAME \p ">
      <w:r w:rsidR="001018FD">
        <w:rPr>
          <w:noProof/>
        </w:rPr>
        <w:instrText>Document2</w:instrText>
      </w:r>
    </w:fldSimple>
    <w:r w:rsidR="00290FCB">
      <w:instrText>" "</w:instrText>
    </w:r>
    <w:fldSimple w:instr=" docproperty  mDocID  \* charFORMAT ">
      <w:r w:rsidR="00BA07DB">
        <w:instrText>6355178/1</w:instrText>
      </w:r>
    </w:fldSimple>
    <w:r w:rsidR="00290FCB">
      <w:instrText xml:space="preserve">" </w:instrText>
    </w:r>
    <w:r>
      <w:fldChar w:fldCharType="separate"/>
    </w:r>
    <w:r w:rsidR="00BA07DB">
      <w:rPr>
        <w:noProof/>
      </w:rPr>
      <w:t>6355178/1</w:t>
    </w:r>
    <w:r>
      <w:fldChar w:fldCharType="end"/>
    </w:r>
    <w:r w:rsidR="00290FCB">
      <w:tab/>
      <w:t xml:space="preserve">page </w:t>
    </w:r>
    <w:r>
      <w:rPr>
        <w:rStyle w:val="PageNumber"/>
      </w:rPr>
      <w:fldChar w:fldCharType="begin"/>
    </w:r>
    <w:r w:rsidR="00290FCB">
      <w:rPr>
        <w:rStyle w:val="PageNumber"/>
      </w:rPr>
      <w:instrText xml:space="preserve"> PAGE </w:instrText>
    </w:r>
    <w:r>
      <w:rPr>
        <w:rStyle w:val="PageNumber"/>
      </w:rPr>
      <w:fldChar w:fldCharType="separate"/>
    </w:r>
    <w:r w:rsidR="008B4314">
      <w:rPr>
        <w:rStyle w:val="PageNumber"/>
        <w:noProof/>
      </w:rPr>
      <w:t>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A" w:rsidRPr="00761266" w:rsidRDefault="00944A74" w:rsidP="00761266">
    <w:pPr>
      <w:pStyle w:val="Footer"/>
    </w:pPr>
    <w:r>
      <w:fldChar w:fldCharType="begin"/>
    </w:r>
    <w:r w:rsidR="00761266">
      <w:instrText xml:space="preserve"> if </w:instrText>
    </w:r>
    <w:r>
      <w:fldChar w:fldCharType="begin"/>
    </w:r>
    <w:r w:rsidR="00761266">
      <w:instrText xml:space="preserve"> docproperty mDocID </w:instrText>
    </w:r>
    <w:r>
      <w:fldChar w:fldCharType="separate"/>
    </w:r>
    <w:r w:rsidR="00BA07DB">
      <w:instrText>6355178/1</w:instrText>
    </w:r>
    <w:r>
      <w:fldChar w:fldCharType="end"/>
    </w:r>
    <w:r w:rsidR="00761266">
      <w:instrText xml:space="preserve"> = "" "</w:instrText>
    </w:r>
    <w:fldSimple w:instr=" FILENAME \p ">
      <w:r w:rsidR="001018FD">
        <w:rPr>
          <w:noProof/>
        </w:rPr>
        <w:instrText>Document2</w:instrText>
      </w:r>
    </w:fldSimple>
    <w:r w:rsidR="00761266">
      <w:instrText>" "</w:instrText>
    </w:r>
    <w:fldSimple w:instr=" docproperty  mDocID  \* charFORMAT ">
      <w:r w:rsidR="00BA07DB">
        <w:instrText>6355178/1</w:instrText>
      </w:r>
    </w:fldSimple>
    <w:r w:rsidR="00761266">
      <w:instrText xml:space="preserve">" </w:instrText>
    </w:r>
    <w:r>
      <w:fldChar w:fldCharType="separate"/>
    </w:r>
    <w:r w:rsidR="00BA07DB">
      <w:rPr>
        <w:noProof/>
      </w:rPr>
      <w:t>6355178/1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A61" w:rsidRDefault="00275A61">
      <w:r>
        <w:separator/>
      </w:r>
    </w:p>
  </w:footnote>
  <w:footnote w:type="continuationSeparator" w:id="0">
    <w:p w:rsidR="00275A61" w:rsidRDefault="00275A61">
      <w:r>
        <w:continuationSeparator/>
      </w:r>
    </w:p>
  </w:footnote>
  <w:footnote w:id="1">
    <w:p w:rsidR="00846397" w:rsidRPr="00846397" w:rsidRDefault="00846397" w:rsidP="00846397">
      <w:pPr>
        <w:pStyle w:val="FootnoteText"/>
      </w:pPr>
      <w:r>
        <w:rPr>
          <w:rStyle w:val="FootnoteReference"/>
        </w:rPr>
        <w:footnoteRef/>
      </w:r>
      <w:r>
        <w:t xml:space="preserve"> S</w:t>
      </w:r>
      <w:r w:rsidRPr="00846397">
        <w:t xml:space="preserve">ections 820-680 to 820-684 of the </w:t>
      </w:r>
      <w:r w:rsidRPr="00846397">
        <w:rPr>
          <w:i/>
          <w:iCs/>
        </w:rPr>
        <w:t>Income Tax Assessment Act 1997</w:t>
      </w:r>
      <w:r w:rsidRPr="00846397">
        <w:t>.</w:t>
      </w:r>
    </w:p>
    <w:p w:rsidR="00846397" w:rsidRDefault="0084639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9B2140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B02562B"/>
    <w:multiLevelType w:val="hybridMultilevel"/>
    <w:tmpl w:val="0EC6042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nsid w:val="282E3661"/>
    <w:multiLevelType w:val="singleLevel"/>
    <w:tmpl w:val="689CBDFA"/>
    <w:lvl w:ilvl="0">
      <w:start w:val="1"/>
      <w:numFmt w:val="decimal"/>
      <w:lvlRestart w:val="0"/>
      <w:pStyle w:val="CorrsNumber"/>
      <w:lvlText w:val="%1"/>
      <w:lvlJc w:val="left"/>
      <w:pPr>
        <w:tabs>
          <w:tab w:val="num" w:pos="850"/>
        </w:tabs>
        <w:ind w:left="850" w:hanging="850"/>
      </w:pPr>
      <w:rPr>
        <w:b w:val="0"/>
      </w:rPr>
    </w:lvl>
  </w:abstractNum>
  <w:abstractNum w:abstractNumId="3">
    <w:nsid w:val="407910D7"/>
    <w:multiLevelType w:val="multilevel"/>
    <w:tmpl w:val="9FFACAA8"/>
    <w:lvl w:ilvl="0">
      <w:start w:val="1"/>
      <w:numFmt w:val="none"/>
      <w:suff w:val="nothing"/>
      <w:lvlText w:val=""/>
      <w:lvlJc w:val="left"/>
      <w:pPr>
        <w:ind w:left="0" w:firstLine="0"/>
      </w:pPr>
      <w:rPr>
        <w:rFonts w:hint="default"/>
        <w:vanish w:val="0"/>
      </w:rPr>
    </w:lvl>
    <w:lvl w:ilvl="1">
      <w:start w:val="1"/>
      <w:numFmt w:val="decimal"/>
      <w:pStyle w:val="SubHeading2"/>
      <w:lvlText w:val="%2"/>
      <w:lvlJc w:val="left"/>
      <w:pPr>
        <w:tabs>
          <w:tab w:val="num" w:pos="851"/>
        </w:tabs>
        <w:ind w:left="851" w:hanging="851"/>
      </w:pPr>
      <w:rPr>
        <w:rFonts w:hint="default"/>
      </w:rPr>
    </w:lvl>
    <w:lvl w:ilvl="2">
      <w:start w:val="1"/>
      <w:numFmt w:val="decimal"/>
      <w:pStyle w:val="SubHeading3"/>
      <w:lvlText w:val="%2.%3"/>
      <w:lvlJc w:val="left"/>
      <w:pPr>
        <w:tabs>
          <w:tab w:val="num" w:pos="851"/>
        </w:tabs>
        <w:ind w:left="851" w:hanging="851"/>
      </w:pPr>
      <w:rPr>
        <w:rFonts w:hint="default"/>
      </w:rPr>
    </w:lvl>
    <w:lvl w:ilvl="3">
      <w:start w:val="1"/>
      <w:numFmt w:val="lowerLetter"/>
      <w:pStyle w:val="SubHeading4"/>
      <w:lvlText w:val="(%4)"/>
      <w:lvlJc w:val="left"/>
      <w:pPr>
        <w:tabs>
          <w:tab w:val="num" w:pos="1418"/>
        </w:tabs>
        <w:ind w:left="1418" w:hanging="567"/>
      </w:pPr>
      <w:rPr>
        <w:rFonts w:hint="default"/>
      </w:rPr>
    </w:lvl>
    <w:lvl w:ilvl="4">
      <w:start w:val="1"/>
      <w:numFmt w:val="lowerRoman"/>
      <w:pStyle w:val="SubHeading5"/>
      <w:lvlText w:val="(%5)"/>
      <w:lvlJc w:val="left"/>
      <w:pPr>
        <w:tabs>
          <w:tab w:val="num" w:pos="1985"/>
        </w:tabs>
        <w:ind w:left="1985" w:hanging="567"/>
      </w:pPr>
      <w:rPr>
        <w:rFonts w:hint="default"/>
      </w:rPr>
    </w:lvl>
    <w:lvl w:ilvl="5">
      <w:start w:val="1"/>
      <w:numFmt w:val="upperLetter"/>
      <w:pStyle w:val="SubHeading6"/>
      <w:lvlText w:val="(%6)"/>
      <w:lvlJc w:val="left"/>
      <w:pPr>
        <w:tabs>
          <w:tab w:val="num" w:pos="2552"/>
        </w:tabs>
        <w:ind w:left="2552" w:hanging="567"/>
      </w:pPr>
      <w:rPr>
        <w:rFont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4">
    <w:nsid w:val="47FE13B0"/>
    <w:multiLevelType w:val="multilevel"/>
    <w:tmpl w:val="9B603D1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5">
    <w:nsid w:val="52677404"/>
    <w:multiLevelType w:val="hybridMultilevel"/>
    <w:tmpl w:val="3D0C7DE2"/>
    <w:lvl w:ilvl="0" w:tplc="0038D62A">
      <w:start w:val="1"/>
      <w:numFmt w:val="upperLetter"/>
      <w:pStyle w:val="Background"/>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C171CD8"/>
    <w:multiLevelType w:val="singleLevel"/>
    <w:tmpl w:val="937C7F24"/>
    <w:lvl w:ilvl="0">
      <w:start w:val="1"/>
      <w:numFmt w:val="bullet"/>
      <w:lvlRestart w:val="0"/>
      <w:pStyle w:val="CorrsBullet"/>
      <w:lvlText w:val=""/>
      <w:lvlJc w:val="left"/>
      <w:pPr>
        <w:tabs>
          <w:tab w:val="num" w:pos="850"/>
        </w:tabs>
        <w:ind w:left="850" w:hanging="850"/>
      </w:pPr>
      <w:rPr>
        <w:rFonts w:ascii="Symbol" w:hAnsi="Symbol" w:hint="default"/>
      </w:rPr>
    </w:lvl>
  </w:abstractNum>
  <w:abstractNum w:abstractNumId="7">
    <w:nsid w:val="673D5404"/>
    <w:multiLevelType w:val="hybridMultilevel"/>
    <w:tmpl w:val="EFD43A2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nsid w:val="72294DD9"/>
    <w:multiLevelType w:val="multilevel"/>
    <w:tmpl w:val="148CAEC0"/>
    <w:lvl w:ilvl="0">
      <w:start w:val="1"/>
      <w:numFmt w:val="none"/>
      <w:pStyle w:val="Definition"/>
      <w:suff w:val="nothing"/>
      <w:lvlText w:val=""/>
      <w:lvlJc w:val="left"/>
      <w:pPr>
        <w:ind w:left="851" w:firstLine="0"/>
      </w:pPr>
      <w:rPr>
        <w:rFonts w:hint="default"/>
      </w:rPr>
    </w:lvl>
    <w:lvl w:ilvl="1">
      <w:start w:val="1"/>
      <w:numFmt w:val="lowerLetter"/>
      <w:pStyle w:val="Defa"/>
      <w:lvlText w:val="(%2)"/>
      <w:lvlJc w:val="left"/>
      <w:pPr>
        <w:tabs>
          <w:tab w:val="num" w:pos="1418"/>
        </w:tabs>
        <w:ind w:left="1418" w:hanging="567"/>
      </w:pPr>
      <w:rPr>
        <w:rFonts w:hint="default"/>
      </w:rPr>
    </w:lvl>
    <w:lvl w:ilvl="2">
      <w:start w:val="1"/>
      <w:numFmt w:val="lowerRoman"/>
      <w:pStyle w:val="Defi"/>
      <w:lvlText w:val="(%3)"/>
      <w:lvlJc w:val="left"/>
      <w:pPr>
        <w:tabs>
          <w:tab w:val="num" w:pos="1985"/>
        </w:tabs>
        <w:ind w:left="1985" w:hanging="567"/>
      </w:pPr>
      <w:rPr>
        <w:rFonts w:hint="default"/>
      </w:rPr>
    </w:lvl>
    <w:lvl w:ilvl="3">
      <w:start w:val="1"/>
      <w:numFmt w:val="upperLetter"/>
      <w:pStyle w:val="DefA0"/>
      <w:lvlText w:val="(%4)"/>
      <w:lvlJc w:val="left"/>
      <w:pPr>
        <w:tabs>
          <w:tab w:val="num" w:pos="2552"/>
        </w:tabs>
        <w:ind w:left="2552" w:hanging="567"/>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9">
    <w:nsid w:val="7E2C296B"/>
    <w:multiLevelType w:val="multilevel"/>
    <w:tmpl w:val="9D02E85A"/>
    <w:lvl w:ilvl="0">
      <w:start w:val="1"/>
      <w:numFmt w:val="none"/>
      <w:pStyle w:val="Heading1"/>
      <w:suff w:val="nothing"/>
      <w:lvlText w:val="%1"/>
      <w:lvlJc w:val="left"/>
      <w:pPr>
        <w:ind w:left="851" w:firstLine="0"/>
      </w:pPr>
      <w:rPr>
        <w:rFonts w:hint="default"/>
        <w:vanish w:val="0"/>
        <w:sz w:val="2"/>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isLgl/>
      <w:lvlText w:val="%2.%3"/>
      <w:lvlJc w:val="left"/>
      <w:pPr>
        <w:tabs>
          <w:tab w:val="num" w:pos="851"/>
        </w:tabs>
        <w:ind w:left="851" w:hanging="851"/>
      </w:pPr>
      <w:rPr>
        <w:rFonts w:hint="default"/>
      </w:rPr>
    </w:lvl>
    <w:lvl w:ilvl="3">
      <w:start w:val="1"/>
      <w:numFmt w:val="lowerLetter"/>
      <w:pStyle w:val="Heading4"/>
      <w:lvlText w:val="(%4)"/>
      <w:lvlJc w:val="left"/>
      <w:pPr>
        <w:tabs>
          <w:tab w:val="num" w:pos="1277"/>
        </w:tabs>
        <w:ind w:left="1277" w:hanging="567"/>
      </w:pPr>
      <w:rPr>
        <w:rFonts w:hint="default"/>
      </w:rPr>
    </w:lvl>
    <w:lvl w:ilvl="4">
      <w:start w:val="1"/>
      <w:numFmt w:val="lowerRoman"/>
      <w:pStyle w:val="Heading5"/>
      <w:lvlText w:val="(%5)"/>
      <w:lvlJc w:val="left"/>
      <w:pPr>
        <w:tabs>
          <w:tab w:val="num" w:pos="1985"/>
        </w:tabs>
        <w:ind w:left="1985" w:hanging="567"/>
      </w:pPr>
      <w:rPr>
        <w:rFonts w:hint="default"/>
      </w:rPr>
    </w:lvl>
    <w:lvl w:ilvl="5">
      <w:start w:val="1"/>
      <w:numFmt w:val="upperLetter"/>
      <w:pStyle w:val="Heading6"/>
      <w:lvlText w:val="(%6)"/>
      <w:lvlJc w:val="left"/>
      <w:pPr>
        <w:tabs>
          <w:tab w:val="num" w:pos="2552"/>
        </w:tabs>
        <w:ind w:left="2552" w:hanging="567"/>
      </w:pPr>
      <w:rPr>
        <w:rFonts w:hint="default"/>
      </w:rPr>
    </w:lvl>
    <w:lvl w:ilvl="6">
      <w:start w:val="1"/>
      <w:numFmt w:val="decimal"/>
      <w:pStyle w:val="Heading7"/>
      <w:lvlText w:val="(%7)"/>
      <w:lvlJc w:val="left"/>
      <w:pPr>
        <w:tabs>
          <w:tab w:val="num" w:pos="3119"/>
        </w:tabs>
        <w:ind w:left="3119" w:hanging="567"/>
      </w:pPr>
      <w:rPr>
        <w:rFonts w:hint="default"/>
      </w:rPr>
    </w:lvl>
    <w:lvl w:ilvl="7">
      <w:start w:val="1"/>
      <w:numFmt w:val="bullet"/>
      <w:pStyle w:val="Heading8"/>
      <w:lvlText w:val=""/>
      <w:lvlJc w:val="left"/>
      <w:pPr>
        <w:tabs>
          <w:tab w:val="num" w:pos="3686"/>
        </w:tabs>
        <w:ind w:left="3686" w:hanging="567"/>
      </w:pPr>
      <w:rPr>
        <w:rFonts w:ascii="Symbol" w:hAnsi="Symbol" w:hint="default"/>
      </w:rPr>
    </w:lvl>
    <w:lvl w:ilvl="8">
      <w:start w:val="1"/>
      <w:numFmt w:val="none"/>
      <w:pStyle w:val="Heading9"/>
      <w:lvlText w:val=""/>
      <w:lvlJc w:val="left"/>
      <w:pPr>
        <w:tabs>
          <w:tab w:val="num" w:pos="4253"/>
        </w:tabs>
        <w:ind w:left="4253" w:hanging="567"/>
      </w:pPr>
      <w:rPr>
        <w:rFonts w:hint="default"/>
      </w:rPr>
    </w:lvl>
  </w:abstractNum>
  <w:num w:numId="1">
    <w:abstractNumId w:val="0"/>
  </w:num>
  <w:num w:numId="2">
    <w:abstractNumId w:val="5"/>
  </w:num>
  <w:num w:numId="3">
    <w:abstractNumId w:val="6"/>
  </w:num>
  <w:num w:numId="4">
    <w:abstractNumId w:val="2"/>
  </w:num>
  <w:num w:numId="5">
    <w:abstractNumId w:val="8"/>
  </w:num>
  <w:num w:numId="6">
    <w:abstractNumId w:val="9"/>
  </w:num>
  <w:num w:numId="7">
    <w:abstractNumId w:val="3"/>
  </w:num>
  <w:num w:numId="8">
    <w:abstractNumId w:val="1"/>
  </w:num>
  <w:num w:numId="9">
    <w:abstractNumId w:val="4"/>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num>
  <w:num w:numId="13">
    <w:abstractNumId w:val="6"/>
  </w:num>
  <w:num w:numId="1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851"/>
  <w:drawingGridHorizontalSpacing w:val="105"/>
  <w:displayHorizontalDrawingGridEvery w:val="2"/>
  <w:noPunctuationKerning/>
  <w:characterSpacingControl w:val="doNotCompress"/>
  <w:hdrShapeDefaults>
    <o:shapedefaults v:ext="edit" spidmax="962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mTemplateDataInitialised" w:val="Yes"/>
    <w:docVar w:name="PCDocsNumber" w:val="6355178"/>
  </w:docVars>
  <w:rsids>
    <w:rsidRoot w:val="005C6AF4"/>
    <w:rsid w:val="00000C9F"/>
    <w:rsid w:val="00001A35"/>
    <w:rsid w:val="0000351F"/>
    <w:rsid w:val="0000480E"/>
    <w:rsid w:val="00011390"/>
    <w:rsid w:val="000143D3"/>
    <w:rsid w:val="00014489"/>
    <w:rsid w:val="000159CC"/>
    <w:rsid w:val="000271E5"/>
    <w:rsid w:val="000318FB"/>
    <w:rsid w:val="00035940"/>
    <w:rsid w:val="00046305"/>
    <w:rsid w:val="0006099C"/>
    <w:rsid w:val="000655B3"/>
    <w:rsid w:val="000663FB"/>
    <w:rsid w:val="0007185C"/>
    <w:rsid w:val="00071F9A"/>
    <w:rsid w:val="000808C8"/>
    <w:rsid w:val="00086386"/>
    <w:rsid w:val="000A10A6"/>
    <w:rsid w:val="000A355C"/>
    <w:rsid w:val="000B7B12"/>
    <w:rsid w:val="000B7B3C"/>
    <w:rsid w:val="000C714E"/>
    <w:rsid w:val="000E6E60"/>
    <w:rsid w:val="000E7F44"/>
    <w:rsid w:val="000F1AAE"/>
    <w:rsid w:val="000F1D54"/>
    <w:rsid w:val="001018FD"/>
    <w:rsid w:val="00105075"/>
    <w:rsid w:val="00105957"/>
    <w:rsid w:val="00112BA7"/>
    <w:rsid w:val="0013429A"/>
    <w:rsid w:val="001418B5"/>
    <w:rsid w:val="00152067"/>
    <w:rsid w:val="0015352D"/>
    <w:rsid w:val="0016015A"/>
    <w:rsid w:val="00160A38"/>
    <w:rsid w:val="00175A7F"/>
    <w:rsid w:val="00182E1D"/>
    <w:rsid w:val="00183202"/>
    <w:rsid w:val="00183A24"/>
    <w:rsid w:val="001850EA"/>
    <w:rsid w:val="001964A0"/>
    <w:rsid w:val="001B15A5"/>
    <w:rsid w:val="001B3D53"/>
    <w:rsid w:val="001B4628"/>
    <w:rsid w:val="001C288E"/>
    <w:rsid w:val="001C5AFD"/>
    <w:rsid w:val="001D2FD4"/>
    <w:rsid w:val="001D58F3"/>
    <w:rsid w:val="001E0BB1"/>
    <w:rsid w:val="001E38AF"/>
    <w:rsid w:val="002022AC"/>
    <w:rsid w:val="002059DC"/>
    <w:rsid w:val="0021390B"/>
    <w:rsid w:val="00217402"/>
    <w:rsid w:val="0022081B"/>
    <w:rsid w:val="00220AA4"/>
    <w:rsid w:val="00223A4E"/>
    <w:rsid w:val="00232C18"/>
    <w:rsid w:val="00236C73"/>
    <w:rsid w:val="00242BC2"/>
    <w:rsid w:val="00243900"/>
    <w:rsid w:val="002501F6"/>
    <w:rsid w:val="0025112A"/>
    <w:rsid w:val="00256308"/>
    <w:rsid w:val="00256737"/>
    <w:rsid w:val="00257B29"/>
    <w:rsid w:val="002636EE"/>
    <w:rsid w:val="00264E51"/>
    <w:rsid w:val="0027088F"/>
    <w:rsid w:val="00275A61"/>
    <w:rsid w:val="0028301D"/>
    <w:rsid w:val="0028657B"/>
    <w:rsid w:val="00290FCB"/>
    <w:rsid w:val="00294242"/>
    <w:rsid w:val="0029658C"/>
    <w:rsid w:val="002A3C18"/>
    <w:rsid w:val="002A58F4"/>
    <w:rsid w:val="002A6A51"/>
    <w:rsid w:val="002B1AF9"/>
    <w:rsid w:val="002C5F04"/>
    <w:rsid w:val="002D22B3"/>
    <w:rsid w:val="002E0365"/>
    <w:rsid w:val="002E67C6"/>
    <w:rsid w:val="002E74CC"/>
    <w:rsid w:val="0030425C"/>
    <w:rsid w:val="00307548"/>
    <w:rsid w:val="00314352"/>
    <w:rsid w:val="00315A07"/>
    <w:rsid w:val="00316432"/>
    <w:rsid w:val="003238DA"/>
    <w:rsid w:val="0032573C"/>
    <w:rsid w:val="003333BA"/>
    <w:rsid w:val="0033586E"/>
    <w:rsid w:val="00337D9F"/>
    <w:rsid w:val="00340F78"/>
    <w:rsid w:val="00344A01"/>
    <w:rsid w:val="00351074"/>
    <w:rsid w:val="00361F0D"/>
    <w:rsid w:val="003645E7"/>
    <w:rsid w:val="00365287"/>
    <w:rsid w:val="003751CD"/>
    <w:rsid w:val="00377881"/>
    <w:rsid w:val="00377931"/>
    <w:rsid w:val="00383D77"/>
    <w:rsid w:val="003875CB"/>
    <w:rsid w:val="00390720"/>
    <w:rsid w:val="0039215C"/>
    <w:rsid w:val="003A2F7A"/>
    <w:rsid w:val="003A6CE1"/>
    <w:rsid w:val="003A7FE8"/>
    <w:rsid w:val="003B7915"/>
    <w:rsid w:val="003D199E"/>
    <w:rsid w:val="003D7731"/>
    <w:rsid w:val="003D7C88"/>
    <w:rsid w:val="003E29FA"/>
    <w:rsid w:val="00403A9C"/>
    <w:rsid w:val="00411134"/>
    <w:rsid w:val="00424272"/>
    <w:rsid w:val="00433DB9"/>
    <w:rsid w:val="004361CB"/>
    <w:rsid w:val="004443FA"/>
    <w:rsid w:val="004510DE"/>
    <w:rsid w:val="00455D07"/>
    <w:rsid w:val="00457282"/>
    <w:rsid w:val="0045791E"/>
    <w:rsid w:val="00462688"/>
    <w:rsid w:val="0046466A"/>
    <w:rsid w:val="00475C88"/>
    <w:rsid w:val="004776F5"/>
    <w:rsid w:val="00477B91"/>
    <w:rsid w:val="0049209A"/>
    <w:rsid w:val="004921AD"/>
    <w:rsid w:val="00493369"/>
    <w:rsid w:val="00497D1D"/>
    <w:rsid w:val="004B2180"/>
    <w:rsid w:val="004B2C3A"/>
    <w:rsid w:val="004B54F3"/>
    <w:rsid w:val="004C2741"/>
    <w:rsid w:val="004E2CC9"/>
    <w:rsid w:val="004E3CBC"/>
    <w:rsid w:val="004F102E"/>
    <w:rsid w:val="004F65C2"/>
    <w:rsid w:val="00511103"/>
    <w:rsid w:val="00520410"/>
    <w:rsid w:val="005238A2"/>
    <w:rsid w:val="00524D5F"/>
    <w:rsid w:val="00531243"/>
    <w:rsid w:val="00534826"/>
    <w:rsid w:val="0054588E"/>
    <w:rsid w:val="00546F4B"/>
    <w:rsid w:val="00555E45"/>
    <w:rsid w:val="00571E4C"/>
    <w:rsid w:val="00574E20"/>
    <w:rsid w:val="00574E9E"/>
    <w:rsid w:val="00577CEF"/>
    <w:rsid w:val="00584423"/>
    <w:rsid w:val="0059160A"/>
    <w:rsid w:val="0059457B"/>
    <w:rsid w:val="00597EFA"/>
    <w:rsid w:val="005C6AF4"/>
    <w:rsid w:val="005D0927"/>
    <w:rsid w:val="005D180E"/>
    <w:rsid w:val="005D1C99"/>
    <w:rsid w:val="005D2C2A"/>
    <w:rsid w:val="005D595C"/>
    <w:rsid w:val="005E1C9D"/>
    <w:rsid w:val="005E473F"/>
    <w:rsid w:val="005F0E76"/>
    <w:rsid w:val="005F5025"/>
    <w:rsid w:val="005F6E6D"/>
    <w:rsid w:val="006032A6"/>
    <w:rsid w:val="00625FFD"/>
    <w:rsid w:val="006364BA"/>
    <w:rsid w:val="00636B60"/>
    <w:rsid w:val="006557F4"/>
    <w:rsid w:val="006558D6"/>
    <w:rsid w:val="006560B7"/>
    <w:rsid w:val="00657F4B"/>
    <w:rsid w:val="00697C55"/>
    <w:rsid w:val="006A2B22"/>
    <w:rsid w:val="006B0D72"/>
    <w:rsid w:val="006B377E"/>
    <w:rsid w:val="006B762E"/>
    <w:rsid w:val="006C7EC1"/>
    <w:rsid w:val="006E0D46"/>
    <w:rsid w:val="006E462F"/>
    <w:rsid w:val="006E4C0C"/>
    <w:rsid w:val="006E77FD"/>
    <w:rsid w:val="00702C33"/>
    <w:rsid w:val="00710456"/>
    <w:rsid w:val="00717B54"/>
    <w:rsid w:val="007279DC"/>
    <w:rsid w:val="00740561"/>
    <w:rsid w:val="007526FE"/>
    <w:rsid w:val="00757A65"/>
    <w:rsid w:val="00760E00"/>
    <w:rsid w:val="00761266"/>
    <w:rsid w:val="00771242"/>
    <w:rsid w:val="007717E2"/>
    <w:rsid w:val="007751EE"/>
    <w:rsid w:val="00790444"/>
    <w:rsid w:val="00790EF8"/>
    <w:rsid w:val="007A01CD"/>
    <w:rsid w:val="007A3FE9"/>
    <w:rsid w:val="007A633F"/>
    <w:rsid w:val="007B178C"/>
    <w:rsid w:val="007B6FAB"/>
    <w:rsid w:val="007C0561"/>
    <w:rsid w:val="007D0305"/>
    <w:rsid w:val="007D28B1"/>
    <w:rsid w:val="007E4395"/>
    <w:rsid w:val="007E7C54"/>
    <w:rsid w:val="007F404E"/>
    <w:rsid w:val="007F76E4"/>
    <w:rsid w:val="00802326"/>
    <w:rsid w:val="00803193"/>
    <w:rsid w:val="0080782C"/>
    <w:rsid w:val="00810970"/>
    <w:rsid w:val="00813FB8"/>
    <w:rsid w:val="0081415F"/>
    <w:rsid w:val="00824777"/>
    <w:rsid w:val="00825161"/>
    <w:rsid w:val="00841692"/>
    <w:rsid w:val="00846397"/>
    <w:rsid w:val="00851B93"/>
    <w:rsid w:val="008563CD"/>
    <w:rsid w:val="00856EC9"/>
    <w:rsid w:val="00860142"/>
    <w:rsid w:val="00882EA0"/>
    <w:rsid w:val="008A2B1C"/>
    <w:rsid w:val="008A7B2E"/>
    <w:rsid w:val="008B15C6"/>
    <w:rsid w:val="008B241F"/>
    <w:rsid w:val="008B4314"/>
    <w:rsid w:val="008B6430"/>
    <w:rsid w:val="008B6FC0"/>
    <w:rsid w:val="008B6FF8"/>
    <w:rsid w:val="008C5265"/>
    <w:rsid w:val="008D1CA2"/>
    <w:rsid w:val="008D2E3A"/>
    <w:rsid w:val="008E699A"/>
    <w:rsid w:val="009411A4"/>
    <w:rsid w:val="00944A74"/>
    <w:rsid w:val="009463FD"/>
    <w:rsid w:val="0095219B"/>
    <w:rsid w:val="00953D8C"/>
    <w:rsid w:val="009610EB"/>
    <w:rsid w:val="009651EA"/>
    <w:rsid w:val="00965783"/>
    <w:rsid w:val="00973CCA"/>
    <w:rsid w:val="00973DFC"/>
    <w:rsid w:val="00980E05"/>
    <w:rsid w:val="009825B7"/>
    <w:rsid w:val="00985711"/>
    <w:rsid w:val="009A2123"/>
    <w:rsid w:val="009A28A6"/>
    <w:rsid w:val="009A610F"/>
    <w:rsid w:val="009A7133"/>
    <w:rsid w:val="009B3F18"/>
    <w:rsid w:val="009C4C27"/>
    <w:rsid w:val="009D643F"/>
    <w:rsid w:val="009D6F92"/>
    <w:rsid w:val="009E4A4D"/>
    <w:rsid w:val="009E4E24"/>
    <w:rsid w:val="009F0063"/>
    <w:rsid w:val="009F24EF"/>
    <w:rsid w:val="009F29CA"/>
    <w:rsid w:val="00A01D1F"/>
    <w:rsid w:val="00A06877"/>
    <w:rsid w:val="00A07166"/>
    <w:rsid w:val="00A103BD"/>
    <w:rsid w:val="00A12497"/>
    <w:rsid w:val="00A12F00"/>
    <w:rsid w:val="00A135CD"/>
    <w:rsid w:val="00A15D1E"/>
    <w:rsid w:val="00A163D2"/>
    <w:rsid w:val="00A165EB"/>
    <w:rsid w:val="00A2037C"/>
    <w:rsid w:val="00A21DC2"/>
    <w:rsid w:val="00A231FB"/>
    <w:rsid w:val="00A27FE3"/>
    <w:rsid w:val="00A322A1"/>
    <w:rsid w:val="00A35A3C"/>
    <w:rsid w:val="00A43B78"/>
    <w:rsid w:val="00A45643"/>
    <w:rsid w:val="00A50DFC"/>
    <w:rsid w:val="00A52262"/>
    <w:rsid w:val="00A55AD3"/>
    <w:rsid w:val="00A61D01"/>
    <w:rsid w:val="00A635AC"/>
    <w:rsid w:val="00A63E83"/>
    <w:rsid w:val="00A743CD"/>
    <w:rsid w:val="00A75859"/>
    <w:rsid w:val="00A80542"/>
    <w:rsid w:val="00A92E49"/>
    <w:rsid w:val="00A948FC"/>
    <w:rsid w:val="00AA35AD"/>
    <w:rsid w:val="00AA372A"/>
    <w:rsid w:val="00AB1F27"/>
    <w:rsid w:val="00AB2F4C"/>
    <w:rsid w:val="00AC0931"/>
    <w:rsid w:val="00AD3684"/>
    <w:rsid w:val="00AD7BAC"/>
    <w:rsid w:val="00AE134A"/>
    <w:rsid w:val="00AE17CD"/>
    <w:rsid w:val="00B02640"/>
    <w:rsid w:val="00B051DD"/>
    <w:rsid w:val="00B065ED"/>
    <w:rsid w:val="00B06D2E"/>
    <w:rsid w:val="00B25CF2"/>
    <w:rsid w:val="00B37753"/>
    <w:rsid w:val="00B47A1B"/>
    <w:rsid w:val="00B47F5A"/>
    <w:rsid w:val="00B51B00"/>
    <w:rsid w:val="00B559EF"/>
    <w:rsid w:val="00B65D8E"/>
    <w:rsid w:val="00B73AF3"/>
    <w:rsid w:val="00B80A9D"/>
    <w:rsid w:val="00B85752"/>
    <w:rsid w:val="00BA07DB"/>
    <w:rsid w:val="00BA443C"/>
    <w:rsid w:val="00BA4743"/>
    <w:rsid w:val="00BB1C9F"/>
    <w:rsid w:val="00BB4204"/>
    <w:rsid w:val="00BC368F"/>
    <w:rsid w:val="00BD662B"/>
    <w:rsid w:val="00BE1B49"/>
    <w:rsid w:val="00BE4A4F"/>
    <w:rsid w:val="00BE5D00"/>
    <w:rsid w:val="00BF0303"/>
    <w:rsid w:val="00BF266E"/>
    <w:rsid w:val="00BF5BFB"/>
    <w:rsid w:val="00BF6EF0"/>
    <w:rsid w:val="00C033A7"/>
    <w:rsid w:val="00C06B89"/>
    <w:rsid w:val="00C20670"/>
    <w:rsid w:val="00C277AC"/>
    <w:rsid w:val="00C31002"/>
    <w:rsid w:val="00C51253"/>
    <w:rsid w:val="00C824AC"/>
    <w:rsid w:val="00C90CEE"/>
    <w:rsid w:val="00C9116E"/>
    <w:rsid w:val="00C94572"/>
    <w:rsid w:val="00CA1CB0"/>
    <w:rsid w:val="00CA224D"/>
    <w:rsid w:val="00CA263A"/>
    <w:rsid w:val="00CB045C"/>
    <w:rsid w:val="00CB26EE"/>
    <w:rsid w:val="00CC322F"/>
    <w:rsid w:val="00CC471C"/>
    <w:rsid w:val="00CC5788"/>
    <w:rsid w:val="00CD0037"/>
    <w:rsid w:val="00CD7C74"/>
    <w:rsid w:val="00CE3060"/>
    <w:rsid w:val="00CF1FD4"/>
    <w:rsid w:val="00D05B32"/>
    <w:rsid w:val="00D2576B"/>
    <w:rsid w:val="00D32B56"/>
    <w:rsid w:val="00D32C44"/>
    <w:rsid w:val="00D347C6"/>
    <w:rsid w:val="00D36464"/>
    <w:rsid w:val="00D44549"/>
    <w:rsid w:val="00D54CD0"/>
    <w:rsid w:val="00D75B71"/>
    <w:rsid w:val="00D815D2"/>
    <w:rsid w:val="00D83DEB"/>
    <w:rsid w:val="00D94B1D"/>
    <w:rsid w:val="00DA4A0C"/>
    <w:rsid w:val="00DA6761"/>
    <w:rsid w:val="00DC3C7B"/>
    <w:rsid w:val="00DC4F91"/>
    <w:rsid w:val="00DC71B9"/>
    <w:rsid w:val="00DE0DA1"/>
    <w:rsid w:val="00DE2F40"/>
    <w:rsid w:val="00DF1543"/>
    <w:rsid w:val="00DF34B7"/>
    <w:rsid w:val="00DF35FD"/>
    <w:rsid w:val="00DF588A"/>
    <w:rsid w:val="00E01F3C"/>
    <w:rsid w:val="00E07689"/>
    <w:rsid w:val="00E14CD6"/>
    <w:rsid w:val="00E26099"/>
    <w:rsid w:val="00E52E2A"/>
    <w:rsid w:val="00E548CA"/>
    <w:rsid w:val="00E617F5"/>
    <w:rsid w:val="00E654BA"/>
    <w:rsid w:val="00E77FE8"/>
    <w:rsid w:val="00E93DC6"/>
    <w:rsid w:val="00EA1E51"/>
    <w:rsid w:val="00EA3447"/>
    <w:rsid w:val="00EA4A34"/>
    <w:rsid w:val="00EA5FA9"/>
    <w:rsid w:val="00EC2936"/>
    <w:rsid w:val="00EE153E"/>
    <w:rsid w:val="00EE5285"/>
    <w:rsid w:val="00EF298C"/>
    <w:rsid w:val="00F0207A"/>
    <w:rsid w:val="00F23BF5"/>
    <w:rsid w:val="00F27F49"/>
    <w:rsid w:val="00F30318"/>
    <w:rsid w:val="00F45C73"/>
    <w:rsid w:val="00F465AC"/>
    <w:rsid w:val="00F60D4E"/>
    <w:rsid w:val="00F72A1A"/>
    <w:rsid w:val="00F74B05"/>
    <w:rsid w:val="00F87874"/>
    <w:rsid w:val="00F9279C"/>
    <w:rsid w:val="00FA0A74"/>
    <w:rsid w:val="00FA6B26"/>
    <w:rsid w:val="00FB3503"/>
    <w:rsid w:val="00FF115B"/>
    <w:rsid w:val="00FF29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semiHidden="0" w:uiPriority="4" w:unhideWhenUsed="0" w:qFormat="1"/>
    <w:lsdException w:name="heading 3" w:semiHidden="0" w:uiPriority="5" w:unhideWhenUsed="0" w:qFormat="1"/>
    <w:lsdException w:name="heading 4" w:semiHidden="0" w:uiPriority="6" w:unhideWhenUsed="0" w:qFormat="1"/>
    <w:lsdException w:name="heading 5" w:semiHidden="0" w:uiPriority="7" w:unhideWhenUsed="0" w:qFormat="1"/>
    <w:lsdException w:name="heading 6" w:semiHidden="0" w:uiPriority="8" w:unhideWhenUsed="0" w:qFormat="1"/>
    <w:lsdException w:name="heading 7" w:semiHidden="0" w:uiPriority="9" w:unhideWhenUsed="0" w:qFormat="1"/>
    <w:lsdException w:name="heading 8" w:semiHidden="0" w:uiPriority="10" w:unhideWhenUsed="0" w:qFormat="1"/>
    <w:lsdException w:name="heading 9" w:semiHidden="0" w:uiPriority="11" w:unhideWhenUsed="0"/>
    <w:lsdException w:name="toc 1" w:uiPriority="39"/>
    <w:lsdException w:name="toc 2" w:uiPriority="29" w:qFormat="1"/>
    <w:lsdException w:name="toc 3" w:uiPriority="2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2" w:qFormat="1"/>
    <w:lsdException w:name="footnote text" w:uiPriority="32" w:qFormat="1"/>
    <w:lsdException w:name="header" w:uiPriority="33"/>
    <w:lsdException w:name="footer" w:qFormat="1"/>
    <w:lsdException w:name="caption" w:uiPriority="35" w:qFormat="1"/>
    <w:lsdException w:name="footnote reference" w:uiPriority="32"/>
    <w:lsdException w:name="endnote reference" w:uiPriority="32"/>
    <w:lsdException w:name="endnote text" w:uiPriority="32" w:qFormat="1"/>
    <w:lsdException w:name="Title" w:uiPriority="32"/>
    <w:lsdException w:name="Default Paragraph Font" w:uiPriority="1"/>
    <w:lsdException w:name="Subtitle" w:semiHidden="0" w:uiPriority="11" w:unhideWhenUsed="0"/>
    <w:lsdException w:name="Hyperlink" w:uiPriority="34"/>
    <w:lsdException w:name="Strong" w:uiPriority="22"/>
    <w:lsdException w:name="Emphasis" w:uiPriority="2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13FB8"/>
    <w:pPr>
      <w:spacing w:after="120" w:line="270" w:lineRule="atLeast"/>
    </w:pPr>
    <w:rPr>
      <w:rFonts w:ascii="Arial" w:hAnsi="Arial"/>
      <w:sz w:val="21"/>
      <w:szCs w:val="22"/>
    </w:rPr>
  </w:style>
  <w:style w:type="paragraph" w:styleId="Heading1">
    <w:name w:val="heading 1"/>
    <w:basedOn w:val="Normal"/>
    <w:next w:val="Heading2"/>
    <w:uiPriority w:val="3"/>
    <w:qFormat/>
    <w:rsid w:val="00702C33"/>
    <w:pPr>
      <w:keepNext/>
      <w:numPr>
        <w:numId w:val="6"/>
      </w:numPr>
      <w:spacing w:before="360" w:after="60" w:line="240" w:lineRule="auto"/>
      <w:outlineLvl w:val="0"/>
    </w:pPr>
    <w:rPr>
      <w:rFonts w:cs="Arial"/>
      <w:bCs/>
      <w:color w:val="000000"/>
      <w:sz w:val="40"/>
      <w:szCs w:val="40"/>
    </w:rPr>
  </w:style>
  <w:style w:type="paragraph" w:styleId="Heading2">
    <w:name w:val="heading 2"/>
    <w:basedOn w:val="Normal"/>
    <w:next w:val="Heading3"/>
    <w:uiPriority w:val="4"/>
    <w:qFormat/>
    <w:rsid w:val="00702C33"/>
    <w:pPr>
      <w:keepNext/>
      <w:numPr>
        <w:ilvl w:val="1"/>
        <w:numId w:val="6"/>
      </w:numPr>
      <w:spacing w:before="360" w:after="60" w:line="240" w:lineRule="auto"/>
      <w:outlineLvl w:val="1"/>
    </w:pPr>
    <w:rPr>
      <w:rFonts w:cs="Arial"/>
      <w:bCs/>
      <w:iCs/>
      <w:color w:val="000000"/>
      <w:sz w:val="32"/>
      <w:szCs w:val="32"/>
    </w:rPr>
  </w:style>
  <w:style w:type="paragraph" w:styleId="Heading3">
    <w:name w:val="heading 3"/>
    <w:basedOn w:val="Normal"/>
    <w:next w:val="NormalIndent"/>
    <w:uiPriority w:val="5"/>
    <w:qFormat/>
    <w:rsid w:val="00702C33"/>
    <w:pPr>
      <w:keepNext/>
      <w:numPr>
        <w:ilvl w:val="2"/>
        <w:numId w:val="6"/>
      </w:numPr>
      <w:spacing w:before="80" w:after="65" w:line="240" w:lineRule="atLeast"/>
      <w:outlineLvl w:val="2"/>
    </w:pPr>
    <w:rPr>
      <w:rFonts w:cs="Arial"/>
      <w:b/>
      <w:bCs/>
      <w:sz w:val="24"/>
      <w:szCs w:val="26"/>
    </w:rPr>
  </w:style>
  <w:style w:type="paragraph" w:styleId="Heading4">
    <w:name w:val="heading 4"/>
    <w:basedOn w:val="Normal"/>
    <w:uiPriority w:val="6"/>
    <w:qFormat/>
    <w:rsid w:val="00702C33"/>
    <w:pPr>
      <w:numPr>
        <w:ilvl w:val="3"/>
        <w:numId w:val="6"/>
      </w:numPr>
      <w:tabs>
        <w:tab w:val="left" w:pos="567"/>
      </w:tabs>
      <w:outlineLvl w:val="3"/>
    </w:pPr>
  </w:style>
  <w:style w:type="paragraph" w:styleId="Heading5">
    <w:name w:val="heading 5"/>
    <w:basedOn w:val="Normal"/>
    <w:uiPriority w:val="7"/>
    <w:qFormat/>
    <w:rsid w:val="00702C33"/>
    <w:pPr>
      <w:numPr>
        <w:ilvl w:val="4"/>
        <w:numId w:val="6"/>
      </w:numPr>
      <w:tabs>
        <w:tab w:val="left" w:pos="1418"/>
      </w:tabs>
      <w:outlineLvl w:val="4"/>
    </w:pPr>
  </w:style>
  <w:style w:type="paragraph" w:styleId="Heading6">
    <w:name w:val="heading 6"/>
    <w:basedOn w:val="Normal"/>
    <w:uiPriority w:val="8"/>
    <w:qFormat/>
    <w:rsid w:val="00702C33"/>
    <w:pPr>
      <w:numPr>
        <w:ilvl w:val="5"/>
        <w:numId w:val="6"/>
      </w:numPr>
      <w:outlineLvl w:val="5"/>
    </w:pPr>
    <w:rPr>
      <w:bCs/>
    </w:rPr>
  </w:style>
  <w:style w:type="paragraph" w:styleId="Heading7">
    <w:name w:val="heading 7"/>
    <w:basedOn w:val="Normal"/>
    <w:uiPriority w:val="9"/>
    <w:qFormat/>
    <w:rsid w:val="00702C33"/>
    <w:pPr>
      <w:numPr>
        <w:ilvl w:val="6"/>
        <w:numId w:val="6"/>
      </w:numPr>
      <w:outlineLvl w:val="6"/>
    </w:pPr>
    <w:rPr>
      <w:szCs w:val="24"/>
    </w:rPr>
  </w:style>
  <w:style w:type="paragraph" w:styleId="Heading8">
    <w:name w:val="heading 8"/>
    <w:basedOn w:val="Normal"/>
    <w:uiPriority w:val="10"/>
    <w:qFormat/>
    <w:rsid w:val="00702C33"/>
    <w:pPr>
      <w:numPr>
        <w:ilvl w:val="7"/>
        <w:numId w:val="6"/>
      </w:numPr>
      <w:outlineLvl w:val="7"/>
    </w:pPr>
    <w:rPr>
      <w:iCs/>
      <w:szCs w:val="24"/>
    </w:rPr>
  </w:style>
  <w:style w:type="paragraph" w:styleId="Heading9">
    <w:name w:val="heading 9"/>
    <w:basedOn w:val="Normal"/>
    <w:uiPriority w:val="11"/>
    <w:rsid w:val="00702C33"/>
    <w:pPr>
      <w:numPr>
        <w:ilvl w:val="8"/>
        <w:numId w:val="6"/>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33"/>
    <w:semiHidden/>
    <w:unhideWhenUsed/>
    <w:rsid w:val="00702C33"/>
    <w:pPr>
      <w:tabs>
        <w:tab w:val="center" w:pos="4153"/>
        <w:tab w:val="right" w:pos="8306"/>
      </w:tabs>
      <w:spacing w:after="0"/>
    </w:pPr>
    <w:rPr>
      <w:szCs w:val="21"/>
    </w:rPr>
  </w:style>
  <w:style w:type="paragraph" w:styleId="Footer">
    <w:name w:val="footer"/>
    <w:basedOn w:val="Normal"/>
    <w:link w:val="FooterChar"/>
    <w:uiPriority w:val="99"/>
    <w:qFormat/>
    <w:rsid w:val="00702C33"/>
    <w:pPr>
      <w:pBdr>
        <w:top w:val="single" w:sz="4" w:space="3" w:color="auto"/>
      </w:pBdr>
      <w:tabs>
        <w:tab w:val="right" w:pos="7655"/>
      </w:tabs>
      <w:spacing w:before="80" w:after="0" w:line="240" w:lineRule="auto"/>
    </w:pPr>
    <w:rPr>
      <w:sz w:val="16"/>
      <w:szCs w:val="21"/>
    </w:rPr>
  </w:style>
  <w:style w:type="character" w:styleId="Hyperlink">
    <w:name w:val="Hyperlink"/>
    <w:basedOn w:val="DefaultParagraphFont"/>
    <w:uiPriority w:val="34"/>
    <w:unhideWhenUsed/>
    <w:rsid w:val="00702C33"/>
    <w:rPr>
      <w:color w:val="0000FF"/>
      <w:u w:val="single"/>
    </w:rPr>
  </w:style>
  <w:style w:type="paragraph" w:customStyle="1" w:styleId="DeedFrontCoverDraft">
    <w:name w:val="Deed Front Cover Draft"/>
    <w:basedOn w:val="Normal"/>
    <w:semiHidden/>
    <w:rsid w:val="00702C33"/>
    <w:pPr>
      <w:spacing w:before="1000"/>
    </w:pPr>
    <w:rPr>
      <w:sz w:val="18"/>
    </w:rPr>
  </w:style>
  <w:style w:type="character" w:styleId="PageNumber">
    <w:name w:val="page number"/>
    <w:basedOn w:val="DefaultParagraphFont"/>
    <w:uiPriority w:val="99"/>
    <w:unhideWhenUsed/>
    <w:rsid w:val="00702C33"/>
    <w:rPr>
      <w:rFonts w:ascii="Arial" w:hAnsi="Arial"/>
    </w:rPr>
  </w:style>
  <w:style w:type="paragraph" w:customStyle="1" w:styleId="Offices">
    <w:name w:val="Offices"/>
    <w:basedOn w:val="Normal"/>
    <w:uiPriority w:val="39"/>
    <w:semiHidden/>
    <w:unhideWhenUsed/>
    <w:rsid w:val="009A7133"/>
    <w:pPr>
      <w:autoSpaceDE w:val="0"/>
      <w:autoSpaceDN w:val="0"/>
      <w:adjustRightInd w:val="0"/>
      <w:jc w:val="right"/>
    </w:pPr>
    <w:rPr>
      <w:rFonts w:cs="Arial"/>
      <w:bCs/>
      <w:color w:val="808080"/>
      <w:sz w:val="16"/>
      <w:szCs w:val="18"/>
    </w:rPr>
  </w:style>
  <w:style w:type="paragraph" w:customStyle="1" w:styleId="SubHeading2">
    <w:name w:val="SubHeading 2"/>
    <w:basedOn w:val="Normal"/>
    <w:next w:val="NormalIndent"/>
    <w:uiPriority w:val="40"/>
    <w:unhideWhenUsed/>
    <w:rsid w:val="00702C33"/>
    <w:pPr>
      <w:keepNext/>
      <w:numPr>
        <w:ilvl w:val="1"/>
        <w:numId w:val="7"/>
      </w:numPr>
      <w:spacing w:before="360" w:after="60"/>
    </w:pPr>
    <w:rPr>
      <w:sz w:val="32"/>
      <w:szCs w:val="32"/>
    </w:rPr>
  </w:style>
  <w:style w:type="paragraph" w:customStyle="1" w:styleId="SubHeading3">
    <w:name w:val="SubHeading 3"/>
    <w:basedOn w:val="Normal"/>
    <w:next w:val="NormalIndent"/>
    <w:uiPriority w:val="41"/>
    <w:unhideWhenUsed/>
    <w:rsid w:val="00702C33"/>
    <w:pPr>
      <w:keepNext/>
      <w:numPr>
        <w:ilvl w:val="2"/>
        <w:numId w:val="7"/>
      </w:numPr>
      <w:spacing w:before="80" w:after="65" w:line="240" w:lineRule="atLeast"/>
    </w:pPr>
    <w:rPr>
      <w:b/>
      <w:sz w:val="24"/>
      <w:szCs w:val="24"/>
    </w:rPr>
  </w:style>
  <w:style w:type="paragraph" w:styleId="TOC2">
    <w:name w:val="toc 2"/>
    <w:basedOn w:val="Normal"/>
    <w:next w:val="Normal"/>
    <w:uiPriority w:val="29"/>
    <w:qFormat/>
    <w:rsid w:val="00702C33"/>
    <w:pPr>
      <w:keepNext/>
      <w:pBdr>
        <w:bottom w:val="single" w:sz="4" w:space="1" w:color="auto"/>
      </w:pBdr>
      <w:tabs>
        <w:tab w:val="left" w:pos="567"/>
        <w:tab w:val="right" w:pos="7655"/>
      </w:tabs>
      <w:spacing w:before="113" w:after="85" w:line="240" w:lineRule="atLeast"/>
      <w:ind w:left="567" w:hanging="567"/>
    </w:pPr>
    <w:rPr>
      <w:b/>
      <w:noProof/>
      <w:sz w:val="20"/>
    </w:rPr>
  </w:style>
  <w:style w:type="paragraph" w:customStyle="1" w:styleId="NormalSingle">
    <w:name w:val="Normal Single"/>
    <w:basedOn w:val="Normal"/>
    <w:uiPriority w:val="1"/>
    <w:qFormat/>
    <w:rsid w:val="00702C33"/>
    <w:pPr>
      <w:spacing w:after="0" w:line="240" w:lineRule="auto"/>
    </w:pPr>
    <w:rPr>
      <w:szCs w:val="20"/>
    </w:rPr>
  </w:style>
  <w:style w:type="paragraph" w:styleId="NormalIndent">
    <w:name w:val="Normal Indent"/>
    <w:basedOn w:val="Normal"/>
    <w:uiPriority w:val="2"/>
    <w:qFormat/>
    <w:rsid w:val="00702C33"/>
    <w:pPr>
      <w:ind w:left="851"/>
    </w:pPr>
    <w:rPr>
      <w:szCs w:val="20"/>
    </w:rPr>
  </w:style>
  <w:style w:type="paragraph" w:customStyle="1" w:styleId="CoverDraft">
    <w:name w:val="Cover Draft"/>
    <w:basedOn w:val="NormalSingle"/>
    <w:uiPriority w:val="27"/>
    <w:unhideWhenUsed/>
    <w:rsid w:val="00702C33"/>
    <w:pPr>
      <w:spacing w:before="1000"/>
    </w:pPr>
    <w:rPr>
      <w:color w:val="000000"/>
      <w:sz w:val="18"/>
    </w:rPr>
  </w:style>
  <w:style w:type="paragraph" w:styleId="TOC3">
    <w:name w:val="toc 3"/>
    <w:basedOn w:val="Normal"/>
    <w:next w:val="Normal"/>
    <w:uiPriority w:val="29"/>
    <w:qFormat/>
    <w:rsid w:val="00702C33"/>
    <w:pPr>
      <w:tabs>
        <w:tab w:val="left" w:pos="567"/>
        <w:tab w:val="left" w:pos="1134"/>
        <w:tab w:val="right" w:pos="7655"/>
      </w:tabs>
      <w:spacing w:after="0"/>
      <w:ind w:left="1134" w:hanging="567"/>
    </w:pPr>
    <w:rPr>
      <w:noProof/>
      <w:sz w:val="20"/>
    </w:rPr>
  </w:style>
  <w:style w:type="paragraph" w:customStyle="1" w:styleId="DateLine">
    <w:name w:val="DateLine"/>
    <w:basedOn w:val="Normal"/>
    <w:next w:val="Normal"/>
    <w:uiPriority w:val="29"/>
    <w:semiHidden/>
    <w:unhideWhenUsed/>
    <w:rsid w:val="00702C33"/>
    <w:pPr>
      <w:tabs>
        <w:tab w:val="right" w:pos="9072"/>
      </w:tabs>
      <w:spacing w:before="240" w:after="240"/>
      <w:jc w:val="both"/>
    </w:pPr>
    <w:rPr>
      <w:rFonts w:ascii="Times New Roman" w:hAnsi="Times New Roman"/>
      <w:b/>
      <w:sz w:val="24"/>
      <w:szCs w:val="20"/>
    </w:rPr>
  </w:style>
  <w:style w:type="paragraph" w:customStyle="1" w:styleId="Heading">
    <w:name w:val="Heading"/>
    <w:basedOn w:val="Normal"/>
    <w:next w:val="Normal"/>
    <w:uiPriority w:val="34"/>
    <w:unhideWhenUsed/>
    <w:rsid w:val="00702C33"/>
    <w:pPr>
      <w:keepNext/>
      <w:spacing w:before="240" w:after="240"/>
      <w:ind w:left="851"/>
    </w:pPr>
    <w:rPr>
      <w:color w:val="000000"/>
      <w:sz w:val="40"/>
      <w:szCs w:val="40"/>
    </w:rPr>
  </w:style>
  <w:style w:type="paragraph" w:customStyle="1" w:styleId="AnnexureSchedule">
    <w:name w:val="Annexure/Schedule"/>
    <w:basedOn w:val="Normal"/>
    <w:uiPriority w:val="20"/>
    <w:qFormat/>
    <w:rsid w:val="00702C33"/>
    <w:pPr>
      <w:spacing w:after="360" w:line="240" w:lineRule="auto"/>
    </w:pPr>
    <w:rPr>
      <w:color w:val="000000"/>
      <w:sz w:val="40"/>
      <w:szCs w:val="40"/>
    </w:rPr>
  </w:style>
  <w:style w:type="paragraph" w:customStyle="1" w:styleId="CoverPartyNames">
    <w:name w:val="Cover Party Names"/>
    <w:basedOn w:val="Normal"/>
    <w:uiPriority w:val="28"/>
    <w:unhideWhenUsed/>
    <w:rsid w:val="00702C33"/>
    <w:pPr>
      <w:pBdr>
        <w:top w:val="single" w:sz="2" w:space="5" w:color="auto"/>
        <w:bottom w:val="single" w:sz="2" w:space="5" w:color="auto"/>
        <w:between w:val="single" w:sz="2" w:space="5" w:color="auto"/>
      </w:pBdr>
      <w:autoSpaceDE w:val="0"/>
      <w:autoSpaceDN w:val="0"/>
      <w:adjustRightInd w:val="0"/>
      <w:spacing w:line="400" w:lineRule="exact"/>
    </w:pPr>
    <w:rPr>
      <w:color w:val="000000"/>
      <w:sz w:val="36"/>
    </w:rPr>
  </w:style>
  <w:style w:type="paragraph" w:customStyle="1" w:styleId="CoverDate">
    <w:name w:val="Cover Date"/>
    <w:basedOn w:val="NormalSingle"/>
    <w:uiPriority w:val="26"/>
    <w:unhideWhenUsed/>
    <w:rsid w:val="00702C33"/>
    <w:pPr>
      <w:spacing w:after="120"/>
    </w:pPr>
    <w:rPr>
      <w:b/>
      <w:color w:val="000000"/>
      <w:sz w:val="20"/>
    </w:rPr>
  </w:style>
  <w:style w:type="paragraph" w:customStyle="1" w:styleId="DocTitle">
    <w:name w:val="DocTitle"/>
    <w:basedOn w:val="NormalSingle"/>
    <w:next w:val="NormalSingle"/>
    <w:uiPriority w:val="30"/>
    <w:unhideWhenUsed/>
    <w:rsid w:val="00702C33"/>
    <w:pPr>
      <w:spacing w:before="960" w:line="760" w:lineRule="atLeast"/>
    </w:pPr>
    <w:rPr>
      <w:sz w:val="80"/>
    </w:rPr>
  </w:style>
  <w:style w:type="paragraph" w:customStyle="1" w:styleId="ContentsHeading">
    <w:name w:val="Contents Heading"/>
    <w:basedOn w:val="NormalSingle"/>
    <w:next w:val="NormalSingle"/>
    <w:uiPriority w:val="25"/>
    <w:unhideWhenUsed/>
    <w:rsid w:val="00702C33"/>
    <w:pPr>
      <w:ind w:left="-57"/>
    </w:pPr>
    <w:rPr>
      <w:sz w:val="32"/>
    </w:rPr>
  </w:style>
  <w:style w:type="paragraph" w:customStyle="1" w:styleId="Background">
    <w:name w:val="Background"/>
    <w:basedOn w:val="Normal"/>
    <w:uiPriority w:val="24"/>
    <w:unhideWhenUsed/>
    <w:rsid w:val="00702C33"/>
    <w:pPr>
      <w:numPr>
        <w:numId w:val="2"/>
      </w:numPr>
      <w:spacing w:after="113" w:line="245" w:lineRule="atLeast"/>
    </w:pPr>
    <w:rPr>
      <w:szCs w:val="20"/>
    </w:rPr>
  </w:style>
  <w:style w:type="character" w:customStyle="1" w:styleId="AltOptMarker">
    <w:name w:val="AltOptMarker"/>
    <w:basedOn w:val="DefaultParagraphFont"/>
    <w:autoRedefine/>
    <w:uiPriority w:val="19"/>
    <w:qFormat/>
    <w:rsid w:val="00702C33"/>
    <w:rPr>
      <w:rFonts w:ascii="Arial" w:hAnsi="Arial"/>
      <w:b/>
      <w:color w:val="FFFFFF"/>
      <w:sz w:val="21"/>
      <w:szCs w:val="21"/>
      <w:shd w:val="clear" w:color="auto" w:fill="808000"/>
    </w:rPr>
  </w:style>
  <w:style w:type="character" w:styleId="EndnoteReference">
    <w:name w:val="endnote reference"/>
    <w:basedOn w:val="DefaultParagraphFont"/>
    <w:uiPriority w:val="32"/>
    <w:semiHidden/>
    <w:unhideWhenUsed/>
    <w:rsid w:val="00702C33"/>
    <w:rPr>
      <w:vertAlign w:val="superscript"/>
    </w:rPr>
  </w:style>
  <w:style w:type="paragraph" w:styleId="EndnoteText">
    <w:name w:val="endnote text"/>
    <w:basedOn w:val="Normal"/>
    <w:uiPriority w:val="32"/>
    <w:qFormat/>
    <w:rsid w:val="00702C33"/>
    <w:pPr>
      <w:spacing w:after="0" w:line="240" w:lineRule="auto"/>
      <w:ind w:left="284" w:hanging="284"/>
    </w:pPr>
    <w:rPr>
      <w:sz w:val="16"/>
      <w:szCs w:val="20"/>
    </w:rPr>
  </w:style>
  <w:style w:type="character" w:styleId="FootnoteReference">
    <w:name w:val="footnote reference"/>
    <w:basedOn w:val="DefaultParagraphFont"/>
    <w:uiPriority w:val="32"/>
    <w:semiHidden/>
    <w:unhideWhenUsed/>
    <w:rsid w:val="00702C33"/>
    <w:rPr>
      <w:vertAlign w:val="superscript"/>
    </w:rPr>
  </w:style>
  <w:style w:type="paragraph" w:styleId="FootnoteText">
    <w:name w:val="footnote text"/>
    <w:basedOn w:val="Normal"/>
    <w:uiPriority w:val="32"/>
    <w:qFormat/>
    <w:rsid w:val="00702C33"/>
    <w:pPr>
      <w:spacing w:after="0" w:line="240" w:lineRule="auto"/>
      <w:ind w:left="284" w:hanging="284"/>
    </w:pPr>
    <w:rPr>
      <w:sz w:val="16"/>
    </w:rPr>
  </w:style>
  <w:style w:type="paragraph" w:customStyle="1" w:styleId="SubHeading">
    <w:name w:val="Sub Heading"/>
    <w:basedOn w:val="Normal"/>
    <w:uiPriority w:val="39"/>
    <w:unhideWhenUsed/>
    <w:rsid w:val="00702C33"/>
    <w:pPr>
      <w:spacing w:after="960" w:line="240" w:lineRule="auto"/>
    </w:pPr>
    <w:rPr>
      <w:color w:val="000000"/>
      <w:sz w:val="32"/>
    </w:rPr>
  </w:style>
  <w:style w:type="paragraph" w:customStyle="1" w:styleId="AuthorNotes">
    <w:name w:val="AuthorNotes"/>
    <w:basedOn w:val="Normal"/>
    <w:uiPriority w:val="23"/>
    <w:qFormat/>
    <w:rsid w:val="00702C33"/>
    <w:pPr>
      <w:shd w:val="clear" w:color="auto" w:fill="FFCC66"/>
    </w:pPr>
    <w:rPr>
      <w:rFonts w:ascii="Comic Sans MS" w:hAnsi="Comic Sans MS"/>
      <w:szCs w:val="21"/>
    </w:rPr>
  </w:style>
  <w:style w:type="paragraph" w:customStyle="1" w:styleId="AuthorFlags">
    <w:name w:val="AuthorFlags"/>
    <w:basedOn w:val="AuthorNotes"/>
    <w:uiPriority w:val="22"/>
    <w:qFormat/>
    <w:rsid w:val="00702C33"/>
    <w:pPr>
      <w:shd w:val="clear" w:color="auto" w:fill="FFFF00"/>
    </w:pPr>
  </w:style>
  <w:style w:type="character" w:customStyle="1" w:styleId="IDDVariableMarker">
    <w:name w:val="IDDVariableMarker"/>
    <w:basedOn w:val="DefaultParagraphFont"/>
    <w:uiPriority w:val="35"/>
    <w:qFormat/>
    <w:rsid w:val="00702C33"/>
    <w:rPr>
      <w:rFonts w:ascii="Arial" w:hAnsi="Arial"/>
      <w:color w:val="000000"/>
      <w:sz w:val="21"/>
      <w:szCs w:val="21"/>
    </w:rPr>
  </w:style>
  <w:style w:type="paragraph" w:customStyle="1" w:styleId="SubHeading4">
    <w:name w:val="SubHeading 4"/>
    <w:basedOn w:val="Normal"/>
    <w:uiPriority w:val="42"/>
    <w:unhideWhenUsed/>
    <w:rsid w:val="00702C33"/>
    <w:pPr>
      <w:numPr>
        <w:ilvl w:val="3"/>
        <w:numId w:val="7"/>
      </w:numPr>
    </w:pPr>
  </w:style>
  <w:style w:type="paragraph" w:customStyle="1" w:styleId="Defa">
    <w:name w:val="Def (a)"/>
    <w:basedOn w:val="Normal"/>
    <w:uiPriority w:val="13"/>
    <w:qFormat/>
    <w:rsid w:val="00702C33"/>
    <w:pPr>
      <w:numPr>
        <w:ilvl w:val="1"/>
        <w:numId w:val="5"/>
      </w:numPr>
    </w:pPr>
  </w:style>
  <w:style w:type="paragraph" w:customStyle="1" w:styleId="Definition">
    <w:name w:val="Definition"/>
    <w:basedOn w:val="Normal"/>
    <w:uiPriority w:val="12"/>
    <w:qFormat/>
    <w:rsid w:val="00702C33"/>
    <w:pPr>
      <w:numPr>
        <w:numId w:val="5"/>
      </w:numPr>
    </w:pPr>
  </w:style>
  <w:style w:type="paragraph" w:customStyle="1" w:styleId="DefA0">
    <w:name w:val="Def (A)"/>
    <w:basedOn w:val="Normal"/>
    <w:uiPriority w:val="15"/>
    <w:qFormat/>
    <w:rsid w:val="00702C33"/>
    <w:pPr>
      <w:numPr>
        <w:ilvl w:val="3"/>
        <w:numId w:val="5"/>
      </w:numPr>
    </w:pPr>
  </w:style>
  <w:style w:type="paragraph" w:customStyle="1" w:styleId="Defi">
    <w:name w:val="Def (i)"/>
    <w:basedOn w:val="Normal"/>
    <w:uiPriority w:val="14"/>
    <w:qFormat/>
    <w:rsid w:val="00702C33"/>
    <w:pPr>
      <w:numPr>
        <w:ilvl w:val="2"/>
        <w:numId w:val="5"/>
      </w:numPr>
      <w:tabs>
        <w:tab w:val="left" w:pos="1418"/>
      </w:tabs>
    </w:pPr>
  </w:style>
  <w:style w:type="paragraph" w:customStyle="1" w:styleId="SubHeading5">
    <w:name w:val="SubHeading 5"/>
    <w:basedOn w:val="Normal"/>
    <w:uiPriority w:val="43"/>
    <w:unhideWhenUsed/>
    <w:rsid w:val="00702C33"/>
    <w:pPr>
      <w:numPr>
        <w:ilvl w:val="4"/>
        <w:numId w:val="7"/>
      </w:numPr>
    </w:pPr>
  </w:style>
  <w:style w:type="paragraph" w:customStyle="1" w:styleId="SubHeading6">
    <w:name w:val="SubHeading 6"/>
    <w:basedOn w:val="Normal"/>
    <w:uiPriority w:val="44"/>
    <w:unhideWhenUsed/>
    <w:rsid w:val="00702C33"/>
    <w:pPr>
      <w:numPr>
        <w:ilvl w:val="5"/>
        <w:numId w:val="7"/>
      </w:numPr>
    </w:pPr>
  </w:style>
  <w:style w:type="paragraph" w:customStyle="1" w:styleId="Execution">
    <w:name w:val="Execution"/>
    <w:basedOn w:val="Normal"/>
    <w:uiPriority w:val="39"/>
    <w:semiHidden/>
    <w:unhideWhenUsed/>
    <w:rsid w:val="00813FB8"/>
    <w:pPr>
      <w:tabs>
        <w:tab w:val="left" w:pos="4536"/>
        <w:tab w:val="left" w:pos="5103"/>
        <w:tab w:val="right" w:leader="dot" w:pos="9639"/>
      </w:tabs>
      <w:spacing w:after="0" w:line="240" w:lineRule="auto"/>
      <w:jc w:val="both"/>
    </w:pPr>
    <w:rPr>
      <w:szCs w:val="21"/>
      <w:lang w:eastAsia="en-US"/>
    </w:rPr>
  </w:style>
  <w:style w:type="paragraph" w:styleId="ListParagraph">
    <w:name w:val="List Paragraph"/>
    <w:basedOn w:val="Normal"/>
    <w:link w:val="ListParagraphChar"/>
    <w:uiPriority w:val="34"/>
    <w:rsid w:val="00A06877"/>
    <w:pPr>
      <w:ind w:left="720"/>
      <w:contextualSpacing/>
    </w:pPr>
  </w:style>
  <w:style w:type="paragraph" w:customStyle="1" w:styleId="CorrsNumber">
    <w:name w:val="Corrs Number"/>
    <w:basedOn w:val="Normal"/>
    <w:uiPriority w:val="16"/>
    <w:qFormat/>
    <w:rsid w:val="00702C33"/>
    <w:pPr>
      <w:numPr>
        <w:numId w:val="4"/>
      </w:numPr>
    </w:pPr>
    <w:rPr>
      <w:color w:val="000000"/>
    </w:rPr>
  </w:style>
  <w:style w:type="paragraph" w:customStyle="1" w:styleId="CorrsBullet">
    <w:name w:val="Corrs Bullet"/>
    <w:basedOn w:val="Normal"/>
    <w:link w:val="CorrsBulletChar"/>
    <w:uiPriority w:val="17"/>
    <w:qFormat/>
    <w:rsid w:val="00702C33"/>
    <w:pPr>
      <w:numPr>
        <w:numId w:val="3"/>
      </w:numPr>
    </w:pPr>
    <w:rPr>
      <w:color w:val="000000"/>
    </w:rPr>
  </w:style>
  <w:style w:type="paragraph" w:styleId="ListBullet">
    <w:name w:val="List Bullet"/>
    <w:basedOn w:val="Normal"/>
    <w:uiPriority w:val="99"/>
    <w:unhideWhenUsed/>
    <w:rsid w:val="006B0D72"/>
    <w:pPr>
      <w:numPr>
        <w:numId w:val="1"/>
      </w:numPr>
      <w:contextualSpacing/>
    </w:pPr>
  </w:style>
  <w:style w:type="character" w:customStyle="1" w:styleId="ListParagraphChar">
    <w:name w:val="List Paragraph Char"/>
    <w:basedOn w:val="DefaultParagraphFont"/>
    <w:link w:val="ListParagraph"/>
    <w:uiPriority w:val="34"/>
    <w:rsid w:val="009F0063"/>
    <w:rPr>
      <w:rFonts w:ascii="Arial" w:hAnsi="Arial"/>
      <w:sz w:val="21"/>
      <w:szCs w:val="22"/>
    </w:rPr>
  </w:style>
  <w:style w:type="character" w:customStyle="1" w:styleId="CorrsBulletChar">
    <w:name w:val="Corrs Bullet Char"/>
    <w:basedOn w:val="ListParagraphChar"/>
    <w:link w:val="CorrsBullet"/>
    <w:uiPriority w:val="17"/>
    <w:rsid w:val="00264E51"/>
    <w:rPr>
      <w:rFonts w:ascii="Arial" w:hAnsi="Arial"/>
      <w:color w:val="000000"/>
      <w:sz w:val="21"/>
      <w:szCs w:val="22"/>
    </w:rPr>
  </w:style>
  <w:style w:type="paragraph" w:customStyle="1" w:styleId="ReaderNote">
    <w:name w:val="ReaderNote"/>
    <w:basedOn w:val="Normal"/>
    <w:uiPriority w:val="39"/>
    <w:semiHidden/>
    <w:unhideWhenUsed/>
    <w:rsid w:val="007A3FE9"/>
    <w:pPr>
      <w:shd w:val="clear" w:color="auto" w:fill="DEF27E"/>
    </w:pPr>
  </w:style>
  <w:style w:type="character" w:customStyle="1" w:styleId="FooterChar">
    <w:name w:val="Footer Char"/>
    <w:basedOn w:val="DefaultParagraphFont"/>
    <w:link w:val="Footer"/>
    <w:uiPriority w:val="99"/>
    <w:rsid w:val="00290FCB"/>
    <w:rPr>
      <w:rFonts w:ascii="Arial" w:hAnsi="Arial"/>
      <w:sz w:val="16"/>
      <w:szCs w:val="21"/>
    </w:rPr>
  </w:style>
  <w:style w:type="paragraph" w:customStyle="1" w:styleId="OfficeAddress">
    <w:name w:val="OfficeAddress"/>
    <w:basedOn w:val="Normal"/>
    <w:uiPriority w:val="39"/>
    <w:semiHidden/>
    <w:unhideWhenUsed/>
    <w:rsid w:val="009A7133"/>
    <w:pPr>
      <w:autoSpaceDE w:val="0"/>
      <w:autoSpaceDN w:val="0"/>
      <w:adjustRightInd w:val="0"/>
      <w:spacing w:after="0" w:line="200" w:lineRule="exact"/>
      <w:jc w:val="right"/>
    </w:pPr>
    <w:rPr>
      <w:rFonts w:cs="Courier New"/>
      <w:sz w:val="17"/>
      <w:szCs w:val="17"/>
    </w:rPr>
  </w:style>
  <w:style w:type="paragraph" w:customStyle="1" w:styleId="OfficeHeader">
    <w:name w:val="OfficeHeader"/>
    <w:basedOn w:val="Normal"/>
    <w:uiPriority w:val="39"/>
    <w:semiHidden/>
    <w:unhideWhenUsed/>
    <w:rsid w:val="009A7133"/>
    <w:pPr>
      <w:jc w:val="right"/>
    </w:pPr>
    <w:rPr>
      <w:sz w:val="24"/>
      <w:szCs w:val="24"/>
    </w:rPr>
  </w:style>
  <w:style w:type="paragraph" w:customStyle="1" w:styleId="Witnessline">
    <w:name w:val="Witness line"/>
    <w:basedOn w:val="Normal"/>
    <w:next w:val="Normal"/>
    <w:semiHidden/>
    <w:unhideWhenUsed/>
    <w:rsid w:val="009A7133"/>
    <w:pPr>
      <w:tabs>
        <w:tab w:val="left" w:leader="dot" w:pos="3969"/>
        <w:tab w:val="left" w:pos="4536"/>
        <w:tab w:val="left" w:pos="5103"/>
      </w:tabs>
      <w:spacing w:before="240" w:after="0" w:line="240" w:lineRule="auto"/>
      <w:jc w:val="both"/>
    </w:pPr>
    <w:rPr>
      <w:szCs w:val="21"/>
      <w:lang w:eastAsia="en-US"/>
    </w:rPr>
  </w:style>
  <w:style w:type="paragraph" w:customStyle="1" w:styleId="Address">
    <w:name w:val="Address"/>
    <w:basedOn w:val="Normal"/>
    <w:uiPriority w:val="99"/>
    <w:qFormat/>
    <w:rsid w:val="00771242"/>
    <w:pPr>
      <w:autoSpaceDE w:val="0"/>
      <w:autoSpaceDN w:val="0"/>
      <w:spacing w:after="0" w:line="240" w:lineRule="auto"/>
    </w:pPr>
    <w:rPr>
      <w:rFonts w:cs="Arial"/>
      <w:szCs w:val="21"/>
    </w:rPr>
  </w:style>
  <w:style w:type="character" w:styleId="FollowedHyperlink">
    <w:name w:val="FollowedHyperlink"/>
    <w:basedOn w:val="DefaultParagraphFont"/>
    <w:uiPriority w:val="99"/>
    <w:semiHidden/>
    <w:unhideWhenUsed/>
    <w:rsid w:val="00BA07D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455148">
      <w:bodyDiv w:val="1"/>
      <w:marLeft w:val="0"/>
      <w:marRight w:val="0"/>
      <w:marTop w:val="0"/>
      <w:marBottom w:val="0"/>
      <w:divBdr>
        <w:top w:val="none" w:sz="0" w:space="0" w:color="auto"/>
        <w:left w:val="none" w:sz="0" w:space="0" w:color="auto"/>
        <w:bottom w:val="none" w:sz="0" w:space="0" w:color="auto"/>
        <w:right w:val="none" w:sz="0" w:space="0" w:color="auto"/>
      </w:divBdr>
    </w:div>
    <w:div w:id="937643324">
      <w:bodyDiv w:val="1"/>
      <w:marLeft w:val="0"/>
      <w:marRight w:val="0"/>
      <w:marTop w:val="0"/>
      <w:marBottom w:val="0"/>
      <w:divBdr>
        <w:top w:val="none" w:sz="0" w:space="0" w:color="auto"/>
        <w:left w:val="none" w:sz="0" w:space="0" w:color="auto"/>
        <w:bottom w:val="none" w:sz="0" w:space="0" w:color="auto"/>
        <w:right w:val="none" w:sz="0" w:space="0" w:color="auto"/>
      </w:divBdr>
    </w:div>
    <w:div w:id="956333968">
      <w:bodyDiv w:val="1"/>
      <w:marLeft w:val="0"/>
      <w:marRight w:val="0"/>
      <w:marTop w:val="0"/>
      <w:marBottom w:val="0"/>
      <w:divBdr>
        <w:top w:val="none" w:sz="0" w:space="0" w:color="auto"/>
        <w:left w:val="none" w:sz="0" w:space="0" w:color="auto"/>
        <w:bottom w:val="none" w:sz="0" w:space="0" w:color="auto"/>
        <w:right w:val="none" w:sz="0" w:space="0" w:color="auto"/>
      </w:divBdr>
    </w:div>
    <w:div w:id="1067995457">
      <w:bodyDiv w:val="1"/>
      <w:marLeft w:val="0"/>
      <w:marRight w:val="0"/>
      <w:marTop w:val="0"/>
      <w:marBottom w:val="0"/>
      <w:divBdr>
        <w:top w:val="none" w:sz="0" w:space="0" w:color="auto"/>
        <w:left w:val="none" w:sz="0" w:space="0" w:color="auto"/>
        <w:bottom w:val="none" w:sz="0" w:space="0" w:color="auto"/>
        <w:right w:val="none" w:sz="0" w:space="0" w:color="auto"/>
      </w:divBdr>
    </w:div>
    <w:div w:id="1133448542">
      <w:bodyDiv w:val="1"/>
      <w:marLeft w:val="0"/>
      <w:marRight w:val="0"/>
      <w:marTop w:val="0"/>
      <w:marBottom w:val="0"/>
      <w:divBdr>
        <w:top w:val="none" w:sz="0" w:space="0" w:color="auto"/>
        <w:left w:val="none" w:sz="0" w:space="0" w:color="auto"/>
        <w:bottom w:val="none" w:sz="0" w:space="0" w:color="auto"/>
        <w:right w:val="none" w:sz="0" w:space="0" w:color="auto"/>
      </w:divBdr>
    </w:div>
    <w:div w:id="1365136852">
      <w:bodyDiv w:val="1"/>
      <w:marLeft w:val="0"/>
      <w:marRight w:val="0"/>
      <w:marTop w:val="0"/>
      <w:marBottom w:val="0"/>
      <w:divBdr>
        <w:top w:val="none" w:sz="0" w:space="0" w:color="auto"/>
        <w:left w:val="none" w:sz="0" w:space="0" w:color="auto"/>
        <w:bottom w:val="none" w:sz="0" w:space="0" w:color="auto"/>
        <w:right w:val="none" w:sz="0" w:space="0" w:color="auto"/>
      </w:divBdr>
    </w:div>
    <w:div w:id="1446196385">
      <w:bodyDiv w:val="1"/>
      <w:marLeft w:val="0"/>
      <w:marRight w:val="0"/>
      <w:marTop w:val="0"/>
      <w:marBottom w:val="0"/>
      <w:divBdr>
        <w:top w:val="none" w:sz="0" w:space="0" w:color="auto"/>
        <w:left w:val="none" w:sz="0" w:space="0" w:color="auto"/>
        <w:bottom w:val="none" w:sz="0" w:space="0" w:color="auto"/>
        <w:right w:val="none" w:sz="0" w:space="0" w:color="auto"/>
      </w:divBdr>
    </w:div>
    <w:div w:id="209246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drew.Lumsden@corrs.com.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raddon.Jolley@corrs.com.a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ephanie.Daveson@corrs.com.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andy.Mak@corrs.com.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eynah.Tang@corrs.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rrsOffice\Templates\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46FA2-9496-4E4C-9449-CB1899BF8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1</TotalTime>
  <Pages>5</Pages>
  <Words>2061</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Submission: Proposed Amendments to the Corporations Act</vt:lpstr>
    </vt:vector>
  </TitlesOfParts>
  <Company/>
  <LinksUpToDate>false</LinksUpToDate>
  <CharactersWithSpaces>13221</CharactersWithSpaces>
  <SharedDoc>false</SharedDoc>
  <HLinks>
    <vt:vector size="30" baseType="variant">
      <vt:variant>
        <vt:i4>2949121</vt:i4>
      </vt:variant>
      <vt:variant>
        <vt:i4>24</vt:i4>
      </vt:variant>
      <vt:variant>
        <vt:i4>0</vt:i4>
      </vt:variant>
      <vt:variant>
        <vt:i4>5</vt:i4>
      </vt:variant>
      <vt:variant>
        <vt:lpwstr>mailto:Reynah.Tang@corrs.com.au</vt:lpwstr>
      </vt:variant>
      <vt:variant>
        <vt:lpwstr/>
      </vt:variant>
      <vt:variant>
        <vt:i4>524327</vt:i4>
      </vt:variant>
      <vt:variant>
        <vt:i4>21</vt:i4>
      </vt:variant>
      <vt:variant>
        <vt:i4>0</vt:i4>
      </vt:variant>
      <vt:variant>
        <vt:i4>5</vt:i4>
      </vt:variant>
      <vt:variant>
        <vt:lpwstr>mailto:Andrew.Lumsden@corrs.com.au</vt:lpwstr>
      </vt:variant>
      <vt:variant>
        <vt:lpwstr/>
      </vt:variant>
      <vt:variant>
        <vt:i4>5177450</vt:i4>
      </vt:variant>
      <vt:variant>
        <vt:i4>18</vt:i4>
      </vt:variant>
      <vt:variant>
        <vt:i4>0</vt:i4>
      </vt:variant>
      <vt:variant>
        <vt:i4>5</vt:i4>
      </vt:variant>
      <vt:variant>
        <vt:lpwstr>mailto:Braddon.Jolley@corrs.com.au</vt:lpwstr>
      </vt:variant>
      <vt:variant>
        <vt:lpwstr/>
      </vt:variant>
      <vt:variant>
        <vt:i4>1376305</vt:i4>
      </vt:variant>
      <vt:variant>
        <vt:i4>15</vt:i4>
      </vt:variant>
      <vt:variant>
        <vt:i4>0</vt:i4>
      </vt:variant>
      <vt:variant>
        <vt:i4>5</vt:i4>
      </vt:variant>
      <vt:variant>
        <vt:lpwstr>mailto:Stephanie.Daveson@corrs.com.au</vt:lpwstr>
      </vt:variant>
      <vt:variant>
        <vt:lpwstr/>
      </vt:variant>
      <vt:variant>
        <vt:i4>852018</vt:i4>
      </vt:variant>
      <vt:variant>
        <vt:i4>12</vt:i4>
      </vt:variant>
      <vt:variant>
        <vt:i4>0</vt:i4>
      </vt:variant>
      <vt:variant>
        <vt:i4>5</vt:i4>
      </vt:variant>
      <vt:variant>
        <vt:lpwstr>mailto:Sandy.Mak@corrs.com.au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Proposed Amendments to the Corporations Act</dc:title>
  <dc:subject/>
  <dc:creator/>
  <cp:keywords/>
  <dc:description/>
  <cp:lastModifiedBy>Schumann, Vicky</cp:lastModifiedBy>
  <cp:revision>3</cp:revision>
  <cp:lastPrinted>2012-02-03T02:26:00Z</cp:lastPrinted>
  <dcterms:created xsi:type="dcterms:W3CDTF">2012-02-05T22:29:00Z</dcterms:created>
  <dcterms:modified xsi:type="dcterms:W3CDTF">2012-04-26T00:04:00Z</dcterms:modified>
</cp:coreProperties>
</file>