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53F05" w14:textId="77777777" w:rsidR="00B17774" w:rsidRDefault="00B17774" w:rsidP="00B17774">
      <w:pPr>
        <w:pStyle w:val="Baseparagraphcentred"/>
      </w:pPr>
    </w:p>
    <w:p w14:paraId="5B2F6893" w14:textId="77777777" w:rsidR="00B17774" w:rsidRDefault="00B17774" w:rsidP="00B17774">
      <w:pPr>
        <w:pStyle w:val="Baseparagraphcentred"/>
      </w:pPr>
    </w:p>
    <w:p w14:paraId="44CBAD5D" w14:textId="77777777" w:rsidR="00B17774" w:rsidRDefault="00B17774" w:rsidP="00B17774">
      <w:pPr>
        <w:pStyle w:val="Baseparagraphcentred"/>
      </w:pPr>
    </w:p>
    <w:p w14:paraId="54C69A15" w14:textId="77777777" w:rsidR="00B17774" w:rsidRDefault="00B17774" w:rsidP="00B17774">
      <w:pPr>
        <w:pStyle w:val="Baseparagraphcentred"/>
      </w:pPr>
    </w:p>
    <w:p w14:paraId="6211F48A" w14:textId="77777777" w:rsidR="00B17774" w:rsidRDefault="00B17774" w:rsidP="00B17774">
      <w:pPr>
        <w:pStyle w:val="Baseparagraphcentred"/>
      </w:pPr>
    </w:p>
    <w:p w14:paraId="65DF34F6" w14:textId="77777777" w:rsidR="00B17774" w:rsidRDefault="00B17774" w:rsidP="00B17774">
      <w:pPr>
        <w:pStyle w:val="Baseparagraphcentred"/>
      </w:pPr>
    </w:p>
    <w:p w14:paraId="3EFFB19C" w14:textId="77777777" w:rsidR="00B17774" w:rsidRDefault="00B17774" w:rsidP="00B17774">
      <w:pPr>
        <w:pStyle w:val="Baseparagraphcentred"/>
      </w:pPr>
    </w:p>
    <w:p w14:paraId="724D8B41" w14:textId="0BE81E22" w:rsidR="00B17774" w:rsidRDefault="00BB0299" w:rsidP="00B17774">
      <w:pPr>
        <w:pStyle w:val="BillName"/>
      </w:pPr>
      <w:bookmarkStart w:id="0" w:name="BillName"/>
      <w:bookmarkEnd w:id="0"/>
      <w:r>
        <w:t>T</w:t>
      </w:r>
      <w:r w:rsidR="005204CE">
        <w:t xml:space="preserve">reasury </w:t>
      </w:r>
      <w:r>
        <w:t>L</w:t>
      </w:r>
      <w:r w:rsidR="005204CE">
        <w:t xml:space="preserve">aws </w:t>
      </w:r>
      <w:r>
        <w:t>A</w:t>
      </w:r>
      <w:r w:rsidR="005204CE">
        <w:t>mendment (</w:t>
      </w:r>
      <w:r>
        <w:t>B</w:t>
      </w:r>
      <w:r w:rsidR="005204CE">
        <w:t xml:space="preserve">lack </w:t>
      </w:r>
      <w:r>
        <w:t>E</w:t>
      </w:r>
      <w:r w:rsidR="005204CE">
        <w:t xml:space="preserve">conomy </w:t>
      </w:r>
      <w:r>
        <w:t>T</w:t>
      </w:r>
      <w:r w:rsidR="005204CE">
        <w:t xml:space="preserve">askforce </w:t>
      </w:r>
      <w:r>
        <w:t>M</w:t>
      </w:r>
      <w:r w:rsidR="005204CE">
        <w:t xml:space="preserve">easures </w:t>
      </w:r>
      <w:r>
        <w:t>N</w:t>
      </w:r>
      <w:r w:rsidR="005204CE">
        <w:t>o. 2) 2018</w:t>
      </w:r>
    </w:p>
    <w:p w14:paraId="23E437CC" w14:textId="77777777" w:rsidR="00B17774" w:rsidRDefault="00B17774" w:rsidP="00B17774">
      <w:pPr>
        <w:pStyle w:val="Baseparagraphcentred"/>
      </w:pPr>
    </w:p>
    <w:p w14:paraId="053D5844" w14:textId="01826FA2" w:rsidR="00B17774" w:rsidRDefault="00B17774" w:rsidP="00B17774">
      <w:pPr>
        <w:pStyle w:val="Baseparagraphcentred"/>
      </w:pPr>
    </w:p>
    <w:p w14:paraId="1D6FE34D" w14:textId="77777777" w:rsidR="00B17774" w:rsidRDefault="00B17774" w:rsidP="00B17774">
      <w:pPr>
        <w:pStyle w:val="Baseparagraphcentred"/>
      </w:pPr>
    </w:p>
    <w:p w14:paraId="686FB618" w14:textId="77777777" w:rsidR="00B17774" w:rsidRDefault="00B17774" w:rsidP="00B17774">
      <w:pPr>
        <w:pStyle w:val="Baseparagraphcentred"/>
      </w:pPr>
    </w:p>
    <w:p w14:paraId="20A9AE9B" w14:textId="74F271C5" w:rsidR="00B17774" w:rsidRDefault="005204CE" w:rsidP="00B17774">
      <w:pPr>
        <w:pStyle w:val="Baseparagraphcentred"/>
      </w:pPr>
      <w:r>
        <w:t xml:space="preserve">EXPOSURE DRAFT </w:t>
      </w:r>
      <w:r w:rsidR="00B17774">
        <w:t xml:space="preserve">EXPLANATORY </w:t>
      </w:r>
      <w:r w:rsidR="007068A2">
        <w:t>MATERIAL</w:t>
      </w:r>
      <w:r w:rsidR="002F5901">
        <w:t>S</w:t>
      </w:r>
    </w:p>
    <w:p w14:paraId="289C3BC3" w14:textId="77777777" w:rsidR="00B17774" w:rsidRDefault="00B17774" w:rsidP="00B17774">
      <w:pPr>
        <w:pStyle w:val="Baseparagraphcentred"/>
      </w:pPr>
    </w:p>
    <w:p w14:paraId="0CAD7E50" w14:textId="77777777" w:rsidR="00B17774" w:rsidRDefault="00B17774" w:rsidP="00B17774">
      <w:pPr>
        <w:pStyle w:val="Baseparagraphcentred"/>
      </w:pPr>
    </w:p>
    <w:p w14:paraId="76D367B3" w14:textId="77777777" w:rsidR="00B17774" w:rsidRDefault="00B17774" w:rsidP="00B17774">
      <w:pPr>
        <w:pStyle w:val="Baseparagraphcentred"/>
      </w:pPr>
    </w:p>
    <w:p w14:paraId="273E376A" w14:textId="77777777" w:rsidR="00773B68" w:rsidRDefault="00773B68" w:rsidP="00773B68">
      <w:pPr>
        <w:pStyle w:val="ParaCentredNoSpacing"/>
      </w:pPr>
    </w:p>
    <w:p w14:paraId="18E09AE0" w14:textId="77777777" w:rsidR="00B17774" w:rsidRDefault="00B17774" w:rsidP="00B17774"/>
    <w:p w14:paraId="7BA25425" w14:textId="77777777" w:rsidR="00813A51" w:rsidRDefault="00813A51" w:rsidP="00B17774">
      <w:pPr>
        <w:sectPr w:rsidR="00813A51" w:rsidSect="00E74E50">
          <w:headerReference w:type="even" r:id="rId14"/>
          <w:headerReference w:type="default" r:id="rId15"/>
          <w:footerReference w:type="even" r:id="rId16"/>
          <w:footerReference w:type="default" r:id="rId17"/>
          <w:headerReference w:type="first" r:id="rId18"/>
          <w:footerReference w:type="first" r:id="rId19"/>
          <w:pgSz w:w="9979" w:h="14175" w:code="13"/>
          <w:pgMar w:top="567" w:right="1134" w:bottom="567" w:left="1134" w:header="709" w:footer="709" w:gutter="0"/>
          <w:cols w:space="708"/>
          <w:titlePg/>
          <w:docGrid w:linePitch="360"/>
        </w:sectPr>
      </w:pPr>
    </w:p>
    <w:p w14:paraId="1D83084E" w14:textId="77777777" w:rsidR="00B17774" w:rsidRPr="003E0794" w:rsidRDefault="00B17774" w:rsidP="00B17774">
      <w:pPr>
        <w:pStyle w:val="TOCHeading"/>
      </w:pPr>
      <w:r w:rsidRPr="003E0794">
        <w:lastRenderedPageBreak/>
        <w:t>Table of contents</w:t>
      </w:r>
    </w:p>
    <w:p w14:paraId="473507F5" w14:textId="77777777" w:rsidR="0062584A"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62584A">
        <w:t>Glossary</w:t>
      </w:r>
      <w:r w:rsidR="0062584A">
        <w:tab/>
      </w:r>
      <w:r w:rsidR="0062584A">
        <w:fldChar w:fldCharType="begin"/>
      </w:r>
      <w:r w:rsidR="0062584A">
        <w:instrText xml:space="preserve"> PAGEREF _Toc519592872 \h </w:instrText>
      </w:r>
      <w:r w:rsidR="0062584A">
        <w:fldChar w:fldCharType="separate"/>
      </w:r>
      <w:r w:rsidR="002971BB">
        <w:t>5</w:t>
      </w:r>
      <w:r w:rsidR="0062584A">
        <w:fldChar w:fldCharType="end"/>
      </w:r>
    </w:p>
    <w:p w14:paraId="587F2608" w14:textId="77777777" w:rsidR="0062584A" w:rsidRDefault="0062584A">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Third party reporting</w:t>
      </w:r>
      <w:r>
        <w:rPr>
          <w:noProof/>
        </w:rPr>
        <w:tab/>
      </w:r>
      <w:r>
        <w:rPr>
          <w:noProof/>
        </w:rPr>
        <w:fldChar w:fldCharType="begin"/>
      </w:r>
      <w:r>
        <w:rPr>
          <w:noProof/>
        </w:rPr>
        <w:instrText xml:space="preserve"> PAGEREF _Toc519592873 \h </w:instrText>
      </w:r>
      <w:r>
        <w:rPr>
          <w:noProof/>
        </w:rPr>
      </w:r>
      <w:r>
        <w:rPr>
          <w:noProof/>
        </w:rPr>
        <w:fldChar w:fldCharType="separate"/>
      </w:r>
      <w:r w:rsidR="002971BB">
        <w:rPr>
          <w:noProof/>
        </w:rPr>
        <w:t>7</w:t>
      </w:r>
      <w:r>
        <w:rPr>
          <w:noProof/>
        </w:rPr>
        <w:fldChar w:fldCharType="end"/>
      </w:r>
    </w:p>
    <w:p w14:paraId="2C795586" w14:textId="77777777" w:rsidR="00E5385B" w:rsidRDefault="00734F84" w:rsidP="00295ABD">
      <w:pPr>
        <w:rPr>
          <w:rFonts w:ascii="Helvetica" w:hAnsi="Helvetica"/>
          <w:noProof/>
          <w:sz w:val="24"/>
        </w:rPr>
      </w:pPr>
      <w:r>
        <w:rPr>
          <w:rFonts w:ascii="Helvetica" w:hAnsi="Helvetica"/>
          <w:noProof/>
          <w:sz w:val="24"/>
        </w:rPr>
        <w:fldChar w:fldCharType="end"/>
      </w:r>
    </w:p>
    <w:p w14:paraId="45D2B72B" w14:textId="77777777" w:rsidR="00B17774" w:rsidRDefault="00B17774" w:rsidP="00B17774">
      <w:pPr>
        <w:pStyle w:val="Hiddentext"/>
      </w:pPr>
    </w:p>
    <w:p w14:paraId="3FC9BD05" w14:textId="77777777" w:rsidR="00B17774" w:rsidRDefault="00B17774" w:rsidP="00B17774">
      <w:pPr>
        <w:pStyle w:val="base-text-paragraphnonumbers"/>
        <w:sectPr w:rsidR="00B17774" w:rsidSect="00E74E50">
          <w:headerReference w:type="even" r:id="rId20"/>
          <w:headerReference w:type="default" r:id="rId21"/>
          <w:footerReference w:type="even" r:id="rId22"/>
          <w:footerReference w:type="default" r:id="rId23"/>
          <w:headerReference w:type="first" r:id="rId24"/>
          <w:footerReference w:type="first" r:id="rId25"/>
          <w:type w:val="oddPage"/>
          <w:pgSz w:w="9979" w:h="14175" w:code="9"/>
          <w:pgMar w:top="567" w:right="1134" w:bottom="567" w:left="1134" w:header="709" w:footer="709" w:gutter="0"/>
          <w:cols w:space="708"/>
          <w:titlePg/>
          <w:docGrid w:linePitch="360"/>
        </w:sectPr>
      </w:pPr>
    </w:p>
    <w:p w14:paraId="39653ED6" w14:textId="77777777" w:rsidR="00B17774" w:rsidRPr="00567602" w:rsidRDefault="00B17774" w:rsidP="00567602">
      <w:pPr>
        <w:pStyle w:val="Chapterheadingsubdocument"/>
      </w:pPr>
      <w:bookmarkStart w:id="1" w:name="_Toc519592872"/>
      <w:r w:rsidRPr="00567602">
        <w:rPr>
          <w:rStyle w:val="ChapterNameOnly"/>
        </w:rPr>
        <w:lastRenderedPageBreak/>
        <w:t>Glossary</w:t>
      </w:r>
      <w:bookmarkEnd w:id="1"/>
    </w:p>
    <w:p w14:paraId="7C285F4C" w14:textId="77777777"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14:paraId="50C66A09" w14:textId="77777777" w:rsidTr="00814A2D">
        <w:tc>
          <w:tcPr>
            <w:tcW w:w="2721" w:type="dxa"/>
          </w:tcPr>
          <w:p w14:paraId="33DCD25B" w14:textId="77777777" w:rsidR="00B17774" w:rsidRPr="00123D96" w:rsidRDefault="00B17774" w:rsidP="00814A2D">
            <w:pPr>
              <w:pStyle w:val="tableheaderwithintable"/>
            </w:pPr>
            <w:r w:rsidRPr="00123D96">
              <w:t>Abbreviation</w:t>
            </w:r>
          </w:p>
        </w:tc>
        <w:tc>
          <w:tcPr>
            <w:tcW w:w="3885" w:type="dxa"/>
          </w:tcPr>
          <w:p w14:paraId="397ECE8B" w14:textId="77777777" w:rsidR="00B17774" w:rsidRPr="00123D96" w:rsidRDefault="00B17774" w:rsidP="00814A2D">
            <w:pPr>
              <w:pStyle w:val="tableheaderwithintable"/>
            </w:pPr>
            <w:r w:rsidRPr="00123D96">
              <w:t>Definition</w:t>
            </w:r>
          </w:p>
        </w:tc>
      </w:tr>
      <w:tr w:rsidR="007068A2" w:rsidRPr="002C43E8" w14:paraId="1C5DBF76" w14:textId="77777777" w:rsidTr="00814A2D">
        <w:tc>
          <w:tcPr>
            <w:tcW w:w="2721" w:type="dxa"/>
          </w:tcPr>
          <w:p w14:paraId="790DCA24" w14:textId="2604EC84" w:rsidR="007068A2" w:rsidRDefault="007068A2" w:rsidP="00814A2D">
            <w:pPr>
              <w:pStyle w:val="Glossarytabletext"/>
              <w:rPr>
                <w:lang w:val="en-US" w:eastAsia="en-US"/>
              </w:rPr>
            </w:pPr>
            <w:r>
              <w:rPr>
                <w:lang w:val="en-US" w:eastAsia="en-US"/>
              </w:rPr>
              <w:t>ABN</w:t>
            </w:r>
          </w:p>
        </w:tc>
        <w:tc>
          <w:tcPr>
            <w:tcW w:w="3885" w:type="dxa"/>
          </w:tcPr>
          <w:p w14:paraId="2110CB8E" w14:textId="5867C714" w:rsidR="007068A2" w:rsidRDefault="007068A2" w:rsidP="00814A2D">
            <w:pPr>
              <w:pStyle w:val="Glossarytabletext"/>
              <w:rPr>
                <w:lang w:val="en-US" w:eastAsia="en-US"/>
              </w:rPr>
            </w:pPr>
            <w:r>
              <w:rPr>
                <w:lang w:val="en-US" w:eastAsia="en-US"/>
              </w:rPr>
              <w:t>Australian business number</w:t>
            </w:r>
          </w:p>
        </w:tc>
      </w:tr>
      <w:tr w:rsidR="007068A2" w:rsidRPr="002C43E8" w14:paraId="5F4C6E71" w14:textId="77777777" w:rsidTr="00814A2D">
        <w:tc>
          <w:tcPr>
            <w:tcW w:w="2721" w:type="dxa"/>
          </w:tcPr>
          <w:p w14:paraId="4BE20DD8" w14:textId="7E365342" w:rsidR="007068A2" w:rsidRDefault="007068A2" w:rsidP="00814A2D">
            <w:pPr>
              <w:pStyle w:val="Glossarytabletext"/>
              <w:rPr>
                <w:lang w:val="en-US" w:eastAsia="en-US"/>
              </w:rPr>
            </w:pPr>
            <w:r>
              <w:rPr>
                <w:lang w:val="en-US" w:eastAsia="en-US"/>
              </w:rPr>
              <w:t>ATO</w:t>
            </w:r>
          </w:p>
        </w:tc>
        <w:tc>
          <w:tcPr>
            <w:tcW w:w="3885" w:type="dxa"/>
          </w:tcPr>
          <w:p w14:paraId="3A3A07DD" w14:textId="052509FC" w:rsidR="007068A2" w:rsidRDefault="007068A2" w:rsidP="00814A2D">
            <w:pPr>
              <w:pStyle w:val="Glossarytabletext"/>
              <w:rPr>
                <w:lang w:val="en-US" w:eastAsia="en-US"/>
              </w:rPr>
            </w:pPr>
            <w:r>
              <w:rPr>
                <w:lang w:val="en-US" w:eastAsia="en-US"/>
              </w:rPr>
              <w:t>Australian Taxation Office</w:t>
            </w:r>
          </w:p>
        </w:tc>
      </w:tr>
      <w:tr w:rsidR="007068A2" w:rsidRPr="002C43E8" w14:paraId="1B9E2D04" w14:textId="77777777" w:rsidTr="00814A2D">
        <w:tc>
          <w:tcPr>
            <w:tcW w:w="2721" w:type="dxa"/>
          </w:tcPr>
          <w:p w14:paraId="3A07AB2B" w14:textId="33FA8E25" w:rsidR="007068A2" w:rsidRDefault="007068A2" w:rsidP="00814A2D">
            <w:pPr>
              <w:pStyle w:val="Glossarytabletext"/>
              <w:rPr>
                <w:lang w:val="en-US" w:eastAsia="en-US"/>
              </w:rPr>
            </w:pPr>
            <w:r>
              <w:rPr>
                <w:lang w:val="en-US" w:eastAsia="en-US"/>
              </w:rPr>
              <w:t>Commissioner</w:t>
            </w:r>
          </w:p>
        </w:tc>
        <w:tc>
          <w:tcPr>
            <w:tcW w:w="3885" w:type="dxa"/>
          </w:tcPr>
          <w:p w14:paraId="533E6464" w14:textId="2E2C00D4" w:rsidR="007068A2" w:rsidRDefault="007068A2" w:rsidP="00814A2D">
            <w:pPr>
              <w:pStyle w:val="Glossarytabletext"/>
              <w:rPr>
                <w:lang w:val="en-US" w:eastAsia="en-US"/>
              </w:rPr>
            </w:pPr>
            <w:r>
              <w:rPr>
                <w:lang w:val="en-US" w:eastAsia="en-US"/>
              </w:rPr>
              <w:t>Commissioner of Taxation</w:t>
            </w:r>
          </w:p>
        </w:tc>
      </w:tr>
      <w:tr w:rsidR="007068A2" w:rsidRPr="002C43E8" w14:paraId="059CD54E" w14:textId="77777777" w:rsidTr="00814A2D">
        <w:tc>
          <w:tcPr>
            <w:tcW w:w="2721" w:type="dxa"/>
          </w:tcPr>
          <w:p w14:paraId="7BE48140" w14:textId="145A3110" w:rsidR="007068A2" w:rsidRDefault="007068A2" w:rsidP="00814A2D">
            <w:pPr>
              <w:pStyle w:val="Glossarytabletext"/>
              <w:rPr>
                <w:lang w:val="en-US" w:eastAsia="en-US"/>
              </w:rPr>
            </w:pPr>
            <w:r>
              <w:rPr>
                <w:lang w:val="en-US" w:eastAsia="en-US"/>
              </w:rPr>
              <w:t>GST Act</w:t>
            </w:r>
          </w:p>
        </w:tc>
        <w:tc>
          <w:tcPr>
            <w:tcW w:w="3885" w:type="dxa"/>
          </w:tcPr>
          <w:p w14:paraId="083F75F4" w14:textId="6318E5C3" w:rsidR="007068A2" w:rsidRPr="002F5901" w:rsidRDefault="007068A2" w:rsidP="00814A2D">
            <w:pPr>
              <w:pStyle w:val="Glossarytabletext"/>
              <w:rPr>
                <w:i/>
                <w:lang w:val="en-US" w:eastAsia="en-US"/>
              </w:rPr>
            </w:pPr>
            <w:r w:rsidRPr="002F5901">
              <w:rPr>
                <w:i/>
                <w:lang w:val="en-US" w:eastAsia="en-US"/>
              </w:rPr>
              <w:t>A New Tax System (Goods and Services Tax) Act 1999</w:t>
            </w:r>
          </w:p>
        </w:tc>
      </w:tr>
      <w:tr w:rsidR="00B17774" w:rsidRPr="002C43E8" w14:paraId="16B10A1D" w14:textId="77777777" w:rsidTr="00814A2D">
        <w:tc>
          <w:tcPr>
            <w:tcW w:w="2721" w:type="dxa"/>
          </w:tcPr>
          <w:p w14:paraId="66DEB64E" w14:textId="77777777" w:rsidR="00B17774" w:rsidRPr="002C43E8" w:rsidRDefault="00613D1E" w:rsidP="00814A2D">
            <w:pPr>
              <w:pStyle w:val="Glossarytabletext"/>
              <w:rPr>
                <w:lang w:val="en-US" w:eastAsia="en-US"/>
              </w:rPr>
            </w:pPr>
            <w:bookmarkStart w:id="2" w:name="GlossaryTableStart"/>
            <w:bookmarkEnd w:id="2"/>
            <w:r>
              <w:rPr>
                <w:lang w:val="en-US" w:eastAsia="en-US"/>
              </w:rPr>
              <w:t>IT</w:t>
            </w:r>
          </w:p>
        </w:tc>
        <w:tc>
          <w:tcPr>
            <w:tcW w:w="3885" w:type="dxa"/>
          </w:tcPr>
          <w:p w14:paraId="0904C2C7" w14:textId="77777777" w:rsidR="00B17774" w:rsidRPr="002C43E8" w:rsidRDefault="00613D1E" w:rsidP="00814A2D">
            <w:pPr>
              <w:pStyle w:val="Glossarytabletext"/>
              <w:rPr>
                <w:lang w:val="en-US" w:eastAsia="en-US"/>
              </w:rPr>
            </w:pPr>
            <w:r>
              <w:rPr>
                <w:lang w:val="en-US" w:eastAsia="en-US"/>
              </w:rPr>
              <w:t>information technology</w:t>
            </w:r>
          </w:p>
        </w:tc>
      </w:tr>
      <w:tr w:rsidR="00B17774" w:rsidRPr="002C43E8" w14:paraId="61F65E6E" w14:textId="77777777" w:rsidTr="00814A2D">
        <w:tc>
          <w:tcPr>
            <w:tcW w:w="2721" w:type="dxa"/>
          </w:tcPr>
          <w:p w14:paraId="20DDA865" w14:textId="35F86C75" w:rsidR="00B17774" w:rsidRPr="002C43E8" w:rsidRDefault="007068A2" w:rsidP="00814A2D">
            <w:pPr>
              <w:pStyle w:val="Glossarytabletext"/>
              <w:rPr>
                <w:lang w:val="en-US" w:eastAsia="en-US"/>
              </w:rPr>
            </w:pPr>
            <w:r>
              <w:rPr>
                <w:lang w:val="en-US" w:eastAsia="en-US"/>
              </w:rPr>
              <w:t>TAA 1953</w:t>
            </w:r>
          </w:p>
        </w:tc>
        <w:tc>
          <w:tcPr>
            <w:tcW w:w="3885" w:type="dxa"/>
          </w:tcPr>
          <w:p w14:paraId="7291E475" w14:textId="0B10072D" w:rsidR="00B17774" w:rsidRPr="002F5901" w:rsidRDefault="007068A2" w:rsidP="00814A2D">
            <w:pPr>
              <w:pStyle w:val="Glossarytabletext"/>
              <w:rPr>
                <w:i/>
                <w:lang w:val="en-US" w:eastAsia="en-US"/>
              </w:rPr>
            </w:pPr>
            <w:r w:rsidRPr="002F5901">
              <w:rPr>
                <w:i/>
                <w:lang w:val="en-US" w:eastAsia="en-US"/>
              </w:rPr>
              <w:t>Taxation Administration Act 1953</w:t>
            </w:r>
          </w:p>
        </w:tc>
      </w:tr>
      <w:tr w:rsidR="00B17774" w:rsidRPr="002C43E8" w14:paraId="6974A7CC" w14:textId="77777777" w:rsidTr="00814A2D">
        <w:tc>
          <w:tcPr>
            <w:tcW w:w="2721" w:type="dxa"/>
          </w:tcPr>
          <w:p w14:paraId="43917A74" w14:textId="659983DE" w:rsidR="00B17774" w:rsidRPr="002C43E8" w:rsidRDefault="007068A2" w:rsidP="00814A2D">
            <w:pPr>
              <w:pStyle w:val="Glossarytabletext"/>
              <w:rPr>
                <w:lang w:val="en-US" w:eastAsia="en-US"/>
              </w:rPr>
            </w:pPr>
            <w:r>
              <w:rPr>
                <w:lang w:val="en-US" w:eastAsia="en-US"/>
              </w:rPr>
              <w:t>TPRS</w:t>
            </w:r>
          </w:p>
        </w:tc>
        <w:tc>
          <w:tcPr>
            <w:tcW w:w="3885" w:type="dxa"/>
          </w:tcPr>
          <w:p w14:paraId="3F137B79" w14:textId="4023588D" w:rsidR="00B17774" w:rsidRPr="002C43E8" w:rsidRDefault="007068A2" w:rsidP="00814A2D">
            <w:pPr>
              <w:pStyle w:val="Glossarytabletext"/>
              <w:rPr>
                <w:lang w:val="en-US" w:eastAsia="en-US"/>
              </w:rPr>
            </w:pPr>
            <w:r>
              <w:rPr>
                <w:lang w:val="en-US" w:eastAsia="en-US"/>
              </w:rPr>
              <w:t>Taxable Payment</w:t>
            </w:r>
            <w:r w:rsidR="008A3010">
              <w:rPr>
                <w:lang w:val="en-US" w:eastAsia="en-US"/>
              </w:rPr>
              <w:t>s</w:t>
            </w:r>
            <w:r>
              <w:rPr>
                <w:lang w:val="en-US" w:eastAsia="en-US"/>
              </w:rPr>
              <w:t xml:space="preserve"> Reporting System</w:t>
            </w:r>
          </w:p>
        </w:tc>
      </w:tr>
    </w:tbl>
    <w:p w14:paraId="09207382" w14:textId="77777777" w:rsidR="00B17774" w:rsidRDefault="00B17774" w:rsidP="00B17774">
      <w:pPr>
        <w:sectPr w:rsidR="00B17774" w:rsidSect="00E74E50">
          <w:headerReference w:type="even" r:id="rId26"/>
          <w:headerReference w:type="default" r:id="rId27"/>
          <w:footerReference w:type="even" r:id="rId28"/>
          <w:footerReference w:type="default" r:id="rId29"/>
          <w:headerReference w:type="first" r:id="rId30"/>
          <w:footerReference w:type="first" r:id="rId31"/>
          <w:type w:val="oddPage"/>
          <w:pgSz w:w="9979" w:h="14175" w:code="9"/>
          <w:pgMar w:top="567" w:right="1134" w:bottom="567" w:left="1134" w:header="709" w:footer="709" w:gutter="0"/>
          <w:cols w:space="708"/>
          <w:titlePg/>
          <w:docGrid w:linePitch="360"/>
        </w:sectPr>
      </w:pPr>
    </w:p>
    <w:p w14:paraId="3CFBF9E6" w14:textId="77777777" w:rsidR="00B17774" w:rsidRPr="007C2B20" w:rsidRDefault="00840701" w:rsidP="000C2A9D">
      <w:pPr>
        <w:pStyle w:val="ChapterHeading"/>
      </w:pPr>
      <w:r w:rsidRPr="000C2A9D">
        <w:lastRenderedPageBreak/>
        <w:br/>
      </w:r>
      <w:bookmarkStart w:id="3" w:name="_Toc519592873"/>
      <w:r w:rsidR="005204CE">
        <w:rPr>
          <w:rStyle w:val="ChapterNameOnly"/>
        </w:rPr>
        <w:t>Third party reporting</w:t>
      </w:r>
      <w:bookmarkEnd w:id="3"/>
    </w:p>
    <w:p w14:paraId="29AEC4D2" w14:textId="77777777" w:rsidR="00B17774" w:rsidRDefault="00B17774" w:rsidP="00B17774">
      <w:pPr>
        <w:pStyle w:val="Heading2"/>
      </w:pPr>
      <w:r>
        <w:t>Outline of chapter</w:t>
      </w:r>
    </w:p>
    <w:p w14:paraId="30C18515" w14:textId="2C71B1CC" w:rsidR="00B17774" w:rsidRDefault="005204CE" w:rsidP="00152909">
      <w:pPr>
        <w:pStyle w:val="base-text-paragraph"/>
      </w:pPr>
      <w:r>
        <w:t xml:space="preserve">Schedule </w:t>
      </w:r>
      <w:r w:rsidR="007068A2">
        <w:t>#</w:t>
      </w:r>
      <w:r>
        <w:t xml:space="preserve"> to this Bill amends</w:t>
      </w:r>
      <w:r w:rsidR="008A3010">
        <w:t xml:space="preserve"> Schedule 1 to</w:t>
      </w:r>
      <w:r>
        <w:t xml:space="preserve"> the TAA 1953 to require </w:t>
      </w:r>
      <w:r w:rsidR="00152909">
        <w:t xml:space="preserve">entities with ABNs </w:t>
      </w:r>
      <w:r>
        <w:t xml:space="preserve">providing </w:t>
      </w:r>
      <w:r w:rsidR="00FB30BF">
        <w:t>‘</w:t>
      </w:r>
      <w:r>
        <w:t>road freight</w:t>
      </w:r>
      <w:r w:rsidR="00FB30BF">
        <w:t>’</w:t>
      </w:r>
      <w:r>
        <w:t xml:space="preserve">, </w:t>
      </w:r>
      <w:r w:rsidR="00FB30BF">
        <w:t>‘</w:t>
      </w:r>
      <w:r>
        <w:t>IT</w:t>
      </w:r>
      <w:r w:rsidR="00FB30BF">
        <w:t>’</w:t>
      </w:r>
      <w:r w:rsidR="002357DC">
        <w:t xml:space="preserve"> or</w:t>
      </w:r>
      <w:r w:rsidR="00152909">
        <w:t xml:space="preserve"> </w:t>
      </w:r>
      <w:r w:rsidR="00FB30BF">
        <w:t>‘</w:t>
      </w:r>
      <w:r>
        <w:t>security</w:t>
      </w:r>
      <w:r w:rsidR="00152909">
        <w:t>,</w:t>
      </w:r>
      <w:r>
        <w:t xml:space="preserve"> </w:t>
      </w:r>
      <w:r w:rsidR="00152909" w:rsidRPr="00152909">
        <w:t>investigation or surveillance</w:t>
      </w:r>
      <w:r w:rsidR="00FB30BF">
        <w:t>’</w:t>
      </w:r>
      <w:r w:rsidR="00152909" w:rsidRPr="00152909">
        <w:t xml:space="preserve"> service</w:t>
      </w:r>
      <w:r w:rsidR="00152909">
        <w:t>s</w:t>
      </w:r>
      <w:r w:rsidR="00152909" w:rsidRPr="00152909">
        <w:t xml:space="preserve"> </w:t>
      </w:r>
      <w:r>
        <w:t xml:space="preserve">to report to the ATO information about transactions </w:t>
      </w:r>
      <w:r w:rsidR="00D55A78">
        <w:t>in which</w:t>
      </w:r>
      <w:r>
        <w:t xml:space="preserve"> other entities </w:t>
      </w:r>
      <w:r w:rsidR="00D55A78">
        <w:t xml:space="preserve">are engaged </w:t>
      </w:r>
      <w:r>
        <w:t xml:space="preserve">to undertake those services </w:t>
      </w:r>
      <w:r w:rsidR="002357DC">
        <w:t>on their behalf</w:t>
      </w:r>
      <w:r>
        <w:t>.</w:t>
      </w:r>
    </w:p>
    <w:p w14:paraId="0B1B3379" w14:textId="081F8242" w:rsidR="005204CE" w:rsidRDefault="005204CE" w:rsidP="00B17774">
      <w:pPr>
        <w:numPr>
          <w:ilvl w:val="1"/>
          <w:numId w:val="7"/>
        </w:numPr>
      </w:pPr>
      <w:r>
        <w:t xml:space="preserve">All legislative references in this Chapter are to </w:t>
      </w:r>
      <w:r w:rsidR="008A3010">
        <w:t xml:space="preserve">Schedule 1 to </w:t>
      </w:r>
      <w:r>
        <w:t>the TAA 1953 unless otherwise stated.</w:t>
      </w:r>
    </w:p>
    <w:p w14:paraId="2D926F51" w14:textId="77777777" w:rsidR="00B17774" w:rsidRDefault="00B17774" w:rsidP="00B17774">
      <w:pPr>
        <w:pStyle w:val="Heading2"/>
      </w:pPr>
      <w:r>
        <w:t>Context of amendments</w:t>
      </w:r>
    </w:p>
    <w:p w14:paraId="65C53F67" w14:textId="11F3338F" w:rsidR="00B17774" w:rsidRDefault="005204CE" w:rsidP="00B17774">
      <w:pPr>
        <w:pStyle w:val="base-text-paragraph"/>
        <w:numPr>
          <w:ilvl w:val="1"/>
          <w:numId w:val="7"/>
        </w:numPr>
      </w:pPr>
      <w:r>
        <w:t>The black economy is a significant, complex and growing economic and social problem</w:t>
      </w:r>
      <w:r w:rsidR="009D6002">
        <w:t xml:space="preserve"> in Australia</w:t>
      </w:r>
      <w:r>
        <w:t xml:space="preserve">. </w:t>
      </w:r>
      <w:r w:rsidR="001C777E">
        <w:t>The Black Economy Taskforce’s Final Report indicated that the size of the black economy had likely doubled since 2012 from 1.5 percent of GDP to 3 per cent of GDP, or around $50 billion.</w:t>
      </w:r>
    </w:p>
    <w:p w14:paraId="5B1E4F79" w14:textId="69F648F6" w:rsidR="005204CE" w:rsidRDefault="005204CE" w:rsidP="00B17774">
      <w:pPr>
        <w:pStyle w:val="base-text-paragraph"/>
        <w:numPr>
          <w:ilvl w:val="1"/>
          <w:numId w:val="7"/>
        </w:numPr>
      </w:pPr>
      <w:r>
        <w:t xml:space="preserve">In response to this problem, the Government established the Black Economy Taskforce, chaired by Mr Michael Andrew AO. </w:t>
      </w:r>
    </w:p>
    <w:p w14:paraId="34DBB4DE" w14:textId="77777777" w:rsidR="005204CE" w:rsidRDefault="005204CE" w:rsidP="00B17774">
      <w:pPr>
        <w:pStyle w:val="base-text-paragraph"/>
        <w:numPr>
          <w:ilvl w:val="1"/>
          <w:numId w:val="7"/>
        </w:numPr>
      </w:pPr>
      <w:r>
        <w:t>In May 2017, the Government released the Black Economy Taskforce’s Interim Report, which contained a number of initial recommendations based on the experience of foreign jurisdictions, extensive consultation with stakeholders and anecdotal evidence the taskforce had received.</w:t>
      </w:r>
    </w:p>
    <w:p w14:paraId="6BB66F4E" w14:textId="0282F5B4" w:rsidR="005204CE" w:rsidRDefault="008A3010" w:rsidP="00B17774">
      <w:pPr>
        <w:pStyle w:val="base-text-paragraph"/>
        <w:numPr>
          <w:ilvl w:val="1"/>
          <w:numId w:val="7"/>
        </w:numPr>
      </w:pPr>
      <w:r>
        <w:t>In the 2017</w:t>
      </w:r>
      <w:r>
        <w:noBreakHyphen/>
      </w:r>
      <w:r w:rsidR="005204CE">
        <w:t xml:space="preserve">18 Budget, the Government announced that it would adopt the initial recommendations of the Taskforce. One of the initial recommendations was to extend the operation of the TPRS to </w:t>
      </w:r>
      <w:r w:rsidR="00F03CE8">
        <w:t xml:space="preserve">entities engaging </w:t>
      </w:r>
      <w:r w:rsidR="005204CE">
        <w:t>contractors in the courier and cleaning industries.</w:t>
      </w:r>
    </w:p>
    <w:p w14:paraId="50D8E830" w14:textId="59BF67BE" w:rsidR="005204CE" w:rsidRDefault="005204CE" w:rsidP="00B17774">
      <w:pPr>
        <w:pStyle w:val="base-text-paragraph"/>
        <w:numPr>
          <w:ilvl w:val="1"/>
          <w:numId w:val="7"/>
        </w:numPr>
      </w:pPr>
      <w:r>
        <w:t xml:space="preserve">On 7 February 2018, the Government introduced the Treasury Laws Amendment (Black Economy Taskforce Measures No. 1) Bill 2018, which </w:t>
      </w:r>
      <w:r w:rsidR="009D6002">
        <w:t xml:space="preserve">includes amendments to </w:t>
      </w:r>
      <w:r>
        <w:t xml:space="preserve">extend the operation of the TPRS to </w:t>
      </w:r>
      <w:r w:rsidR="00F03CE8">
        <w:t>entities</w:t>
      </w:r>
      <w:r w:rsidR="00CB14C9">
        <w:t xml:space="preserve"> engaging</w:t>
      </w:r>
      <w:r w:rsidR="00F03CE8">
        <w:t xml:space="preserve"> </w:t>
      </w:r>
      <w:r>
        <w:t>contractors in the courier and cleaning industries.</w:t>
      </w:r>
    </w:p>
    <w:p w14:paraId="6AD78D60" w14:textId="59ABA306" w:rsidR="004A2FA1" w:rsidRPr="004A2FA1" w:rsidRDefault="00A93060" w:rsidP="004A2FA1">
      <w:pPr>
        <w:pStyle w:val="base-text-paragraph"/>
      </w:pPr>
      <w:r>
        <w:t>As part of the</w:t>
      </w:r>
      <w:r w:rsidR="008A3010">
        <w:t xml:space="preserve"> 2018</w:t>
      </w:r>
      <w:r w:rsidR="008A3010">
        <w:noBreakHyphen/>
      </w:r>
      <w:r>
        <w:t>19 Budget,</w:t>
      </w:r>
      <w:r w:rsidR="002F5901">
        <w:t xml:space="preserve"> </w:t>
      </w:r>
      <w:r w:rsidR="004A2FA1" w:rsidRPr="004A2FA1">
        <w:t>the Government released the B</w:t>
      </w:r>
      <w:r w:rsidR="004A2FA1">
        <w:t xml:space="preserve">lack Economy Taskforce’s </w:t>
      </w:r>
      <w:r w:rsidR="008A3010">
        <w:t>F</w:t>
      </w:r>
      <w:r w:rsidR="004A2FA1">
        <w:t>inal</w:t>
      </w:r>
      <w:r w:rsidR="004A2FA1" w:rsidRPr="004A2FA1">
        <w:t xml:space="preserve"> Report</w:t>
      </w:r>
      <w:r w:rsidR="001C777E">
        <w:t xml:space="preserve">. The </w:t>
      </w:r>
      <w:r w:rsidR="008A3010">
        <w:t xml:space="preserve">Final </w:t>
      </w:r>
      <w:r w:rsidR="001C777E">
        <w:t>Report</w:t>
      </w:r>
      <w:r w:rsidR="001C777E" w:rsidRPr="004A2FA1">
        <w:t xml:space="preserve"> </w:t>
      </w:r>
      <w:r w:rsidR="001C777E">
        <w:t xml:space="preserve">also </w:t>
      </w:r>
      <w:r w:rsidR="004A2FA1">
        <w:t xml:space="preserve">recommended that the TPRS be extended </w:t>
      </w:r>
      <w:r w:rsidR="004A2FA1" w:rsidRPr="004A2FA1">
        <w:t xml:space="preserve">to additional high-risk </w:t>
      </w:r>
      <w:r>
        <w:t>industries</w:t>
      </w:r>
      <w:r w:rsidR="004A2FA1" w:rsidRPr="004A2FA1">
        <w:t>, including security, road freight</w:t>
      </w:r>
      <w:r w:rsidR="004A2FA1">
        <w:t xml:space="preserve"> and </w:t>
      </w:r>
      <w:r w:rsidR="004A2FA1" w:rsidRPr="004A2FA1">
        <w:t>IT.</w:t>
      </w:r>
    </w:p>
    <w:p w14:paraId="2C506603" w14:textId="3C403F1E" w:rsidR="00175488" w:rsidRDefault="00A93060" w:rsidP="00B17774">
      <w:pPr>
        <w:pStyle w:val="base-text-paragraph"/>
        <w:numPr>
          <w:ilvl w:val="1"/>
          <w:numId w:val="7"/>
        </w:numPr>
      </w:pPr>
      <w:r>
        <w:lastRenderedPageBreak/>
        <w:t>T</w:t>
      </w:r>
      <w:r w:rsidR="00175488">
        <w:t>he Government</w:t>
      </w:r>
      <w:r>
        <w:t xml:space="preserve"> responded with an announcement</w:t>
      </w:r>
      <w:r w:rsidR="00175488">
        <w:t xml:space="preserve"> that it would further extend the operation of the TPRS to </w:t>
      </w:r>
      <w:r w:rsidR="00F03CE8">
        <w:t xml:space="preserve">entities engaging </w:t>
      </w:r>
      <w:r w:rsidR="00175488">
        <w:t>contractors in the</w:t>
      </w:r>
      <w:r>
        <w:t xml:space="preserve"> security,</w:t>
      </w:r>
      <w:r w:rsidR="00175488">
        <w:t xml:space="preserve"> road freight</w:t>
      </w:r>
      <w:r w:rsidR="00FB49C0">
        <w:t>,</w:t>
      </w:r>
      <w:r w:rsidR="00175488">
        <w:t xml:space="preserve"> and </w:t>
      </w:r>
      <w:r w:rsidR="004A2FA1">
        <w:t>IT</w:t>
      </w:r>
      <w:r w:rsidR="00FB49C0">
        <w:t xml:space="preserve"> industries</w:t>
      </w:r>
      <w:r w:rsidR="00175488">
        <w:t>.</w:t>
      </w:r>
    </w:p>
    <w:p w14:paraId="23663C23" w14:textId="25012C82" w:rsidR="00FB49C0" w:rsidRDefault="00FB49C0" w:rsidP="00B17774">
      <w:pPr>
        <w:pStyle w:val="base-text-paragraph"/>
        <w:numPr>
          <w:ilvl w:val="1"/>
          <w:numId w:val="7"/>
        </w:numPr>
      </w:pPr>
      <w:r>
        <w:t xml:space="preserve">The TPRS is a transparency measure </w:t>
      </w:r>
      <w:r w:rsidR="00A93060">
        <w:t xml:space="preserve">that was first applied </w:t>
      </w:r>
      <w:r>
        <w:t>to the building and construction industry. It requires businesses to report payments they make to contractors for services to the ATO. Evidence suggests that this program has improved contractor tax compliance in the building and construction industry.</w:t>
      </w:r>
    </w:p>
    <w:p w14:paraId="241DC34A" w14:textId="77777777" w:rsidR="00B17774" w:rsidRDefault="00B17774" w:rsidP="00B17774">
      <w:pPr>
        <w:pStyle w:val="Heading2"/>
      </w:pPr>
      <w:r>
        <w:t>Summary of new law</w:t>
      </w:r>
    </w:p>
    <w:p w14:paraId="24D9A6AE" w14:textId="48EB67A8" w:rsidR="00B17774" w:rsidRPr="008F726E" w:rsidRDefault="00FB49C0" w:rsidP="00B17774">
      <w:pPr>
        <w:pStyle w:val="base-text-paragraph"/>
        <w:numPr>
          <w:ilvl w:val="1"/>
          <w:numId w:val="7"/>
        </w:numPr>
      </w:pPr>
      <w:r>
        <w:t xml:space="preserve">Schedule # to this Bill </w:t>
      </w:r>
      <w:r w:rsidR="009D6002">
        <w:t xml:space="preserve">makes </w:t>
      </w:r>
      <w:r>
        <w:t xml:space="preserve">amendments to require entities that provide </w:t>
      </w:r>
      <w:r w:rsidR="00FB30BF">
        <w:t>‘</w:t>
      </w:r>
      <w:r>
        <w:t>road freight</w:t>
      </w:r>
      <w:r w:rsidR="00FB30BF">
        <w:t>’</w:t>
      </w:r>
      <w:r>
        <w:t xml:space="preserve">, </w:t>
      </w:r>
      <w:r w:rsidR="00FB30BF">
        <w:t>‘</w:t>
      </w:r>
      <w:r>
        <w:t>IT</w:t>
      </w:r>
      <w:r w:rsidR="00FB30BF">
        <w:t>’</w:t>
      </w:r>
      <w:r w:rsidR="00A93060">
        <w:t xml:space="preserve"> or</w:t>
      </w:r>
      <w:r w:rsidR="00F664B4">
        <w:t xml:space="preserve"> </w:t>
      </w:r>
      <w:r w:rsidR="00FB30BF">
        <w:t>‘</w:t>
      </w:r>
      <w:r>
        <w:t>security</w:t>
      </w:r>
      <w:r w:rsidR="008A3010">
        <w:t>,</w:t>
      </w:r>
      <w:r>
        <w:t xml:space="preserve"> </w:t>
      </w:r>
      <w:r w:rsidR="00F664B4">
        <w:t>investigation or surveillance</w:t>
      </w:r>
      <w:r w:rsidR="00FB30BF">
        <w:t>’</w:t>
      </w:r>
      <w:r w:rsidR="00F664B4">
        <w:t xml:space="preserve"> </w:t>
      </w:r>
      <w:r>
        <w:t>service</w:t>
      </w:r>
      <w:r w:rsidR="009D6002">
        <w:t>s</w:t>
      </w:r>
      <w:r>
        <w:t xml:space="preserve"> to report to the ATO details of transactions that involve engaging other entities to undertake those services </w:t>
      </w:r>
      <w:r w:rsidR="008A3010">
        <w:t>on their behalf</w:t>
      </w:r>
      <w:r>
        <w:t>.</w:t>
      </w:r>
    </w:p>
    <w:p w14:paraId="4CDC2EE9" w14:textId="77777777"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4666B8" w14:paraId="1608CA02" w14:textId="77777777" w:rsidTr="00814A2D">
        <w:tc>
          <w:tcPr>
            <w:tcW w:w="3275" w:type="dxa"/>
          </w:tcPr>
          <w:p w14:paraId="36008859" w14:textId="77777777" w:rsidR="00B17774" w:rsidRPr="004666B8" w:rsidRDefault="00B17774" w:rsidP="00814A2D">
            <w:pPr>
              <w:pStyle w:val="tableheaderwithintable"/>
              <w:rPr>
                <w:lang w:val="en-US" w:eastAsia="en-US"/>
              </w:rPr>
            </w:pPr>
            <w:r w:rsidRPr="004666B8">
              <w:rPr>
                <w:lang w:val="en-US" w:eastAsia="en-US"/>
              </w:rPr>
              <w:t>New law</w:t>
            </w:r>
          </w:p>
        </w:tc>
        <w:tc>
          <w:tcPr>
            <w:tcW w:w="3276" w:type="dxa"/>
          </w:tcPr>
          <w:p w14:paraId="4D7B80CB" w14:textId="77777777" w:rsidR="00B17774" w:rsidRPr="004666B8" w:rsidRDefault="00B17774" w:rsidP="00814A2D">
            <w:pPr>
              <w:pStyle w:val="tableheaderwithintable"/>
              <w:rPr>
                <w:lang w:val="en-US" w:eastAsia="en-US"/>
              </w:rPr>
            </w:pPr>
            <w:r w:rsidRPr="004666B8">
              <w:rPr>
                <w:lang w:val="en-US" w:eastAsia="en-US"/>
              </w:rPr>
              <w:t>Current law</w:t>
            </w:r>
          </w:p>
        </w:tc>
      </w:tr>
      <w:tr w:rsidR="00B17774" w:rsidRPr="004666B8" w14:paraId="39CE9AEE" w14:textId="77777777" w:rsidTr="00814A2D">
        <w:tc>
          <w:tcPr>
            <w:tcW w:w="3275" w:type="dxa"/>
          </w:tcPr>
          <w:p w14:paraId="5FBBD532" w14:textId="0363C542" w:rsidR="00FB49C0" w:rsidRPr="004666B8" w:rsidRDefault="00FB49C0" w:rsidP="00D55A78">
            <w:pPr>
              <w:pStyle w:val="tabletext"/>
              <w:rPr>
                <w:lang w:val="en-US" w:eastAsia="en-US"/>
              </w:rPr>
            </w:pPr>
            <w:r>
              <w:rPr>
                <w:lang w:val="en-US" w:eastAsia="en-US"/>
              </w:rPr>
              <w:t xml:space="preserve">Entities that provide </w:t>
            </w:r>
            <w:r w:rsidR="00FB30BF">
              <w:rPr>
                <w:lang w:val="en-US" w:eastAsia="en-US"/>
              </w:rPr>
              <w:t>‘</w:t>
            </w:r>
            <w:r>
              <w:rPr>
                <w:lang w:val="en-US" w:eastAsia="en-US"/>
              </w:rPr>
              <w:t>road freight</w:t>
            </w:r>
            <w:r w:rsidR="00FB30BF">
              <w:rPr>
                <w:lang w:val="en-US" w:eastAsia="en-US"/>
              </w:rPr>
              <w:t>’</w:t>
            </w:r>
            <w:r>
              <w:rPr>
                <w:lang w:val="en-US" w:eastAsia="en-US"/>
              </w:rPr>
              <w:t xml:space="preserve">, </w:t>
            </w:r>
            <w:r w:rsidR="00FB30BF">
              <w:rPr>
                <w:lang w:val="en-US" w:eastAsia="en-US"/>
              </w:rPr>
              <w:t>‘</w:t>
            </w:r>
            <w:r>
              <w:rPr>
                <w:lang w:val="en-US" w:eastAsia="en-US"/>
              </w:rPr>
              <w:t>IT</w:t>
            </w:r>
            <w:r w:rsidR="00FB30BF">
              <w:rPr>
                <w:lang w:val="en-US" w:eastAsia="en-US"/>
              </w:rPr>
              <w:t>’</w:t>
            </w:r>
            <w:r w:rsidR="00075AC0">
              <w:rPr>
                <w:lang w:val="en-US" w:eastAsia="en-US"/>
              </w:rPr>
              <w:t xml:space="preserve">, </w:t>
            </w:r>
            <w:r w:rsidR="00FB30BF">
              <w:rPr>
                <w:lang w:val="en-US" w:eastAsia="en-US"/>
              </w:rPr>
              <w:t>‘</w:t>
            </w:r>
            <w:r>
              <w:rPr>
                <w:lang w:val="en-US" w:eastAsia="en-US"/>
              </w:rPr>
              <w:t>security</w:t>
            </w:r>
            <w:r w:rsidR="00F85409">
              <w:rPr>
                <w:lang w:val="en-US" w:eastAsia="en-US"/>
              </w:rPr>
              <w:t>, investigation or surveillance</w:t>
            </w:r>
            <w:r w:rsidR="00FB30BF">
              <w:rPr>
                <w:lang w:val="en-US" w:eastAsia="en-US"/>
              </w:rPr>
              <w:t>’</w:t>
            </w:r>
            <w:r>
              <w:rPr>
                <w:lang w:val="en-US" w:eastAsia="en-US"/>
              </w:rPr>
              <w:t xml:space="preserve"> service</w:t>
            </w:r>
            <w:r w:rsidR="009D6002">
              <w:rPr>
                <w:lang w:val="en-US" w:eastAsia="en-US"/>
              </w:rPr>
              <w:t>s</w:t>
            </w:r>
            <w:r>
              <w:rPr>
                <w:lang w:val="en-US" w:eastAsia="en-US"/>
              </w:rPr>
              <w:t xml:space="preserve"> are required to report to the ATO details of transactions that involve engaging other entities to undertake those services for them.</w:t>
            </w:r>
          </w:p>
        </w:tc>
        <w:tc>
          <w:tcPr>
            <w:tcW w:w="3276" w:type="dxa"/>
          </w:tcPr>
          <w:p w14:paraId="43EEC37E" w14:textId="77777777" w:rsidR="00B17774" w:rsidRPr="004666B8" w:rsidRDefault="00876AAD" w:rsidP="00814A2D">
            <w:pPr>
              <w:pStyle w:val="tabletext"/>
              <w:rPr>
                <w:lang w:val="en-US" w:eastAsia="en-US"/>
              </w:rPr>
            </w:pPr>
            <w:r>
              <w:rPr>
                <w:lang w:val="en-US" w:eastAsia="en-US"/>
              </w:rPr>
              <w:t>No equivalent.</w:t>
            </w:r>
          </w:p>
        </w:tc>
      </w:tr>
    </w:tbl>
    <w:p w14:paraId="461A745A" w14:textId="77777777" w:rsidR="00B17774" w:rsidRDefault="00B17774" w:rsidP="00B17774">
      <w:pPr>
        <w:pStyle w:val="Heading2"/>
      </w:pPr>
      <w:r>
        <w:t>Detailed explanation of new law</w:t>
      </w:r>
    </w:p>
    <w:p w14:paraId="7FEE7D01" w14:textId="77777777" w:rsidR="00D60F7A" w:rsidRPr="00D60F7A" w:rsidRDefault="00D60F7A" w:rsidP="00D60F7A">
      <w:pPr>
        <w:pStyle w:val="base-text-paragraph"/>
        <w:numPr>
          <w:ilvl w:val="0"/>
          <w:numId w:val="0"/>
        </w:numPr>
        <w:ind w:left="1134"/>
        <w:rPr>
          <w:i/>
        </w:rPr>
      </w:pPr>
      <w:r>
        <w:rPr>
          <w:i/>
        </w:rPr>
        <w:t>Entity required to report</w:t>
      </w:r>
    </w:p>
    <w:p w14:paraId="7B3E872C" w14:textId="3D2188FE" w:rsidR="00B17774" w:rsidRDefault="00D60F7A" w:rsidP="00B17774">
      <w:pPr>
        <w:pStyle w:val="base-text-paragraph"/>
        <w:numPr>
          <w:ilvl w:val="1"/>
          <w:numId w:val="7"/>
        </w:numPr>
      </w:pPr>
      <w:r>
        <w:t>The amendments require entities that have an ABN and make suppl</w:t>
      </w:r>
      <w:r w:rsidR="007757F0">
        <w:t>ies</w:t>
      </w:r>
      <w:r>
        <w:t xml:space="preserve"> of </w:t>
      </w:r>
      <w:r w:rsidR="00FB30BF">
        <w:t>‘</w:t>
      </w:r>
      <w:r>
        <w:t>road freight</w:t>
      </w:r>
      <w:r w:rsidR="00FB30BF">
        <w:t>’</w:t>
      </w:r>
      <w:r>
        <w:t xml:space="preserve">, </w:t>
      </w:r>
      <w:r w:rsidR="00FB30BF">
        <w:t>‘</w:t>
      </w:r>
      <w:r>
        <w:t>IT</w:t>
      </w:r>
      <w:r w:rsidR="00FB30BF">
        <w:t>’</w:t>
      </w:r>
      <w:r w:rsidR="00A93060">
        <w:t xml:space="preserve"> or</w:t>
      </w:r>
      <w:r w:rsidR="00D55A78">
        <w:t xml:space="preserve"> </w:t>
      </w:r>
      <w:r w:rsidR="00FB30BF">
        <w:t>‘</w:t>
      </w:r>
      <w:r w:rsidR="00F85409">
        <w:rPr>
          <w:lang w:val="en-US" w:eastAsia="en-US"/>
        </w:rPr>
        <w:t>security, investigation or surveillance</w:t>
      </w:r>
      <w:r w:rsidR="00FB30BF">
        <w:rPr>
          <w:lang w:val="en-US" w:eastAsia="en-US"/>
        </w:rPr>
        <w:t>’</w:t>
      </w:r>
      <w:r w:rsidR="00F85409">
        <w:rPr>
          <w:lang w:val="en-US" w:eastAsia="en-US"/>
        </w:rPr>
        <w:t xml:space="preserve"> </w:t>
      </w:r>
      <w:r>
        <w:t>service</w:t>
      </w:r>
      <w:r w:rsidR="007757F0">
        <w:t>s</w:t>
      </w:r>
      <w:r>
        <w:t xml:space="preserve"> to report information to the Commissioner</w:t>
      </w:r>
      <w:r w:rsidR="007757F0">
        <w:t xml:space="preserve"> about </w:t>
      </w:r>
      <w:r w:rsidR="004C6A96">
        <w:t>transactions with</w:t>
      </w:r>
      <w:r w:rsidR="007757F0">
        <w:t xml:space="preserve"> contractors providing such services </w:t>
      </w:r>
      <w:r w:rsidR="00A93060">
        <w:t>on behalf of these</w:t>
      </w:r>
      <w:r w:rsidR="007757F0">
        <w:t xml:space="preserve"> entities</w:t>
      </w:r>
      <w:r>
        <w:t xml:space="preserve">. </w:t>
      </w:r>
      <w:r w:rsidR="005226AA">
        <w:rPr>
          <w:rStyle w:val="Referencingstyle"/>
        </w:rPr>
        <w:t>[Schedule #, i</w:t>
      </w:r>
      <w:r w:rsidR="005226AA" w:rsidRPr="00375F1D">
        <w:rPr>
          <w:rStyle w:val="Referencingstyle"/>
        </w:rPr>
        <w:t xml:space="preserve">tem </w:t>
      </w:r>
      <w:r w:rsidR="005226AA">
        <w:rPr>
          <w:rStyle w:val="Referencingstyle"/>
        </w:rPr>
        <w:t>1</w:t>
      </w:r>
      <w:r w:rsidR="005226AA" w:rsidRPr="00375F1D">
        <w:rPr>
          <w:rStyle w:val="Referencingstyle"/>
        </w:rPr>
        <w:t xml:space="preserve">, </w:t>
      </w:r>
      <w:r w:rsidR="005226AA">
        <w:rPr>
          <w:rStyle w:val="Referencingstyle"/>
        </w:rPr>
        <w:t>table items 12, 13 and 14 of section 396-55 to Schedule 1 to the TAA 1953</w:t>
      </w:r>
      <w:r w:rsidR="005226AA" w:rsidRPr="00375F1D">
        <w:rPr>
          <w:rStyle w:val="Referencingstyle"/>
        </w:rPr>
        <w:t>]</w:t>
      </w:r>
    </w:p>
    <w:p w14:paraId="28D48DE9" w14:textId="77777777" w:rsidR="00D60F7A" w:rsidRPr="00D60F7A" w:rsidRDefault="00D60F7A" w:rsidP="00D60F7A">
      <w:pPr>
        <w:pStyle w:val="base-text-paragraph"/>
        <w:numPr>
          <w:ilvl w:val="0"/>
          <w:numId w:val="0"/>
        </w:numPr>
        <w:ind w:left="1134"/>
        <w:rPr>
          <w:i/>
        </w:rPr>
      </w:pPr>
      <w:r>
        <w:rPr>
          <w:i/>
        </w:rPr>
        <w:t>Transactions that are required to be reported</w:t>
      </w:r>
    </w:p>
    <w:p w14:paraId="0AE1E41C" w14:textId="6DD74E49" w:rsidR="004C6A96" w:rsidRDefault="00D60F7A" w:rsidP="00B17774">
      <w:pPr>
        <w:pStyle w:val="base-text-paragraph"/>
        <w:numPr>
          <w:ilvl w:val="1"/>
          <w:numId w:val="7"/>
        </w:numPr>
      </w:pPr>
      <w:r>
        <w:t xml:space="preserve">An entity providing a </w:t>
      </w:r>
      <w:r w:rsidR="00FB30BF">
        <w:t>‘</w:t>
      </w:r>
      <w:r>
        <w:t>road freight</w:t>
      </w:r>
      <w:r w:rsidR="00FB30BF">
        <w:t>’</w:t>
      </w:r>
      <w:r>
        <w:t xml:space="preserve">, </w:t>
      </w:r>
      <w:r w:rsidR="00FB30BF">
        <w:t>‘</w:t>
      </w:r>
      <w:r>
        <w:t>IT</w:t>
      </w:r>
      <w:r w:rsidR="00FB30BF">
        <w:t>’</w:t>
      </w:r>
      <w:r w:rsidR="00F45B5A">
        <w:t xml:space="preserve"> or</w:t>
      </w:r>
      <w:r w:rsidR="00075AC0">
        <w:t xml:space="preserve"> </w:t>
      </w:r>
      <w:r w:rsidR="00FB30BF">
        <w:t>‘</w:t>
      </w:r>
      <w:r w:rsidR="00F85409">
        <w:rPr>
          <w:lang w:val="en-US" w:eastAsia="en-US"/>
        </w:rPr>
        <w:t>security, investigation or surveillance</w:t>
      </w:r>
      <w:r w:rsidR="00FB30BF">
        <w:rPr>
          <w:lang w:val="en-US" w:eastAsia="en-US"/>
        </w:rPr>
        <w:t>’</w:t>
      </w:r>
      <w:r w:rsidR="00F85409">
        <w:rPr>
          <w:lang w:val="en-US" w:eastAsia="en-US"/>
        </w:rPr>
        <w:t xml:space="preserve"> </w:t>
      </w:r>
      <w:r>
        <w:t xml:space="preserve">service is required to report information to the Commissioner about transactions where the entity has provided </w:t>
      </w:r>
      <w:r>
        <w:lastRenderedPageBreak/>
        <w:t xml:space="preserve">consideration (within the meaning of the GST Act) to another entity wholly or partly </w:t>
      </w:r>
      <w:r w:rsidR="00152A90">
        <w:t>to provide that service on its behalf</w:t>
      </w:r>
      <w:r>
        <w:t xml:space="preserve">. </w:t>
      </w:r>
    </w:p>
    <w:p w14:paraId="7D54DEE9" w14:textId="7178CD99" w:rsidR="00D60F7A" w:rsidRDefault="00D60F7A" w:rsidP="00B17774">
      <w:pPr>
        <w:pStyle w:val="base-text-paragraph"/>
        <w:numPr>
          <w:ilvl w:val="1"/>
          <w:numId w:val="7"/>
        </w:numPr>
      </w:pPr>
      <w:r>
        <w:t xml:space="preserve">Consideration </w:t>
      </w:r>
      <w:r w:rsidR="004C6A96">
        <w:t>(as defined in section 9-15 of the GST Act)</w:t>
      </w:r>
      <w:r>
        <w:t xml:space="preserve"> includes any payment, or any act of forbearance, in connection with a supply of anything and any payment, or any act or forbearance, in response to or for the inducement of a supply of anything. Usually consideration will be a monetary payment, but it </w:t>
      </w:r>
      <w:r w:rsidR="004C6A96">
        <w:t xml:space="preserve">can </w:t>
      </w:r>
      <w:r>
        <w:t>also include other forms of non-cash benefits and constructive payments.</w:t>
      </w:r>
      <w:r w:rsidR="005226AA" w:rsidRPr="005226AA">
        <w:rPr>
          <w:rStyle w:val="Referencingstyle"/>
        </w:rPr>
        <w:t xml:space="preserve"> </w:t>
      </w:r>
      <w:r w:rsidR="005226AA">
        <w:rPr>
          <w:rStyle w:val="Referencingstyle"/>
        </w:rPr>
        <w:t>[Schedule #, i</w:t>
      </w:r>
      <w:r w:rsidR="005226AA" w:rsidRPr="00375F1D">
        <w:rPr>
          <w:rStyle w:val="Referencingstyle"/>
        </w:rPr>
        <w:t xml:space="preserve">tem </w:t>
      </w:r>
      <w:r w:rsidR="005226AA">
        <w:rPr>
          <w:rStyle w:val="Referencingstyle"/>
        </w:rPr>
        <w:t>1</w:t>
      </w:r>
      <w:r w:rsidR="005226AA" w:rsidRPr="00375F1D">
        <w:rPr>
          <w:rStyle w:val="Referencingstyle"/>
        </w:rPr>
        <w:t xml:space="preserve">, </w:t>
      </w:r>
      <w:r w:rsidR="005226AA">
        <w:rPr>
          <w:rStyle w:val="Referencingstyle"/>
        </w:rPr>
        <w:t>table items 12, 13 and 14 of section 396-55 to Schedule 1 to the TAA 1953</w:t>
      </w:r>
      <w:r w:rsidR="005226AA" w:rsidRPr="00375F1D">
        <w:rPr>
          <w:rStyle w:val="Referencingstyle"/>
        </w:rPr>
        <w:t>]</w:t>
      </w:r>
    </w:p>
    <w:p w14:paraId="3BF8847C" w14:textId="77777777" w:rsidR="00D60F7A" w:rsidRDefault="00D60F7A" w:rsidP="00B17774">
      <w:pPr>
        <w:pStyle w:val="base-text-paragraph"/>
        <w:numPr>
          <w:ilvl w:val="1"/>
          <w:numId w:val="7"/>
        </w:numPr>
      </w:pPr>
      <w:r>
        <w:t>Entities are required to report information in the approved form to the Commissioner either annually, or at such other times as the Commissioner determines by legislative instrument.</w:t>
      </w:r>
    </w:p>
    <w:p w14:paraId="47FF5BD8" w14:textId="5AB3EBC2" w:rsidR="00870C84" w:rsidRPr="00943087" w:rsidRDefault="00870C84" w:rsidP="00870C84">
      <w:pPr>
        <w:pStyle w:val="base-text-paragraph"/>
        <w:rPr>
          <w:i/>
        </w:rPr>
      </w:pPr>
      <w:r>
        <w:t xml:space="preserve">The general rules that apply to information that must be reported under Division 396 apply to </w:t>
      </w:r>
      <w:r w:rsidR="008A3010">
        <w:t xml:space="preserve">this regime. This </w:t>
      </w:r>
      <w:r w:rsidR="004C6A96">
        <w:t>means that if</w:t>
      </w:r>
      <w:r>
        <w:t xml:space="preserve"> an entity has given the Commissioner a report that they have become aware </w:t>
      </w:r>
      <w:r w:rsidR="004C6A96">
        <w:t xml:space="preserve">contains </w:t>
      </w:r>
      <w:r>
        <w:t xml:space="preserve">a material error, they must give the Commissioner an updated report within 28 days of becoming aware of the error. Similarly, </w:t>
      </w:r>
      <w:r w:rsidR="004C6A96">
        <w:t xml:space="preserve">if </w:t>
      </w:r>
      <w:r>
        <w:t xml:space="preserve">an entity has failed to give a report, or a corrected report, to the Commissioner by the time required, an administrative penalty </w:t>
      </w:r>
      <w:r w:rsidR="004C6A96">
        <w:t>applies</w:t>
      </w:r>
      <w:r>
        <w:t xml:space="preserve"> (see subsection 286</w:t>
      </w:r>
      <w:r>
        <w:noBreakHyphen/>
        <w:t xml:space="preserve">75(1)). An administrative penalty also </w:t>
      </w:r>
      <w:r w:rsidR="004C6A96">
        <w:t>applies</w:t>
      </w:r>
      <w:r>
        <w:t xml:space="preserve"> if </w:t>
      </w:r>
      <w:r w:rsidR="004C6A96">
        <w:t xml:space="preserve">a </w:t>
      </w:r>
      <w:r>
        <w:t>report includes</w:t>
      </w:r>
      <w:r w:rsidRPr="00ED6A5E">
        <w:t xml:space="preserve"> any false or misleading statements (see subsection 284</w:t>
      </w:r>
      <w:r w:rsidRPr="00ED6A5E">
        <w:noBreakHyphen/>
        <w:t>75(1)).</w:t>
      </w:r>
    </w:p>
    <w:p w14:paraId="2A733C4C" w14:textId="1915BE61" w:rsidR="00D60F7A" w:rsidRPr="00870C84" w:rsidRDefault="00870C84" w:rsidP="00B17774">
      <w:pPr>
        <w:pStyle w:val="base-text-paragraph"/>
        <w:numPr>
          <w:ilvl w:val="1"/>
          <w:numId w:val="7"/>
        </w:numPr>
      </w:pPr>
      <w:r>
        <w:t xml:space="preserve">Entities are not required to report in relation to transactions </w:t>
      </w:r>
      <w:r w:rsidR="004C6A96">
        <w:t xml:space="preserve">if </w:t>
      </w:r>
      <w:r>
        <w:t xml:space="preserve">they and the entities providing </w:t>
      </w:r>
      <w:r w:rsidR="00FB30BF">
        <w:t>‘</w:t>
      </w:r>
      <w:r>
        <w:t>road freight</w:t>
      </w:r>
      <w:r w:rsidR="00FB30BF">
        <w:t>’</w:t>
      </w:r>
      <w:r>
        <w:t>,</w:t>
      </w:r>
      <w:r w:rsidR="00F85409">
        <w:t xml:space="preserve"> </w:t>
      </w:r>
      <w:r w:rsidR="00FB30BF">
        <w:t>‘</w:t>
      </w:r>
      <w:r w:rsidR="00F85409">
        <w:t>IT</w:t>
      </w:r>
      <w:r w:rsidR="00FB30BF">
        <w:t>’</w:t>
      </w:r>
      <w:r w:rsidR="00F85409">
        <w:t xml:space="preserve"> or</w:t>
      </w:r>
      <w:r>
        <w:t xml:space="preserve"> </w:t>
      </w:r>
      <w:r w:rsidR="00FB30BF">
        <w:t>‘</w:t>
      </w:r>
      <w:r w:rsidR="00F85409">
        <w:rPr>
          <w:lang w:val="en-US" w:eastAsia="en-US"/>
        </w:rPr>
        <w:t>security, investigation or surveillance</w:t>
      </w:r>
      <w:r w:rsidR="00FB30BF">
        <w:rPr>
          <w:lang w:val="en-US" w:eastAsia="en-US"/>
        </w:rPr>
        <w:t>’</w:t>
      </w:r>
      <w:r>
        <w:t xml:space="preserve"> services are members of the same consolidated group or Multiple Entry Consolidated group. Entities are also not required to report</w:t>
      </w:r>
      <w:r w:rsidR="000471FB">
        <w:t xml:space="preserve"> any</w:t>
      </w:r>
      <w:r>
        <w:t xml:space="preserve"> payments </w:t>
      </w:r>
      <w:r w:rsidR="004C6A96">
        <w:t>to which</w:t>
      </w:r>
      <w:r>
        <w:t xml:space="preserve"> </w:t>
      </w:r>
      <w:r w:rsidR="000471FB">
        <w:t>Division </w:t>
      </w:r>
      <w:r>
        <w:t xml:space="preserve">12 of </w:t>
      </w:r>
      <w:r w:rsidR="004C6A96">
        <w:t>Schedule </w:t>
      </w:r>
      <w:r>
        <w:t xml:space="preserve">1 </w:t>
      </w:r>
      <w:r w:rsidR="004C6A96">
        <w:t xml:space="preserve">to </w:t>
      </w:r>
      <w:r>
        <w:t xml:space="preserve">the TAA 1953 (PAYG withholding payments) </w:t>
      </w:r>
      <w:r w:rsidR="004C6A96">
        <w:t xml:space="preserve">applies </w:t>
      </w:r>
      <w:r>
        <w:t xml:space="preserve">as those payments are subject to their own </w:t>
      </w:r>
      <w:r w:rsidR="00D55A78">
        <w:t xml:space="preserve">withholding and </w:t>
      </w:r>
      <w:r>
        <w:t xml:space="preserve">reporting regime. </w:t>
      </w:r>
      <w:r w:rsidR="005226AA">
        <w:rPr>
          <w:rStyle w:val="Referencingstyle"/>
        </w:rPr>
        <w:t>[Schedule #, i</w:t>
      </w:r>
      <w:r w:rsidR="005226AA" w:rsidRPr="00375F1D">
        <w:rPr>
          <w:rStyle w:val="Referencingstyle"/>
        </w:rPr>
        <w:t xml:space="preserve">tem </w:t>
      </w:r>
      <w:r w:rsidR="005226AA">
        <w:rPr>
          <w:rStyle w:val="Referencingstyle"/>
        </w:rPr>
        <w:t>1</w:t>
      </w:r>
      <w:r w:rsidR="005226AA" w:rsidRPr="00375F1D">
        <w:rPr>
          <w:rStyle w:val="Referencingstyle"/>
        </w:rPr>
        <w:t xml:space="preserve">, </w:t>
      </w:r>
      <w:r w:rsidR="005226AA">
        <w:rPr>
          <w:rStyle w:val="Referencingstyle"/>
        </w:rPr>
        <w:t>table items 12, 13 and 14 of section 396-55 to Schedule 1 to the TAA 1953</w:t>
      </w:r>
      <w:r w:rsidR="005226AA" w:rsidRPr="00375F1D">
        <w:rPr>
          <w:rStyle w:val="Referencingstyle"/>
        </w:rPr>
        <w:t>]</w:t>
      </w:r>
    </w:p>
    <w:p w14:paraId="21DCE662" w14:textId="77777777" w:rsidR="00870C84" w:rsidRDefault="00870C84" w:rsidP="00870C84">
      <w:pPr>
        <w:pStyle w:val="base-text-paragraph"/>
      </w:pPr>
      <w:r>
        <w:t>This is consistent with the exceptions that apply to transactions that are required to be reported by the building and construction</w:t>
      </w:r>
      <w:r w:rsidR="00876AAD">
        <w:t>, courier</w:t>
      </w:r>
      <w:r>
        <w:t xml:space="preserve"> and cleaning industries.</w:t>
      </w:r>
    </w:p>
    <w:p w14:paraId="327F0EFA" w14:textId="7C9104C2" w:rsidR="00870C84" w:rsidRDefault="00870C84" w:rsidP="00870C84">
      <w:pPr>
        <w:pStyle w:val="base-text-paragraph"/>
      </w:pPr>
      <w:r>
        <w:t xml:space="preserve">In addition, </w:t>
      </w:r>
      <w:r w:rsidR="00BB0299">
        <w:t xml:space="preserve">under the existing law, </w:t>
      </w:r>
      <w:r>
        <w:t xml:space="preserve">a government related entity (within the meaning of the GST Act) may be required to report information about when they provide consideration to an entity for a supply of </w:t>
      </w:r>
      <w:r w:rsidR="00BB0299">
        <w:t xml:space="preserve">relevant </w:t>
      </w:r>
      <w:r>
        <w:t>services</w:t>
      </w:r>
      <w:r w:rsidR="00BB0299">
        <w:t xml:space="preserve">. </w:t>
      </w:r>
      <w:r w:rsidR="00152A90">
        <w:t>T</w:t>
      </w:r>
      <w:r w:rsidR="00766097">
        <w:t>his</w:t>
      </w:r>
      <w:r>
        <w:t xml:space="preserve"> includ</w:t>
      </w:r>
      <w:r w:rsidR="001F6D48">
        <w:t>e</w:t>
      </w:r>
      <w:r w:rsidR="00766097">
        <w:t>s</w:t>
      </w:r>
      <w:r>
        <w:t xml:space="preserve"> a </w:t>
      </w:r>
      <w:r w:rsidR="00FB30BF">
        <w:t>‘</w:t>
      </w:r>
      <w:r>
        <w:t>road freight</w:t>
      </w:r>
      <w:r w:rsidR="00FB30BF">
        <w:t>’</w:t>
      </w:r>
      <w:r>
        <w:t xml:space="preserve">, </w:t>
      </w:r>
      <w:r w:rsidR="00FB30BF">
        <w:t>‘</w:t>
      </w:r>
      <w:r>
        <w:t>IT</w:t>
      </w:r>
      <w:r w:rsidR="00FB30BF">
        <w:t>’</w:t>
      </w:r>
      <w:r>
        <w:t xml:space="preserve"> or </w:t>
      </w:r>
      <w:r w:rsidR="00FB30BF">
        <w:t>‘</w:t>
      </w:r>
      <w:r w:rsidR="00F85409">
        <w:rPr>
          <w:lang w:val="en-US" w:eastAsia="en-US"/>
        </w:rPr>
        <w:t>security, investigation or surveillance</w:t>
      </w:r>
      <w:r w:rsidR="00FB30BF">
        <w:rPr>
          <w:lang w:val="en-US" w:eastAsia="en-US"/>
        </w:rPr>
        <w:t>’</w:t>
      </w:r>
      <w:r>
        <w:t xml:space="preserve"> service (</w:t>
      </w:r>
      <w:r w:rsidR="00BB0299">
        <w:t>section </w:t>
      </w:r>
      <w:r w:rsidR="008A3010">
        <w:t>396</w:t>
      </w:r>
      <w:r w:rsidR="008A3010">
        <w:noBreakHyphen/>
      </w:r>
      <w:r>
        <w:t>55, table item 2).</w:t>
      </w:r>
    </w:p>
    <w:p w14:paraId="4F6E4A56" w14:textId="01249278" w:rsidR="00613D1E" w:rsidRPr="00613D1E" w:rsidRDefault="00613D1E" w:rsidP="00613D1E">
      <w:pPr>
        <w:pStyle w:val="base-text-paragraph"/>
        <w:numPr>
          <w:ilvl w:val="0"/>
          <w:numId w:val="0"/>
        </w:numPr>
        <w:ind w:left="1134"/>
        <w:rPr>
          <w:i/>
        </w:rPr>
      </w:pPr>
      <w:r>
        <w:rPr>
          <w:i/>
        </w:rPr>
        <w:t xml:space="preserve">Definition of road freight, IT or </w:t>
      </w:r>
      <w:r w:rsidR="00F85409" w:rsidRPr="00F85409">
        <w:rPr>
          <w:i/>
          <w:lang w:val="en-US" w:eastAsia="en-US"/>
        </w:rPr>
        <w:t>security, investigation or surveillance</w:t>
      </w:r>
      <w:r w:rsidRPr="00F85409">
        <w:rPr>
          <w:i/>
        </w:rPr>
        <w:t xml:space="preserve"> service</w:t>
      </w:r>
    </w:p>
    <w:p w14:paraId="5526A3F3" w14:textId="77777777" w:rsidR="00870C84" w:rsidRDefault="00613D1E" w:rsidP="00B17774">
      <w:pPr>
        <w:pStyle w:val="base-text-paragraph"/>
        <w:numPr>
          <w:ilvl w:val="1"/>
          <w:numId w:val="7"/>
        </w:numPr>
      </w:pPr>
      <w:r>
        <w:t>The terms ‘road freight’, ‘IT’ and</w:t>
      </w:r>
      <w:r w:rsidR="00472E50">
        <w:t xml:space="preserve"> ‘security, investigation or surveillance’ are not defined and are intended to take their ordinary meaning.</w:t>
      </w:r>
    </w:p>
    <w:p w14:paraId="0252DCCF" w14:textId="69134B96" w:rsidR="001F6D48" w:rsidRDefault="001F6D48" w:rsidP="002F5901">
      <w:pPr>
        <w:pStyle w:val="Heading6"/>
      </w:pPr>
      <w:r>
        <w:lastRenderedPageBreak/>
        <w:t>Road freight</w:t>
      </w:r>
    </w:p>
    <w:p w14:paraId="68214F97" w14:textId="5BED380D" w:rsidR="00B37B78" w:rsidRDefault="00B37B78" w:rsidP="00B17774">
      <w:pPr>
        <w:pStyle w:val="base-text-paragraph"/>
        <w:numPr>
          <w:ilvl w:val="1"/>
          <w:numId w:val="7"/>
        </w:numPr>
      </w:pPr>
      <w:r>
        <w:t xml:space="preserve">A ‘road freight’ service has been added to </w:t>
      </w:r>
      <w:r w:rsidR="00227A6D">
        <w:t xml:space="preserve">the third party reporting </w:t>
      </w:r>
      <w:r>
        <w:t>table item that covers courier services. This ensures that there is a single reporting obligation for entities that make a supply of a courier service or a road freight service. If an entity suppl</w:t>
      </w:r>
      <w:r w:rsidR="00174BF4">
        <w:t>ies</w:t>
      </w:r>
      <w:r>
        <w:t xml:space="preserve"> either service, they are required to </w:t>
      </w:r>
      <w:r w:rsidR="00227A6D">
        <w:t>report to the Commissioner</w:t>
      </w:r>
      <w:r w:rsidR="008A3010">
        <w:t>, unless otherwise provided</w:t>
      </w:r>
      <w:r>
        <w:t>.</w:t>
      </w:r>
    </w:p>
    <w:p w14:paraId="3BDC2A1A" w14:textId="38F29718" w:rsidR="008A6F9B" w:rsidRDefault="008A6F9B" w:rsidP="00B17774">
      <w:pPr>
        <w:pStyle w:val="base-text-paragraph"/>
        <w:numPr>
          <w:ilvl w:val="1"/>
          <w:numId w:val="7"/>
        </w:numPr>
      </w:pPr>
      <w:r>
        <w:t xml:space="preserve">The use of the phrase </w:t>
      </w:r>
      <w:r w:rsidR="00472E50">
        <w:t>‘road freight’</w:t>
      </w:r>
      <w:r>
        <w:t xml:space="preserve"> in addition to ‘courier’ </w:t>
      </w:r>
      <w:r w:rsidR="00472E50">
        <w:t xml:space="preserve">is intended to </w:t>
      </w:r>
      <w:r>
        <w:t xml:space="preserve">ensure that </w:t>
      </w:r>
      <w:r w:rsidR="00472E50">
        <w:t>any service where goods are transported over road</w:t>
      </w:r>
      <w:r>
        <w:t xml:space="preserve"> is covered by the reporting obligation</w:t>
      </w:r>
      <w:r w:rsidR="00766097">
        <w:t xml:space="preserve">. </w:t>
      </w:r>
      <w:r>
        <w:t>The use of the phrase ‘road freight’ refers to the transport of goods by freight over road, which is not included in the meaning of a ‘courier’ service. Typically, goods will be sent by road freight where the goods are transport</w:t>
      </w:r>
      <w:r w:rsidR="00ED6A5E">
        <w:t>ed in bulk using large vehicles.</w:t>
      </w:r>
      <w:r>
        <w:t xml:space="preserve"> </w:t>
      </w:r>
      <w:r w:rsidR="00ED6A5E">
        <w:t>This</w:t>
      </w:r>
      <w:r w:rsidR="00174BF4">
        <w:t xml:space="preserve"> </w:t>
      </w:r>
      <w:r>
        <w:t>includes services such as road freight transport, log haulage, road freight forwarding</w:t>
      </w:r>
      <w:r w:rsidR="00C84CCE">
        <w:t>, taxi trucks, furniture removal</w:t>
      </w:r>
      <w:r>
        <w:t xml:space="preserve"> and road vehicle towing. </w:t>
      </w:r>
    </w:p>
    <w:p w14:paraId="16055EC5" w14:textId="1AA5E3AB" w:rsidR="00227A6D" w:rsidRDefault="008A6F9B" w:rsidP="00B17774">
      <w:pPr>
        <w:pStyle w:val="base-text-paragraph"/>
        <w:numPr>
          <w:ilvl w:val="1"/>
          <w:numId w:val="7"/>
        </w:numPr>
      </w:pPr>
      <w:r>
        <w:t xml:space="preserve">The use of the word road in relation to freight </w:t>
      </w:r>
      <w:r w:rsidR="00174BF4">
        <w:t>limits the requirement to</w:t>
      </w:r>
      <w:r>
        <w:t xml:space="preserve"> only th</w:t>
      </w:r>
      <w:r w:rsidR="00174BF4">
        <w:t>ose</w:t>
      </w:r>
      <w:r>
        <w:t xml:space="preserve"> </w:t>
      </w:r>
      <w:r w:rsidR="00174BF4">
        <w:t xml:space="preserve">freight </w:t>
      </w:r>
      <w:r>
        <w:t xml:space="preserve">services that relate to road transport, and </w:t>
      </w:r>
      <w:r w:rsidR="00174BF4">
        <w:t xml:space="preserve">excludes </w:t>
      </w:r>
      <w:r>
        <w:t xml:space="preserve">other modes of freight transportation, such as by boat or </w:t>
      </w:r>
      <w:r w:rsidR="00983099">
        <w:t>aero</w:t>
      </w:r>
      <w:r>
        <w:t>plane.</w:t>
      </w:r>
      <w:r w:rsidR="008A3010">
        <w:t xml:space="preserve"> However, this qualification is not intended to apply to courier services, which may involve the transportation of goods other t</w:t>
      </w:r>
      <w:r w:rsidR="008E1AD2">
        <w:t>han on road, such as by bike or train.</w:t>
      </w:r>
    </w:p>
    <w:p w14:paraId="3D694130" w14:textId="4A417707" w:rsidR="001F6D48" w:rsidRDefault="001F6D48" w:rsidP="002F5901">
      <w:pPr>
        <w:pStyle w:val="Heading6"/>
      </w:pPr>
      <w:r>
        <w:t>IT services</w:t>
      </w:r>
    </w:p>
    <w:p w14:paraId="3EFDA20E" w14:textId="57939EB5" w:rsidR="00983099" w:rsidRDefault="00CE0154" w:rsidP="00B17774">
      <w:pPr>
        <w:pStyle w:val="base-text-paragraph"/>
        <w:numPr>
          <w:ilvl w:val="1"/>
          <w:numId w:val="7"/>
        </w:numPr>
      </w:pPr>
      <w:r>
        <w:t xml:space="preserve">An ‘IT’ service </w:t>
      </w:r>
      <w:r w:rsidR="00983099">
        <w:t>refer</w:t>
      </w:r>
      <w:r w:rsidR="00174BF4">
        <w:t>s</w:t>
      </w:r>
      <w:r w:rsidR="00983099">
        <w:t xml:space="preserve"> to</w:t>
      </w:r>
      <w:r>
        <w:t xml:space="preserve"> services that </w:t>
      </w:r>
      <w:r w:rsidR="00AF7D6B">
        <w:t xml:space="preserve">are provided </w:t>
      </w:r>
      <w:r w:rsidR="00983099">
        <w:t>in relation</w:t>
      </w:r>
      <w:r>
        <w:t xml:space="preserve"> to computer hardware</w:t>
      </w:r>
      <w:r w:rsidR="001530A1">
        <w:t xml:space="preserve"> or</w:t>
      </w:r>
      <w:r>
        <w:t xml:space="preserve"> software</w:t>
      </w:r>
      <w:r w:rsidR="00983099">
        <w:t>,</w:t>
      </w:r>
      <w:r>
        <w:t xml:space="preserve"> or that are provided remotely through the </w:t>
      </w:r>
      <w:r w:rsidR="005D256D">
        <w:t>i</w:t>
      </w:r>
      <w:r>
        <w:t>nternet.</w:t>
      </w:r>
      <w:r w:rsidR="00983099">
        <w:t xml:space="preserve"> This includes services that</w:t>
      </w:r>
      <w:r w:rsidR="00B87863">
        <w:t xml:space="preserve"> support or</w:t>
      </w:r>
      <w:r w:rsidR="00983099">
        <w:t xml:space="preserve"> modify the operation of hardware or software.</w:t>
      </w:r>
    </w:p>
    <w:p w14:paraId="40218DB8" w14:textId="1BA7BC7F" w:rsidR="00152A90" w:rsidRDefault="00152A90" w:rsidP="00B17774">
      <w:pPr>
        <w:pStyle w:val="base-text-paragraph"/>
        <w:numPr>
          <w:ilvl w:val="1"/>
          <w:numId w:val="7"/>
        </w:numPr>
      </w:pPr>
      <w:r>
        <w:t>A</w:t>
      </w:r>
      <w:r w:rsidR="00CE0154">
        <w:t xml:space="preserve">n IT service </w:t>
      </w:r>
      <w:r w:rsidR="00943087">
        <w:t>does not include</w:t>
      </w:r>
      <w:r w:rsidR="00CE0154">
        <w:t xml:space="preserve"> the </w:t>
      </w:r>
      <w:r w:rsidR="00AF7D6B">
        <w:t>purchase</w:t>
      </w:r>
      <w:r w:rsidR="001F5639">
        <w:t xml:space="preserve"> </w:t>
      </w:r>
      <w:r w:rsidR="002F5901">
        <w:t xml:space="preserve">or lease </w:t>
      </w:r>
      <w:r w:rsidR="001530A1">
        <w:t xml:space="preserve">of </w:t>
      </w:r>
      <w:r>
        <w:t xml:space="preserve">hardware or </w:t>
      </w:r>
      <w:r w:rsidR="001530A1">
        <w:t>software</w:t>
      </w:r>
      <w:r w:rsidR="00CE0154">
        <w:t xml:space="preserve">. </w:t>
      </w:r>
      <w:r>
        <w:t>However, if the seller or lessor of the hardware or software modifies it for the purchaser or lessee, or develops specific software for them, then those services will be an IT service.</w:t>
      </w:r>
    </w:p>
    <w:p w14:paraId="2CF9AFE2" w14:textId="0CF719AC" w:rsidR="002F5901" w:rsidRDefault="002F5901" w:rsidP="00B17774">
      <w:pPr>
        <w:pStyle w:val="base-text-paragraph"/>
        <w:numPr>
          <w:ilvl w:val="1"/>
          <w:numId w:val="7"/>
        </w:numPr>
      </w:pPr>
      <w:r>
        <w:t>If computer software is used</w:t>
      </w:r>
      <w:r w:rsidR="00B87863">
        <w:t xml:space="preserve"> by the entity</w:t>
      </w:r>
      <w:r w:rsidR="00152A90">
        <w:t xml:space="preserve"> to provide a service other than an IT service</w:t>
      </w:r>
      <w:r w:rsidR="00B87863">
        <w:t xml:space="preserve">, the mere use of software in these circumstances </w:t>
      </w:r>
      <w:r w:rsidR="00F10A13">
        <w:t xml:space="preserve">does </w:t>
      </w:r>
      <w:r w:rsidR="00B87863">
        <w:t xml:space="preserve">not </w:t>
      </w:r>
      <w:r w:rsidR="00174BF4">
        <w:t>make the service</w:t>
      </w:r>
      <w:r w:rsidR="00B87863">
        <w:t xml:space="preserve"> an IT service.</w:t>
      </w:r>
      <w:r w:rsidR="00152A90">
        <w:t xml:space="preserve"> </w:t>
      </w:r>
      <w:r w:rsidR="00B87863">
        <w:t>F</w:t>
      </w:r>
      <w:r>
        <w:t>or</w:t>
      </w:r>
      <w:r w:rsidR="00152A90">
        <w:t xml:space="preserve"> example</w:t>
      </w:r>
      <w:r>
        <w:t xml:space="preserve"> </w:t>
      </w:r>
      <w:r w:rsidR="00B87863">
        <w:t xml:space="preserve">the use of software to provide an </w:t>
      </w:r>
      <w:r>
        <w:t xml:space="preserve">accounting, </w:t>
      </w:r>
      <w:r w:rsidR="00AD5427">
        <w:t>pr</w:t>
      </w:r>
      <w:r w:rsidR="00152A90">
        <w:t>oject</w:t>
      </w:r>
      <w:r>
        <w:t xml:space="preserve"> management, or word processing</w:t>
      </w:r>
      <w:r w:rsidR="00B87863">
        <w:t xml:space="preserve"> service is not an IT service.</w:t>
      </w:r>
      <w:r>
        <w:t xml:space="preserve"> </w:t>
      </w:r>
    </w:p>
    <w:p w14:paraId="662DA45D" w14:textId="222C4DAA" w:rsidR="00CE0154" w:rsidRDefault="001A6FC6" w:rsidP="00B17774">
      <w:pPr>
        <w:pStyle w:val="base-text-paragraph"/>
        <w:numPr>
          <w:ilvl w:val="1"/>
          <w:numId w:val="7"/>
        </w:numPr>
      </w:pPr>
      <w:r>
        <w:t>Some examples of IT service</w:t>
      </w:r>
      <w:r w:rsidR="008E1AD2">
        <w:t>s</w:t>
      </w:r>
      <w:r>
        <w:t xml:space="preserve"> performed in relation to a computer include:</w:t>
      </w:r>
    </w:p>
    <w:p w14:paraId="79C8A944" w14:textId="486561ED" w:rsidR="00152A90" w:rsidRDefault="00152A90" w:rsidP="002F5901">
      <w:pPr>
        <w:pStyle w:val="dotpoint"/>
      </w:pPr>
      <w:r>
        <w:t>technical support;</w:t>
      </w:r>
    </w:p>
    <w:p w14:paraId="00076B57" w14:textId="77777777" w:rsidR="001A6FC6" w:rsidRDefault="001A6FC6" w:rsidP="002F5901">
      <w:pPr>
        <w:pStyle w:val="dotpoint"/>
      </w:pPr>
      <w:r>
        <w:t>computer facilities management;</w:t>
      </w:r>
    </w:p>
    <w:p w14:paraId="37AD9D22" w14:textId="000DCDA2" w:rsidR="001A6FC6" w:rsidRDefault="005D256D" w:rsidP="002F5901">
      <w:pPr>
        <w:pStyle w:val="dotpoint"/>
      </w:pPr>
      <w:r>
        <w:t>i</w:t>
      </w:r>
      <w:r w:rsidR="001A6FC6">
        <w:t>nternet and web design consulting;</w:t>
      </w:r>
    </w:p>
    <w:p w14:paraId="1A71E17F" w14:textId="0019B37E" w:rsidR="001A6FC6" w:rsidRDefault="001A6FC6" w:rsidP="002F5901">
      <w:pPr>
        <w:pStyle w:val="dotpoint"/>
      </w:pPr>
      <w:r>
        <w:t>computer hardware consulting</w:t>
      </w:r>
      <w:r w:rsidR="004662C2">
        <w:t>;</w:t>
      </w:r>
    </w:p>
    <w:p w14:paraId="1DE47279" w14:textId="77777777" w:rsidR="001A6FC6" w:rsidRDefault="001A6FC6" w:rsidP="002F5901">
      <w:pPr>
        <w:pStyle w:val="dotpoint"/>
      </w:pPr>
      <w:r>
        <w:lastRenderedPageBreak/>
        <w:t>software development;</w:t>
      </w:r>
    </w:p>
    <w:p w14:paraId="60083B4F" w14:textId="77777777" w:rsidR="001A6FC6" w:rsidRDefault="001A6FC6" w:rsidP="002F5901">
      <w:pPr>
        <w:pStyle w:val="dotpoint"/>
      </w:pPr>
      <w:r>
        <w:t>computer network systems design and integration;</w:t>
      </w:r>
    </w:p>
    <w:p w14:paraId="36D83E1C" w14:textId="77777777" w:rsidR="001A6FC6" w:rsidRDefault="001A6FC6" w:rsidP="002F5901">
      <w:pPr>
        <w:pStyle w:val="dotpoint"/>
      </w:pPr>
      <w:r>
        <w:t>software installation;</w:t>
      </w:r>
    </w:p>
    <w:p w14:paraId="20D38E0B" w14:textId="77777777" w:rsidR="001A6FC6" w:rsidRDefault="001A6FC6" w:rsidP="002F5901">
      <w:pPr>
        <w:pStyle w:val="dotpoint"/>
      </w:pPr>
      <w:r>
        <w:t>computer programming;</w:t>
      </w:r>
    </w:p>
    <w:p w14:paraId="6EFCF59D" w14:textId="77777777" w:rsidR="001A6FC6" w:rsidRDefault="001A6FC6" w:rsidP="002F5901">
      <w:pPr>
        <w:pStyle w:val="dotpoint"/>
      </w:pPr>
      <w:r>
        <w:t>software simulation and testing;</w:t>
      </w:r>
    </w:p>
    <w:p w14:paraId="79677C05" w14:textId="0C10747B" w:rsidR="001A6FC6" w:rsidRDefault="001A6FC6" w:rsidP="002F5901">
      <w:pPr>
        <w:pStyle w:val="dotpoint"/>
      </w:pPr>
      <w:r>
        <w:t>computer software consulting;</w:t>
      </w:r>
      <w:r w:rsidR="00D55A78">
        <w:t xml:space="preserve"> and</w:t>
      </w:r>
    </w:p>
    <w:p w14:paraId="120DD2EA" w14:textId="77777777" w:rsidR="001A6FC6" w:rsidRDefault="001A6FC6" w:rsidP="002F5901">
      <w:pPr>
        <w:pStyle w:val="dotpoint"/>
      </w:pPr>
      <w:r>
        <w:t>systems analysis.</w:t>
      </w:r>
    </w:p>
    <w:p w14:paraId="63F47521" w14:textId="5CB5658F" w:rsidR="001F6D48" w:rsidRDefault="001F6D48" w:rsidP="002F5901">
      <w:pPr>
        <w:pStyle w:val="Heading6"/>
      </w:pPr>
      <w:r>
        <w:t>Security, investigation and surveillance services</w:t>
      </w:r>
    </w:p>
    <w:p w14:paraId="376121AB" w14:textId="228012AE" w:rsidR="00C818AB" w:rsidRDefault="00C818AB" w:rsidP="00B17774">
      <w:pPr>
        <w:pStyle w:val="base-text-paragraph"/>
        <w:numPr>
          <w:ilvl w:val="1"/>
          <w:numId w:val="7"/>
        </w:numPr>
      </w:pPr>
      <w:r>
        <w:t xml:space="preserve">Security refers to protection from, or measures taken against, injury, damage, espionage, theft, infiltration, sabotage or the like. The use of this term is intended to include services such as locksmithing, </w:t>
      </w:r>
      <w:r w:rsidR="00141580">
        <w:t xml:space="preserve">burglary protection, </w:t>
      </w:r>
      <w:r>
        <w:t xml:space="preserve">body guards, </w:t>
      </w:r>
      <w:r w:rsidR="00141580">
        <w:t>security guards</w:t>
      </w:r>
      <w:r>
        <w:t xml:space="preserve">, armoured cars </w:t>
      </w:r>
      <w:r w:rsidR="00174BF4">
        <w:t xml:space="preserve">and </w:t>
      </w:r>
      <w:r>
        <w:t>any other services which can be provided to protect individuals or property.</w:t>
      </w:r>
    </w:p>
    <w:p w14:paraId="24555B9D" w14:textId="7AF0C715" w:rsidR="00141580" w:rsidRDefault="00141580" w:rsidP="00876AAD">
      <w:pPr>
        <w:pStyle w:val="base-text-paragraph"/>
        <w:numPr>
          <w:ilvl w:val="1"/>
          <w:numId w:val="7"/>
        </w:numPr>
      </w:pPr>
      <w:r>
        <w:t>An i</w:t>
      </w:r>
      <w:r w:rsidR="00C818AB">
        <w:t>nvestigation</w:t>
      </w:r>
      <w:r>
        <w:t xml:space="preserve"> refer</w:t>
      </w:r>
      <w:r w:rsidR="00876AAD">
        <w:t>s</w:t>
      </w:r>
      <w:r>
        <w:t xml:space="preserve"> to a searching inquiry in order to ascertain facts. This would typically be conducted by a detective or an enquiry agency, and may be about matters that are not necessarily related to security. For example, it could refer to investigations conducted or enquiries made to assess the veracity of insurance claims.</w:t>
      </w:r>
      <w:r w:rsidR="00876AAD">
        <w:t xml:space="preserve"> However,</w:t>
      </w:r>
      <w:r w:rsidR="002F3EA8">
        <w:t xml:space="preserve"> it</w:t>
      </w:r>
      <w:r w:rsidR="00876AAD">
        <w:t xml:space="preserve"> </w:t>
      </w:r>
      <w:r w:rsidR="00174BF4">
        <w:t>does</w:t>
      </w:r>
      <w:r w:rsidR="00876AAD">
        <w:t xml:space="preserve"> not refer to any service which may be used to gather information, such as online search engines. Generally, </w:t>
      </w:r>
      <w:r w:rsidR="00174BF4">
        <w:t>investigation services involve</w:t>
      </w:r>
      <w:r w:rsidR="00876AAD">
        <w:t xml:space="preserve"> </w:t>
      </w:r>
      <w:r w:rsidR="00174BF4">
        <w:t>a person</w:t>
      </w:r>
      <w:r w:rsidR="00876AAD">
        <w:t xml:space="preserve"> </w:t>
      </w:r>
      <w:r w:rsidR="00174BF4">
        <w:t>making</w:t>
      </w:r>
      <w:r w:rsidR="00876AAD">
        <w:t xml:space="preserve"> specific investigations into persons or matters</w:t>
      </w:r>
      <w:r w:rsidR="00965405">
        <w:t>.</w:t>
      </w:r>
    </w:p>
    <w:p w14:paraId="79A85C3D" w14:textId="02126B97" w:rsidR="001A6FC6" w:rsidRPr="008F726E" w:rsidRDefault="00876AAD" w:rsidP="00B17774">
      <w:pPr>
        <w:pStyle w:val="base-text-paragraph"/>
        <w:numPr>
          <w:ilvl w:val="1"/>
          <w:numId w:val="7"/>
        </w:numPr>
      </w:pPr>
      <w:r>
        <w:t xml:space="preserve">A surveillance service refers to a general watch </w:t>
      </w:r>
      <w:r w:rsidR="00386222">
        <w:t xml:space="preserve">or observation </w:t>
      </w:r>
      <w:r>
        <w:t xml:space="preserve">maintained over an area or location, by </w:t>
      </w:r>
      <w:r w:rsidR="00386222">
        <w:t xml:space="preserve">one or more persons or by using </w:t>
      </w:r>
      <w:r>
        <w:t xml:space="preserve">devices such as </w:t>
      </w:r>
      <w:r w:rsidR="00386222">
        <w:t>mo</w:t>
      </w:r>
      <w:r w:rsidR="008E1AD2">
        <w:t>tion</w:t>
      </w:r>
      <w:r w:rsidR="00386222">
        <w:t xml:space="preserve"> detector alarms, </w:t>
      </w:r>
      <w:r>
        <w:t>cameras or recorders. This include</w:t>
      </w:r>
      <w:r w:rsidR="00174BF4">
        <w:t>s</w:t>
      </w:r>
      <w:r>
        <w:t xml:space="preserve"> watchmen services, alarm monitoring </w:t>
      </w:r>
      <w:r w:rsidR="00174BF4">
        <w:t xml:space="preserve">and </w:t>
      </w:r>
      <w:r>
        <w:t>services that involve the use of closed circuit television cameras for the purpose of surveillance or maintaining security.</w:t>
      </w:r>
    </w:p>
    <w:p w14:paraId="4AE797EE" w14:textId="77777777" w:rsidR="00B17774" w:rsidRDefault="00B17774" w:rsidP="00B17774">
      <w:pPr>
        <w:pStyle w:val="Heading2"/>
      </w:pPr>
      <w:r>
        <w:t>Application and transitional provisions</w:t>
      </w:r>
    </w:p>
    <w:p w14:paraId="31BC6465" w14:textId="703678CE" w:rsidR="00DF631D" w:rsidRDefault="001037D9" w:rsidP="00B17774">
      <w:pPr>
        <w:pStyle w:val="base-text-paragraph"/>
        <w:numPr>
          <w:ilvl w:val="1"/>
          <w:numId w:val="7"/>
        </w:numPr>
      </w:pPr>
      <w:r>
        <w:t>The amendments in Schedule # commence on the first 1 January, 1 March, 1 July or 1 October after the amendments receive Royal Assent.</w:t>
      </w:r>
    </w:p>
    <w:p w14:paraId="236455DA" w14:textId="50386564" w:rsidR="001037D9" w:rsidRDefault="001037D9" w:rsidP="00B17774">
      <w:pPr>
        <w:pStyle w:val="base-text-paragraph"/>
        <w:numPr>
          <w:ilvl w:val="1"/>
          <w:numId w:val="7"/>
        </w:numPr>
      </w:pPr>
      <w:r>
        <w:t xml:space="preserve">These amendments apply to consideration that is provided on or after 1 July 2019, whether under an existing ongoing arrangement or otherwise, and regardless of the time the supply occurred </w:t>
      </w:r>
      <w:r w:rsidR="008E1AD2">
        <w:t xml:space="preserve">or </w:t>
      </w:r>
      <w:r>
        <w:t>the service is provided. However, it does not apply where the entity is merely liable to provide consideration prior to 1 July 2019, if no consideration is provided on or after 1 July 2019.</w:t>
      </w:r>
      <w:r w:rsidR="005226AA">
        <w:t xml:space="preserve"> </w:t>
      </w:r>
      <w:r w:rsidR="005226AA">
        <w:rPr>
          <w:rStyle w:val="Referencingstyle"/>
        </w:rPr>
        <w:t>[Schedule #, i</w:t>
      </w:r>
      <w:r w:rsidR="005226AA" w:rsidRPr="00375F1D">
        <w:rPr>
          <w:rStyle w:val="Referencingstyle"/>
        </w:rPr>
        <w:t xml:space="preserve">tem </w:t>
      </w:r>
      <w:r w:rsidR="005226AA">
        <w:rPr>
          <w:rStyle w:val="Referencingstyle"/>
        </w:rPr>
        <w:t>2</w:t>
      </w:r>
      <w:r w:rsidR="005226AA" w:rsidRPr="00375F1D">
        <w:rPr>
          <w:rStyle w:val="Referencingstyle"/>
        </w:rPr>
        <w:t>]</w:t>
      </w:r>
    </w:p>
    <w:p w14:paraId="5B3E59E5" w14:textId="77777777" w:rsidR="00A17A52" w:rsidRDefault="00A17A52" w:rsidP="00A17A52">
      <w:pPr>
        <w:pStyle w:val="Heading3"/>
      </w:pPr>
      <w:r>
        <w:lastRenderedPageBreak/>
        <w:t>Transitional provision: Commissioner is taken to have made a determination in relation to road freight services</w:t>
      </w:r>
    </w:p>
    <w:p w14:paraId="020B8DE5" w14:textId="7C518063" w:rsidR="00DF631D" w:rsidRDefault="002A283C" w:rsidP="002A283C">
      <w:pPr>
        <w:pStyle w:val="base-text-paragraph"/>
      </w:pPr>
      <w:r>
        <w:t>S</w:t>
      </w:r>
      <w:r w:rsidRPr="002A283C">
        <w:t xml:space="preserve">ubitem 3(1) of the Treasury Laws Amendment (Black Economy Taskforce Measures No. 1) Bill 2018 </w:t>
      </w:r>
      <w:r>
        <w:t xml:space="preserve">provides </w:t>
      </w:r>
      <w:r w:rsidR="00A17A52">
        <w:t xml:space="preserve">that the Commissioner is taken to have made </w:t>
      </w:r>
      <w:r>
        <w:t>a determination that excludes a clas</w:t>
      </w:r>
      <w:r w:rsidR="008A6F9B">
        <w:t>s of reporting entities from</w:t>
      </w:r>
      <w:r>
        <w:t xml:space="preserve"> </w:t>
      </w:r>
      <w:r w:rsidR="00AF26AC">
        <w:t xml:space="preserve">reporting </w:t>
      </w:r>
      <w:r w:rsidR="007E7AC4">
        <w:t xml:space="preserve">courier </w:t>
      </w:r>
      <w:r w:rsidR="008A6F9B">
        <w:t>or</w:t>
      </w:r>
      <w:r w:rsidR="007E7AC4">
        <w:t xml:space="preserve"> clean</w:t>
      </w:r>
      <w:r w:rsidR="008A6F9B">
        <w:t>er</w:t>
      </w:r>
      <w:r w:rsidR="007E7AC4">
        <w:t xml:space="preserve"> </w:t>
      </w:r>
      <w:r w:rsidR="00472A46">
        <w:t>contractor payment</w:t>
      </w:r>
      <w:r w:rsidR="00AF26AC">
        <w:t>s</w:t>
      </w:r>
      <w:r w:rsidR="00472A46">
        <w:t xml:space="preserve">. This provision </w:t>
      </w:r>
      <w:r w:rsidR="001740F8">
        <w:t xml:space="preserve">is amended </w:t>
      </w:r>
      <w:r w:rsidR="00472A46">
        <w:t>by Schedule #</w:t>
      </w:r>
      <w:r w:rsidR="00152909">
        <w:t xml:space="preserve"> with effect</w:t>
      </w:r>
      <w:r w:rsidR="001740F8">
        <w:t xml:space="preserve"> from </w:t>
      </w:r>
      <w:r w:rsidR="00152909">
        <w:t>1 </w:t>
      </w:r>
      <w:r w:rsidR="001740F8">
        <w:t>July 2019, or an alternate reporting period that begins after 1 July 2019.</w:t>
      </w:r>
      <w:r w:rsidR="005226AA">
        <w:t xml:space="preserve"> </w:t>
      </w:r>
      <w:r w:rsidR="005226AA">
        <w:rPr>
          <w:rStyle w:val="Referencingstyle"/>
        </w:rPr>
        <w:t>[Schedule #, subitems 2(1), 2(3) and 2(4)</w:t>
      </w:r>
      <w:r w:rsidR="005226AA" w:rsidRPr="00375F1D">
        <w:rPr>
          <w:rStyle w:val="Referencingstyle"/>
        </w:rPr>
        <w:t>]</w:t>
      </w:r>
    </w:p>
    <w:p w14:paraId="104F4CA8" w14:textId="348C74AB" w:rsidR="001740F8" w:rsidRDefault="00AF26AC" w:rsidP="001740F8">
      <w:pPr>
        <w:pStyle w:val="base-text-paragraph"/>
        <w:numPr>
          <w:ilvl w:val="1"/>
          <w:numId w:val="7"/>
        </w:numPr>
      </w:pPr>
      <w:r>
        <w:t>As a result of the amendments, t</w:t>
      </w:r>
      <w:r w:rsidR="001740F8">
        <w:t>he determination exempt</w:t>
      </w:r>
      <w:r w:rsidR="00F10A13">
        <w:t>s</w:t>
      </w:r>
      <w:r w:rsidR="001740F8">
        <w:t xml:space="preserve"> entities that make a supply of a courier or </w:t>
      </w:r>
      <w:r w:rsidR="00FB30BF">
        <w:t>‘</w:t>
      </w:r>
      <w:r w:rsidR="001740F8">
        <w:t>road freight</w:t>
      </w:r>
      <w:r w:rsidR="00FB30BF">
        <w:t>’</w:t>
      </w:r>
      <w:r w:rsidR="001740F8">
        <w:t xml:space="preserve"> service from the requirement to prepare and give a report to the Commissioner </w:t>
      </w:r>
      <w:r w:rsidR="00E105A2">
        <w:t>o</w:t>
      </w:r>
      <w:r w:rsidR="00F10A13">
        <w:t>n</w:t>
      </w:r>
      <w:r w:rsidR="001740F8">
        <w:t xml:space="preserve"> payments made to other entities for courier or </w:t>
      </w:r>
      <w:r w:rsidR="00FB30BF">
        <w:t>‘</w:t>
      </w:r>
      <w:r w:rsidR="001740F8">
        <w:t>road freight</w:t>
      </w:r>
      <w:r w:rsidR="00FB30BF">
        <w:t>’</w:t>
      </w:r>
      <w:r w:rsidR="001740F8">
        <w:t xml:space="preserve"> services. The exemption applies if:</w:t>
      </w:r>
    </w:p>
    <w:p w14:paraId="4D3C80EE" w14:textId="3BD54C94" w:rsidR="001740F8" w:rsidRDefault="001740F8" w:rsidP="002F5901">
      <w:pPr>
        <w:pStyle w:val="dotpoint"/>
      </w:pPr>
      <w:r w:rsidRPr="001740F8">
        <w:t xml:space="preserve">the total payments a reporting entity receives for </w:t>
      </w:r>
      <w:r w:rsidR="008E1AD2">
        <w:t xml:space="preserve">both courier services and </w:t>
      </w:r>
      <w:r w:rsidR="00FB30BF">
        <w:t>‘</w:t>
      </w:r>
      <w:r w:rsidR="008E1AD2">
        <w:t>road freight</w:t>
      </w:r>
      <w:r w:rsidR="00FB30BF">
        <w:t>’</w:t>
      </w:r>
      <w:r w:rsidRPr="001740F8">
        <w:t xml:space="preserve"> services are less than 10 per cent of the reporting entity’s relevant GST turnover (the turnover-threshold test);</w:t>
      </w:r>
    </w:p>
    <w:p w14:paraId="252B0846" w14:textId="37498043" w:rsidR="001740F8" w:rsidRPr="001740F8" w:rsidRDefault="001740F8" w:rsidP="002F5901">
      <w:pPr>
        <w:pStyle w:val="dotpoint"/>
      </w:pPr>
      <w:r w:rsidRPr="001740F8">
        <w:t>the reporting entity is not required to report details of the transaction under a separate repo</w:t>
      </w:r>
      <w:r w:rsidR="008E1AD2">
        <w:t xml:space="preserve">rting obligation in </w:t>
      </w:r>
      <w:r w:rsidR="007C4FA0">
        <w:t>section </w:t>
      </w:r>
      <w:r w:rsidR="008E1AD2">
        <w:t>396</w:t>
      </w:r>
      <w:r w:rsidR="008E1AD2">
        <w:noBreakHyphen/>
      </w:r>
      <w:r w:rsidRPr="001740F8">
        <w:t xml:space="preserve">55 of Schedule 1 to </w:t>
      </w:r>
      <w:r w:rsidR="007068A2">
        <w:t>TAA 1953</w:t>
      </w:r>
      <w:r w:rsidRPr="001740F8">
        <w:t>; and</w:t>
      </w:r>
    </w:p>
    <w:p w14:paraId="7EE928C9" w14:textId="77777777" w:rsidR="001740F8" w:rsidRDefault="001740F8" w:rsidP="002F5901">
      <w:pPr>
        <w:pStyle w:val="dotpoint"/>
      </w:pPr>
      <w:r>
        <w:t>the entity has not chosen to prepare and give the report.</w:t>
      </w:r>
    </w:p>
    <w:p w14:paraId="79B1CD0E" w14:textId="46B57270" w:rsidR="005226AA" w:rsidRPr="001740F8" w:rsidRDefault="005226AA" w:rsidP="005226AA">
      <w:pPr>
        <w:pStyle w:val="dotpoint"/>
        <w:numPr>
          <w:ilvl w:val="0"/>
          <w:numId w:val="0"/>
        </w:numPr>
        <w:ind w:left="2268"/>
      </w:pPr>
      <w:r>
        <w:rPr>
          <w:rStyle w:val="Referencingstyle"/>
        </w:rPr>
        <w:t>[Schedule #, subitems 2(1), 2(3) and 2(4)</w:t>
      </w:r>
      <w:r w:rsidRPr="00375F1D">
        <w:rPr>
          <w:rStyle w:val="Referencingstyle"/>
        </w:rPr>
        <w:t>]</w:t>
      </w:r>
    </w:p>
    <w:p w14:paraId="51CEB289" w14:textId="1A051F5F" w:rsidR="001740F8" w:rsidRDefault="001740F8" w:rsidP="001740F8">
      <w:pPr>
        <w:pStyle w:val="base-text-paragraph"/>
        <w:numPr>
          <w:ilvl w:val="1"/>
          <w:numId w:val="7"/>
        </w:numPr>
      </w:pPr>
      <w:r>
        <w:t xml:space="preserve">The modification of the determination reflects that there is a single reporting obligation for courier and </w:t>
      </w:r>
      <w:r w:rsidR="00F468C1">
        <w:t>‘</w:t>
      </w:r>
      <w:r>
        <w:t>road freight</w:t>
      </w:r>
      <w:r w:rsidR="00F468C1">
        <w:t>’</w:t>
      </w:r>
      <w:r>
        <w:t xml:space="preserve"> services, and that supplies of either of those services</w:t>
      </w:r>
      <w:r w:rsidR="00F556F3">
        <w:t xml:space="preserve"> should be used to determine whether an entity exceeds the turnover-threshold test.</w:t>
      </w:r>
      <w:r w:rsidR="00152909">
        <w:t xml:space="preserve"> This</w:t>
      </w:r>
      <w:r w:rsidR="00983099">
        <w:t xml:space="preserve"> recognises that many businesses offer both courier and road freight services</w:t>
      </w:r>
      <w:r w:rsidR="00152909">
        <w:t xml:space="preserve">. </w:t>
      </w:r>
    </w:p>
    <w:p w14:paraId="01A413DB" w14:textId="5FD1E25C" w:rsidR="00F556F3" w:rsidRDefault="00F556F3" w:rsidP="001740F8">
      <w:pPr>
        <w:pStyle w:val="base-text-paragraph"/>
        <w:numPr>
          <w:ilvl w:val="1"/>
          <w:numId w:val="7"/>
        </w:numPr>
      </w:pPr>
      <w:r>
        <w:t>It is expected that the Commissioner will release a</w:t>
      </w:r>
      <w:r w:rsidR="002971BB">
        <w:t xml:space="preserve"> draft</w:t>
      </w:r>
      <w:r>
        <w:t xml:space="preserve"> determination with the same effect as subitem 3(1) of the </w:t>
      </w:r>
      <w:r w:rsidRPr="00A17A52">
        <w:t>Treasury Laws Amendment</w:t>
      </w:r>
      <w:r>
        <w:t xml:space="preserve"> (Black Economy Taskforce Measures No. 1) Bill 2018 for </w:t>
      </w:r>
      <w:r w:rsidR="002971BB">
        <w:t>‘</w:t>
      </w:r>
      <w:r>
        <w:t>IT</w:t>
      </w:r>
      <w:r w:rsidR="002971BB">
        <w:t>’</w:t>
      </w:r>
      <w:r>
        <w:t xml:space="preserve"> services and </w:t>
      </w:r>
      <w:r w:rsidR="002971BB">
        <w:t>‘</w:t>
      </w:r>
      <w:r>
        <w:t>security, investigation and surveillance</w:t>
      </w:r>
      <w:r w:rsidR="002971BB">
        <w:t>’</w:t>
      </w:r>
      <w:r>
        <w:t xml:space="preserve"> services as part of this public consultation.</w:t>
      </w:r>
      <w:bookmarkStart w:id="4" w:name="_GoBack"/>
      <w:bookmarkEnd w:id="4"/>
    </w:p>
    <w:sectPr w:rsidR="00F556F3" w:rsidSect="00C743D3">
      <w:headerReference w:type="even" r:id="rId32"/>
      <w:headerReference w:type="default" r:id="rId33"/>
      <w:footerReference w:type="even" r:id="rId34"/>
      <w:footerReference w:type="default" r:id="rId35"/>
      <w:headerReference w:type="first" r:id="rId36"/>
      <w:footerReference w:type="first" r:id="rId37"/>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68C63" w14:textId="77777777" w:rsidR="00883105" w:rsidRDefault="00883105" w:rsidP="00E679CA">
      <w:pPr>
        <w:spacing w:before="0" w:after="0"/>
      </w:pPr>
      <w:r>
        <w:separator/>
      </w:r>
    </w:p>
  </w:endnote>
  <w:endnote w:type="continuationSeparator" w:id="0">
    <w:p w14:paraId="1C9F1BE9" w14:textId="77777777" w:rsidR="00883105" w:rsidRDefault="00883105" w:rsidP="00E679CA">
      <w:pPr>
        <w:spacing w:before="0" w:after="0"/>
      </w:pPr>
      <w:r>
        <w:continuationSeparator/>
      </w:r>
    </w:p>
  </w:endnote>
  <w:endnote w:type="continuationNotice" w:id="1">
    <w:p w14:paraId="2267E788" w14:textId="77777777" w:rsidR="00883105" w:rsidRDefault="008831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E56E8" w14:textId="77777777" w:rsidR="00883105" w:rsidRDefault="00883105" w:rsidP="00814A2D">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A7820" w14:textId="77777777" w:rsidR="00883105" w:rsidRDefault="00883105" w:rsidP="00814A2D">
    <w:pPr>
      <w:pStyle w:val="leftfooter"/>
    </w:pPr>
    <w:r>
      <w:fldChar w:fldCharType="begin"/>
    </w:r>
    <w:r>
      <w:instrText xml:space="preserve"> PAGE   \* MERGEFORMAT </w:instrText>
    </w:r>
    <w:r>
      <w:fldChar w:fldCharType="separate"/>
    </w:r>
    <w:r w:rsidR="002971BB">
      <w:rPr>
        <w:noProof/>
      </w:rPr>
      <w:t>12</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1A74" w14:textId="77777777" w:rsidR="00883105" w:rsidRDefault="00883105" w:rsidP="00814A2D">
    <w:pPr>
      <w:pStyle w:val="rightfooter"/>
    </w:pPr>
    <w:r>
      <w:fldChar w:fldCharType="begin"/>
    </w:r>
    <w:r>
      <w:instrText xml:space="preserve"> PAGE   \* MERGEFORMAT </w:instrText>
    </w:r>
    <w:r>
      <w:fldChar w:fldCharType="separate"/>
    </w:r>
    <w:r w:rsidR="002971BB">
      <w:rPr>
        <w:noProof/>
      </w:rPr>
      <w:t>11</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33416" w14:textId="77777777" w:rsidR="00883105" w:rsidRDefault="00883105" w:rsidP="00814A2D">
    <w:pPr>
      <w:pStyle w:val="rightfooter"/>
    </w:pPr>
    <w:r>
      <w:fldChar w:fldCharType="begin"/>
    </w:r>
    <w:r>
      <w:instrText xml:space="preserve"> PAGE  \* Arabic  \* MERGEFORMAT </w:instrText>
    </w:r>
    <w:r>
      <w:fldChar w:fldCharType="separate"/>
    </w:r>
    <w:r w:rsidR="002971BB">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6C766" w14:textId="77777777" w:rsidR="00883105" w:rsidRDefault="00883105" w:rsidP="00814A2D">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61535" w14:textId="77777777" w:rsidR="00F03CE8" w:rsidRDefault="00F03C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199C7" w14:textId="77777777" w:rsidR="00883105" w:rsidRDefault="00883105" w:rsidP="00814A2D">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C235D" w14:textId="77777777" w:rsidR="00883105" w:rsidRDefault="00883105" w:rsidP="00814A2D">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39E49" w14:textId="77777777" w:rsidR="00883105" w:rsidRPr="00B2068E" w:rsidRDefault="00883105" w:rsidP="00814A2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AA382" w14:textId="77777777" w:rsidR="00883105" w:rsidRDefault="00883105" w:rsidP="00814A2D">
    <w:pPr>
      <w:pStyle w:val="leftfooter"/>
    </w:pPr>
    <w:r>
      <w:fldChar w:fldCharType="begin"/>
    </w:r>
    <w:r>
      <w:instrText xml:space="preserve"> PAGE   \* MERGEFORMAT </w:instrText>
    </w:r>
    <w:r>
      <w:fldChar w:fldCharType="separate"/>
    </w:r>
    <w:r>
      <w:rPr>
        <w:noProof/>
      </w:rPr>
      <w:t>4</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95B25" w14:textId="77777777" w:rsidR="00883105" w:rsidRDefault="00883105" w:rsidP="00814A2D">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719F3" w14:textId="77777777" w:rsidR="00883105" w:rsidRDefault="00883105" w:rsidP="00814A2D">
    <w:pPr>
      <w:pStyle w:val="rightfooter"/>
    </w:pPr>
    <w:r>
      <w:fldChar w:fldCharType="begin"/>
    </w:r>
    <w:r>
      <w:instrText xml:space="preserve"> PAGE  \* Arabic  \* MERGEFORMAT </w:instrText>
    </w:r>
    <w:r>
      <w:fldChar w:fldCharType="separate"/>
    </w:r>
    <w:r w:rsidR="002971BB">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5266E" w14:textId="77777777" w:rsidR="00883105" w:rsidRDefault="00883105" w:rsidP="00E679CA">
      <w:pPr>
        <w:spacing w:before="0" w:after="0"/>
      </w:pPr>
      <w:r>
        <w:separator/>
      </w:r>
    </w:p>
  </w:footnote>
  <w:footnote w:type="continuationSeparator" w:id="0">
    <w:p w14:paraId="17CA474C" w14:textId="77777777" w:rsidR="00883105" w:rsidRDefault="00883105" w:rsidP="00E679CA">
      <w:pPr>
        <w:spacing w:before="0" w:after="0"/>
      </w:pPr>
      <w:r>
        <w:continuationSeparator/>
      </w:r>
    </w:p>
  </w:footnote>
  <w:footnote w:type="continuationNotice" w:id="1">
    <w:p w14:paraId="075CAACB" w14:textId="77777777" w:rsidR="00883105" w:rsidRDefault="0088310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6D54F" w14:textId="3B563D9B" w:rsidR="00883105" w:rsidRDefault="00883105" w:rsidP="00814A2D">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39908" w14:textId="5B3308FF" w:rsidR="00F03CE8" w:rsidRDefault="00F03CE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D7E78" w14:textId="4FED0CEE" w:rsidR="00F03CE8" w:rsidRDefault="00F03CE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0F57F" w14:textId="3DFE2DE2" w:rsidR="00F03CE8" w:rsidRDefault="00F03C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B663A" w14:textId="7686294A" w:rsidR="00883105" w:rsidRDefault="00883105" w:rsidP="00814A2D">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E6719" w14:textId="0F11DCF4" w:rsidR="00883105" w:rsidRDefault="008831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937FA" w14:textId="36D600C3" w:rsidR="00883105" w:rsidRDefault="00883105" w:rsidP="00814A2D">
    <w:pPr>
      <w:pStyle w:val="lef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42801" w14:textId="4AE7F77B" w:rsidR="00883105" w:rsidRDefault="00883105" w:rsidP="00814A2D">
    <w:pPr>
      <w:pStyle w:val="right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8607E" w14:textId="13EAEEC0" w:rsidR="00883105" w:rsidRDefault="0088310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4ADE1" w14:textId="73CF872D" w:rsidR="00F03CE8" w:rsidRDefault="00F03CE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B2BA1" w14:textId="7B81CF64" w:rsidR="00F03CE8" w:rsidRDefault="00F03CE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EDAD0" w14:textId="400DFDD4" w:rsidR="00F03CE8" w:rsidRDefault="00F03C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9321E20"/>
    <w:multiLevelType w:val="multilevel"/>
    <w:tmpl w:val="F6748522"/>
    <w:lvl w:ilvl="0">
      <w:start w:val="1"/>
      <w:numFmt w:val="decimal"/>
      <w:lvlText w:val="Chapter %1"/>
      <w:lvlJc w:val="left"/>
      <w:pPr>
        <w:tabs>
          <w:tab w:val="num" w:pos="1134"/>
        </w:tabs>
        <w:ind w:left="0" w:firstLine="0"/>
      </w:pPr>
      <w:rPr>
        <w:rFonts w:hint="default"/>
      </w:rPr>
    </w:lvl>
    <w:lvl w:ilvl="1">
      <w:start w:val="1"/>
      <w:numFmt w:val="bullet"/>
      <w:lvlText w:val=""/>
      <w:lvlJc w:val="left"/>
      <w:pPr>
        <w:tabs>
          <w:tab w:val="num" w:pos="1985"/>
        </w:tabs>
        <w:ind w:left="1134" w:firstLine="0"/>
      </w:pPr>
      <w:rPr>
        <w:rFonts w:ascii="Symbol" w:hAnsi="Symbol"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5DF6494"/>
    <w:multiLevelType w:val="multilevel"/>
    <w:tmpl w:val="A316FE50"/>
    <w:numStyleLink w:val="ChapterList"/>
  </w:abstractNum>
  <w:abstractNum w:abstractNumId="23">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11"/>
  </w:num>
  <w:num w:numId="3">
    <w:abstractNumId w:val="14"/>
  </w:num>
  <w:num w:numId="4">
    <w:abstractNumId w:val="23"/>
  </w:num>
  <w:num w:numId="5">
    <w:abstractNumId w:val="20"/>
  </w:num>
  <w:num w:numId="6">
    <w:abstractNumId w:val="24"/>
  </w:num>
  <w:num w:numId="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7"/>
  </w:num>
  <w:num w:numId="10">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8"/>
  </w:num>
  <w:num w:numId="12">
    <w:abstractNumId w:val="19"/>
  </w:num>
  <w:num w:numId="13">
    <w:abstractNumId w:val="19"/>
  </w:num>
  <w:num w:numId="14">
    <w:abstractNumId w:val="21"/>
  </w:num>
  <w:num w:numId="15">
    <w:abstractNumId w:val="21"/>
  </w:num>
  <w:num w:numId="16">
    <w:abstractNumId w:val="21"/>
  </w:num>
  <w:num w:numId="1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2"/>
  </w:num>
  <w:num w:numId="44">
    <w:abstractNumId w:val="22"/>
    <w:lvlOverride w:ilvl="0">
      <w:lvl w:ilvl="0">
        <w:start w:val="1"/>
        <w:numFmt w:val="decimal"/>
        <w:pStyle w:val="ChapterHeading"/>
        <w:lvlText w:val="Chapter %1"/>
        <w:lvlJc w:val="left"/>
        <w:pPr>
          <w:tabs>
            <w:tab w:val="num" w:pos="1134"/>
          </w:tabs>
          <w:ind w:left="0" w:firstLine="0"/>
        </w:pPr>
      </w:lvl>
    </w:lvlOverride>
    <w:lvlOverride w:ilvl="1">
      <w:lvl w:ilvl="1">
        <w:start w:val="1"/>
        <w:numFmt w:val="decimal"/>
        <w:pStyle w:val="base-text-paragraph"/>
        <w:lvlText w:val="%1.%2"/>
        <w:lvlJc w:val="left"/>
        <w:pPr>
          <w:tabs>
            <w:tab w:val="num" w:pos="1985"/>
          </w:tabs>
          <w:ind w:left="1134" w:firstLine="0"/>
        </w:pPr>
      </w:lvl>
    </w:lvlOverride>
    <w:lvlOverride w:ilvl="2">
      <w:lvl w:ilvl="2">
        <w:start w:val="1"/>
        <w:numFmt w:val="decimal"/>
        <w:lvlRestart w:val="1"/>
        <w:pStyle w:val="Diagram"/>
        <w:suff w:val="nothing"/>
        <w:lvlText w:val="Diagram %1.%3"/>
        <w:lvlJc w:val="left"/>
        <w:pPr>
          <w:ind w:left="1134" w:firstLine="0"/>
        </w:pPr>
      </w:lvl>
    </w:lvlOverride>
    <w:lvlOverride w:ilvl="3">
      <w:lvl w:ilvl="3">
        <w:start w:val="1"/>
        <w:numFmt w:val="decimal"/>
        <w:lvlRestart w:val="1"/>
        <w:pStyle w:val="ExampleHeading"/>
        <w:suff w:val="nothing"/>
        <w:lvlText w:val="Example %1.%4"/>
        <w:lvlJc w:val="left"/>
        <w:pPr>
          <w:ind w:left="1134" w:firstLine="0"/>
        </w:pPr>
      </w:lvl>
    </w:lvlOverride>
    <w:lvlOverride w:ilvl="4">
      <w:lvl w:ilvl="4">
        <w:start w:val="1"/>
        <w:numFmt w:val="decimal"/>
        <w:lvlRestart w:val="1"/>
        <w:pStyle w:val="TableHeadingoutsidetable"/>
        <w:suff w:val="nothing"/>
        <w:lvlText w:val="Table %1.%5"/>
        <w:lvlJc w:val="left"/>
        <w:pPr>
          <w:ind w:left="1134" w:firstLine="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5">
    <w:abstractNumId w:val="15"/>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evenAndOddHeaders/>
  <w:characterSpacingControl w:val="doNotCompress"/>
  <w:hdrShapeDefaults>
    <o:shapedefaults v:ext="edit" spidmax="206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CE"/>
    <w:rsid w:val="0002054A"/>
    <w:rsid w:val="00030A40"/>
    <w:rsid w:val="000471FB"/>
    <w:rsid w:val="00075AC0"/>
    <w:rsid w:val="000B25A6"/>
    <w:rsid w:val="000C2A9D"/>
    <w:rsid w:val="000C44D7"/>
    <w:rsid w:val="000C4876"/>
    <w:rsid w:val="000C71F6"/>
    <w:rsid w:val="000D04A2"/>
    <w:rsid w:val="000E4B50"/>
    <w:rsid w:val="001037D9"/>
    <w:rsid w:val="00107A5E"/>
    <w:rsid w:val="0011084D"/>
    <w:rsid w:val="00123B9E"/>
    <w:rsid w:val="00127BE8"/>
    <w:rsid w:val="00131E53"/>
    <w:rsid w:val="00141580"/>
    <w:rsid w:val="00152909"/>
    <w:rsid w:val="00152A90"/>
    <w:rsid w:val="001530A1"/>
    <w:rsid w:val="001605C9"/>
    <w:rsid w:val="0016481D"/>
    <w:rsid w:val="001740F8"/>
    <w:rsid w:val="00174BF4"/>
    <w:rsid w:val="001753F4"/>
    <w:rsid w:val="00175488"/>
    <w:rsid w:val="001929F4"/>
    <w:rsid w:val="001A6FC6"/>
    <w:rsid w:val="001C1751"/>
    <w:rsid w:val="001C777E"/>
    <w:rsid w:val="001F020F"/>
    <w:rsid w:val="001F5639"/>
    <w:rsid w:val="001F6D48"/>
    <w:rsid w:val="00203B7F"/>
    <w:rsid w:val="00216EA4"/>
    <w:rsid w:val="00227A6D"/>
    <w:rsid w:val="002357DC"/>
    <w:rsid w:val="00243FBB"/>
    <w:rsid w:val="0028232D"/>
    <w:rsid w:val="00295ABD"/>
    <w:rsid w:val="00297152"/>
    <w:rsid w:val="002971BB"/>
    <w:rsid w:val="002A283C"/>
    <w:rsid w:val="002D0B7C"/>
    <w:rsid w:val="002F0D2B"/>
    <w:rsid w:val="002F3EA8"/>
    <w:rsid w:val="002F5853"/>
    <w:rsid w:val="002F5901"/>
    <w:rsid w:val="00307165"/>
    <w:rsid w:val="00317516"/>
    <w:rsid w:val="003175C6"/>
    <w:rsid w:val="00364235"/>
    <w:rsid w:val="00375F1D"/>
    <w:rsid w:val="003800CF"/>
    <w:rsid w:val="00386222"/>
    <w:rsid w:val="003A657F"/>
    <w:rsid w:val="003B6B47"/>
    <w:rsid w:val="003B77F0"/>
    <w:rsid w:val="003D4F69"/>
    <w:rsid w:val="003E5AB0"/>
    <w:rsid w:val="003E7AB0"/>
    <w:rsid w:val="003F3591"/>
    <w:rsid w:val="00405C1F"/>
    <w:rsid w:val="00422FA2"/>
    <w:rsid w:val="004662C2"/>
    <w:rsid w:val="00472A46"/>
    <w:rsid w:val="00472E50"/>
    <w:rsid w:val="004A2FA1"/>
    <w:rsid w:val="004C6A96"/>
    <w:rsid w:val="004F3C00"/>
    <w:rsid w:val="005204CE"/>
    <w:rsid w:val="005226AA"/>
    <w:rsid w:val="00527AD4"/>
    <w:rsid w:val="00535F17"/>
    <w:rsid w:val="005370C2"/>
    <w:rsid w:val="00540009"/>
    <w:rsid w:val="0055086F"/>
    <w:rsid w:val="00551665"/>
    <w:rsid w:val="00567602"/>
    <w:rsid w:val="00574CA0"/>
    <w:rsid w:val="005A496E"/>
    <w:rsid w:val="005D256D"/>
    <w:rsid w:val="005D7EAB"/>
    <w:rsid w:val="005E100E"/>
    <w:rsid w:val="005E3647"/>
    <w:rsid w:val="00613D1E"/>
    <w:rsid w:val="006168B0"/>
    <w:rsid w:val="0062584A"/>
    <w:rsid w:val="0063127E"/>
    <w:rsid w:val="00663929"/>
    <w:rsid w:val="00667BAC"/>
    <w:rsid w:val="00670A85"/>
    <w:rsid w:val="006A05D6"/>
    <w:rsid w:val="006A72CB"/>
    <w:rsid w:val="006E4152"/>
    <w:rsid w:val="006F233D"/>
    <w:rsid w:val="006F5EF4"/>
    <w:rsid w:val="007068A2"/>
    <w:rsid w:val="00706CE0"/>
    <w:rsid w:val="007070BD"/>
    <w:rsid w:val="00734F84"/>
    <w:rsid w:val="00745989"/>
    <w:rsid w:val="00747A03"/>
    <w:rsid w:val="007617A8"/>
    <w:rsid w:val="00766097"/>
    <w:rsid w:val="00773B68"/>
    <w:rsid w:val="007757F0"/>
    <w:rsid w:val="00795A45"/>
    <w:rsid w:val="007C2588"/>
    <w:rsid w:val="007C2B20"/>
    <w:rsid w:val="007C4FA0"/>
    <w:rsid w:val="007E7AC4"/>
    <w:rsid w:val="007F603F"/>
    <w:rsid w:val="00803DE4"/>
    <w:rsid w:val="00813A51"/>
    <w:rsid w:val="00814A2D"/>
    <w:rsid w:val="00840701"/>
    <w:rsid w:val="00863591"/>
    <w:rsid w:val="00870C84"/>
    <w:rsid w:val="008769D3"/>
    <w:rsid w:val="00876AAD"/>
    <w:rsid w:val="00877C03"/>
    <w:rsid w:val="00883105"/>
    <w:rsid w:val="008935FD"/>
    <w:rsid w:val="008A3010"/>
    <w:rsid w:val="008A6F9B"/>
    <w:rsid w:val="008D0A8B"/>
    <w:rsid w:val="008D4F94"/>
    <w:rsid w:val="008D78FA"/>
    <w:rsid w:val="008E1AD2"/>
    <w:rsid w:val="008E6E38"/>
    <w:rsid w:val="0093363A"/>
    <w:rsid w:val="00943087"/>
    <w:rsid w:val="00946B26"/>
    <w:rsid w:val="00965405"/>
    <w:rsid w:val="009731C0"/>
    <w:rsid w:val="009770C9"/>
    <w:rsid w:val="0098134F"/>
    <w:rsid w:val="00983099"/>
    <w:rsid w:val="009B5E73"/>
    <w:rsid w:val="009C2FC2"/>
    <w:rsid w:val="009D6002"/>
    <w:rsid w:val="009D7ECD"/>
    <w:rsid w:val="009F3AE1"/>
    <w:rsid w:val="00A0653F"/>
    <w:rsid w:val="00A1568D"/>
    <w:rsid w:val="00A17A52"/>
    <w:rsid w:val="00A2308B"/>
    <w:rsid w:val="00A41EDC"/>
    <w:rsid w:val="00A75FAC"/>
    <w:rsid w:val="00A925AF"/>
    <w:rsid w:val="00A93060"/>
    <w:rsid w:val="00AA0696"/>
    <w:rsid w:val="00AA6F43"/>
    <w:rsid w:val="00AD5427"/>
    <w:rsid w:val="00AD5B62"/>
    <w:rsid w:val="00AD5F50"/>
    <w:rsid w:val="00AD7037"/>
    <w:rsid w:val="00AF26AC"/>
    <w:rsid w:val="00AF6C55"/>
    <w:rsid w:val="00AF7D6B"/>
    <w:rsid w:val="00B040B3"/>
    <w:rsid w:val="00B17774"/>
    <w:rsid w:val="00B37B78"/>
    <w:rsid w:val="00B40B82"/>
    <w:rsid w:val="00B67CB0"/>
    <w:rsid w:val="00B85309"/>
    <w:rsid w:val="00B87863"/>
    <w:rsid w:val="00BB0299"/>
    <w:rsid w:val="00BB72FC"/>
    <w:rsid w:val="00BC7A05"/>
    <w:rsid w:val="00BE27C2"/>
    <w:rsid w:val="00C0320E"/>
    <w:rsid w:val="00C5436A"/>
    <w:rsid w:val="00C743D3"/>
    <w:rsid w:val="00C818AB"/>
    <w:rsid w:val="00C83EC4"/>
    <w:rsid w:val="00C84CCE"/>
    <w:rsid w:val="00CB14C9"/>
    <w:rsid w:val="00CD1112"/>
    <w:rsid w:val="00CE0154"/>
    <w:rsid w:val="00D46961"/>
    <w:rsid w:val="00D55A78"/>
    <w:rsid w:val="00D60F7A"/>
    <w:rsid w:val="00D83206"/>
    <w:rsid w:val="00DE55C2"/>
    <w:rsid w:val="00DF631D"/>
    <w:rsid w:val="00E105A2"/>
    <w:rsid w:val="00E43C2A"/>
    <w:rsid w:val="00E5385B"/>
    <w:rsid w:val="00E56A6F"/>
    <w:rsid w:val="00E679CA"/>
    <w:rsid w:val="00E74E50"/>
    <w:rsid w:val="00EA5BB7"/>
    <w:rsid w:val="00EC0F5E"/>
    <w:rsid w:val="00ED6A5E"/>
    <w:rsid w:val="00F03CE8"/>
    <w:rsid w:val="00F0513C"/>
    <w:rsid w:val="00F10A13"/>
    <w:rsid w:val="00F45B5A"/>
    <w:rsid w:val="00F468C1"/>
    <w:rsid w:val="00F46D06"/>
    <w:rsid w:val="00F51071"/>
    <w:rsid w:val="00F556F3"/>
    <w:rsid w:val="00F57286"/>
    <w:rsid w:val="00F60F68"/>
    <w:rsid w:val="00F664B4"/>
    <w:rsid w:val="00F83B70"/>
    <w:rsid w:val="00F85409"/>
    <w:rsid w:val="00F9382B"/>
    <w:rsid w:val="00FB30BF"/>
    <w:rsid w:val="00FB49C0"/>
    <w:rsid w:val="00FE6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CE1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7068A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8A2"/>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4A2FA1"/>
    <w:rPr>
      <w:sz w:val="16"/>
      <w:szCs w:val="16"/>
    </w:rPr>
  </w:style>
  <w:style w:type="paragraph" w:styleId="CommentText">
    <w:name w:val="annotation text"/>
    <w:basedOn w:val="Normal"/>
    <w:link w:val="CommentTextChar"/>
    <w:uiPriority w:val="99"/>
    <w:semiHidden/>
    <w:unhideWhenUsed/>
    <w:rsid w:val="004A2FA1"/>
    <w:rPr>
      <w:sz w:val="20"/>
    </w:rPr>
  </w:style>
  <w:style w:type="character" w:customStyle="1" w:styleId="CommentTextChar">
    <w:name w:val="Comment Text Char"/>
    <w:basedOn w:val="DefaultParagraphFont"/>
    <w:link w:val="CommentText"/>
    <w:uiPriority w:val="99"/>
    <w:semiHidden/>
    <w:rsid w:val="004A2FA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A2FA1"/>
    <w:rPr>
      <w:b/>
      <w:bCs/>
    </w:rPr>
  </w:style>
  <w:style w:type="character" w:customStyle="1" w:styleId="CommentSubjectChar">
    <w:name w:val="Comment Subject Char"/>
    <w:basedOn w:val="CommentTextChar"/>
    <w:link w:val="CommentSubject"/>
    <w:uiPriority w:val="99"/>
    <w:semiHidden/>
    <w:rsid w:val="004A2FA1"/>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7068A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8A2"/>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4A2FA1"/>
    <w:rPr>
      <w:sz w:val="16"/>
      <w:szCs w:val="16"/>
    </w:rPr>
  </w:style>
  <w:style w:type="paragraph" w:styleId="CommentText">
    <w:name w:val="annotation text"/>
    <w:basedOn w:val="Normal"/>
    <w:link w:val="CommentTextChar"/>
    <w:uiPriority w:val="99"/>
    <w:semiHidden/>
    <w:unhideWhenUsed/>
    <w:rsid w:val="004A2FA1"/>
    <w:rPr>
      <w:sz w:val="20"/>
    </w:rPr>
  </w:style>
  <w:style w:type="character" w:customStyle="1" w:styleId="CommentTextChar">
    <w:name w:val="Comment Text Char"/>
    <w:basedOn w:val="DefaultParagraphFont"/>
    <w:link w:val="CommentText"/>
    <w:uiPriority w:val="99"/>
    <w:semiHidden/>
    <w:rsid w:val="004A2FA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A2FA1"/>
    <w:rPr>
      <w:b/>
      <w:bCs/>
    </w:rPr>
  </w:style>
  <w:style w:type="character" w:customStyle="1" w:styleId="CommentSubjectChar">
    <w:name w:val="Comment Subject Char"/>
    <w:basedOn w:val="CommentTextChar"/>
    <w:link w:val="CommentSubject"/>
    <w:uiPriority w:val="99"/>
    <w:semiHidden/>
    <w:rsid w:val="004A2FA1"/>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4740">
      <w:bodyDiv w:val="1"/>
      <w:marLeft w:val="0"/>
      <w:marRight w:val="0"/>
      <w:marTop w:val="0"/>
      <w:marBottom w:val="0"/>
      <w:divBdr>
        <w:top w:val="none" w:sz="0" w:space="0" w:color="auto"/>
        <w:left w:val="none" w:sz="0" w:space="0" w:color="auto"/>
        <w:bottom w:val="none" w:sz="0" w:space="0" w:color="auto"/>
        <w:right w:val="none" w:sz="0" w:space="0" w:color="auto"/>
      </w:divBdr>
    </w:div>
    <w:div w:id="774252885">
      <w:bodyDiv w:val="1"/>
      <w:marLeft w:val="0"/>
      <w:marRight w:val="0"/>
      <w:marTop w:val="0"/>
      <w:marBottom w:val="0"/>
      <w:divBdr>
        <w:top w:val="none" w:sz="0" w:space="0" w:color="auto"/>
        <w:left w:val="none" w:sz="0" w:space="0" w:color="auto"/>
        <w:bottom w:val="none" w:sz="0" w:space="0" w:color="auto"/>
        <w:right w:val="none" w:sz="0" w:space="0" w:color="auto"/>
      </w:divBdr>
    </w:div>
    <w:div w:id="186793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RA-9206 - Destroy 10 years after action completed</TermName>
          <TermId xmlns="http://schemas.microsoft.com/office/infopath/2007/PartnerControls">00c3f558-2b96-436f-97e2-418f0fc24a03</TermId>
        </TermInfo>
      </Terms>
    </lb508a4dc5e84436a0fe496b536466aa>
    <_dlc_DocId xmlns="9f7bc583-7cbe-45b9-a2bd-8bbb6543b37e">2018RG-383-8877</_dlc_DocId>
    <TaxCatchAll xmlns="9f7bc583-7cbe-45b9-a2bd-8bbb6543b37e">
      <Value>7</Value>
    </TaxCatchAll>
    <_dlc_DocIdUrl xmlns="9f7bc583-7cbe-45b9-a2bd-8bbb6543b37e">
      <Url>http://tweb/sites/rg/TFD/_layouts/15/DocIdRedir.aspx?ID=2018RG-383-8877</Url>
      <Description>2018RG-383-8877</Description>
    </_dlc_DocIdUrl>
    <IconOverlay xmlns="http://schemas.microsoft.com/sharepoint/v4" xsi:nil="true"/>
    <Status xmlns="3005dc1a-503b-43bd-9c11-c541b77a5529">Current</Status>
    <Workstream xmlns="3005dc1a-503b-43bd-9c11-c541b77a552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3A7607C90ED3EC4E8B0089630B9D1985" ma:contentTypeVersion="12898" ma:contentTypeDescription="" ma:contentTypeScope="" ma:versionID="c8499b69932a0b0703c7aa9586b405e7">
  <xsd:schema xmlns:xsd="http://www.w3.org/2001/XMLSchema" xmlns:xs="http://www.w3.org/2001/XMLSchema" xmlns:p="http://schemas.microsoft.com/office/2006/metadata/properties" xmlns:ns1="http://schemas.microsoft.com/sharepoint/v3" xmlns:ns2="9f7bc583-7cbe-45b9-a2bd-8bbb6543b37e" xmlns:ns3="3005dc1a-503b-43bd-9c11-c541b77a5529" xmlns:ns4="http://schemas.microsoft.com/sharepoint/v4" targetNamespace="http://schemas.microsoft.com/office/2006/metadata/properties" ma:root="true" ma:fieldsID="8c8e2e769521f0da6f77216f2f5e062f" ns1:_="" ns2:_="" ns3:_="" ns4:_="">
    <xsd:import namespace="http://schemas.microsoft.com/sharepoint/v3"/>
    <xsd:import namespace="9f7bc583-7cbe-45b9-a2bd-8bbb6543b37e"/>
    <xsd:import namespace="3005dc1a-503b-43bd-9c11-c541b77a552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element ref="ns3:Workstream"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19;#TSY RA-9206 - Destroy 10 years after action completed|00c3f558-2b96-436f-97e2-418f0fc24a0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05dc1a-503b-43bd-9c11-c541b77a5529" elementFormDefault="qualified">
    <xsd:import namespace="http://schemas.microsoft.com/office/2006/documentManagement/types"/>
    <xsd:import namespace="http://schemas.microsoft.com/office/infopath/2007/PartnerControls"/>
    <xsd:element name="Workstream" ma:index="18" nillable="true" ma:displayName="Workstream" ma:format="Dropdown" ma:internalName="Workstream">
      <xsd:simpleType>
        <xsd:restriction base="dms:Choice">
          <xsd:enumeration value="Incentives &amp; Deterrents"/>
          <xsd:enumeration value="Hardwiring"/>
          <xsd:enumeration value="Social Norms and Behavioural Economics"/>
          <xsd:enumeration value="Sharing Economy"/>
        </xsd:restriction>
      </xsd:simpleType>
    </xsd:element>
    <xsd:element name="Status" ma:index="19" nillable="true" ma:displayName="Status" ma:default="Completed" ma:format="Dropdown" ma:internalName="Status">
      <xsd:simpleType>
        <xsd:restriction base="dms:Choice">
          <xsd:enumeration value="Completed"/>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2.xml><?xml version="1.0" encoding="utf-8"?>
<ds:datastoreItem xmlns:ds="http://schemas.openxmlformats.org/officeDocument/2006/customXml" ds:itemID="{1EEF8C7A-6F56-4C4D-B51C-8D77D5ADF651}">
  <ds:schemaRefs>
    <ds:schemaRef ds:uri="office.server.policy"/>
  </ds:schemaRefs>
</ds:datastoreItem>
</file>

<file path=customXml/itemProps3.xml><?xml version="1.0" encoding="utf-8"?>
<ds:datastoreItem xmlns:ds="http://schemas.openxmlformats.org/officeDocument/2006/customXml" ds:itemID="{E484BCE1-B00C-45BB-B3CA-CEE712E03F53}">
  <ds:schemaRefs>
    <ds:schemaRef ds:uri="http://www.w3.org/XML/1998/namespace"/>
    <ds:schemaRef ds:uri="http://purl.org/dc/dcmitype/"/>
    <ds:schemaRef ds:uri="http://schemas.microsoft.com/office/2006/metadata/properties"/>
    <ds:schemaRef ds:uri="9f7bc583-7cbe-45b9-a2bd-8bbb6543b37e"/>
    <ds:schemaRef ds:uri="http://schemas.microsoft.com/office/infopath/2007/PartnerControls"/>
    <ds:schemaRef ds:uri="http://schemas.openxmlformats.org/package/2006/metadata/core-properties"/>
    <ds:schemaRef ds:uri="http://schemas.microsoft.com/sharepoint/v4"/>
    <ds:schemaRef ds:uri="687b78b0-2ddd-4441-8a8b-c9638c2a1939"/>
    <ds:schemaRef ds:uri="http://schemas.microsoft.com/office/2006/documentManagement/types"/>
    <ds:schemaRef ds:uri="http://schemas.microsoft.com/sharepoint/v3"/>
    <ds:schemaRef ds:uri="http://purl.org/dc/terms/"/>
    <ds:schemaRef ds:uri="http://purl.org/dc/elements/1.1/"/>
  </ds:schemaRefs>
</ds:datastoreItem>
</file>

<file path=customXml/itemProps4.xml><?xml version="1.0" encoding="utf-8"?>
<ds:datastoreItem xmlns:ds="http://schemas.openxmlformats.org/officeDocument/2006/customXml" ds:itemID="{EAAC60F5-2707-4BD6-A448-A239BD8183A3}"/>
</file>

<file path=customXml/itemProps5.xml><?xml version="1.0" encoding="utf-8"?>
<ds:datastoreItem xmlns:ds="http://schemas.openxmlformats.org/officeDocument/2006/customXml" ds:itemID="{50A650D1-4FA8-419B-8029-B6040900ABB8}"/>
</file>

<file path=customXml/itemProps6.xml><?xml version="1.0" encoding="utf-8"?>
<ds:datastoreItem xmlns:ds="http://schemas.openxmlformats.org/officeDocument/2006/customXml" ds:itemID="{88A204D0-D68D-42DC-98EF-4E4E1A59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5</TotalTime>
  <Pages>12</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Ashley</dc:creator>
  <cp:lastModifiedBy>George, Ashley</cp:lastModifiedBy>
  <cp:revision>3</cp:revision>
  <cp:lastPrinted>2018-07-17T05:54:00Z</cp:lastPrinted>
  <dcterms:created xsi:type="dcterms:W3CDTF">2018-07-17T05:50:00Z</dcterms:created>
  <dcterms:modified xsi:type="dcterms:W3CDTF">2018-07-17T05:55:00Z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1e345847-cdb3-4113-af8c-d913cb55a58c</vt:lpwstr>
  </property>
  <property fmtid="{D5CDD505-2E9C-101B-9397-08002B2CF9AE}" pid="3" name="ContentTypeId">
    <vt:lpwstr>0x01010036BB8DE7EC542E42A8B2E98CC20CB697003A7607C90ED3EC4E8B0089630B9D1985</vt:lpwstr>
  </property>
  <property fmtid="{D5CDD505-2E9C-101B-9397-08002B2CF9AE}" pid="4" name="TSYRecordClass">
    <vt:lpwstr>19</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{3005dc1a-503b-43bd-9c11-c541b77a5529}</vt:lpwstr>
  </property>
  <property fmtid="{D5CDD505-2E9C-101B-9397-08002B2CF9AE}" pid="8" name="RecordPoint_ActiveItemUniqueId">
    <vt:lpwstr>{1e345847-cdb3-4113-af8c-d913cb55a58c}</vt:lpwstr>
  </property>
  <property fmtid="{D5CDD505-2E9C-101B-9397-08002B2CF9AE}" pid="9" name="RecordPoint_ActiveItemWebId">
    <vt:lpwstr>{6d53a4ac-5f8b-47f1-9dc4-2ff41f67d727}</vt:lpwstr>
  </property>
  <property fmtid="{D5CDD505-2E9C-101B-9397-08002B2CF9AE}" pid="10" name="RecordPoint_RecordNumberSubmitted">
    <vt:lpwstr>R0001804915</vt:lpwstr>
  </property>
  <property fmtid="{D5CDD505-2E9C-101B-9397-08002B2CF9AE}" pid="11" name="RecordPoint_SubmissionCompleted">
    <vt:lpwstr>2018-07-20T15:19:17.3535553+10:00</vt:lpwstr>
  </property>
  <property fmtid="{D5CDD505-2E9C-101B-9397-08002B2CF9AE}" pid="12" name="_AdHocReviewCycleID">
    <vt:i4>-2063799989</vt:i4>
  </property>
  <property fmtid="{D5CDD505-2E9C-101B-9397-08002B2CF9AE}" pid="13" name="_NewReviewCycle">
    <vt:lpwstr/>
  </property>
  <property fmtid="{D5CDD505-2E9C-101B-9397-08002B2CF9AE}" pid="14" name="_EmailSubject">
    <vt:lpwstr>Black economy measure- TPRS- Consultation webpage [SEC=UNCLASSIFIED]</vt:lpwstr>
  </property>
  <property fmtid="{D5CDD505-2E9C-101B-9397-08002B2CF9AE}" pid="15" name="_AuthorEmail">
    <vt:lpwstr>Sumiti.Deo@TREASURY.GOV.AU</vt:lpwstr>
  </property>
  <property fmtid="{D5CDD505-2E9C-101B-9397-08002B2CF9AE}" pid="16" name="_AuthorEmailDisplayName">
    <vt:lpwstr>Deo, Sumiti</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_PreviousAdHocReviewCycleID">
    <vt:i4>600419376</vt:i4>
  </property>
</Properties>
</file>