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F6" w:rsidRPr="00374A75" w:rsidRDefault="00FE2DDF" w:rsidP="00FE2DDF">
      <w:pPr>
        <w:spacing w:line="276" w:lineRule="auto"/>
        <w:rPr>
          <w:rFonts w:asciiTheme="minorHAnsi" w:hAnsiTheme="minorHAnsi" w:cstheme="minorHAnsi"/>
          <w:sz w:val="22"/>
          <w:szCs w:val="22"/>
        </w:rPr>
      </w:pPr>
      <w:bookmarkStart w:id="0" w:name="_GoBack"/>
      <w:bookmarkEnd w:id="0"/>
      <w:r w:rsidRPr="00374A75">
        <w:rPr>
          <w:rFonts w:asciiTheme="minorHAnsi" w:hAnsiTheme="minorHAnsi" w:cstheme="minorHAnsi"/>
          <w:sz w:val="22"/>
          <w:szCs w:val="22"/>
        </w:rPr>
        <w:t>14 May 2012</w:t>
      </w:r>
    </w:p>
    <w:p w:rsidR="005A40F6" w:rsidRPr="00374A75" w:rsidRDefault="005A40F6" w:rsidP="00FE2DDF">
      <w:pPr>
        <w:spacing w:line="276" w:lineRule="auto"/>
        <w:rPr>
          <w:rFonts w:asciiTheme="minorHAnsi" w:hAnsiTheme="minorHAnsi" w:cstheme="minorHAnsi"/>
          <w:sz w:val="22"/>
          <w:szCs w:val="22"/>
        </w:rPr>
      </w:pPr>
    </w:p>
    <w:p w:rsidR="005A40F6"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Manager</w:t>
      </w: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Philanthrophy and Exemptions Unit</w:t>
      </w: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Indirect Tax Division</w:t>
      </w: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The Treasury</w:t>
      </w: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Langton Crescent</w:t>
      </w: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PARKES ACT 2600</w:t>
      </w:r>
    </w:p>
    <w:p w:rsidR="00FE2DDF" w:rsidRPr="00374A75" w:rsidRDefault="00FE2DDF" w:rsidP="00FE2DDF">
      <w:pPr>
        <w:spacing w:line="276" w:lineRule="auto"/>
        <w:rPr>
          <w:rFonts w:asciiTheme="minorHAnsi" w:hAnsiTheme="minorHAnsi" w:cstheme="minorHAnsi"/>
          <w:sz w:val="22"/>
          <w:szCs w:val="22"/>
        </w:rPr>
      </w:pPr>
    </w:p>
    <w:p w:rsidR="00FE2DDF" w:rsidRPr="00374A75" w:rsidRDefault="00FE2DDF" w:rsidP="00FE2DDF">
      <w:pPr>
        <w:spacing w:line="276" w:lineRule="auto"/>
        <w:rPr>
          <w:rFonts w:asciiTheme="minorHAnsi" w:hAnsiTheme="minorHAnsi" w:cstheme="minorHAnsi"/>
          <w:sz w:val="22"/>
          <w:szCs w:val="22"/>
        </w:rPr>
      </w:pPr>
      <w:r w:rsidRPr="00302745">
        <w:rPr>
          <w:rFonts w:asciiTheme="minorHAnsi" w:hAnsiTheme="minorHAnsi" w:cstheme="minorHAnsi"/>
          <w:i/>
          <w:sz w:val="22"/>
          <w:szCs w:val="22"/>
        </w:rPr>
        <w:t>Via email</w:t>
      </w:r>
      <w:r w:rsidRPr="00374A75">
        <w:rPr>
          <w:rFonts w:asciiTheme="minorHAnsi" w:hAnsiTheme="minorHAnsi" w:cstheme="minorHAnsi"/>
          <w:sz w:val="22"/>
          <w:szCs w:val="22"/>
        </w:rPr>
        <w:t xml:space="preserve">: </w:t>
      </w:r>
      <w:hyperlink r:id="rId8" w:history="1">
        <w:r w:rsidRPr="00374A75">
          <w:rPr>
            <w:rStyle w:val="Hyperlink"/>
            <w:rFonts w:asciiTheme="minorHAnsi" w:hAnsiTheme="minorHAnsi" w:cstheme="minorHAnsi"/>
            <w:sz w:val="22"/>
            <w:szCs w:val="22"/>
          </w:rPr>
          <w:t>NFPReform@treasury.gov.au</w:t>
        </w:r>
      </w:hyperlink>
      <w:r w:rsidRPr="00374A75">
        <w:rPr>
          <w:rFonts w:asciiTheme="minorHAnsi" w:hAnsiTheme="minorHAnsi" w:cstheme="minorHAnsi"/>
          <w:sz w:val="22"/>
          <w:szCs w:val="22"/>
        </w:rPr>
        <w:t xml:space="preserve"> </w:t>
      </w:r>
    </w:p>
    <w:p w:rsidR="00FE2DDF" w:rsidRPr="00374A75" w:rsidRDefault="00FE2DDF" w:rsidP="00FE2DDF">
      <w:pPr>
        <w:spacing w:line="276" w:lineRule="auto"/>
        <w:rPr>
          <w:rFonts w:asciiTheme="minorHAnsi" w:hAnsiTheme="minorHAnsi" w:cstheme="minorHAnsi"/>
          <w:sz w:val="22"/>
          <w:szCs w:val="22"/>
        </w:rPr>
      </w:pP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Dear Sir/Madam</w:t>
      </w:r>
    </w:p>
    <w:p w:rsidR="00FE2DDF" w:rsidRPr="00374A75" w:rsidRDefault="00FE2DDF" w:rsidP="00FE2DDF">
      <w:pPr>
        <w:spacing w:line="276" w:lineRule="auto"/>
        <w:rPr>
          <w:rFonts w:asciiTheme="minorHAnsi" w:hAnsiTheme="minorHAnsi" w:cstheme="minorHAnsi"/>
          <w:sz w:val="22"/>
          <w:szCs w:val="22"/>
        </w:rPr>
      </w:pPr>
    </w:p>
    <w:p w:rsidR="00FE2DDF" w:rsidRPr="00374A75" w:rsidRDefault="00FE2DDF" w:rsidP="00FE2DDF">
      <w:pPr>
        <w:spacing w:line="276" w:lineRule="auto"/>
        <w:rPr>
          <w:rFonts w:asciiTheme="minorHAnsi" w:hAnsiTheme="minorHAnsi" w:cstheme="minorHAnsi"/>
          <w:b/>
          <w:i/>
          <w:sz w:val="22"/>
          <w:szCs w:val="22"/>
        </w:rPr>
      </w:pPr>
      <w:r w:rsidRPr="00374A75">
        <w:rPr>
          <w:rFonts w:asciiTheme="minorHAnsi" w:hAnsiTheme="minorHAnsi" w:cstheme="minorHAnsi"/>
          <w:sz w:val="22"/>
          <w:szCs w:val="22"/>
        </w:rPr>
        <w:tab/>
      </w:r>
      <w:r w:rsidRPr="00374A75">
        <w:rPr>
          <w:rFonts w:asciiTheme="minorHAnsi" w:hAnsiTheme="minorHAnsi" w:cstheme="minorHAnsi"/>
          <w:b/>
          <w:i/>
          <w:sz w:val="22"/>
          <w:szCs w:val="22"/>
          <w:u w:val="single"/>
        </w:rPr>
        <w:t>Re</w:t>
      </w:r>
      <w:r w:rsidRPr="00374A75">
        <w:rPr>
          <w:rFonts w:asciiTheme="minorHAnsi" w:hAnsiTheme="minorHAnsi" w:cstheme="minorHAnsi"/>
          <w:b/>
          <w:sz w:val="22"/>
          <w:szCs w:val="22"/>
        </w:rPr>
        <w:t xml:space="preserve">: </w:t>
      </w:r>
      <w:r w:rsidRPr="00374A75">
        <w:rPr>
          <w:rFonts w:asciiTheme="minorHAnsi" w:hAnsiTheme="minorHAnsi" w:cstheme="minorHAnsi"/>
          <w:b/>
          <w:i/>
          <w:sz w:val="22"/>
          <w:szCs w:val="22"/>
        </w:rPr>
        <w:t xml:space="preserve">Exposure draft legislation on the ‘in Australia’ special conditions </w:t>
      </w:r>
    </w:p>
    <w:p w:rsidR="00FE2DDF" w:rsidRPr="00374A75" w:rsidRDefault="00FE2DDF" w:rsidP="00FE2DDF">
      <w:pPr>
        <w:spacing w:line="276" w:lineRule="auto"/>
        <w:ind w:firstLine="720"/>
        <w:rPr>
          <w:rFonts w:asciiTheme="minorHAnsi" w:hAnsiTheme="minorHAnsi" w:cstheme="minorHAnsi"/>
          <w:b/>
          <w:i/>
          <w:sz w:val="22"/>
          <w:szCs w:val="22"/>
        </w:rPr>
      </w:pPr>
      <w:proofErr w:type="gramStart"/>
      <w:r w:rsidRPr="00374A75">
        <w:rPr>
          <w:rFonts w:asciiTheme="minorHAnsi" w:hAnsiTheme="minorHAnsi" w:cstheme="minorHAnsi"/>
          <w:b/>
          <w:i/>
          <w:sz w:val="22"/>
          <w:szCs w:val="22"/>
        </w:rPr>
        <w:t>for</w:t>
      </w:r>
      <w:proofErr w:type="gramEnd"/>
      <w:r w:rsidRPr="00374A75">
        <w:rPr>
          <w:rFonts w:asciiTheme="minorHAnsi" w:hAnsiTheme="minorHAnsi" w:cstheme="minorHAnsi"/>
          <w:b/>
          <w:i/>
          <w:sz w:val="22"/>
          <w:szCs w:val="22"/>
        </w:rPr>
        <w:t xml:space="preserve"> tax concession entities</w:t>
      </w:r>
    </w:p>
    <w:p w:rsidR="00FE2DDF" w:rsidRPr="00374A75" w:rsidRDefault="00FE2DDF" w:rsidP="00FE2DDF">
      <w:pPr>
        <w:spacing w:line="276" w:lineRule="auto"/>
        <w:ind w:firstLine="720"/>
        <w:rPr>
          <w:rFonts w:asciiTheme="minorHAnsi" w:hAnsiTheme="minorHAnsi" w:cstheme="minorHAnsi"/>
          <w:sz w:val="22"/>
          <w:szCs w:val="22"/>
        </w:rPr>
      </w:pPr>
    </w:p>
    <w:p w:rsidR="00FE2DDF" w:rsidRPr="00374A75" w:rsidRDefault="00FE2DDF" w:rsidP="00FE2DDF">
      <w:pPr>
        <w:spacing w:line="276" w:lineRule="auto"/>
        <w:rPr>
          <w:rFonts w:asciiTheme="minorHAnsi" w:hAnsiTheme="minorHAnsi" w:cstheme="minorHAnsi"/>
          <w:sz w:val="22"/>
          <w:szCs w:val="22"/>
        </w:rPr>
      </w:pPr>
      <w:r w:rsidRPr="00374A75">
        <w:rPr>
          <w:rFonts w:asciiTheme="minorHAnsi" w:hAnsiTheme="minorHAnsi" w:cstheme="minorHAnsi"/>
          <w:sz w:val="22"/>
          <w:szCs w:val="22"/>
        </w:rPr>
        <w:t xml:space="preserve">I write on behalf of The Fred Hollows Foundation to express our deep concern </w:t>
      </w:r>
      <w:r w:rsidR="004E0BB3">
        <w:rPr>
          <w:rFonts w:asciiTheme="minorHAnsi" w:hAnsiTheme="minorHAnsi" w:cstheme="minorHAnsi"/>
          <w:sz w:val="22"/>
          <w:szCs w:val="22"/>
        </w:rPr>
        <w:t>about elements of this revised Exposure D</w:t>
      </w:r>
      <w:r w:rsidRPr="00374A75">
        <w:rPr>
          <w:rFonts w:asciiTheme="minorHAnsi" w:hAnsiTheme="minorHAnsi" w:cstheme="minorHAnsi"/>
          <w:sz w:val="22"/>
          <w:szCs w:val="22"/>
        </w:rPr>
        <w:t xml:space="preserve">raft. </w:t>
      </w:r>
      <w:r w:rsidR="00792BA3">
        <w:rPr>
          <w:rFonts w:asciiTheme="minorHAnsi" w:hAnsiTheme="minorHAnsi" w:cstheme="minorHAnsi"/>
          <w:sz w:val="22"/>
          <w:szCs w:val="22"/>
        </w:rPr>
        <w:t xml:space="preserve"> </w:t>
      </w:r>
      <w:r w:rsidRPr="00374A75">
        <w:rPr>
          <w:rFonts w:asciiTheme="minorHAnsi" w:hAnsiTheme="minorHAnsi" w:cstheme="minorHAnsi"/>
          <w:sz w:val="22"/>
          <w:szCs w:val="22"/>
        </w:rPr>
        <w:t xml:space="preserve">While we appreciate that </w:t>
      </w:r>
      <w:r w:rsidR="00534002">
        <w:rPr>
          <w:rFonts w:asciiTheme="minorHAnsi" w:hAnsiTheme="minorHAnsi" w:cstheme="minorHAnsi"/>
          <w:sz w:val="22"/>
          <w:szCs w:val="22"/>
        </w:rPr>
        <w:t xml:space="preserve">Treasury has addressed </w:t>
      </w:r>
      <w:r w:rsidRPr="00374A75">
        <w:rPr>
          <w:rFonts w:asciiTheme="minorHAnsi" w:hAnsiTheme="minorHAnsi" w:cstheme="minorHAnsi"/>
          <w:sz w:val="22"/>
          <w:szCs w:val="22"/>
        </w:rPr>
        <w:t xml:space="preserve">some of the problems in the first draft </w:t>
      </w:r>
      <w:r w:rsidR="00374A75" w:rsidRPr="00374A75">
        <w:rPr>
          <w:rFonts w:asciiTheme="minorHAnsi" w:hAnsiTheme="minorHAnsi" w:cstheme="minorHAnsi"/>
          <w:sz w:val="22"/>
          <w:szCs w:val="22"/>
        </w:rPr>
        <w:t>raised by ourselves and other</w:t>
      </w:r>
      <w:r w:rsidR="00534002">
        <w:rPr>
          <w:rFonts w:asciiTheme="minorHAnsi" w:hAnsiTheme="minorHAnsi" w:cstheme="minorHAnsi"/>
          <w:sz w:val="22"/>
          <w:szCs w:val="22"/>
        </w:rPr>
        <w:t>s in the international development sector,</w:t>
      </w:r>
      <w:r w:rsidRPr="00374A75">
        <w:rPr>
          <w:rFonts w:asciiTheme="minorHAnsi" w:hAnsiTheme="minorHAnsi" w:cstheme="minorHAnsi"/>
          <w:sz w:val="22"/>
          <w:szCs w:val="22"/>
        </w:rPr>
        <w:t xml:space="preserve"> </w:t>
      </w:r>
      <w:r w:rsidR="00374A75" w:rsidRPr="00374A75">
        <w:rPr>
          <w:rFonts w:asciiTheme="minorHAnsi" w:hAnsiTheme="minorHAnsi" w:cstheme="minorHAnsi"/>
          <w:sz w:val="22"/>
          <w:szCs w:val="22"/>
        </w:rPr>
        <w:t xml:space="preserve">three significant matters </w:t>
      </w:r>
      <w:r w:rsidR="00534002">
        <w:rPr>
          <w:rFonts w:asciiTheme="minorHAnsi" w:hAnsiTheme="minorHAnsi" w:cstheme="minorHAnsi"/>
          <w:sz w:val="22"/>
          <w:szCs w:val="22"/>
        </w:rPr>
        <w:t>remain that that will</w:t>
      </w:r>
      <w:r w:rsidR="00374A75" w:rsidRPr="00374A75">
        <w:rPr>
          <w:rFonts w:asciiTheme="minorHAnsi" w:hAnsiTheme="minorHAnsi" w:cstheme="minorHAnsi"/>
          <w:sz w:val="22"/>
          <w:szCs w:val="22"/>
        </w:rPr>
        <w:t xml:space="preserve"> have a </w:t>
      </w:r>
      <w:r w:rsidR="00534002">
        <w:rPr>
          <w:rFonts w:asciiTheme="minorHAnsi" w:hAnsiTheme="minorHAnsi" w:cstheme="minorHAnsi"/>
          <w:sz w:val="22"/>
          <w:szCs w:val="22"/>
        </w:rPr>
        <w:t xml:space="preserve">serious </w:t>
      </w:r>
      <w:r w:rsidR="00374A75" w:rsidRPr="00374A75">
        <w:rPr>
          <w:rFonts w:asciiTheme="minorHAnsi" w:hAnsiTheme="minorHAnsi" w:cstheme="minorHAnsi"/>
          <w:sz w:val="22"/>
          <w:szCs w:val="22"/>
        </w:rPr>
        <w:t xml:space="preserve">deleterious impact on </w:t>
      </w:r>
      <w:r w:rsidR="00534002">
        <w:rPr>
          <w:rFonts w:asciiTheme="minorHAnsi" w:hAnsiTheme="minorHAnsi" w:cstheme="minorHAnsi"/>
          <w:sz w:val="22"/>
          <w:szCs w:val="22"/>
        </w:rPr>
        <w:t xml:space="preserve">The Foundation </w:t>
      </w:r>
      <w:r w:rsidR="00374A75" w:rsidRPr="00374A75">
        <w:rPr>
          <w:rFonts w:asciiTheme="minorHAnsi" w:hAnsiTheme="minorHAnsi" w:cstheme="minorHAnsi"/>
          <w:sz w:val="22"/>
          <w:szCs w:val="22"/>
        </w:rPr>
        <w:t>if not corrected.</w:t>
      </w:r>
    </w:p>
    <w:p w:rsidR="00374A75" w:rsidRDefault="00374A75" w:rsidP="00FE2DDF">
      <w:pPr>
        <w:spacing w:line="276" w:lineRule="auto"/>
        <w:rPr>
          <w:rFonts w:asciiTheme="minorHAnsi" w:hAnsiTheme="minorHAnsi" w:cstheme="minorHAnsi"/>
          <w:sz w:val="22"/>
          <w:szCs w:val="22"/>
        </w:rPr>
      </w:pPr>
    </w:p>
    <w:p w:rsidR="00F237A1" w:rsidRDefault="004E0BB3" w:rsidP="00FE2DDF">
      <w:pPr>
        <w:spacing w:line="276" w:lineRule="auto"/>
        <w:rPr>
          <w:rFonts w:asciiTheme="minorHAnsi" w:hAnsiTheme="minorHAnsi" w:cstheme="minorHAnsi"/>
          <w:sz w:val="22"/>
          <w:szCs w:val="22"/>
        </w:rPr>
      </w:pPr>
      <w:r>
        <w:rPr>
          <w:rFonts w:asciiTheme="minorHAnsi" w:hAnsiTheme="minorHAnsi" w:cstheme="minorHAnsi"/>
          <w:sz w:val="22"/>
          <w:szCs w:val="22"/>
        </w:rPr>
        <w:t xml:space="preserve">As background, </w:t>
      </w:r>
      <w:r w:rsidR="00534002">
        <w:rPr>
          <w:rFonts w:asciiTheme="minorHAnsi" w:hAnsiTheme="minorHAnsi" w:cstheme="minorHAnsi"/>
          <w:sz w:val="22"/>
          <w:szCs w:val="22"/>
        </w:rPr>
        <w:t xml:space="preserve">the objects of </w:t>
      </w:r>
      <w:r w:rsidR="00374A75" w:rsidRPr="00374A75">
        <w:rPr>
          <w:rFonts w:asciiTheme="minorHAnsi" w:hAnsiTheme="minorHAnsi" w:cstheme="minorHAnsi"/>
          <w:sz w:val="22"/>
          <w:szCs w:val="22"/>
        </w:rPr>
        <w:t>The Foundation</w:t>
      </w:r>
      <w:r w:rsidR="00534002">
        <w:rPr>
          <w:rFonts w:asciiTheme="minorHAnsi" w:hAnsiTheme="minorHAnsi" w:cstheme="minorHAnsi"/>
          <w:sz w:val="22"/>
          <w:szCs w:val="22"/>
        </w:rPr>
        <w:t xml:space="preserve"> are to end avoidable blindness in developing countries and to improve Indigenous health. </w:t>
      </w:r>
      <w:r w:rsidR="00F237A1">
        <w:rPr>
          <w:rFonts w:asciiTheme="minorHAnsi" w:hAnsiTheme="minorHAnsi" w:cstheme="minorHAnsi"/>
          <w:sz w:val="22"/>
          <w:szCs w:val="22"/>
        </w:rPr>
        <w:t xml:space="preserve">Given this two-fold object, </w:t>
      </w:r>
      <w:r w:rsidR="00534002">
        <w:rPr>
          <w:rFonts w:asciiTheme="minorHAnsi" w:hAnsiTheme="minorHAnsi" w:cstheme="minorHAnsi"/>
          <w:sz w:val="22"/>
          <w:szCs w:val="22"/>
        </w:rPr>
        <w:t xml:space="preserve">we </w:t>
      </w:r>
      <w:r w:rsidR="00F237A1">
        <w:rPr>
          <w:rFonts w:asciiTheme="minorHAnsi" w:hAnsiTheme="minorHAnsi" w:cstheme="minorHAnsi"/>
          <w:sz w:val="22"/>
          <w:szCs w:val="22"/>
        </w:rPr>
        <w:t>differ from many other international development agencies in that we conduct programs</w:t>
      </w:r>
      <w:r w:rsidR="00534002">
        <w:rPr>
          <w:rFonts w:asciiTheme="minorHAnsi" w:hAnsiTheme="minorHAnsi" w:cstheme="minorHAnsi"/>
          <w:sz w:val="22"/>
          <w:szCs w:val="22"/>
        </w:rPr>
        <w:t xml:space="preserve"> both in Australia</w:t>
      </w:r>
      <w:r w:rsidR="00F237A1">
        <w:rPr>
          <w:rFonts w:asciiTheme="minorHAnsi" w:hAnsiTheme="minorHAnsi" w:cstheme="minorHAnsi"/>
          <w:sz w:val="22"/>
          <w:szCs w:val="22"/>
        </w:rPr>
        <w:t xml:space="preserve"> and overseas.  </w:t>
      </w:r>
    </w:p>
    <w:p w:rsidR="00F237A1" w:rsidRDefault="00F237A1" w:rsidP="00FE2DDF">
      <w:pPr>
        <w:spacing w:line="276" w:lineRule="auto"/>
        <w:rPr>
          <w:rFonts w:asciiTheme="minorHAnsi" w:hAnsiTheme="minorHAnsi" w:cstheme="minorHAnsi"/>
          <w:sz w:val="22"/>
          <w:szCs w:val="22"/>
        </w:rPr>
      </w:pPr>
    </w:p>
    <w:p w:rsidR="00F237A1" w:rsidRDefault="00F237A1" w:rsidP="00FE2DDF">
      <w:pPr>
        <w:spacing w:line="276" w:lineRule="auto"/>
        <w:rPr>
          <w:rFonts w:asciiTheme="minorHAnsi" w:hAnsiTheme="minorHAnsi" w:cstheme="minorHAnsi"/>
          <w:sz w:val="22"/>
          <w:szCs w:val="22"/>
        </w:rPr>
      </w:pPr>
      <w:r>
        <w:rPr>
          <w:rFonts w:asciiTheme="minorHAnsi" w:hAnsiTheme="minorHAnsi" w:cstheme="minorHAnsi"/>
          <w:sz w:val="22"/>
          <w:szCs w:val="22"/>
        </w:rPr>
        <w:t xml:space="preserve">To date the Australian Government has supported this dual focus to our work – both through direct grants and through tax concessions.  The Foundation has </w:t>
      </w:r>
      <w:r w:rsidR="00374A75" w:rsidRPr="00374A75">
        <w:rPr>
          <w:rFonts w:asciiTheme="minorHAnsi" w:hAnsiTheme="minorHAnsi" w:cstheme="minorHAnsi"/>
          <w:sz w:val="22"/>
          <w:szCs w:val="22"/>
        </w:rPr>
        <w:t>whole-of-organisation Deductible Gift Recipient (DGR) endorsement as a Health Promotion Charity</w:t>
      </w:r>
      <w:r w:rsidR="004E0BB3">
        <w:rPr>
          <w:rFonts w:asciiTheme="minorHAnsi" w:hAnsiTheme="minorHAnsi" w:cstheme="minorHAnsi"/>
          <w:sz w:val="22"/>
          <w:szCs w:val="22"/>
        </w:rPr>
        <w:t xml:space="preserve"> (HPC)</w:t>
      </w:r>
      <w:r w:rsidR="00534002">
        <w:rPr>
          <w:rFonts w:asciiTheme="minorHAnsi" w:hAnsiTheme="minorHAnsi" w:cstheme="minorHAnsi"/>
          <w:sz w:val="22"/>
          <w:szCs w:val="22"/>
        </w:rPr>
        <w:t xml:space="preserve"> as well as</w:t>
      </w:r>
      <w:r w:rsidR="00374A75" w:rsidRPr="00374A75">
        <w:rPr>
          <w:rFonts w:asciiTheme="minorHAnsi" w:hAnsiTheme="minorHAnsi" w:cstheme="minorHAnsi"/>
          <w:sz w:val="22"/>
          <w:szCs w:val="22"/>
        </w:rPr>
        <w:t xml:space="preserve"> two DGR endorsed funds – an Overseas Aid Fund and an Aboriginal Fund. </w:t>
      </w:r>
      <w:r w:rsidR="00792BA3">
        <w:rPr>
          <w:rFonts w:asciiTheme="minorHAnsi" w:hAnsiTheme="minorHAnsi" w:cstheme="minorHAnsi"/>
          <w:sz w:val="22"/>
          <w:szCs w:val="22"/>
        </w:rPr>
        <w:t xml:space="preserve"> </w:t>
      </w:r>
    </w:p>
    <w:p w:rsidR="00F237A1" w:rsidRDefault="00F237A1" w:rsidP="00FE2DDF">
      <w:pPr>
        <w:spacing w:line="276" w:lineRule="auto"/>
        <w:rPr>
          <w:rFonts w:asciiTheme="minorHAnsi" w:hAnsiTheme="minorHAnsi" w:cstheme="minorHAnsi"/>
          <w:sz w:val="22"/>
          <w:szCs w:val="22"/>
        </w:rPr>
      </w:pPr>
    </w:p>
    <w:p w:rsidR="00AC056A" w:rsidRDefault="00F237A1" w:rsidP="009B1759">
      <w:pPr>
        <w:spacing w:line="276" w:lineRule="auto"/>
        <w:rPr>
          <w:rFonts w:asciiTheme="minorHAnsi" w:hAnsiTheme="minorHAnsi" w:cstheme="minorHAnsi"/>
          <w:sz w:val="22"/>
          <w:szCs w:val="22"/>
        </w:rPr>
      </w:pPr>
      <w:r>
        <w:rPr>
          <w:rFonts w:asciiTheme="minorHAnsi" w:hAnsiTheme="minorHAnsi" w:cstheme="minorHAnsi"/>
          <w:sz w:val="22"/>
          <w:szCs w:val="22"/>
        </w:rPr>
        <w:t>Our main concern is that</w:t>
      </w:r>
      <w:r w:rsidR="006E5525">
        <w:rPr>
          <w:rFonts w:asciiTheme="minorHAnsi" w:hAnsiTheme="minorHAnsi" w:cstheme="minorHAnsi"/>
          <w:sz w:val="22"/>
          <w:szCs w:val="22"/>
        </w:rPr>
        <w:t xml:space="preserve">, as currently drafted, the proposed legislation </w:t>
      </w:r>
      <w:r w:rsidR="001A7852">
        <w:rPr>
          <w:rFonts w:asciiTheme="minorHAnsi" w:hAnsiTheme="minorHAnsi" w:cstheme="minorHAnsi"/>
          <w:sz w:val="22"/>
          <w:szCs w:val="22"/>
        </w:rPr>
        <w:t>puts our</w:t>
      </w:r>
      <w:r w:rsidR="004E0BB3">
        <w:rPr>
          <w:rFonts w:asciiTheme="minorHAnsi" w:hAnsiTheme="minorHAnsi" w:cstheme="minorHAnsi"/>
          <w:sz w:val="22"/>
          <w:szCs w:val="22"/>
        </w:rPr>
        <w:t xml:space="preserve"> whole-of-organisation </w:t>
      </w:r>
      <w:proofErr w:type="gramStart"/>
      <w:r w:rsidR="004E0BB3">
        <w:rPr>
          <w:rFonts w:asciiTheme="minorHAnsi" w:hAnsiTheme="minorHAnsi" w:cstheme="minorHAnsi"/>
          <w:sz w:val="22"/>
          <w:szCs w:val="22"/>
        </w:rPr>
        <w:t xml:space="preserve">DGR status </w:t>
      </w:r>
      <w:r w:rsidR="00792BA3">
        <w:rPr>
          <w:rFonts w:asciiTheme="minorHAnsi" w:hAnsiTheme="minorHAnsi" w:cstheme="minorHAnsi"/>
          <w:sz w:val="22"/>
          <w:szCs w:val="22"/>
        </w:rPr>
        <w:t>at risk</w:t>
      </w:r>
      <w:r w:rsidR="00BA7392">
        <w:rPr>
          <w:rFonts w:asciiTheme="minorHAnsi" w:hAnsiTheme="minorHAnsi" w:cstheme="minorHAnsi"/>
          <w:sz w:val="22"/>
          <w:szCs w:val="22"/>
        </w:rPr>
        <w:t xml:space="preserve"> – precisely because we operate both in Australia and overseas</w:t>
      </w:r>
      <w:r>
        <w:rPr>
          <w:rFonts w:asciiTheme="minorHAnsi" w:hAnsiTheme="minorHAnsi" w:cstheme="minorHAnsi"/>
          <w:sz w:val="22"/>
          <w:szCs w:val="22"/>
        </w:rPr>
        <w:t>.</w:t>
      </w:r>
      <w:proofErr w:type="gramEnd"/>
      <w:r w:rsidR="001148AB">
        <w:rPr>
          <w:rFonts w:asciiTheme="minorHAnsi" w:hAnsiTheme="minorHAnsi" w:cstheme="minorHAnsi"/>
          <w:sz w:val="22"/>
          <w:szCs w:val="22"/>
        </w:rPr>
        <w:t xml:space="preserve"> </w:t>
      </w:r>
    </w:p>
    <w:p w:rsidR="009B1759" w:rsidRPr="00AC056A" w:rsidRDefault="009B1759" w:rsidP="009B1759">
      <w:pPr>
        <w:spacing w:line="276" w:lineRule="auto"/>
        <w:rPr>
          <w:rFonts w:asciiTheme="minorHAnsi" w:hAnsiTheme="minorHAnsi" w:cstheme="minorHAnsi"/>
          <w:b/>
          <w:sz w:val="22"/>
          <w:szCs w:val="22"/>
          <w:u w:val="single"/>
        </w:rPr>
      </w:pPr>
    </w:p>
    <w:p w:rsidR="00BA7392" w:rsidRDefault="009B1759" w:rsidP="0082721B">
      <w:pPr>
        <w:spacing w:line="276" w:lineRule="auto"/>
        <w:rPr>
          <w:rFonts w:asciiTheme="minorHAnsi" w:hAnsiTheme="minorHAnsi" w:cstheme="minorHAnsi"/>
          <w:sz w:val="22"/>
          <w:szCs w:val="22"/>
        </w:rPr>
      </w:pPr>
      <w:r>
        <w:rPr>
          <w:rFonts w:asciiTheme="minorHAnsi" w:hAnsiTheme="minorHAnsi" w:cstheme="minorHAnsi"/>
          <w:sz w:val="22"/>
          <w:szCs w:val="22"/>
        </w:rPr>
        <w:t xml:space="preserve">The main problem resides in the drafting of </w:t>
      </w:r>
      <w:r w:rsidR="006E5525">
        <w:rPr>
          <w:rFonts w:asciiTheme="minorHAnsi" w:hAnsiTheme="minorHAnsi" w:cstheme="minorHAnsi"/>
          <w:sz w:val="22"/>
          <w:szCs w:val="22"/>
        </w:rPr>
        <w:t xml:space="preserve">Section </w:t>
      </w:r>
      <w:r w:rsidR="00302745">
        <w:rPr>
          <w:rFonts w:asciiTheme="minorHAnsi" w:hAnsiTheme="minorHAnsi" w:cstheme="minorHAnsi"/>
          <w:sz w:val="22"/>
          <w:szCs w:val="22"/>
        </w:rPr>
        <w:t>30-18</w:t>
      </w:r>
      <w:r w:rsidR="006E5525">
        <w:rPr>
          <w:rFonts w:asciiTheme="minorHAnsi" w:hAnsiTheme="minorHAnsi" w:cstheme="minorHAnsi"/>
          <w:sz w:val="22"/>
          <w:szCs w:val="22"/>
        </w:rPr>
        <w:t xml:space="preserve"> </w:t>
      </w:r>
      <w:r w:rsidR="00BA7392">
        <w:rPr>
          <w:rFonts w:asciiTheme="minorHAnsi" w:hAnsiTheme="minorHAnsi" w:cstheme="minorHAnsi"/>
          <w:sz w:val="22"/>
          <w:szCs w:val="22"/>
        </w:rPr>
        <w:t xml:space="preserve">which first </w:t>
      </w:r>
      <w:r w:rsidR="006E5525">
        <w:rPr>
          <w:rFonts w:asciiTheme="minorHAnsi" w:hAnsiTheme="minorHAnsi" w:cstheme="minorHAnsi"/>
          <w:sz w:val="22"/>
          <w:szCs w:val="22"/>
        </w:rPr>
        <w:t xml:space="preserve">sets out the basic rule for entitlement to </w:t>
      </w:r>
      <w:r w:rsidR="00BA7392">
        <w:rPr>
          <w:rFonts w:asciiTheme="minorHAnsi" w:hAnsiTheme="minorHAnsi" w:cstheme="minorHAnsi"/>
          <w:sz w:val="22"/>
          <w:szCs w:val="22"/>
        </w:rPr>
        <w:t>DGR endorsement (</w:t>
      </w:r>
      <w:r w:rsidR="006E5525">
        <w:rPr>
          <w:rFonts w:asciiTheme="minorHAnsi" w:hAnsiTheme="minorHAnsi" w:cstheme="minorHAnsi"/>
          <w:sz w:val="22"/>
          <w:szCs w:val="22"/>
        </w:rPr>
        <w:t>that a fund</w:t>
      </w:r>
      <w:r w:rsidR="00302745">
        <w:rPr>
          <w:rFonts w:asciiTheme="minorHAnsi" w:hAnsiTheme="minorHAnsi" w:cstheme="minorHAnsi"/>
          <w:sz w:val="22"/>
          <w:szCs w:val="22"/>
        </w:rPr>
        <w:t>,</w:t>
      </w:r>
      <w:r w:rsidR="006E5525">
        <w:rPr>
          <w:rFonts w:asciiTheme="minorHAnsi" w:hAnsiTheme="minorHAnsi" w:cstheme="minorHAnsi"/>
          <w:sz w:val="22"/>
          <w:szCs w:val="22"/>
        </w:rPr>
        <w:t xml:space="preserve"> authority or institution </w:t>
      </w:r>
      <w:r w:rsidR="001148AB">
        <w:rPr>
          <w:rFonts w:asciiTheme="minorHAnsi" w:hAnsiTheme="minorHAnsi" w:cstheme="minorHAnsi"/>
          <w:sz w:val="22"/>
          <w:szCs w:val="22"/>
        </w:rPr>
        <w:t>must</w:t>
      </w:r>
      <w:r w:rsidR="00F237A1">
        <w:rPr>
          <w:rFonts w:asciiTheme="minorHAnsi" w:hAnsiTheme="minorHAnsi" w:cstheme="minorHAnsi"/>
          <w:sz w:val="22"/>
          <w:szCs w:val="22"/>
        </w:rPr>
        <w:t xml:space="preserve"> </w:t>
      </w:r>
      <w:r w:rsidR="00F237A1" w:rsidRPr="00F237A1">
        <w:rPr>
          <w:rFonts w:asciiTheme="minorHAnsi" w:hAnsiTheme="minorHAnsi" w:cstheme="minorHAnsi"/>
          <w:sz w:val="22"/>
          <w:szCs w:val="22"/>
        </w:rPr>
        <w:t>b</w:t>
      </w:r>
      <w:r w:rsidR="001148AB" w:rsidRPr="00F237A1">
        <w:rPr>
          <w:rFonts w:asciiTheme="minorHAnsi" w:hAnsiTheme="minorHAnsi" w:cstheme="minorHAnsi"/>
          <w:sz w:val="22"/>
          <w:szCs w:val="22"/>
        </w:rPr>
        <w:t xml:space="preserve">e </w:t>
      </w:r>
      <w:r w:rsidR="00F237A1">
        <w:rPr>
          <w:rFonts w:asciiTheme="minorHAnsi" w:hAnsiTheme="minorHAnsi" w:cstheme="minorHAnsi"/>
          <w:sz w:val="22"/>
          <w:szCs w:val="22"/>
        </w:rPr>
        <w:t>established in Australia,</w:t>
      </w:r>
      <w:r w:rsidR="001148AB" w:rsidRPr="00F237A1">
        <w:rPr>
          <w:rFonts w:asciiTheme="minorHAnsi" w:hAnsiTheme="minorHAnsi" w:cstheme="minorHAnsi"/>
          <w:sz w:val="22"/>
          <w:szCs w:val="22"/>
        </w:rPr>
        <w:t xml:space="preserve"> </w:t>
      </w:r>
      <w:r w:rsidR="00F237A1" w:rsidRPr="00F237A1">
        <w:rPr>
          <w:rFonts w:asciiTheme="minorHAnsi" w:hAnsiTheme="minorHAnsi" w:cstheme="minorHAnsi"/>
          <w:sz w:val="22"/>
          <w:szCs w:val="22"/>
        </w:rPr>
        <w:t>o</w:t>
      </w:r>
      <w:r w:rsidR="001148AB" w:rsidRPr="00F237A1">
        <w:rPr>
          <w:rFonts w:asciiTheme="minorHAnsi" w:hAnsiTheme="minorHAnsi" w:cstheme="minorHAnsi"/>
          <w:sz w:val="22"/>
          <w:szCs w:val="22"/>
        </w:rPr>
        <w:t xml:space="preserve">perate </w:t>
      </w:r>
      <w:r w:rsidR="00F237A1">
        <w:rPr>
          <w:rFonts w:asciiTheme="minorHAnsi" w:hAnsiTheme="minorHAnsi" w:cstheme="minorHAnsi"/>
          <w:sz w:val="22"/>
          <w:szCs w:val="22"/>
        </w:rPr>
        <w:t>solely in Australia,</w:t>
      </w:r>
      <w:r w:rsidR="001148AB" w:rsidRPr="00F237A1">
        <w:rPr>
          <w:rFonts w:asciiTheme="minorHAnsi" w:hAnsiTheme="minorHAnsi" w:cstheme="minorHAnsi"/>
          <w:sz w:val="22"/>
          <w:szCs w:val="22"/>
        </w:rPr>
        <w:t xml:space="preserve"> </w:t>
      </w:r>
      <w:r w:rsidR="001148AB" w:rsidRPr="00BA7392">
        <w:rPr>
          <w:rFonts w:asciiTheme="minorHAnsi" w:hAnsiTheme="minorHAnsi" w:cstheme="minorHAnsi"/>
          <w:sz w:val="22"/>
          <w:szCs w:val="22"/>
        </w:rPr>
        <w:t xml:space="preserve">and </w:t>
      </w:r>
      <w:r w:rsidR="00F237A1" w:rsidRPr="00F237A1">
        <w:rPr>
          <w:rFonts w:asciiTheme="minorHAnsi" w:hAnsiTheme="minorHAnsi" w:cstheme="minorHAnsi"/>
          <w:sz w:val="22"/>
          <w:szCs w:val="22"/>
        </w:rPr>
        <w:t>p</w:t>
      </w:r>
      <w:r w:rsidR="001148AB" w:rsidRPr="00F237A1">
        <w:rPr>
          <w:rFonts w:asciiTheme="minorHAnsi" w:hAnsiTheme="minorHAnsi" w:cstheme="minorHAnsi"/>
          <w:sz w:val="22"/>
          <w:szCs w:val="22"/>
        </w:rPr>
        <w:t>ursue its purposes solely in Australia</w:t>
      </w:r>
      <w:r w:rsidR="00BA7392">
        <w:rPr>
          <w:rFonts w:asciiTheme="minorHAnsi" w:hAnsiTheme="minorHAnsi" w:cstheme="minorHAnsi"/>
          <w:sz w:val="22"/>
          <w:szCs w:val="22"/>
        </w:rPr>
        <w:t xml:space="preserve">), </w:t>
      </w:r>
      <w:r w:rsidR="00AC056A">
        <w:rPr>
          <w:rFonts w:asciiTheme="minorHAnsi" w:hAnsiTheme="minorHAnsi" w:cstheme="minorHAnsi"/>
          <w:sz w:val="22"/>
          <w:szCs w:val="22"/>
        </w:rPr>
        <w:t>and</w:t>
      </w:r>
      <w:r w:rsidR="006E5525">
        <w:rPr>
          <w:rFonts w:asciiTheme="minorHAnsi" w:hAnsiTheme="minorHAnsi" w:cstheme="minorHAnsi"/>
          <w:sz w:val="22"/>
          <w:szCs w:val="22"/>
        </w:rPr>
        <w:t xml:space="preserve"> the</w:t>
      </w:r>
      <w:r w:rsidR="00BA7392">
        <w:rPr>
          <w:rFonts w:asciiTheme="minorHAnsi" w:hAnsiTheme="minorHAnsi" w:cstheme="minorHAnsi"/>
          <w:sz w:val="22"/>
          <w:szCs w:val="22"/>
        </w:rPr>
        <w:t>n provides some</w:t>
      </w:r>
      <w:r w:rsidR="006E5525">
        <w:rPr>
          <w:rFonts w:asciiTheme="minorHAnsi" w:hAnsiTheme="minorHAnsi" w:cstheme="minorHAnsi"/>
          <w:sz w:val="22"/>
          <w:szCs w:val="22"/>
        </w:rPr>
        <w:t xml:space="preserve"> exceptions to this rule</w:t>
      </w:r>
      <w:r w:rsidR="001148AB" w:rsidRPr="00F237A1">
        <w:rPr>
          <w:rFonts w:asciiTheme="minorHAnsi" w:hAnsiTheme="minorHAnsi" w:cstheme="minorHAnsi"/>
          <w:sz w:val="22"/>
          <w:szCs w:val="22"/>
        </w:rPr>
        <w:t>.</w:t>
      </w:r>
      <w:r w:rsidR="006E5525">
        <w:rPr>
          <w:rFonts w:asciiTheme="minorHAnsi" w:hAnsiTheme="minorHAnsi" w:cstheme="minorHAnsi"/>
          <w:sz w:val="22"/>
          <w:szCs w:val="22"/>
        </w:rPr>
        <w:t xml:space="preserve"> </w:t>
      </w:r>
    </w:p>
    <w:p w:rsidR="00BA7392" w:rsidRDefault="00BA7392" w:rsidP="0082721B">
      <w:pPr>
        <w:spacing w:line="276" w:lineRule="auto"/>
        <w:rPr>
          <w:rFonts w:asciiTheme="minorHAnsi" w:hAnsiTheme="minorHAnsi" w:cstheme="minorHAnsi"/>
          <w:sz w:val="22"/>
          <w:szCs w:val="22"/>
        </w:rPr>
      </w:pPr>
    </w:p>
    <w:p w:rsidR="00BA7392" w:rsidRDefault="0066296C" w:rsidP="0082721B">
      <w:pPr>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While </w:t>
      </w:r>
      <w:r w:rsidR="009B1759">
        <w:rPr>
          <w:rFonts w:asciiTheme="minorHAnsi" w:hAnsiTheme="minorHAnsi" w:cstheme="minorHAnsi"/>
          <w:sz w:val="22"/>
          <w:szCs w:val="22"/>
        </w:rPr>
        <w:t xml:space="preserve">sub-Section </w:t>
      </w:r>
      <w:r>
        <w:rPr>
          <w:rFonts w:asciiTheme="minorHAnsi" w:hAnsiTheme="minorHAnsi" w:cstheme="minorHAnsi"/>
          <w:sz w:val="22"/>
          <w:szCs w:val="22"/>
        </w:rPr>
        <w:t xml:space="preserve">30-18(4) allows our Overseas Aid Fund to continue to receive DGR endorsement, our </w:t>
      </w:r>
      <w:r w:rsidRPr="0066296C">
        <w:rPr>
          <w:rFonts w:asciiTheme="minorHAnsi" w:hAnsiTheme="minorHAnsi" w:cstheme="minorHAnsi"/>
          <w:i/>
          <w:sz w:val="22"/>
          <w:szCs w:val="22"/>
        </w:rPr>
        <w:t>whole-of organisation</w:t>
      </w:r>
      <w:r>
        <w:rPr>
          <w:rFonts w:asciiTheme="minorHAnsi" w:hAnsiTheme="minorHAnsi" w:cstheme="minorHAnsi"/>
          <w:sz w:val="22"/>
          <w:szCs w:val="22"/>
        </w:rPr>
        <w:t xml:space="preserve"> DGR endorsement is still governed by 30-18(2)</w:t>
      </w:r>
      <w:r w:rsidR="0082721B">
        <w:rPr>
          <w:rFonts w:asciiTheme="minorHAnsi" w:hAnsiTheme="minorHAnsi" w:cstheme="minorHAnsi"/>
          <w:sz w:val="22"/>
          <w:szCs w:val="22"/>
        </w:rPr>
        <w:t xml:space="preserve"> which specifies</w:t>
      </w:r>
      <w:r>
        <w:rPr>
          <w:rFonts w:asciiTheme="minorHAnsi" w:hAnsiTheme="minorHAnsi" w:cstheme="minorHAnsi"/>
          <w:sz w:val="22"/>
          <w:szCs w:val="22"/>
        </w:rPr>
        <w:t xml:space="preserve"> that an institution </w:t>
      </w:r>
      <w:r w:rsidR="00BA7392">
        <w:rPr>
          <w:rFonts w:asciiTheme="minorHAnsi" w:hAnsiTheme="minorHAnsi" w:cstheme="minorHAnsi"/>
          <w:sz w:val="22"/>
          <w:szCs w:val="22"/>
        </w:rPr>
        <w:t xml:space="preserve">(as distinct from a fund) </w:t>
      </w:r>
      <w:r w:rsidR="0082721B">
        <w:rPr>
          <w:rFonts w:asciiTheme="minorHAnsi" w:hAnsiTheme="minorHAnsi" w:cstheme="minorHAnsi"/>
          <w:sz w:val="22"/>
          <w:szCs w:val="22"/>
        </w:rPr>
        <w:t>will</w:t>
      </w:r>
      <w:r>
        <w:rPr>
          <w:rFonts w:asciiTheme="minorHAnsi" w:hAnsiTheme="minorHAnsi" w:cstheme="minorHAnsi"/>
          <w:sz w:val="22"/>
          <w:szCs w:val="22"/>
        </w:rPr>
        <w:t xml:space="preserve"> fail </w:t>
      </w:r>
      <w:r w:rsidR="0082721B">
        <w:rPr>
          <w:rFonts w:asciiTheme="minorHAnsi" w:hAnsiTheme="minorHAnsi" w:cstheme="minorHAnsi"/>
          <w:sz w:val="22"/>
          <w:szCs w:val="22"/>
        </w:rPr>
        <w:t>to meet the ‘i</w:t>
      </w:r>
      <w:r>
        <w:rPr>
          <w:rFonts w:asciiTheme="minorHAnsi" w:hAnsiTheme="minorHAnsi" w:cstheme="minorHAnsi"/>
          <w:sz w:val="22"/>
          <w:szCs w:val="22"/>
        </w:rPr>
        <w:t>n-Australia</w:t>
      </w:r>
      <w:r w:rsidR="0082721B">
        <w:rPr>
          <w:rFonts w:asciiTheme="minorHAnsi" w:hAnsiTheme="minorHAnsi" w:cstheme="minorHAnsi"/>
          <w:sz w:val="22"/>
          <w:szCs w:val="22"/>
        </w:rPr>
        <w:t>’</w:t>
      </w:r>
      <w:r>
        <w:rPr>
          <w:rFonts w:asciiTheme="minorHAnsi" w:hAnsiTheme="minorHAnsi" w:cstheme="minorHAnsi"/>
          <w:sz w:val="22"/>
          <w:szCs w:val="22"/>
        </w:rPr>
        <w:t xml:space="preserve"> test </w:t>
      </w:r>
      <w:r w:rsidR="0082721B">
        <w:rPr>
          <w:rFonts w:asciiTheme="minorHAnsi" w:hAnsiTheme="minorHAnsi" w:cstheme="minorHAnsi"/>
          <w:sz w:val="22"/>
          <w:szCs w:val="22"/>
        </w:rPr>
        <w:t>unless</w:t>
      </w:r>
      <w:r>
        <w:rPr>
          <w:rFonts w:asciiTheme="minorHAnsi" w:hAnsiTheme="minorHAnsi" w:cstheme="minorHAnsi"/>
          <w:sz w:val="22"/>
          <w:szCs w:val="22"/>
        </w:rPr>
        <w:t xml:space="preserve"> its overseas activities are merely </w:t>
      </w:r>
      <w:r w:rsidR="00BC0ABE">
        <w:rPr>
          <w:rFonts w:asciiTheme="minorHAnsi" w:hAnsiTheme="minorHAnsi" w:cstheme="minorHAnsi"/>
          <w:sz w:val="22"/>
          <w:szCs w:val="22"/>
        </w:rPr>
        <w:t>“</w:t>
      </w:r>
      <w:r>
        <w:rPr>
          <w:rFonts w:asciiTheme="minorHAnsi" w:hAnsiTheme="minorHAnsi" w:cstheme="minorHAnsi"/>
          <w:sz w:val="22"/>
          <w:szCs w:val="22"/>
        </w:rPr>
        <w:t>incidental</w:t>
      </w:r>
      <w:r w:rsidR="00BC0ABE">
        <w:rPr>
          <w:rFonts w:asciiTheme="minorHAnsi" w:hAnsiTheme="minorHAnsi" w:cstheme="minorHAnsi"/>
          <w:sz w:val="22"/>
          <w:szCs w:val="22"/>
        </w:rPr>
        <w:t>”</w:t>
      </w:r>
      <w:r>
        <w:rPr>
          <w:rFonts w:asciiTheme="minorHAnsi" w:hAnsiTheme="minorHAnsi" w:cstheme="minorHAnsi"/>
          <w:sz w:val="22"/>
          <w:szCs w:val="22"/>
        </w:rPr>
        <w:t xml:space="preserve"> or of </w:t>
      </w:r>
      <w:r w:rsidR="00BC0ABE">
        <w:rPr>
          <w:rFonts w:asciiTheme="minorHAnsi" w:hAnsiTheme="minorHAnsi" w:cstheme="minorHAnsi"/>
          <w:sz w:val="22"/>
          <w:szCs w:val="22"/>
        </w:rPr>
        <w:t>“</w:t>
      </w:r>
      <w:r>
        <w:rPr>
          <w:rFonts w:asciiTheme="minorHAnsi" w:hAnsiTheme="minorHAnsi" w:cstheme="minorHAnsi"/>
          <w:sz w:val="22"/>
          <w:szCs w:val="22"/>
        </w:rPr>
        <w:t>minor importance</w:t>
      </w:r>
      <w:r w:rsidR="00BC0ABE">
        <w:rPr>
          <w:rFonts w:asciiTheme="minorHAnsi" w:hAnsiTheme="minorHAnsi" w:cstheme="minorHAnsi"/>
          <w:sz w:val="22"/>
          <w:szCs w:val="22"/>
        </w:rPr>
        <w:t>”</w:t>
      </w:r>
      <w:r>
        <w:rPr>
          <w:rFonts w:asciiTheme="minorHAnsi" w:hAnsiTheme="minorHAnsi" w:cstheme="minorHAnsi"/>
          <w:sz w:val="22"/>
          <w:szCs w:val="22"/>
        </w:rPr>
        <w:t xml:space="preserve"> </w:t>
      </w:r>
      <w:r w:rsidR="00BC0ABE">
        <w:rPr>
          <w:rFonts w:asciiTheme="minorHAnsi" w:hAnsiTheme="minorHAnsi" w:cstheme="minorHAnsi"/>
          <w:sz w:val="22"/>
          <w:szCs w:val="22"/>
        </w:rPr>
        <w:t>in comparison to</w:t>
      </w:r>
      <w:r>
        <w:rPr>
          <w:rFonts w:asciiTheme="minorHAnsi" w:hAnsiTheme="minorHAnsi" w:cstheme="minorHAnsi"/>
          <w:sz w:val="22"/>
          <w:szCs w:val="22"/>
        </w:rPr>
        <w:t xml:space="preserve"> to its activities in Australia.  </w:t>
      </w:r>
      <w:r w:rsidR="0082721B">
        <w:rPr>
          <w:rFonts w:asciiTheme="minorHAnsi" w:hAnsiTheme="minorHAnsi" w:cstheme="minorHAnsi"/>
          <w:sz w:val="22"/>
          <w:szCs w:val="22"/>
        </w:rPr>
        <w:t>This is an activity based test that The Foundation as a whole</w:t>
      </w:r>
      <w:r w:rsidR="00BC0ABE">
        <w:rPr>
          <w:rFonts w:asciiTheme="minorHAnsi" w:hAnsiTheme="minorHAnsi" w:cstheme="minorHAnsi"/>
          <w:sz w:val="22"/>
          <w:szCs w:val="22"/>
        </w:rPr>
        <w:t xml:space="preserve"> can neither meet nor should be expected to meet.</w:t>
      </w:r>
      <w:r w:rsidR="00BA7392">
        <w:rPr>
          <w:rFonts w:asciiTheme="minorHAnsi" w:hAnsiTheme="minorHAnsi" w:cstheme="minorHAnsi"/>
          <w:sz w:val="22"/>
          <w:szCs w:val="22"/>
        </w:rPr>
        <w:t xml:space="preserve">   </w:t>
      </w:r>
      <w:r w:rsidR="0082721B">
        <w:rPr>
          <w:rFonts w:asciiTheme="minorHAnsi" w:hAnsiTheme="minorHAnsi" w:cstheme="minorHAnsi"/>
          <w:sz w:val="22"/>
          <w:szCs w:val="22"/>
        </w:rPr>
        <w:t xml:space="preserve"> </w:t>
      </w:r>
    </w:p>
    <w:p w:rsidR="00BA7392" w:rsidRDefault="00BA7392" w:rsidP="0082721B">
      <w:pPr>
        <w:spacing w:line="276" w:lineRule="auto"/>
        <w:rPr>
          <w:rFonts w:asciiTheme="minorHAnsi" w:hAnsiTheme="minorHAnsi" w:cstheme="minorHAnsi"/>
          <w:sz w:val="22"/>
          <w:szCs w:val="22"/>
        </w:rPr>
      </w:pPr>
    </w:p>
    <w:p w:rsidR="00957DE7" w:rsidRDefault="00BA7392" w:rsidP="0082721B">
      <w:pPr>
        <w:spacing w:line="276" w:lineRule="auto"/>
        <w:rPr>
          <w:rFonts w:asciiTheme="minorHAnsi" w:hAnsiTheme="minorHAnsi" w:cstheme="minorHAnsi"/>
          <w:sz w:val="22"/>
          <w:szCs w:val="22"/>
        </w:rPr>
      </w:pPr>
      <w:r>
        <w:rPr>
          <w:rFonts w:asciiTheme="minorHAnsi" w:hAnsiTheme="minorHAnsi" w:cstheme="minorHAnsi"/>
          <w:sz w:val="22"/>
          <w:szCs w:val="22"/>
        </w:rPr>
        <w:t xml:space="preserve">The actual if not the desired impact of this provision is that The Foundation will </w:t>
      </w:r>
      <w:r w:rsidRPr="00BA7392">
        <w:rPr>
          <w:rFonts w:asciiTheme="minorHAnsi" w:hAnsiTheme="minorHAnsi" w:cstheme="minorHAnsi"/>
          <w:i/>
          <w:sz w:val="22"/>
          <w:szCs w:val="22"/>
        </w:rPr>
        <w:t>either</w:t>
      </w:r>
      <w:r>
        <w:rPr>
          <w:rFonts w:asciiTheme="minorHAnsi" w:hAnsiTheme="minorHAnsi" w:cstheme="minorHAnsi"/>
          <w:sz w:val="22"/>
          <w:szCs w:val="22"/>
        </w:rPr>
        <w:t xml:space="preserve"> lose </w:t>
      </w:r>
      <w:r w:rsidR="0082721B">
        <w:rPr>
          <w:rFonts w:asciiTheme="minorHAnsi" w:hAnsiTheme="minorHAnsi" w:cstheme="minorHAnsi"/>
          <w:sz w:val="22"/>
          <w:szCs w:val="22"/>
        </w:rPr>
        <w:t>our w</w:t>
      </w:r>
      <w:r>
        <w:rPr>
          <w:rFonts w:asciiTheme="minorHAnsi" w:hAnsiTheme="minorHAnsi" w:cstheme="minorHAnsi"/>
          <w:sz w:val="22"/>
          <w:szCs w:val="22"/>
        </w:rPr>
        <w:t xml:space="preserve">hole-of-organisation DGR status </w:t>
      </w:r>
      <w:r>
        <w:rPr>
          <w:rFonts w:asciiTheme="minorHAnsi" w:hAnsiTheme="minorHAnsi" w:cstheme="minorHAnsi"/>
          <w:i/>
          <w:sz w:val="22"/>
          <w:szCs w:val="22"/>
        </w:rPr>
        <w:t xml:space="preserve">or </w:t>
      </w:r>
      <w:r w:rsidRPr="00BA7392">
        <w:rPr>
          <w:rFonts w:asciiTheme="minorHAnsi" w:hAnsiTheme="minorHAnsi" w:cstheme="minorHAnsi"/>
          <w:sz w:val="22"/>
          <w:szCs w:val="22"/>
        </w:rPr>
        <w:t xml:space="preserve">be forced to abandon </w:t>
      </w:r>
      <w:r>
        <w:rPr>
          <w:rFonts w:asciiTheme="minorHAnsi" w:hAnsiTheme="minorHAnsi" w:cstheme="minorHAnsi"/>
          <w:sz w:val="22"/>
          <w:szCs w:val="22"/>
        </w:rPr>
        <w:t xml:space="preserve">the second part of our mission </w:t>
      </w:r>
      <w:r w:rsidR="00B36026">
        <w:rPr>
          <w:rFonts w:asciiTheme="minorHAnsi" w:hAnsiTheme="minorHAnsi" w:cstheme="minorHAnsi"/>
          <w:sz w:val="22"/>
          <w:szCs w:val="22"/>
        </w:rPr>
        <w:t>(</w:t>
      </w:r>
      <w:r>
        <w:rPr>
          <w:rFonts w:asciiTheme="minorHAnsi" w:hAnsiTheme="minorHAnsi" w:cstheme="minorHAnsi"/>
          <w:sz w:val="22"/>
          <w:szCs w:val="22"/>
        </w:rPr>
        <w:t>working in Australia to improve Indigenous health</w:t>
      </w:r>
      <w:r w:rsidR="00B36026">
        <w:rPr>
          <w:rFonts w:asciiTheme="minorHAnsi" w:hAnsiTheme="minorHAnsi" w:cstheme="minorHAnsi"/>
          <w:sz w:val="22"/>
          <w:szCs w:val="22"/>
        </w:rPr>
        <w:t xml:space="preserve">). </w:t>
      </w:r>
      <w:r>
        <w:rPr>
          <w:rFonts w:asciiTheme="minorHAnsi" w:hAnsiTheme="minorHAnsi" w:cstheme="minorHAnsi"/>
          <w:sz w:val="22"/>
          <w:szCs w:val="22"/>
        </w:rPr>
        <w:t xml:space="preserve"> We submit that neither</w:t>
      </w:r>
      <w:r w:rsidR="00B36026">
        <w:rPr>
          <w:rFonts w:asciiTheme="minorHAnsi" w:hAnsiTheme="minorHAnsi" w:cstheme="minorHAnsi"/>
          <w:sz w:val="22"/>
          <w:szCs w:val="22"/>
        </w:rPr>
        <w:t xml:space="preserve"> of these outcomes is desirable within the Government’s own policy framework. </w:t>
      </w:r>
    </w:p>
    <w:p w:rsidR="001E349F" w:rsidRDefault="001E349F" w:rsidP="0082721B">
      <w:pPr>
        <w:spacing w:line="276" w:lineRule="auto"/>
        <w:rPr>
          <w:rFonts w:asciiTheme="minorHAnsi" w:hAnsiTheme="minorHAnsi" w:cstheme="minorHAnsi"/>
          <w:sz w:val="22"/>
          <w:szCs w:val="22"/>
        </w:rPr>
      </w:pPr>
    </w:p>
    <w:p w:rsidR="00B36026" w:rsidRDefault="00B36026" w:rsidP="00B36026">
      <w:pPr>
        <w:pStyle w:val="ListParagraph"/>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Losing our whole-of-organisation status would add enormously to the administrative complexity of our organisation. It would run counter to t</w:t>
      </w:r>
      <w:r w:rsidRPr="00750064">
        <w:rPr>
          <w:rFonts w:asciiTheme="minorHAnsi" w:hAnsiTheme="minorHAnsi" w:cstheme="minorHAnsi"/>
          <w:sz w:val="22"/>
          <w:szCs w:val="22"/>
        </w:rPr>
        <w:t>he Government</w:t>
      </w:r>
      <w:r>
        <w:rPr>
          <w:rFonts w:asciiTheme="minorHAnsi" w:hAnsiTheme="minorHAnsi" w:cstheme="minorHAnsi"/>
          <w:sz w:val="22"/>
          <w:szCs w:val="22"/>
        </w:rPr>
        <w:t>’s</w:t>
      </w:r>
      <w:r w:rsidRPr="00750064">
        <w:rPr>
          <w:rFonts w:asciiTheme="minorHAnsi" w:hAnsiTheme="minorHAnsi" w:cstheme="minorHAnsi"/>
          <w:sz w:val="22"/>
          <w:szCs w:val="22"/>
        </w:rPr>
        <w:t xml:space="preserve"> commitment to reducing unnecessary red tape and administrative burdens on all Australian businesses – including not-for-profit businesses such as our own. It </w:t>
      </w:r>
      <w:r w:rsidR="001E349F">
        <w:rPr>
          <w:rFonts w:asciiTheme="minorHAnsi" w:hAnsiTheme="minorHAnsi" w:cstheme="minorHAnsi"/>
          <w:sz w:val="22"/>
          <w:szCs w:val="22"/>
        </w:rPr>
        <w:t xml:space="preserve">is important to understand that it </w:t>
      </w:r>
      <w:r w:rsidRPr="00750064">
        <w:rPr>
          <w:rFonts w:asciiTheme="minorHAnsi" w:hAnsiTheme="minorHAnsi" w:cstheme="minorHAnsi"/>
          <w:sz w:val="22"/>
          <w:szCs w:val="22"/>
        </w:rPr>
        <w:t>was precisely to streamline our internal administration systems that we applied for and received whole-of-organisation DGR status</w:t>
      </w:r>
      <w:r>
        <w:rPr>
          <w:rFonts w:asciiTheme="minorHAnsi" w:hAnsiTheme="minorHAnsi" w:cstheme="minorHAnsi"/>
          <w:sz w:val="22"/>
          <w:szCs w:val="22"/>
        </w:rPr>
        <w:t xml:space="preserve"> in 2011</w:t>
      </w:r>
      <w:r w:rsidRPr="00750064">
        <w:rPr>
          <w:rFonts w:asciiTheme="minorHAnsi" w:hAnsiTheme="minorHAnsi" w:cstheme="minorHAnsi"/>
          <w:sz w:val="22"/>
          <w:szCs w:val="22"/>
        </w:rPr>
        <w:t xml:space="preserve">. It allows us to issue receipts </w:t>
      </w:r>
      <w:r>
        <w:rPr>
          <w:rFonts w:asciiTheme="minorHAnsi" w:hAnsiTheme="minorHAnsi" w:cstheme="minorHAnsi"/>
          <w:sz w:val="22"/>
          <w:szCs w:val="22"/>
        </w:rPr>
        <w:t>whether for deductible or</w:t>
      </w:r>
      <w:r w:rsidRPr="00750064">
        <w:rPr>
          <w:rFonts w:asciiTheme="minorHAnsi" w:hAnsiTheme="minorHAnsi" w:cstheme="minorHAnsi"/>
          <w:sz w:val="22"/>
          <w:szCs w:val="22"/>
        </w:rPr>
        <w:t xml:space="preserve"> non-deductible gifts in the name of The Fred Hollows Foundation and </w:t>
      </w:r>
      <w:r>
        <w:rPr>
          <w:rFonts w:asciiTheme="minorHAnsi" w:hAnsiTheme="minorHAnsi" w:cstheme="minorHAnsi"/>
          <w:sz w:val="22"/>
          <w:szCs w:val="22"/>
        </w:rPr>
        <w:t xml:space="preserve">deposit them in a central operating account. We can </w:t>
      </w:r>
      <w:r w:rsidRPr="00750064">
        <w:rPr>
          <w:rFonts w:asciiTheme="minorHAnsi" w:hAnsiTheme="minorHAnsi" w:cstheme="minorHAnsi"/>
          <w:sz w:val="22"/>
          <w:szCs w:val="22"/>
        </w:rPr>
        <w:t>then transfer funds as required to our Overseas Aid Fund</w:t>
      </w:r>
      <w:r>
        <w:rPr>
          <w:rFonts w:asciiTheme="minorHAnsi" w:hAnsiTheme="minorHAnsi" w:cstheme="minorHAnsi"/>
          <w:sz w:val="22"/>
          <w:szCs w:val="22"/>
        </w:rPr>
        <w:t xml:space="preserve"> at which point they </w:t>
      </w:r>
      <w:r w:rsidRPr="00750064">
        <w:rPr>
          <w:rFonts w:asciiTheme="minorHAnsi" w:hAnsiTheme="minorHAnsi" w:cstheme="minorHAnsi"/>
          <w:sz w:val="22"/>
          <w:szCs w:val="22"/>
        </w:rPr>
        <w:t>are handled in accordance with the sp</w:t>
      </w:r>
      <w:r>
        <w:rPr>
          <w:rFonts w:asciiTheme="minorHAnsi" w:hAnsiTheme="minorHAnsi" w:cstheme="minorHAnsi"/>
          <w:sz w:val="22"/>
          <w:szCs w:val="22"/>
        </w:rPr>
        <w:t>ecific rules that apply to that Fund.</w:t>
      </w:r>
      <w:r w:rsidRPr="00750064">
        <w:rPr>
          <w:rFonts w:asciiTheme="minorHAnsi" w:hAnsiTheme="minorHAnsi" w:cstheme="minorHAnsi"/>
          <w:sz w:val="22"/>
          <w:szCs w:val="22"/>
        </w:rPr>
        <w:t xml:space="preserve"> This is administratively a much more efficient system</w:t>
      </w:r>
      <w:r>
        <w:rPr>
          <w:rFonts w:asciiTheme="minorHAnsi" w:hAnsiTheme="minorHAnsi" w:cstheme="minorHAnsi"/>
          <w:sz w:val="22"/>
          <w:szCs w:val="22"/>
        </w:rPr>
        <w:t xml:space="preserve"> and one that actually aids our compliance with the rules</w:t>
      </w:r>
      <w:r w:rsidRPr="00750064">
        <w:rPr>
          <w:rFonts w:asciiTheme="minorHAnsi" w:hAnsiTheme="minorHAnsi" w:cstheme="minorHAnsi"/>
          <w:sz w:val="22"/>
          <w:szCs w:val="22"/>
        </w:rPr>
        <w:t>.</w:t>
      </w:r>
    </w:p>
    <w:p w:rsidR="001E349F" w:rsidRPr="00750064" w:rsidRDefault="001E349F" w:rsidP="001E349F">
      <w:pPr>
        <w:pStyle w:val="ListParagraph"/>
        <w:spacing w:line="276" w:lineRule="auto"/>
        <w:rPr>
          <w:rFonts w:asciiTheme="minorHAnsi" w:hAnsiTheme="minorHAnsi" w:cstheme="minorHAnsi"/>
          <w:sz w:val="22"/>
          <w:szCs w:val="22"/>
        </w:rPr>
      </w:pPr>
    </w:p>
    <w:p w:rsidR="00750064" w:rsidRDefault="00B36026" w:rsidP="00750064">
      <w:pPr>
        <w:pStyle w:val="ListParagraph"/>
        <w:numPr>
          <w:ilvl w:val="0"/>
          <w:numId w:val="2"/>
        </w:numPr>
        <w:spacing w:line="276" w:lineRule="auto"/>
        <w:rPr>
          <w:rFonts w:asciiTheme="minorHAnsi" w:hAnsiTheme="minorHAnsi" w:cstheme="minorHAnsi"/>
          <w:sz w:val="22"/>
          <w:szCs w:val="22"/>
        </w:rPr>
      </w:pPr>
      <w:r>
        <w:rPr>
          <w:rFonts w:asciiTheme="minorHAnsi" w:hAnsiTheme="minorHAnsi" w:cstheme="minorHAnsi"/>
          <w:sz w:val="22"/>
          <w:szCs w:val="22"/>
        </w:rPr>
        <w:t xml:space="preserve">Abandoning our work in Indigenous communities would not only breach our own constitution but would mean </w:t>
      </w:r>
      <w:r w:rsidR="001E349F">
        <w:rPr>
          <w:rFonts w:asciiTheme="minorHAnsi" w:hAnsiTheme="minorHAnsi" w:cstheme="minorHAnsi"/>
          <w:sz w:val="22"/>
          <w:szCs w:val="22"/>
        </w:rPr>
        <w:t>The Foundation</w:t>
      </w:r>
      <w:r>
        <w:rPr>
          <w:rFonts w:asciiTheme="minorHAnsi" w:hAnsiTheme="minorHAnsi" w:cstheme="minorHAnsi"/>
          <w:sz w:val="22"/>
          <w:szCs w:val="22"/>
        </w:rPr>
        <w:t xml:space="preserve"> could no longer contribute to the </w:t>
      </w:r>
      <w:r w:rsidR="00DB7FBA" w:rsidRPr="00750064">
        <w:rPr>
          <w:rFonts w:asciiTheme="minorHAnsi" w:hAnsiTheme="minorHAnsi" w:cstheme="minorHAnsi"/>
          <w:sz w:val="22"/>
          <w:szCs w:val="22"/>
        </w:rPr>
        <w:t>G</w:t>
      </w:r>
      <w:r w:rsidR="0082721B" w:rsidRPr="00750064">
        <w:rPr>
          <w:rFonts w:asciiTheme="minorHAnsi" w:hAnsiTheme="minorHAnsi" w:cstheme="minorHAnsi"/>
          <w:sz w:val="22"/>
          <w:szCs w:val="22"/>
        </w:rPr>
        <w:t xml:space="preserve">overnment’s policy goals in the Indigenous health sphere.  </w:t>
      </w:r>
    </w:p>
    <w:p w:rsidR="00DB7FBA" w:rsidRDefault="00DB7FBA" w:rsidP="0082721B">
      <w:pPr>
        <w:spacing w:line="276" w:lineRule="auto"/>
        <w:rPr>
          <w:rFonts w:asciiTheme="minorHAnsi" w:hAnsiTheme="minorHAnsi" w:cstheme="minorHAnsi"/>
          <w:sz w:val="22"/>
          <w:szCs w:val="22"/>
        </w:rPr>
      </w:pPr>
    </w:p>
    <w:p w:rsidR="00DB7FBA" w:rsidRDefault="001E349F" w:rsidP="0082721B">
      <w:pPr>
        <w:spacing w:line="276" w:lineRule="auto"/>
        <w:rPr>
          <w:rFonts w:asciiTheme="minorHAnsi" w:hAnsiTheme="minorHAnsi" w:cstheme="minorHAnsi"/>
          <w:sz w:val="22"/>
          <w:szCs w:val="22"/>
        </w:rPr>
      </w:pPr>
      <w:r>
        <w:rPr>
          <w:rFonts w:asciiTheme="minorHAnsi" w:hAnsiTheme="minorHAnsi" w:cstheme="minorHAnsi"/>
          <w:sz w:val="22"/>
          <w:szCs w:val="22"/>
        </w:rPr>
        <w:t xml:space="preserve">We trust that Treasury will agree that both these options are unpalatable. We believe that neither will be necessary if a simple amendment is made to </w:t>
      </w:r>
      <w:r w:rsidR="00750064">
        <w:rPr>
          <w:rFonts w:asciiTheme="minorHAnsi" w:hAnsiTheme="minorHAnsi" w:cstheme="minorHAnsi"/>
          <w:sz w:val="22"/>
          <w:szCs w:val="22"/>
        </w:rPr>
        <w:t xml:space="preserve">Sub-Section 30-18(2) </w:t>
      </w:r>
      <w:r>
        <w:rPr>
          <w:rFonts w:asciiTheme="minorHAnsi" w:hAnsiTheme="minorHAnsi" w:cstheme="minorHAnsi"/>
          <w:sz w:val="22"/>
          <w:szCs w:val="22"/>
        </w:rPr>
        <w:t>by adding</w:t>
      </w:r>
      <w:r w:rsidR="00750064">
        <w:rPr>
          <w:rFonts w:asciiTheme="minorHAnsi" w:hAnsiTheme="minorHAnsi" w:cstheme="minorHAnsi"/>
          <w:sz w:val="22"/>
          <w:szCs w:val="22"/>
        </w:rPr>
        <w:t xml:space="preserve"> a new paragraph (c) so that it reads:</w:t>
      </w:r>
    </w:p>
    <w:p w:rsidR="00750064" w:rsidRDefault="00750064" w:rsidP="0082721B">
      <w:pPr>
        <w:spacing w:line="276" w:lineRule="auto"/>
        <w:rPr>
          <w:rFonts w:asciiTheme="minorHAnsi" w:hAnsiTheme="minorHAnsi" w:cstheme="minorHAnsi"/>
          <w:sz w:val="22"/>
          <w:szCs w:val="22"/>
        </w:rPr>
      </w:pPr>
    </w:p>
    <w:p w:rsidR="00750064" w:rsidRPr="00AC056A" w:rsidRDefault="00750064" w:rsidP="0082721B">
      <w:pPr>
        <w:spacing w:line="276" w:lineRule="auto"/>
        <w:rPr>
          <w:rFonts w:asciiTheme="minorHAnsi" w:hAnsiTheme="minorHAnsi" w:cstheme="minorHAnsi"/>
          <w:sz w:val="22"/>
          <w:szCs w:val="22"/>
        </w:rPr>
      </w:pPr>
      <w:r w:rsidRPr="00AC056A">
        <w:rPr>
          <w:rFonts w:asciiTheme="minorHAnsi" w:hAnsiTheme="minorHAnsi" w:cstheme="minorHAnsi"/>
          <w:sz w:val="22"/>
          <w:szCs w:val="22"/>
        </w:rPr>
        <w:t>“(2) Despite subsection (1), a fund, authority or institution</w:t>
      </w:r>
      <w:r w:rsidR="00B13963">
        <w:rPr>
          <w:rFonts w:asciiTheme="minorHAnsi" w:hAnsiTheme="minorHAnsi" w:cstheme="minorHAnsi"/>
          <w:sz w:val="22"/>
          <w:szCs w:val="22"/>
        </w:rPr>
        <w:t xml:space="preserve"> that operates or pursues its p</w:t>
      </w:r>
      <w:r w:rsidRPr="00AC056A">
        <w:rPr>
          <w:rFonts w:asciiTheme="minorHAnsi" w:hAnsiTheme="minorHAnsi" w:cstheme="minorHAnsi"/>
          <w:sz w:val="22"/>
          <w:szCs w:val="22"/>
        </w:rPr>
        <w:t>u</w:t>
      </w:r>
      <w:r w:rsidR="001E349F">
        <w:rPr>
          <w:rFonts w:asciiTheme="minorHAnsi" w:hAnsiTheme="minorHAnsi" w:cstheme="minorHAnsi"/>
          <w:sz w:val="22"/>
          <w:szCs w:val="22"/>
        </w:rPr>
        <w:t>r</w:t>
      </w:r>
      <w:r w:rsidRPr="00AC056A">
        <w:rPr>
          <w:rFonts w:asciiTheme="minorHAnsi" w:hAnsiTheme="minorHAnsi" w:cstheme="minorHAnsi"/>
          <w:sz w:val="22"/>
          <w:szCs w:val="22"/>
        </w:rPr>
        <w:t>poses outside Australia does not fail the conditions in paragraphs (1)(b) and (c) if:</w:t>
      </w:r>
    </w:p>
    <w:p w:rsidR="00750064" w:rsidRPr="00AC056A" w:rsidRDefault="00AC056A" w:rsidP="00750064">
      <w:pPr>
        <w:pStyle w:val="ListParagraph"/>
        <w:numPr>
          <w:ilvl w:val="0"/>
          <w:numId w:val="3"/>
        </w:numPr>
        <w:spacing w:line="276" w:lineRule="auto"/>
        <w:rPr>
          <w:rFonts w:asciiTheme="minorHAnsi" w:hAnsiTheme="minorHAnsi" w:cstheme="minorHAnsi"/>
          <w:sz w:val="22"/>
          <w:szCs w:val="22"/>
        </w:rPr>
      </w:pPr>
      <w:r w:rsidRPr="00AC056A">
        <w:rPr>
          <w:rFonts w:asciiTheme="minorHAnsi" w:hAnsiTheme="minorHAnsi" w:cstheme="minorHAnsi"/>
          <w:sz w:val="22"/>
          <w:szCs w:val="22"/>
        </w:rPr>
        <w:t>i</w:t>
      </w:r>
      <w:r w:rsidR="00750064" w:rsidRPr="00AC056A">
        <w:rPr>
          <w:rFonts w:asciiTheme="minorHAnsi" w:hAnsiTheme="minorHAnsi" w:cstheme="minorHAnsi"/>
          <w:sz w:val="22"/>
          <w:szCs w:val="22"/>
        </w:rPr>
        <w:t>ts activities outside Australia are merely incidenta</w:t>
      </w:r>
      <w:r w:rsidR="00B13963">
        <w:rPr>
          <w:rFonts w:asciiTheme="minorHAnsi" w:hAnsiTheme="minorHAnsi" w:cstheme="minorHAnsi"/>
          <w:sz w:val="22"/>
          <w:szCs w:val="22"/>
        </w:rPr>
        <w:t>l to its activities in Australia</w:t>
      </w:r>
      <w:r w:rsidR="00750064" w:rsidRPr="00AC056A">
        <w:rPr>
          <w:rFonts w:asciiTheme="minorHAnsi" w:hAnsiTheme="minorHAnsi" w:cstheme="minorHAnsi"/>
          <w:sz w:val="22"/>
          <w:szCs w:val="22"/>
        </w:rPr>
        <w:t>; or</w:t>
      </w:r>
    </w:p>
    <w:p w:rsidR="00750064" w:rsidRPr="00AC056A" w:rsidRDefault="00AC056A" w:rsidP="00750064">
      <w:pPr>
        <w:pStyle w:val="ListParagraph"/>
        <w:numPr>
          <w:ilvl w:val="0"/>
          <w:numId w:val="3"/>
        </w:numPr>
        <w:spacing w:line="276" w:lineRule="auto"/>
        <w:rPr>
          <w:rFonts w:asciiTheme="minorHAnsi" w:hAnsiTheme="minorHAnsi" w:cstheme="minorHAnsi"/>
          <w:b/>
          <w:sz w:val="22"/>
          <w:szCs w:val="22"/>
        </w:rPr>
      </w:pPr>
      <w:r w:rsidRPr="00AC056A">
        <w:rPr>
          <w:rFonts w:asciiTheme="minorHAnsi" w:hAnsiTheme="minorHAnsi" w:cstheme="minorHAnsi"/>
          <w:sz w:val="22"/>
          <w:szCs w:val="22"/>
        </w:rPr>
        <w:t>i</w:t>
      </w:r>
      <w:r w:rsidR="00750064" w:rsidRPr="00AC056A">
        <w:rPr>
          <w:rFonts w:asciiTheme="minorHAnsi" w:hAnsiTheme="minorHAnsi" w:cstheme="minorHAnsi"/>
          <w:sz w:val="22"/>
          <w:szCs w:val="22"/>
        </w:rPr>
        <w:t xml:space="preserve">ts activities outside Australia are minor in extent and importance when considered with reference to its activities in Australia; </w:t>
      </w:r>
      <w:r w:rsidR="00750064" w:rsidRPr="00AC056A">
        <w:rPr>
          <w:rFonts w:asciiTheme="minorHAnsi" w:hAnsiTheme="minorHAnsi" w:cstheme="minorHAnsi"/>
          <w:b/>
          <w:i/>
          <w:sz w:val="22"/>
          <w:szCs w:val="22"/>
        </w:rPr>
        <w:t>or</w:t>
      </w:r>
    </w:p>
    <w:p w:rsidR="00750064" w:rsidRPr="00AC056A" w:rsidRDefault="00AC056A" w:rsidP="00750064">
      <w:pPr>
        <w:pStyle w:val="ListParagraph"/>
        <w:numPr>
          <w:ilvl w:val="0"/>
          <w:numId w:val="3"/>
        </w:numPr>
        <w:spacing w:line="276" w:lineRule="auto"/>
        <w:rPr>
          <w:rFonts w:asciiTheme="minorHAnsi" w:hAnsiTheme="minorHAnsi" w:cstheme="minorHAnsi"/>
          <w:b/>
          <w:sz w:val="22"/>
          <w:szCs w:val="22"/>
        </w:rPr>
      </w:pPr>
      <w:proofErr w:type="gramStart"/>
      <w:r w:rsidRPr="00AC056A">
        <w:rPr>
          <w:rFonts w:asciiTheme="minorHAnsi" w:hAnsiTheme="minorHAnsi" w:cstheme="minorHAnsi"/>
          <w:b/>
          <w:i/>
          <w:sz w:val="22"/>
          <w:szCs w:val="22"/>
        </w:rPr>
        <w:t>its</w:t>
      </w:r>
      <w:proofErr w:type="gramEnd"/>
      <w:r w:rsidRPr="00AC056A">
        <w:rPr>
          <w:rFonts w:asciiTheme="minorHAnsi" w:hAnsiTheme="minorHAnsi" w:cstheme="minorHAnsi"/>
          <w:b/>
          <w:i/>
          <w:sz w:val="22"/>
          <w:szCs w:val="22"/>
        </w:rPr>
        <w:t xml:space="preserve"> activities outside Australia are performed through a fund, authority or institution covered by section 30-80 (international affairs deductible gift recipients). </w:t>
      </w:r>
    </w:p>
    <w:p w:rsidR="00AC056A" w:rsidRDefault="00AC056A" w:rsidP="00AC056A">
      <w:pPr>
        <w:spacing w:line="276" w:lineRule="auto"/>
        <w:rPr>
          <w:rFonts w:asciiTheme="minorHAnsi" w:hAnsiTheme="minorHAnsi" w:cstheme="minorHAnsi"/>
          <w:sz w:val="22"/>
          <w:szCs w:val="22"/>
        </w:rPr>
      </w:pPr>
    </w:p>
    <w:p w:rsidR="000D7ABC" w:rsidRDefault="000D7ABC" w:rsidP="00302745">
      <w:pPr>
        <w:spacing w:line="276" w:lineRule="auto"/>
        <w:rPr>
          <w:rFonts w:asciiTheme="minorHAnsi" w:hAnsiTheme="minorHAnsi" w:cstheme="minorHAnsi"/>
          <w:sz w:val="22"/>
          <w:szCs w:val="22"/>
        </w:rPr>
      </w:pPr>
      <w:r w:rsidRPr="000D7ABC">
        <w:rPr>
          <w:rFonts w:asciiTheme="minorHAnsi" w:hAnsiTheme="minorHAnsi" w:cstheme="minorHAnsi"/>
          <w:sz w:val="22"/>
          <w:szCs w:val="22"/>
        </w:rPr>
        <w:t>We also see a problem with the current wording of</w:t>
      </w:r>
      <w:r w:rsidR="00AC056A" w:rsidRPr="000D7ABC">
        <w:rPr>
          <w:rFonts w:asciiTheme="minorHAnsi" w:hAnsiTheme="minorHAnsi" w:cstheme="minorHAnsi"/>
          <w:sz w:val="22"/>
          <w:szCs w:val="22"/>
        </w:rPr>
        <w:t xml:space="preserve"> Sub-Section 30-18(3)</w:t>
      </w:r>
      <w:r>
        <w:rPr>
          <w:rFonts w:asciiTheme="minorHAnsi" w:hAnsiTheme="minorHAnsi" w:cstheme="minorHAnsi"/>
          <w:sz w:val="22"/>
          <w:szCs w:val="22"/>
        </w:rPr>
        <w:t xml:space="preserve"> which </w:t>
      </w:r>
      <w:proofErr w:type="gramStart"/>
      <w:r>
        <w:rPr>
          <w:rFonts w:asciiTheme="minorHAnsi" w:hAnsiTheme="minorHAnsi" w:cstheme="minorHAnsi"/>
          <w:sz w:val="22"/>
          <w:szCs w:val="22"/>
        </w:rPr>
        <w:t>seeks</w:t>
      </w:r>
      <w:proofErr w:type="gramEnd"/>
      <w:r>
        <w:rPr>
          <w:rFonts w:asciiTheme="minorHAnsi" w:hAnsiTheme="minorHAnsi" w:cstheme="minorHAnsi"/>
          <w:sz w:val="22"/>
          <w:szCs w:val="22"/>
        </w:rPr>
        <w:t xml:space="preserve"> to ensure that a DGR endorsed entity is responsible for how its funds are used when it </w:t>
      </w:r>
      <w:r w:rsidR="00C552D8">
        <w:rPr>
          <w:rFonts w:asciiTheme="minorHAnsi" w:hAnsiTheme="minorHAnsi" w:cstheme="minorHAnsi"/>
          <w:sz w:val="22"/>
          <w:szCs w:val="22"/>
        </w:rPr>
        <w:t>gives</w:t>
      </w:r>
      <w:r>
        <w:rPr>
          <w:rFonts w:asciiTheme="minorHAnsi" w:hAnsiTheme="minorHAnsi" w:cstheme="minorHAnsi"/>
          <w:sz w:val="22"/>
          <w:szCs w:val="22"/>
        </w:rPr>
        <w:t xml:space="preserve"> money to another organisation. </w:t>
      </w:r>
      <w:r w:rsidR="00AC056A">
        <w:rPr>
          <w:rFonts w:asciiTheme="minorHAnsi" w:hAnsiTheme="minorHAnsi" w:cstheme="minorHAnsi"/>
          <w:sz w:val="22"/>
          <w:szCs w:val="22"/>
        </w:rPr>
        <w:t xml:space="preserve">We </w:t>
      </w:r>
      <w:r w:rsidR="00957DE7">
        <w:rPr>
          <w:rFonts w:asciiTheme="minorHAnsi" w:hAnsiTheme="minorHAnsi" w:cstheme="minorHAnsi"/>
          <w:sz w:val="22"/>
          <w:szCs w:val="22"/>
        </w:rPr>
        <w:t xml:space="preserve">appreciate the fact that </w:t>
      </w:r>
      <w:r>
        <w:rPr>
          <w:rFonts w:asciiTheme="minorHAnsi" w:hAnsiTheme="minorHAnsi" w:cstheme="minorHAnsi"/>
          <w:sz w:val="22"/>
          <w:szCs w:val="22"/>
        </w:rPr>
        <w:t>the new wording</w:t>
      </w:r>
      <w:r w:rsidR="00957DE7">
        <w:rPr>
          <w:rFonts w:asciiTheme="minorHAnsi" w:hAnsiTheme="minorHAnsi" w:cstheme="minorHAnsi"/>
          <w:sz w:val="22"/>
          <w:szCs w:val="22"/>
        </w:rPr>
        <w:t xml:space="preserve"> is an improvement on the first </w:t>
      </w:r>
      <w:r>
        <w:rPr>
          <w:rFonts w:asciiTheme="minorHAnsi" w:hAnsiTheme="minorHAnsi" w:cstheme="minorHAnsi"/>
          <w:sz w:val="22"/>
          <w:szCs w:val="22"/>
        </w:rPr>
        <w:t>draft</w:t>
      </w:r>
      <w:r w:rsidR="00957DE7">
        <w:rPr>
          <w:rFonts w:asciiTheme="minorHAnsi" w:hAnsiTheme="minorHAnsi" w:cstheme="minorHAnsi"/>
          <w:sz w:val="22"/>
          <w:szCs w:val="22"/>
        </w:rPr>
        <w:t xml:space="preserve"> which </w:t>
      </w:r>
      <w:r w:rsidR="00957DE7">
        <w:rPr>
          <w:rFonts w:asciiTheme="minorHAnsi" w:hAnsiTheme="minorHAnsi" w:cstheme="minorHAnsi"/>
          <w:sz w:val="22"/>
          <w:szCs w:val="22"/>
        </w:rPr>
        <w:lastRenderedPageBreak/>
        <w:t>restricted deductible gift recipients to giving money or property only to organisation</w:t>
      </w:r>
      <w:r w:rsidR="00302745">
        <w:rPr>
          <w:rFonts w:asciiTheme="minorHAnsi" w:hAnsiTheme="minorHAnsi" w:cstheme="minorHAnsi"/>
          <w:sz w:val="22"/>
          <w:szCs w:val="22"/>
        </w:rPr>
        <w:t>s</w:t>
      </w:r>
      <w:r w:rsidR="00957DE7">
        <w:rPr>
          <w:rFonts w:asciiTheme="minorHAnsi" w:hAnsiTheme="minorHAnsi" w:cstheme="minorHAnsi"/>
          <w:sz w:val="22"/>
          <w:szCs w:val="22"/>
        </w:rPr>
        <w:t xml:space="preserve"> that also hold DGR status. This is no longer the case. However</w:t>
      </w:r>
      <w:r w:rsidR="00302745">
        <w:rPr>
          <w:rFonts w:asciiTheme="minorHAnsi" w:hAnsiTheme="minorHAnsi" w:cstheme="minorHAnsi"/>
          <w:sz w:val="22"/>
          <w:szCs w:val="22"/>
        </w:rPr>
        <w:t xml:space="preserve"> </w:t>
      </w:r>
      <w:r w:rsidR="00957DE7" w:rsidRPr="00302745">
        <w:rPr>
          <w:rFonts w:asciiTheme="minorHAnsi" w:hAnsiTheme="minorHAnsi" w:cstheme="minorHAnsi"/>
          <w:sz w:val="22"/>
          <w:szCs w:val="22"/>
        </w:rPr>
        <w:t xml:space="preserve">as currently worded, </w:t>
      </w:r>
      <w:r>
        <w:rPr>
          <w:rFonts w:asciiTheme="minorHAnsi" w:hAnsiTheme="minorHAnsi" w:cstheme="minorHAnsi"/>
          <w:sz w:val="22"/>
          <w:szCs w:val="22"/>
        </w:rPr>
        <w:t>two problems remain.</w:t>
      </w:r>
    </w:p>
    <w:p w:rsidR="000D7ABC" w:rsidRDefault="000D7ABC" w:rsidP="00302745">
      <w:pPr>
        <w:spacing w:line="276" w:lineRule="auto"/>
        <w:rPr>
          <w:rFonts w:asciiTheme="minorHAnsi" w:hAnsiTheme="minorHAnsi" w:cstheme="minorHAnsi"/>
          <w:sz w:val="22"/>
          <w:szCs w:val="22"/>
        </w:rPr>
      </w:pPr>
    </w:p>
    <w:p w:rsidR="00957DE7" w:rsidRPr="00857B4D" w:rsidRDefault="000D7ABC" w:rsidP="00857B4D">
      <w:pPr>
        <w:pStyle w:val="ListParagraph"/>
        <w:numPr>
          <w:ilvl w:val="0"/>
          <w:numId w:val="6"/>
        </w:numPr>
        <w:spacing w:line="276" w:lineRule="auto"/>
        <w:rPr>
          <w:rFonts w:asciiTheme="minorHAnsi" w:hAnsiTheme="minorHAnsi" w:cstheme="minorHAnsi"/>
          <w:sz w:val="22"/>
          <w:szCs w:val="22"/>
        </w:rPr>
      </w:pPr>
      <w:r w:rsidRPr="00857B4D">
        <w:rPr>
          <w:rFonts w:asciiTheme="minorHAnsi" w:hAnsiTheme="minorHAnsi" w:cstheme="minorHAnsi"/>
          <w:sz w:val="22"/>
          <w:szCs w:val="22"/>
        </w:rPr>
        <w:t xml:space="preserve">First, </w:t>
      </w:r>
      <w:r w:rsidR="00957DE7" w:rsidRPr="00857B4D">
        <w:rPr>
          <w:rFonts w:asciiTheme="minorHAnsi" w:hAnsiTheme="minorHAnsi" w:cstheme="minorHAnsi"/>
          <w:sz w:val="22"/>
          <w:szCs w:val="22"/>
        </w:rPr>
        <w:t xml:space="preserve">this sub-section applies to </w:t>
      </w:r>
      <w:r w:rsidR="00957DE7" w:rsidRPr="00857B4D">
        <w:rPr>
          <w:rFonts w:asciiTheme="minorHAnsi" w:hAnsiTheme="minorHAnsi" w:cstheme="minorHAnsi"/>
          <w:i/>
          <w:sz w:val="22"/>
          <w:szCs w:val="22"/>
        </w:rPr>
        <w:t>any</w:t>
      </w:r>
      <w:r w:rsidR="00957DE7" w:rsidRPr="00857B4D">
        <w:rPr>
          <w:rFonts w:asciiTheme="minorHAnsi" w:hAnsiTheme="minorHAnsi" w:cstheme="minorHAnsi"/>
          <w:sz w:val="22"/>
          <w:szCs w:val="22"/>
        </w:rPr>
        <w:t xml:space="preserve"> money which is given by a deductible gift recipient to any other organisation</w:t>
      </w:r>
      <w:r w:rsidR="0098616E" w:rsidRPr="00857B4D">
        <w:rPr>
          <w:rFonts w:asciiTheme="minorHAnsi" w:hAnsiTheme="minorHAnsi" w:cstheme="minorHAnsi"/>
          <w:sz w:val="22"/>
          <w:szCs w:val="22"/>
        </w:rPr>
        <w:t xml:space="preserve">. </w:t>
      </w:r>
      <w:r w:rsidR="00957DE7" w:rsidRPr="00857B4D">
        <w:rPr>
          <w:rFonts w:asciiTheme="minorHAnsi" w:hAnsiTheme="minorHAnsi" w:cstheme="minorHAnsi"/>
          <w:sz w:val="22"/>
          <w:szCs w:val="22"/>
        </w:rPr>
        <w:t xml:space="preserve">We believe this is over-reaching and request that the </w:t>
      </w:r>
      <w:r w:rsidR="0098616E" w:rsidRPr="00857B4D">
        <w:rPr>
          <w:rFonts w:asciiTheme="minorHAnsi" w:hAnsiTheme="minorHAnsi" w:cstheme="minorHAnsi"/>
          <w:sz w:val="22"/>
          <w:szCs w:val="22"/>
        </w:rPr>
        <w:t xml:space="preserve">ambit of this </w:t>
      </w:r>
      <w:r w:rsidR="00957DE7" w:rsidRPr="00857B4D">
        <w:rPr>
          <w:rFonts w:asciiTheme="minorHAnsi" w:hAnsiTheme="minorHAnsi" w:cstheme="minorHAnsi"/>
          <w:sz w:val="22"/>
          <w:szCs w:val="22"/>
        </w:rPr>
        <w:t xml:space="preserve">sub-section </w:t>
      </w:r>
      <w:r w:rsidR="0098616E" w:rsidRPr="00857B4D">
        <w:rPr>
          <w:rFonts w:asciiTheme="minorHAnsi" w:hAnsiTheme="minorHAnsi" w:cstheme="minorHAnsi"/>
          <w:sz w:val="22"/>
          <w:szCs w:val="22"/>
        </w:rPr>
        <w:t xml:space="preserve">be limited </w:t>
      </w:r>
      <w:r w:rsidR="00302745" w:rsidRPr="00857B4D">
        <w:rPr>
          <w:rFonts w:asciiTheme="minorHAnsi" w:hAnsiTheme="minorHAnsi" w:cstheme="minorHAnsi"/>
          <w:sz w:val="22"/>
          <w:szCs w:val="22"/>
        </w:rPr>
        <w:t xml:space="preserve">to </w:t>
      </w:r>
      <w:r w:rsidR="00302745" w:rsidRPr="00857B4D">
        <w:rPr>
          <w:rFonts w:asciiTheme="minorHAnsi" w:hAnsiTheme="minorHAnsi" w:cstheme="minorHAnsi"/>
          <w:i/>
          <w:sz w:val="22"/>
          <w:szCs w:val="22"/>
        </w:rPr>
        <w:t xml:space="preserve">deductible </w:t>
      </w:r>
      <w:r w:rsidR="00302745" w:rsidRPr="00857B4D">
        <w:rPr>
          <w:rFonts w:asciiTheme="minorHAnsi" w:hAnsiTheme="minorHAnsi" w:cstheme="minorHAnsi"/>
          <w:sz w:val="22"/>
          <w:szCs w:val="22"/>
        </w:rPr>
        <w:t>monies</w:t>
      </w:r>
      <w:r w:rsidR="00957DE7" w:rsidRPr="00857B4D">
        <w:rPr>
          <w:rFonts w:asciiTheme="minorHAnsi" w:hAnsiTheme="minorHAnsi" w:cstheme="minorHAnsi"/>
          <w:sz w:val="22"/>
          <w:szCs w:val="22"/>
        </w:rPr>
        <w:t>.</w:t>
      </w:r>
    </w:p>
    <w:p w:rsidR="00857B4D" w:rsidRDefault="00857B4D" w:rsidP="00302745">
      <w:pPr>
        <w:spacing w:line="276" w:lineRule="auto"/>
        <w:rPr>
          <w:rFonts w:asciiTheme="minorHAnsi" w:hAnsiTheme="minorHAnsi" w:cstheme="minorHAnsi"/>
          <w:sz w:val="22"/>
          <w:szCs w:val="22"/>
        </w:rPr>
      </w:pPr>
    </w:p>
    <w:p w:rsidR="000D7ABC" w:rsidRPr="00857B4D" w:rsidRDefault="000D7ABC" w:rsidP="00857B4D">
      <w:pPr>
        <w:pStyle w:val="ListParagraph"/>
        <w:numPr>
          <w:ilvl w:val="0"/>
          <w:numId w:val="6"/>
        </w:numPr>
        <w:spacing w:line="276" w:lineRule="auto"/>
        <w:rPr>
          <w:rFonts w:asciiTheme="minorHAnsi" w:hAnsiTheme="minorHAnsi" w:cstheme="minorHAnsi"/>
          <w:sz w:val="22"/>
          <w:szCs w:val="22"/>
        </w:rPr>
      </w:pPr>
      <w:r w:rsidRPr="00857B4D">
        <w:rPr>
          <w:rFonts w:asciiTheme="minorHAnsi" w:hAnsiTheme="minorHAnsi" w:cstheme="minorHAnsi"/>
          <w:sz w:val="22"/>
          <w:szCs w:val="22"/>
        </w:rPr>
        <w:t xml:space="preserve">Second, as currently worded, </w:t>
      </w:r>
      <w:r w:rsidR="00857B4D">
        <w:rPr>
          <w:rFonts w:asciiTheme="minorHAnsi" w:hAnsiTheme="minorHAnsi" w:cstheme="minorHAnsi"/>
          <w:sz w:val="22"/>
          <w:szCs w:val="22"/>
        </w:rPr>
        <w:t>this</w:t>
      </w:r>
      <w:r w:rsidRPr="00857B4D">
        <w:rPr>
          <w:rFonts w:asciiTheme="minorHAnsi" w:hAnsiTheme="minorHAnsi" w:cstheme="minorHAnsi"/>
          <w:sz w:val="22"/>
          <w:szCs w:val="22"/>
        </w:rPr>
        <w:t xml:space="preserve"> “look through” test has no horizon. There seems to be no limit </w:t>
      </w:r>
      <w:r w:rsidR="001E349F">
        <w:rPr>
          <w:rFonts w:asciiTheme="minorHAnsi" w:hAnsiTheme="minorHAnsi" w:cstheme="minorHAnsi"/>
          <w:sz w:val="22"/>
          <w:szCs w:val="22"/>
        </w:rPr>
        <w:t>to how far an</w:t>
      </w:r>
      <w:r w:rsidR="00857B4D" w:rsidRPr="00857B4D">
        <w:rPr>
          <w:rFonts w:asciiTheme="minorHAnsi" w:hAnsiTheme="minorHAnsi" w:cstheme="minorHAnsi"/>
          <w:sz w:val="22"/>
          <w:szCs w:val="22"/>
        </w:rPr>
        <w:t xml:space="preserve"> entity must go in tracking the use to which any of its funds are put. We submit that this is completely unrealistic from a practical point of view. Again it seems to be over-reaching in terms </w:t>
      </w:r>
      <w:r w:rsidR="001E349F">
        <w:rPr>
          <w:rFonts w:asciiTheme="minorHAnsi" w:hAnsiTheme="minorHAnsi" w:cstheme="minorHAnsi"/>
          <w:sz w:val="22"/>
          <w:szCs w:val="22"/>
        </w:rPr>
        <w:t>of Treasury attempting</w:t>
      </w:r>
      <w:r w:rsidR="00857B4D" w:rsidRPr="00857B4D">
        <w:rPr>
          <w:rFonts w:asciiTheme="minorHAnsi" w:hAnsiTheme="minorHAnsi" w:cstheme="minorHAnsi"/>
          <w:sz w:val="22"/>
          <w:szCs w:val="22"/>
        </w:rPr>
        <w:t xml:space="preserve"> to overcome the problems</w:t>
      </w:r>
      <w:r w:rsidR="001E349F">
        <w:rPr>
          <w:rFonts w:asciiTheme="minorHAnsi" w:hAnsiTheme="minorHAnsi" w:cstheme="minorHAnsi"/>
          <w:sz w:val="22"/>
          <w:szCs w:val="22"/>
        </w:rPr>
        <w:t xml:space="preserve"> it believes are caused by the High Court’s ruling</w:t>
      </w:r>
      <w:r w:rsidR="00857B4D" w:rsidRPr="00857B4D">
        <w:rPr>
          <w:rFonts w:asciiTheme="minorHAnsi" w:hAnsiTheme="minorHAnsi" w:cstheme="minorHAnsi"/>
          <w:sz w:val="22"/>
          <w:szCs w:val="22"/>
        </w:rPr>
        <w:t xml:space="preserve"> in the Word Investments case. We request that some sensible limit be placed on the obligation impo</w:t>
      </w:r>
      <w:r w:rsidR="001E349F">
        <w:rPr>
          <w:rFonts w:asciiTheme="minorHAnsi" w:hAnsiTheme="minorHAnsi" w:cstheme="minorHAnsi"/>
          <w:sz w:val="22"/>
          <w:szCs w:val="22"/>
        </w:rPr>
        <w:t>sed in this Sub-Section, as well as</w:t>
      </w:r>
      <w:r w:rsidR="00857B4D" w:rsidRPr="00857B4D">
        <w:rPr>
          <w:rFonts w:asciiTheme="minorHAnsi" w:hAnsiTheme="minorHAnsi" w:cstheme="minorHAnsi"/>
          <w:sz w:val="22"/>
          <w:szCs w:val="22"/>
        </w:rPr>
        <w:t xml:space="preserve"> in </w:t>
      </w:r>
      <w:r w:rsidR="001E349F">
        <w:rPr>
          <w:rFonts w:asciiTheme="minorHAnsi" w:hAnsiTheme="minorHAnsi" w:cstheme="minorHAnsi"/>
          <w:sz w:val="22"/>
          <w:szCs w:val="22"/>
        </w:rPr>
        <w:t xml:space="preserve">the similar </w:t>
      </w:r>
      <w:r w:rsidR="00857B4D" w:rsidRPr="00857B4D">
        <w:rPr>
          <w:rFonts w:asciiTheme="minorHAnsi" w:hAnsiTheme="minorHAnsi" w:cstheme="minorHAnsi"/>
          <w:sz w:val="22"/>
          <w:szCs w:val="22"/>
        </w:rPr>
        <w:t xml:space="preserve">Sub-Section 50-50(4) for the purposes of income tax exemption. </w:t>
      </w:r>
    </w:p>
    <w:p w:rsidR="00957DE7" w:rsidRDefault="00957DE7" w:rsidP="00957DE7">
      <w:pPr>
        <w:spacing w:line="276" w:lineRule="auto"/>
        <w:rPr>
          <w:rFonts w:asciiTheme="minorHAnsi" w:hAnsiTheme="minorHAnsi" w:cstheme="minorHAnsi"/>
          <w:sz w:val="22"/>
          <w:szCs w:val="22"/>
        </w:rPr>
      </w:pPr>
    </w:p>
    <w:p w:rsidR="0070124B" w:rsidRDefault="001E349F" w:rsidP="0070124B">
      <w:pPr>
        <w:spacing w:line="276" w:lineRule="auto"/>
        <w:rPr>
          <w:rFonts w:asciiTheme="minorHAnsi" w:hAnsiTheme="minorHAnsi" w:cstheme="minorHAnsi"/>
          <w:sz w:val="22"/>
          <w:szCs w:val="22"/>
        </w:rPr>
      </w:pPr>
      <w:r>
        <w:rPr>
          <w:rFonts w:asciiTheme="minorHAnsi" w:hAnsiTheme="minorHAnsi" w:cstheme="minorHAnsi"/>
          <w:sz w:val="22"/>
          <w:szCs w:val="22"/>
        </w:rPr>
        <w:t>In conclusion, as an agency that is AusAID accredited and certified as compliant with the stringent ACFID Code of Conduct, The Foundation is fully in agreement with the need to ensure that any funds that attract a tax concession should be properly expended</w:t>
      </w:r>
      <w:r w:rsidR="00C552D8">
        <w:rPr>
          <w:rFonts w:asciiTheme="minorHAnsi" w:hAnsiTheme="minorHAnsi" w:cstheme="minorHAnsi"/>
          <w:sz w:val="22"/>
          <w:szCs w:val="22"/>
        </w:rPr>
        <w:t xml:space="preserve"> and not misused</w:t>
      </w:r>
      <w:r>
        <w:rPr>
          <w:rFonts w:asciiTheme="minorHAnsi" w:hAnsiTheme="minorHAnsi" w:cstheme="minorHAnsi"/>
          <w:sz w:val="22"/>
          <w:szCs w:val="22"/>
        </w:rPr>
        <w:t xml:space="preserve">. </w:t>
      </w:r>
      <w:r w:rsidR="00465DE4">
        <w:rPr>
          <w:rFonts w:asciiTheme="minorHAnsi" w:hAnsiTheme="minorHAnsi" w:cstheme="minorHAnsi"/>
          <w:sz w:val="22"/>
          <w:szCs w:val="22"/>
        </w:rPr>
        <w:t>However</w:t>
      </w:r>
      <w:r w:rsidR="00B13963">
        <w:rPr>
          <w:rFonts w:asciiTheme="minorHAnsi" w:hAnsiTheme="minorHAnsi" w:cstheme="minorHAnsi"/>
          <w:sz w:val="22"/>
          <w:szCs w:val="22"/>
        </w:rPr>
        <w:t xml:space="preserve"> we believe that the </w:t>
      </w:r>
      <w:r w:rsidR="00465DE4">
        <w:rPr>
          <w:rFonts w:asciiTheme="minorHAnsi" w:hAnsiTheme="minorHAnsi" w:cstheme="minorHAnsi"/>
          <w:sz w:val="22"/>
          <w:szCs w:val="22"/>
        </w:rPr>
        <w:t xml:space="preserve">drafting </w:t>
      </w:r>
      <w:r w:rsidR="00B13963">
        <w:rPr>
          <w:rFonts w:asciiTheme="minorHAnsi" w:hAnsiTheme="minorHAnsi" w:cstheme="minorHAnsi"/>
          <w:sz w:val="22"/>
          <w:szCs w:val="22"/>
        </w:rPr>
        <w:t xml:space="preserve">problems we have identified </w:t>
      </w:r>
      <w:r w:rsidR="001F2FDC">
        <w:rPr>
          <w:rFonts w:asciiTheme="minorHAnsi" w:hAnsiTheme="minorHAnsi" w:cstheme="minorHAnsi"/>
          <w:sz w:val="22"/>
          <w:szCs w:val="22"/>
        </w:rPr>
        <w:t xml:space="preserve">in this submission </w:t>
      </w:r>
      <w:r w:rsidR="00465DE4">
        <w:rPr>
          <w:rFonts w:asciiTheme="minorHAnsi" w:hAnsiTheme="minorHAnsi" w:cstheme="minorHAnsi"/>
          <w:sz w:val="22"/>
          <w:szCs w:val="22"/>
        </w:rPr>
        <w:t>do nothing to assist this valid public policy goal</w:t>
      </w:r>
      <w:r w:rsidR="001F2FDC">
        <w:rPr>
          <w:rFonts w:asciiTheme="minorHAnsi" w:hAnsiTheme="minorHAnsi" w:cstheme="minorHAnsi"/>
          <w:sz w:val="22"/>
          <w:szCs w:val="22"/>
        </w:rPr>
        <w:t>. T</w:t>
      </w:r>
      <w:r>
        <w:rPr>
          <w:rFonts w:asciiTheme="minorHAnsi" w:hAnsiTheme="minorHAnsi" w:cstheme="minorHAnsi"/>
          <w:sz w:val="22"/>
          <w:szCs w:val="22"/>
        </w:rPr>
        <w:t>o the contrary, t</w:t>
      </w:r>
      <w:r w:rsidR="001F2FDC">
        <w:rPr>
          <w:rFonts w:asciiTheme="minorHAnsi" w:hAnsiTheme="minorHAnsi" w:cstheme="minorHAnsi"/>
          <w:sz w:val="22"/>
          <w:szCs w:val="22"/>
        </w:rPr>
        <w:t xml:space="preserve">hey will only add administrative complexity to </w:t>
      </w:r>
      <w:r>
        <w:rPr>
          <w:rFonts w:asciiTheme="minorHAnsi" w:hAnsiTheme="minorHAnsi" w:cstheme="minorHAnsi"/>
          <w:sz w:val="22"/>
          <w:szCs w:val="22"/>
        </w:rPr>
        <w:t>the</w:t>
      </w:r>
      <w:r w:rsidR="001F2FDC">
        <w:rPr>
          <w:rFonts w:asciiTheme="minorHAnsi" w:hAnsiTheme="minorHAnsi" w:cstheme="minorHAnsi"/>
          <w:sz w:val="22"/>
          <w:szCs w:val="22"/>
        </w:rPr>
        <w:t xml:space="preserve"> operations </w:t>
      </w:r>
      <w:r>
        <w:rPr>
          <w:rFonts w:asciiTheme="minorHAnsi" w:hAnsiTheme="minorHAnsi" w:cstheme="minorHAnsi"/>
          <w:sz w:val="22"/>
          <w:szCs w:val="22"/>
        </w:rPr>
        <w:t xml:space="preserve">of organisations such as our own </w:t>
      </w:r>
      <w:r w:rsidR="001F2FDC">
        <w:rPr>
          <w:rFonts w:asciiTheme="minorHAnsi" w:hAnsiTheme="minorHAnsi" w:cstheme="minorHAnsi"/>
          <w:sz w:val="22"/>
          <w:szCs w:val="22"/>
        </w:rPr>
        <w:t xml:space="preserve">and are more likely to hinder compliance rather than assist it. </w:t>
      </w:r>
      <w:r w:rsidR="0070124B">
        <w:rPr>
          <w:rFonts w:asciiTheme="minorHAnsi" w:hAnsiTheme="minorHAnsi" w:cstheme="minorHAnsi"/>
          <w:sz w:val="22"/>
          <w:szCs w:val="22"/>
        </w:rPr>
        <w:t xml:space="preserve">We therefore trust that our recommendations will receive serious consideration and that the problems we raise will be rectified in the final legislation that is submitted to Parliament. </w:t>
      </w:r>
    </w:p>
    <w:p w:rsidR="00957DE7" w:rsidRDefault="00957DE7" w:rsidP="00957DE7">
      <w:pPr>
        <w:spacing w:line="276" w:lineRule="auto"/>
        <w:rPr>
          <w:rFonts w:asciiTheme="minorHAnsi" w:hAnsiTheme="minorHAnsi" w:cstheme="minorHAnsi"/>
          <w:sz w:val="22"/>
          <w:szCs w:val="22"/>
        </w:rPr>
      </w:pPr>
    </w:p>
    <w:p w:rsidR="001F2FDC" w:rsidRDefault="001F2FDC" w:rsidP="00957DE7">
      <w:pPr>
        <w:spacing w:line="276" w:lineRule="auto"/>
        <w:rPr>
          <w:rFonts w:asciiTheme="minorHAnsi" w:hAnsiTheme="minorHAnsi" w:cstheme="minorHAnsi"/>
          <w:sz w:val="22"/>
          <w:szCs w:val="22"/>
        </w:rPr>
      </w:pPr>
    </w:p>
    <w:p w:rsidR="001F2FDC" w:rsidRDefault="001F2FDC" w:rsidP="00957DE7">
      <w:pPr>
        <w:spacing w:line="276" w:lineRule="auto"/>
        <w:rPr>
          <w:rFonts w:asciiTheme="minorHAnsi" w:hAnsiTheme="minorHAnsi" w:cstheme="minorHAnsi"/>
          <w:sz w:val="22"/>
          <w:szCs w:val="22"/>
        </w:rPr>
      </w:pPr>
      <w:r>
        <w:rPr>
          <w:rFonts w:asciiTheme="minorHAnsi" w:hAnsiTheme="minorHAnsi" w:cstheme="minorHAnsi"/>
          <w:sz w:val="22"/>
          <w:szCs w:val="22"/>
        </w:rPr>
        <w:t>Yours sincerely</w:t>
      </w:r>
    </w:p>
    <w:p w:rsidR="001F2FDC" w:rsidRDefault="001F2FDC" w:rsidP="00957DE7">
      <w:pPr>
        <w:spacing w:line="276" w:lineRule="auto"/>
        <w:rPr>
          <w:rFonts w:asciiTheme="minorHAnsi" w:hAnsiTheme="minorHAnsi" w:cstheme="minorHAnsi"/>
          <w:sz w:val="22"/>
          <w:szCs w:val="22"/>
        </w:rPr>
      </w:pPr>
      <w:r>
        <w:rPr>
          <w:rFonts w:asciiTheme="minorHAnsi" w:hAnsiTheme="minorHAnsi" w:cstheme="minorHAnsi"/>
          <w:noProof/>
          <w:sz w:val="22"/>
          <w:szCs w:val="22"/>
          <w:lang w:val="en-AU" w:eastAsia="en-AU"/>
        </w:rPr>
        <w:drawing>
          <wp:inline distT="0" distB="0" distL="0" distR="0">
            <wp:extent cx="1695450" cy="749611"/>
            <wp:effectExtent l="19050" t="0" r="0" b="0"/>
            <wp:docPr id="2" name="Picture 1" descr="Betty Hounslow 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ty Hounslow signature.bmp"/>
                    <pic:cNvPicPr/>
                  </pic:nvPicPr>
                  <pic:blipFill>
                    <a:blip r:embed="rId9" cstate="print"/>
                    <a:stretch>
                      <a:fillRect/>
                    </a:stretch>
                  </pic:blipFill>
                  <pic:spPr>
                    <a:xfrm>
                      <a:off x="0" y="0"/>
                      <a:ext cx="1696537" cy="750092"/>
                    </a:xfrm>
                    <a:prstGeom prst="rect">
                      <a:avLst/>
                    </a:prstGeom>
                  </pic:spPr>
                </pic:pic>
              </a:graphicData>
            </a:graphic>
          </wp:inline>
        </w:drawing>
      </w:r>
    </w:p>
    <w:p w:rsidR="001F2FDC" w:rsidRDefault="001F2FDC" w:rsidP="00957DE7">
      <w:pPr>
        <w:spacing w:line="276" w:lineRule="auto"/>
        <w:rPr>
          <w:rFonts w:asciiTheme="minorHAnsi" w:hAnsiTheme="minorHAnsi" w:cstheme="minorHAnsi"/>
          <w:sz w:val="22"/>
          <w:szCs w:val="22"/>
        </w:rPr>
      </w:pPr>
      <w:r>
        <w:rPr>
          <w:rFonts w:asciiTheme="minorHAnsi" w:hAnsiTheme="minorHAnsi" w:cstheme="minorHAnsi"/>
          <w:sz w:val="22"/>
          <w:szCs w:val="22"/>
        </w:rPr>
        <w:t>Betty Hounslow</w:t>
      </w:r>
    </w:p>
    <w:p w:rsidR="001F2FDC" w:rsidRDefault="001F2FDC" w:rsidP="00957DE7">
      <w:pPr>
        <w:spacing w:line="276" w:lineRule="auto"/>
        <w:rPr>
          <w:rFonts w:asciiTheme="minorHAnsi" w:hAnsiTheme="minorHAnsi" w:cstheme="minorHAnsi"/>
          <w:sz w:val="22"/>
          <w:szCs w:val="22"/>
        </w:rPr>
      </w:pPr>
      <w:r>
        <w:rPr>
          <w:rFonts w:asciiTheme="minorHAnsi" w:hAnsiTheme="minorHAnsi" w:cstheme="minorHAnsi"/>
          <w:sz w:val="22"/>
          <w:szCs w:val="22"/>
        </w:rPr>
        <w:t>Deputy CEO</w:t>
      </w:r>
    </w:p>
    <w:p w:rsidR="001F2FDC" w:rsidRDefault="001F2FDC" w:rsidP="00957DE7">
      <w:pPr>
        <w:spacing w:line="276" w:lineRule="auto"/>
        <w:rPr>
          <w:rFonts w:asciiTheme="minorHAnsi" w:hAnsiTheme="minorHAnsi" w:cstheme="minorHAnsi"/>
          <w:sz w:val="22"/>
          <w:szCs w:val="22"/>
        </w:rPr>
      </w:pPr>
    </w:p>
    <w:p w:rsidR="001F2FDC" w:rsidRDefault="00D7599D" w:rsidP="00957DE7">
      <w:pPr>
        <w:spacing w:line="276" w:lineRule="auto"/>
        <w:rPr>
          <w:rFonts w:asciiTheme="minorHAnsi" w:hAnsiTheme="minorHAnsi" w:cstheme="minorHAnsi"/>
          <w:sz w:val="22"/>
          <w:szCs w:val="22"/>
        </w:rPr>
      </w:pPr>
      <w:hyperlink r:id="rId10" w:history="1">
        <w:r w:rsidR="001F2FDC" w:rsidRPr="008613B4">
          <w:rPr>
            <w:rStyle w:val="Hyperlink"/>
            <w:rFonts w:asciiTheme="minorHAnsi" w:hAnsiTheme="minorHAnsi" w:cstheme="minorHAnsi"/>
            <w:sz w:val="22"/>
            <w:szCs w:val="22"/>
          </w:rPr>
          <w:t>bhounslow@hollows.org</w:t>
        </w:r>
      </w:hyperlink>
    </w:p>
    <w:p w:rsidR="001F2FDC" w:rsidRPr="00957DE7" w:rsidRDefault="001F2FDC" w:rsidP="00957DE7">
      <w:pPr>
        <w:spacing w:line="276" w:lineRule="auto"/>
        <w:rPr>
          <w:rFonts w:asciiTheme="minorHAnsi" w:hAnsiTheme="minorHAnsi" w:cstheme="minorHAnsi"/>
          <w:sz w:val="22"/>
          <w:szCs w:val="22"/>
        </w:rPr>
      </w:pPr>
      <w:r>
        <w:rPr>
          <w:rFonts w:asciiTheme="minorHAnsi" w:hAnsiTheme="minorHAnsi" w:cstheme="minorHAnsi"/>
          <w:sz w:val="22"/>
          <w:szCs w:val="22"/>
        </w:rPr>
        <w:t>Phone: 02-8741 1912 or 0407 232 440</w:t>
      </w:r>
    </w:p>
    <w:sectPr w:rsidR="001F2FDC" w:rsidRPr="00957DE7" w:rsidSect="00953295">
      <w:headerReference w:type="even" r:id="rId11"/>
      <w:headerReference w:type="default" r:id="rId12"/>
      <w:footerReference w:type="default" r:id="rId13"/>
      <w:headerReference w:type="first" r:id="rId14"/>
      <w:pgSz w:w="12240" w:h="15840" w:code="1"/>
      <w:pgMar w:top="1464" w:right="1077" w:bottom="1440" w:left="179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4C8" w:rsidRDefault="00D244C8">
      <w:r>
        <w:separator/>
      </w:r>
    </w:p>
  </w:endnote>
  <w:endnote w:type="continuationSeparator" w:id="0">
    <w:p w:rsidR="00D244C8" w:rsidRDefault="00D2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6A" w:rsidRDefault="00AC056A">
    <w:pPr>
      <w:pStyle w:val="Footer"/>
      <w:jc w:val="right"/>
    </w:pPr>
  </w:p>
  <w:p w:rsidR="00681509" w:rsidRPr="00D81125" w:rsidRDefault="00681509">
    <w:pPr>
      <w:pStyle w:val="Footer"/>
      <w:rPr>
        <w:rFonts w:ascii="Arial" w:hAnsi="Arial" w:cs="Arial"/>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4C8" w:rsidRDefault="00D244C8">
      <w:r>
        <w:separator/>
      </w:r>
    </w:p>
  </w:footnote>
  <w:footnote w:type="continuationSeparator" w:id="0">
    <w:p w:rsidR="00D244C8" w:rsidRDefault="00D24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09" w:rsidRDefault="00D7599D">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225pt;margin-top:0;width:243pt;height:236.25pt;z-index:251657216" filled="f" stroked="f">
          <v:textbox style="mso-next-textbox:#_x0000_s2050">
            <w:txbxContent>
              <w:p w:rsidR="00681509" w:rsidRDefault="00792BA3" w:rsidP="000672FD">
                <w:pPr>
                  <w:pStyle w:val="Header"/>
                  <w:tabs>
                    <w:tab w:val="left" w:pos="1800"/>
                    <w:tab w:val="center" w:pos="1980"/>
                    <w:tab w:val="right" w:pos="9360"/>
                  </w:tabs>
                  <w:ind w:left="1800" w:right="-720"/>
                </w:pPr>
                <w:r>
                  <w:rPr>
                    <w:noProof/>
                    <w:lang w:val="en-AU" w:eastAsia="en-AU"/>
                  </w:rPr>
                  <w:drawing>
                    <wp:inline distT="0" distB="0" distL="0" distR="0">
                      <wp:extent cx="1838325" cy="3057525"/>
                      <wp:effectExtent l="19050" t="0" r="9525" b="0"/>
                      <wp:docPr id="1" name="Picture 1" descr="Central Australia 04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Australia 040507"/>
                              <pic:cNvPicPr>
                                <a:picLocks noChangeAspect="1" noChangeArrowheads="1"/>
                              </pic:cNvPicPr>
                            </pic:nvPicPr>
                            <pic:blipFill>
                              <a:blip r:embed="rId1"/>
                              <a:srcRect/>
                              <a:stretch>
                                <a:fillRect/>
                              </a:stretch>
                            </pic:blipFill>
                            <pic:spPr bwMode="auto">
                              <a:xfrm>
                                <a:off x="0" y="0"/>
                                <a:ext cx="1838325" cy="3057525"/>
                              </a:xfrm>
                              <a:prstGeom prst="rect">
                                <a:avLst/>
                              </a:prstGeom>
                              <a:noFill/>
                              <a:ln w="9525">
                                <a:noFill/>
                                <a:miter lim="800000"/>
                                <a:headEnd/>
                                <a:tailEnd/>
                              </a:ln>
                            </pic:spPr>
                          </pic:pic>
                        </a:graphicData>
                      </a:graphic>
                    </wp:inline>
                  </w:drawing>
                </w:r>
              </w:p>
            </w:txbxContent>
          </v:textbox>
          <w10:wrap type="squar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09" w:rsidRDefault="00681509" w:rsidP="001F409B">
    <w:pPr>
      <w:pStyle w:val="Header"/>
      <w:tabs>
        <w:tab w:val="clear" w:pos="4320"/>
        <w:tab w:val="clear" w:pos="8640"/>
        <w:tab w:val="left" w:pos="1800"/>
        <w:tab w:val="center" w:pos="1980"/>
        <w:tab w:val="right" w:pos="9360"/>
      </w:tabs>
      <w:ind w:left="1800" w:right="-720"/>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09" w:rsidRDefault="00792BA3">
    <w:pPr>
      <w:pStyle w:val="Header"/>
    </w:pPr>
    <w:r>
      <w:rPr>
        <w:noProof/>
        <w:lang w:val="en-AU" w:eastAsia="en-AU"/>
      </w:rPr>
      <w:drawing>
        <wp:anchor distT="0" distB="0" distL="114300" distR="114300" simplePos="0" relativeHeight="251658240" behindDoc="1" locked="0" layoutInCell="1" allowOverlap="1">
          <wp:simplePos x="0" y="0"/>
          <wp:positionH relativeFrom="column">
            <wp:posOffset>3909060</wp:posOffset>
          </wp:positionH>
          <wp:positionV relativeFrom="paragraph">
            <wp:posOffset>2540</wp:posOffset>
          </wp:positionV>
          <wp:extent cx="2009775" cy="457200"/>
          <wp:effectExtent l="19050" t="0" r="9525" b="0"/>
          <wp:wrapTight wrapText="bothSides">
            <wp:wrapPolygon edited="0">
              <wp:start x="-205" y="0"/>
              <wp:lineTo x="-205" y="20700"/>
              <wp:lineTo x="21702" y="20700"/>
              <wp:lineTo x="21702" y="0"/>
              <wp:lineTo x="-205" y="0"/>
            </wp:wrapPolygon>
          </wp:wrapTight>
          <wp:docPr id="7" name="Picture 7" descr="FHFACN_Left-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FACN_Left-RGB_POS"/>
                  <pic:cNvPicPr>
                    <a:picLocks noChangeAspect="1" noChangeArrowheads="1"/>
                  </pic:cNvPicPr>
                </pic:nvPicPr>
                <pic:blipFill>
                  <a:blip r:embed="rId1"/>
                  <a:srcRect t="19228" b="19228"/>
                  <a:stretch>
                    <a:fillRect/>
                  </a:stretch>
                </pic:blipFill>
                <pic:spPr bwMode="auto">
                  <a:xfrm>
                    <a:off x="0" y="0"/>
                    <a:ext cx="2009775" cy="457200"/>
                  </a:xfrm>
                  <a:prstGeom prst="rect">
                    <a:avLst/>
                  </a:prstGeom>
                  <a:noFill/>
                </pic:spPr>
              </pic:pic>
            </a:graphicData>
          </a:graphic>
        </wp:anchor>
      </w:drawing>
    </w:r>
  </w:p>
  <w:p w:rsidR="00681509" w:rsidRDefault="00681509">
    <w:pPr>
      <w:pStyle w:val="Header"/>
    </w:pPr>
  </w:p>
  <w:tbl>
    <w:tblPr>
      <w:tblpPr w:vertAnchor="page" w:horzAnchor="margin" w:tblpXSpec="right" w:tblpY="1475"/>
      <w:tblOverlap w:val="never"/>
      <w:tblW w:w="0" w:type="auto"/>
      <w:tblBorders>
        <w:top w:val="single" w:sz="18" w:space="0" w:color="595959"/>
      </w:tblBorders>
      <w:tblCellMar>
        <w:left w:w="6" w:type="dxa"/>
        <w:right w:w="6" w:type="dxa"/>
      </w:tblCellMar>
      <w:tblLook w:val="04A0" w:firstRow="1" w:lastRow="0" w:firstColumn="1" w:lastColumn="0" w:noHBand="0" w:noVBand="1"/>
    </w:tblPr>
    <w:tblGrid>
      <w:gridCol w:w="2058"/>
    </w:tblGrid>
    <w:tr w:rsidR="00681509" w:rsidRPr="00CF10EF" w:rsidTr="00A27E0D">
      <w:tc>
        <w:tcPr>
          <w:tcW w:w="0" w:type="auto"/>
        </w:tcPr>
        <w:p w:rsidR="00681509" w:rsidRPr="006A5F5C" w:rsidRDefault="00681509" w:rsidP="00A27E0D">
          <w:pPr>
            <w:spacing w:before="60"/>
            <w:rPr>
              <w:rFonts w:cs="Arial"/>
              <w:color w:val="000000"/>
              <w:sz w:val="16"/>
              <w:szCs w:val="16"/>
              <w:lang w:eastAsia="en-AU"/>
            </w:rPr>
          </w:pPr>
          <w:r>
            <w:rPr>
              <w:rFonts w:ascii="Arial" w:hAnsi="Arial" w:cs="Arial"/>
              <w:sz w:val="16"/>
              <w:szCs w:val="16"/>
            </w:rPr>
            <w:t>Level 2, 61 Dunning Avenue</w:t>
          </w:r>
        </w:p>
      </w:tc>
    </w:tr>
    <w:tr w:rsidR="00681509" w:rsidRPr="00CF10EF" w:rsidTr="00A27E0D">
      <w:tc>
        <w:tcPr>
          <w:tcW w:w="0" w:type="auto"/>
        </w:tcPr>
        <w:p w:rsidR="00681509" w:rsidRPr="006A5F5C" w:rsidRDefault="00681509" w:rsidP="00EE79E1">
          <w:pPr>
            <w:rPr>
              <w:rFonts w:cs="Arial"/>
              <w:color w:val="000000"/>
              <w:sz w:val="16"/>
              <w:szCs w:val="16"/>
              <w:lang w:eastAsia="en-AU"/>
            </w:rPr>
          </w:pPr>
          <w:r>
            <w:rPr>
              <w:rFonts w:ascii="Arial" w:hAnsi="Arial" w:cs="Arial"/>
              <w:sz w:val="16"/>
              <w:szCs w:val="16"/>
            </w:rPr>
            <w:t>Rosebery</w:t>
          </w:r>
          <w:r w:rsidRPr="006A5F5C">
            <w:rPr>
              <w:rFonts w:ascii="Arial" w:hAnsi="Arial" w:cs="Arial"/>
              <w:sz w:val="16"/>
              <w:szCs w:val="16"/>
            </w:rPr>
            <w:t xml:space="preserve">  NSW  </w:t>
          </w:r>
          <w:r>
            <w:rPr>
              <w:rFonts w:ascii="Arial" w:hAnsi="Arial" w:cs="Arial"/>
              <w:sz w:val="16"/>
              <w:szCs w:val="16"/>
            </w:rPr>
            <w:t>2018</w:t>
          </w:r>
        </w:p>
      </w:tc>
    </w:tr>
    <w:tr w:rsidR="00681509" w:rsidRPr="00CF10EF" w:rsidTr="00A27E0D">
      <w:tc>
        <w:tcPr>
          <w:tcW w:w="0" w:type="auto"/>
        </w:tcPr>
        <w:p w:rsidR="00681509" w:rsidRPr="006A5F5C" w:rsidRDefault="00681509" w:rsidP="00A27E0D">
          <w:pPr>
            <w:jc w:val="right"/>
            <w:rPr>
              <w:rFonts w:cs="Arial"/>
              <w:sz w:val="16"/>
              <w:szCs w:val="16"/>
              <w:lang w:eastAsia="en-AU"/>
            </w:rPr>
          </w:pPr>
        </w:p>
      </w:tc>
    </w:tr>
    <w:tr w:rsidR="00681509" w:rsidRPr="00CF10EF" w:rsidTr="00A27E0D">
      <w:tc>
        <w:tcPr>
          <w:tcW w:w="0" w:type="auto"/>
        </w:tcPr>
        <w:p w:rsidR="00681509" w:rsidRPr="006A5F5C" w:rsidRDefault="00681509" w:rsidP="00A27E0D">
          <w:pPr>
            <w:rPr>
              <w:rFonts w:cs="Arial"/>
              <w:sz w:val="16"/>
              <w:szCs w:val="16"/>
              <w:lang w:eastAsia="en-AU"/>
            </w:rPr>
          </w:pPr>
          <w:r>
            <w:rPr>
              <w:rFonts w:ascii="Arial" w:hAnsi="Arial" w:cs="Arial"/>
              <w:sz w:val="16"/>
              <w:szCs w:val="16"/>
            </w:rPr>
            <w:t>Locked Bag 5021</w:t>
          </w:r>
        </w:p>
      </w:tc>
    </w:tr>
    <w:tr w:rsidR="00681509" w:rsidRPr="00CF10EF" w:rsidTr="00A27E0D">
      <w:tc>
        <w:tcPr>
          <w:tcW w:w="0" w:type="auto"/>
        </w:tcPr>
        <w:p w:rsidR="00681509" w:rsidRPr="006A5F5C" w:rsidRDefault="00681509" w:rsidP="00B90127">
          <w:pPr>
            <w:rPr>
              <w:rFonts w:cs="Arial"/>
              <w:color w:val="000000"/>
              <w:sz w:val="16"/>
              <w:szCs w:val="16"/>
              <w:lang w:eastAsia="en-AU"/>
            </w:rPr>
          </w:pPr>
          <w:r>
            <w:rPr>
              <w:rFonts w:ascii="Arial" w:hAnsi="Arial" w:cs="Arial"/>
              <w:sz w:val="16"/>
              <w:szCs w:val="16"/>
            </w:rPr>
            <w:t>Alexandria</w:t>
          </w:r>
          <w:r w:rsidRPr="006A5F5C">
            <w:rPr>
              <w:rFonts w:ascii="Arial" w:hAnsi="Arial" w:cs="Arial"/>
              <w:sz w:val="16"/>
              <w:szCs w:val="16"/>
            </w:rPr>
            <w:t xml:space="preserve">  NSW  </w:t>
          </w:r>
          <w:r>
            <w:rPr>
              <w:rFonts w:ascii="Arial" w:hAnsi="Arial" w:cs="Arial"/>
              <w:sz w:val="16"/>
              <w:szCs w:val="16"/>
            </w:rPr>
            <w:t>2015</w:t>
          </w:r>
        </w:p>
      </w:tc>
    </w:tr>
    <w:tr w:rsidR="00681509" w:rsidRPr="00CF10EF" w:rsidTr="00A27E0D">
      <w:tc>
        <w:tcPr>
          <w:tcW w:w="0" w:type="auto"/>
        </w:tcPr>
        <w:p w:rsidR="00681509" w:rsidRPr="006A5F5C" w:rsidRDefault="00681509" w:rsidP="00A27E0D">
          <w:pPr>
            <w:rPr>
              <w:rFonts w:cs="Arial"/>
              <w:sz w:val="16"/>
              <w:szCs w:val="16"/>
              <w:lang w:eastAsia="en-AU"/>
            </w:rPr>
          </w:pPr>
          <w:r w:rsidRPr="006A5F5C">
            <w:rPr>
              <w:rFonts w:ascii="Arial" w:hAnsi="Arial" w:cs="Arial"/>
              <w:sz w:val="16"/>
              <w:szCs w:val="16"/>
            </w:rPr>
            <w:t>Australia</w:t>
          </w:r>
        </w:p>
      </w:tc>
    </w:tr>
    <w:tr w:rsidR="00681509" w:rsidRPr="00CF10EF" w:rsidTr="00A27E0D">
      <w:tc>
        <w:tcPr>
          <w:tcW w:w="0" w:type="auto"/>
        </w:tcPr>
        <w:p w:rsidR="00681509" w:rsidRPr="006A5F5C" w:rsidRDefault="00681509" w:rsidP="00A27E0D">
          <w:pPr>
            <w:rPr>
              <w:rFonts w:cs="Arial"/>
              <w:sz w:val="16"/>
              <w:szCs w:val="16"/>
              <w:lang w:eastAsia="en-AU"/>
            </w:rPr>
          </w:pPr>
        </w:p>
      </w:tc>
    </w:tr>
    <w:tr w:rsidR="00681509" w:rsidRPr="00CF10EF" w:rsidTr="00A27E0D">
      <w:tc>
        <w:tcPr>
          <w:tcW w:w="0" w:type="auto"/>
        </w:tcPr>
        <w:p w:rsidR="00681509" w:rsidRPr="006A5F5C" w:rsidRDefault="00681509" w:rsidP="005C67DA">
          <w:pPr>
            <w:tabs>
              <w:tab w:val="left" w:pos="0"/>
              <w:tab w:val="left" w:pos="426"/>
            </w:tabs>
            <w:rPr>
              <w:rFonts w:cs="Arial"/>
              <w:sz w:val="16"/>
              <w:szCs w:val="16"/>
              <w:lang w:eastAsia="en-AU"/>
            </w:rPr>
          </w:pPr>
          <w:r w:rsidRPr="006A5F5C">
            <w:rPr>
              <w:rFonts w:ascii="Arial" w:hAnsi="Arial" w:cs="Arial"/>
              <w:sz w:val="16"/>
              <w:szCs w:val="16"/>
            </w:rPr>
            <w:t xml:space="preserve">Tel </w:t>
          </w:r>
          <w:r>
            <w:rPr>
              <w:rFonts w:ascii="Arial" w:hAnsi="Arial" w:cs="Arial"/>
              <w:sz w:val="16"/>
              <w:szCs w:val="16"/>
            </w:rPr>
            <w:tab/>
          </w:r>
          <w:r w:rsidRPr="006A5F5C">
            <w:rPr>
              <w:rFonts w:ascii="Arial" w:hAnsi="Arial" w:cs="Arial"/>
              <w:sz w:val="16"/>
              <w:szCs w:val="16"/>
            </w:rPr>
            <w:t>+61 2 8741 1900</w:t>
          </w:r>
        </w:p>
      </w:tc>
    </w:tr>
    <w:tr w:rsidR="00681509" w:rsidRPr="00CF10EF" w:rsidTr="00A27E0D">
      <w:tc>
        <w:tcPr>
          <w:tcW w:w="0" w:type="auto"/>
        </w:tcPr>
        <w:p w:rsidR="00681509" w:rsidRPr="006A5F5C" w:rsidRDefault="00681509" w:rsidP="005C67DA">
          <w:pPr>
            <w:tabs>
              <w:tab w:val="left" w:pos="0"/>
              <w:tab w:val="left" w:pos="426"/>
            </w:tabs>
            <w:rPr>
              <w:rFonts w:cs="Arial"/>
              <w:sz w:val="16"/>
              <w:szCs w:val="16"/>
              <w:lang w:eastAsia="en-AU"/>
            </w:rPr>
          </w:pPr>
          <w:r w:rsidRPr="006A5F5C">
            <w:rPr>
              <w:rFonts w:ascii="Arial" w:hAnsi="Arial" w:cs="Arial"/>
              <w:sz w:val="16"/>
              <w:szCs w:val="16"/>
            </w:rPr>
            <w:t xml:space="preserve">Fax </w:t>
          </w:r>
          <w:r>
            <w:rPr>
              <w:rFonts w:ascii="Arial" w:hAnsi="Arial" w:cs="Arial"/>
              <w:sz w:val="16"/>
              <w:szCs w:val="16"/>
            </w:rPr>
            <w:tab/>
          </w:r>
          <w:r w:rsidRPr="006A5F5C">
            <w:rPr>
              <w:rFonts w:ascii="Arial" w:hAnsi="Arial" w:cs="Arial"/>
              <w:sz w:val="16"/>
              <w:szCs w:val="16"/>
            </w:rPr>
            <w:t>+61 2 8741 1999</w:t>
          </w:r>
        </w:p>
      </w:tc>
    </w:tr>
    <w:tr w:rsidR="00681509" w:rsidRPr="00CF10EF" w:rsidTr="00A27E0D">
      <w:tc>
        <w:tcPr>
          <w:tcW w:w="0" w:type="auto"/>
        </w:tcPr>
        <w:p w:rsidR="00681509" w:rsidRPr="006A5F5C" w:rsidRDefault="00681509" w:rsidP="00A27E0D">
          <w:pPr>
            <w:jc w:val="right"/>
            <w:rPr>
              <w:rFonts w:cs="Arial"/>
              <w:sz w:val="16"/>
              <w:szCs w:val="16"/>
              <w:lang w:eastAsia="en-AU"/>
            </w:rPr>
          </w:pPr>
        </w:p>
      </w:tc>
    </w:tr>
    <w:tr w:rsidR="00681509" w:rsidRPr="00CF10EF" w:rsidTr="00A27E0D">
      <w:tc>
        <w:tcPr>
          <w:tcW w:w="0" w:type="auto"/>
        </w:tcPr>
        <w:p w:rsidR="00681509" w:rsidRPr="006A5F5C" w:rsidRDefault="00681509" w:rsidP="00A27E0D">
          <w:pPr>
            <w:rPr>
              <w:rFonts w:cs="Arial"/>
              <w:sz w:val="16"/>
              <w:szCs w:val="16"/>
              <w:lang w:eastAsia="en-AU"/>
            </w:rPr>
          </w:pPr>
          <w:r w:rsidRPr="006A5F5C">
            <w:rPr>
              <w:rFonts w:ascii="Arial" w:hAnsi="Arial" w:cs="Arial"/>
              <w:sz w:val="16"/>
              <w:szCs w:val="16"/>
            </w:rPr>
            <w:t>Donation Line</w:t>
          </w:r>
        </w:p>
      </w:tc>
    </w:tr>
    <w:tr w:rsidR="00681509" w:rsidRPr="00CF10EF" w:rsidTr="00A27E0D">
      <w:tc>
        <w:tcPr>
          <w:tcW w:w="0" w:type="auto"/>
        </w:tcPr>
        <w:p w:rsidR="00681509" w:rsidRPr="006A5F5C" w:rsidRDefault="00681509" w:rsidP="00A27E0D">
          <w:pPr>
            <w:rPr>
              <w:rFonts w:ascii="Arial" w:hAnsi="Arial" w:cs="Arial"/>
              <w:sz w:val="16"/>
              <w:szCs w:val="16"/>
            </w:rPr>
          </w:pPr>
          <w:r w:rsidRPr="006A5F5C">
            <w:rPr>
              <w:rFonts w:ascii="Arial" w:hAnsi="Arial" w:cs="Arial"/>
              <w:sz w:val="16"/>
              <w:szCs w:val="16"/>
            </w:rPr>
            <w:t>1800 352 352</w:t>
          </w:r>
        </w:p>
      </w:tc>
    </w:tr>
    <w:tr w:rsidR="00681509" w:rsidRPr="00CF10EF" w:rsidTr="00A27E0D">
      <w:tc>
        <w:tcPr>
          <w:tcW w:w="0" w:type="auto"/>
        </w:tcPr>
        <w:p w:rsidR="00681509" w:rsidRPr="006A5F5C" w:rsidRDefault="00681509" w:rsidP="00A27E0D">
          <w:pPr>
            <w:jc w:val="right"/>
            <w:rPr>
              <w:rFonts w:ascii="Arial" w:hAnsi="Arial" w:cs="Arial"/>
              <w:sz w:val="16"/>
              <w:szCs w:val="16"/>
            </w:rPr>
          </w:pPr>
        </w:p>
      </w:tc>
    </w:tr>
    <w:tr w:rsidR="00681509" w:rsidRPr="00CF10EF" w:rsidTr="00A27E0D">
      <w:tc>
        <w:tcPr>
          <w:tcW w:w="0" w:type="auto"/>
        </w:tcPr>
        <w:p w:rsidR="00681509" w:rsidRPr="006A5F5C" w:rsidRDefault="00681509" w:rsidP="00A27E0D">
          <w:pPr>
            <w:rPr>
              <w:rFonts w:ascii="Arial" w:hAnsi="Arial" w:cs="Arial"/>
              <w:sz w:val="16"/>
              <w:szCs w:val="16"/>
            </w:rPr>
          </w:pPr>
          <w:r w:rsidRPr="006A5F5C">
            <w:rPr>
              <w:rFonts w:ascii="Arial" w:hAnsi="Arial" w:cs="Arial"/>
              <w:sz w:val="16"/>
              <w:szCs w:val="16"/>
            </w:rPr>
            <w:t xml:space="preserve">Email </w:t>
          </w:r>
          <w:hyperlink r:id="rId2" w:history="1">
            <w:r w:rsidRPr="006A5F5C">
              <w:rPr>
                <w:rStyle w:val="Hyperlink"/>
                <w:rFonts w:ascii="Arial" w:hAnsi="Arial" w:cs="Arial"/>
                <w:sz w:val="16"/>
                <w:szCs w:val="16"/>
              </w:rPr>
              <w:t>fhf@hollows.org</w:t>
            </w:r>
          </w:hyperlink>
        </w:p>
      </w:tc>
    </w:tr>
    <w:tr w:rsidR="00681509" w:rsidRPr="00CF10EF" w:rsidTr="00A27E0D">
      <w:tc>
        <w:tcPr>
          <w:tcW w:w="0" w:type="auto"/>
        </w:tcPr>
        <w:p w:rsidR="00681509" w:rsidRPr="006A5F5C" w:rsidRDefault="00681509" w:rsidP="00A27E0D">
          <w:pPr>
            <w:rPr>
              <w:rFonts w:ascii="Arial" w:hAnsi="Arial" w:cs="Arial"/>
              <w:sz w:val="16"/>
              <w:szCs w:val="16"/>
            </w:rPr>
          </w:pPr>
          <w:r w:rsidRPr="006A5F5C">
            <w:rPr>
              <w:rFonts w:ascii="Arial" w:hAnsi="Arial" w:cs="Arial"/>
              <w:sz w:val="16"/>
              <w:szCs w:val="16"/>
            </w:rPr>
            <w:t xml:space="preserve">Website </w:t>
          </w:r>
          <w:hyperlink r:id="rId3" w:history="1">
            <w:r w:rsidRPr="006A5F5C">
              <w:rPr>
                <w:rStyle w:val="Hyperlink"/>
                <w:rFonts w:ascii="Arial" w:hAnsi="Arial" w:cs="Arial"/>
                <w:sz w:val="16"/>
                <w:szCs w:val="16"/>
              </w:rPr>
              <w:t>www.hollows.org.au</w:t>
            </w:r>
          </w:hyperlink>
        </w:p>
      </w:tc>
    </w:tr>
  </w:tbl>
  <w:p w:rsidR="00681509" w:rsidRDefault="00681509">
    <w:pPr>
      <w:pStyle w:val="Header"/>
    </w:pPr>
  </w:p>
  <w:p w:rsidR="00681509" w:rsidRDefault="00681509">
    <w:pPr>
      <w:pStyle w:val="Header"/>
    </w:pPr>
  </w:p>
  <w:p w:rsidR="00681509" w:rsidRDefault="00681509">
    <w:pPr>
      <w:pStyle w:val="Header"/>
    </w:pPr>
  </w:p>
  <w:p w:rsidR="00681509" w:rsidRDefault="006815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B63"/>
    <w:multiLevelType w:val="hybridMultilevel"/>
    <w:tmpl w:val="D6C4DB76"/>
    <w:lvl w:ilvl="0" w:tplc="56BE27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C7B4705"/>
    <w:multiLevelType w:val="hybridMultilevel"/>
    <w:tmpl w:val="9B6E47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663F95"/>
    <w:multiLevelType w:val="hybridMultilevel"/>
    <w:tmpl w:val="0680C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7953F8"/>
    <w:multiLevelType w:val="hybridMultilevel"/>
    <w:tmpl w:val="10EA51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BFB1E9D"/>
    <w:multiLevelType w:val="hybridMultilevel"/>
    <w:tmpl w:val="576EB2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CC012F8"/>
    <w:multiLevelType w:val="hybridMultilevel"/>
    <w:tmpl w:val="F100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74A75"/>
    <w:rsid w:val="00022152"/>
    <w:rsid w:val="00026220"/>
    <w:rsid w:val="000405FE"/>
    <w:rsid w:val="000672FD"/>
    <w:rsid w:val="000A5020"/>
    <w:rsid w:val="000D7ABC"/>
    <w:rsid w:val="000F5852"/>
    <w:rsid w:val="000F6E8F"/>
    <w:rsid w:val="001028E1"/>
    <w:rsid w:val="001148AB"/>
    <w:rsid w:val="00117293"/>
    <w:rsid w:val="00124001"/>
    <w:rsid w:val="001762A4"/>
    <w:rsid w:val="001A7852"/>
    <w:rsid w:val="001A7A78"/>
    <w:rsid w:val="001D634C"/>
    <w:rsid w:val="001E349F"/>
    <w:rsid w:val="001F2FDC"/>
    <w:rsid w:val="001F409B"/>
    <w:rsid w:val="00217F72"/>
    <w:rsid w:val="002256F0"/>
    <w:rsid w:val="00261860"/>
    <w:rsid w:val="00264E0C"/>
    <w:rsid w:val="002907F9"/>
    <w:rsid w:val="00297AFE"/>
    <w:rsid w:val="002B2583"/>
    <w:rsid w:val="002D1495"/>
    <w:rsid w:val="002D4751"/>
    <w:rsid w:val="002F3E62"/>
    <w:rsid w:val="00300FDD"/>
    <w:rsid w:val="00301D82"/>
    <w:rsid w:val="00302745"/>
    <w:rsid w:val="00306A84"/>
    <w:rsid w:val="0031174B"/>
    <w:rsid w:val="0032297F"/>
    <w:rsid w:val="00340E21"/>
    <w:rsid w:val="00342130"/>
    <w:rsid w:val="00354E90"/>
    <w:rsid w:val="00365476"/>
    <w:rsid w:val="00374A75"/>
    <w:rsid w:val="0037623D"/>
    <w:rsid w:val="0039443F"/>
    <w:rsid w:val="003F2402"/>
    <w:rsid w:val="00402368"/>
    <w:rsid w:val="00407A92"/>
    <w:rsid w:val="00454E78"/>
    <w:rsid w:val="00465DE4"/>
    <w:rsid w:val="00467B45"/>
    <w:rsid w:val="004C7429"/>
    <w:rsid w:val="004D0D12"/>
    <w:rsid w:val="004D4E7A"/>
    <w:rsid w:val="004D7C5A"/>
    <w:rsid w:val="004E0BB3"/>
    <w:rsid w:val="004E0DBA"/>
    <w:rsid w:val="004E0FFC"/>
    <w:rsid w:val="0051462D"/>
    <w:rsid w:val="00534002"/>
    <w:rsid w:val="005A40F6"/>
    <w:rsid w:val="005B3103"/>
    <w:rsid w:val="005B3842"/>
    <w:rsid w:val="005C67DA"/>
    <w:rsid w:val="005D3C18"/>
    <w:rsid w:val="005F7427"/>
    <w:rsid w:val="006038C9"/>
    <w:rsid w:val="00642D72"/>
    <w:rsid w:val="00645603"/>
    <w:rsid w:val="0066296C"/>
    <w:rsid w:val="00667452"/>
    <w:rsid w:val="00681509"/>
    <w:rsid w:val="006A5F5C"/>
    <w:rsid w:val="006E03BA"/>
    <w:rsid w:val="006E5525"/>
    <w:rsid w:val="006F57FA"/>
    <w:rsid w:val="0070124B"/>
    <w:rsid w:val="00706668"/>
    <w:rsid w:val="00717B44"/>
    <w:rsid w:val="00722F0B"/>
    <w:rsid w:val="007250E6"/>
    <w:rsid w:val="00726980"/>
    <w:rsid w:val="00731314"/>
    <w:rsid w:val="00742DC4"/>
    <w:rsid w:val="007432FC"/>
    <w:rsid w:val="00750064"/>
    <w:rsid w:val="0077690F"/>
    <w:rsid w:val="00792BA3"/>
    <w:rsid w:val="00795838"/>
    <w:rsid w:val="0082721B"/>
    <w:rsid w:val="00857B4D"/>
    <w:rsid w:val="00870C3B"/>
    <w:rsid w:val="008801D7"/>
    <w:rsid w:val="00885B0B"/>
    <w:rsid w:val="008A06DB"/>
    <w:rsid w:val="008D22E5"/>
    <w:rsid w:val="008E3DF5"/>
    <w:rsid w:val="008F6BC2"/>
    <w:rsid w:val="009051D0"/>
    <w:rsid w:val="00907350"/>
    <w:rsid w:val="00953295"/>
    <w:rsid w:val="00957DE7"/>
    <w:rsid w:val="00975A11"/>
    <w:rsid w:val="0098616E"/>
    <w:rsid w:val="009A0285"/>
    <w:rsid w:val="009B1759"/>
    <w:rsid w:val="009B43D7"/>
    <w:rsid w:val="009D7B30"/>
    <w:rsid w:val="009E309C"/>
    <w:rsid w:val="009E6165"/>
    <w:rsid w:val="009E76FF"/>
    <w:rsid w:val="00A10FF1"/>
    <w:rsid w:val="00A27E0D"/>
    <w:rsid w:val="00A34D53"/>
    <w:rsid w:val="00A62A14"/>
    <w:rsid w:val="00A64CF0"/>
    <w:rsid w:val="00A70B32"/>
    <w:rsid w:val="00A8030E"/>
    <w:rsid w:val="00AC056A"/>
    <w:rsid w:val="00AE59C6"/>
    <w:rsid w:val="00B13963"/>
    <w:rsid w:val="00B36026"/>
    <w:rsid w:val="00B61804"/>
    <w:rsid w:val="00B713C8"/>
    <w:rsid w:val="00B90127"/>
    <w:rsid w:val="00B92B15"/>
    <w:rsid w:val="00BA1CD6"/>
    <w:rsid w:val="00BA231C"/>
    <w:rsid w:val="00BA41DA"/>
    <w:rsid w:val="00BA7392"/>
    <w:rsid w:val="00BC0ABE"/>
    <w:rsid w:val="00BE5C08"/>
    <w:rsid w:val="00C14AE8"/>
    <w:rsid w:val="00C17B62"/>
    <w:rsid w:val="00C31881"/>
    <w:rsid w:val="00C425B2"/>
    <w:rsid w:val="00C552D8"/>
    <w:rsid w:val="00C80BCF"/>
    <w:rsid w:val="00D244C8"/>
    <w:rsid w:val="00D7599D"/>
    <w:rsid w:val="00D81125"/>
    <w:rsid w:val="00DB592A"/>
    <w:rsid w:val="00DB7FBA"/>
    <w:rsid w:val="00DC7304"/>
    <w:rsid w:val="00DD140B"/>
    <w:rsid w:val="00DE4D61"/>
    <w:rsid w:val="00E04B60"/>
    <w:rsid w:val="00E07DAC"/>
    <w:rsid w:val="00E30300"/>
    <w:rsid w:val="00EA32A8"/>
    <w:rsid w:val="00EC3308"/>
    <w:rsid w:val="00EC72A8"/>
    <w:rsid w:val="00ED0597"/>
    <w:rsid w:val="00ED4089"/>
    <w:rsid w:val="00EE3B81"/>
    <w:rsid w:val="00EE3FFF"/>
    <w:rsid w:val="00EE79E1"/>
    <w:rsid w:val="00F237A1"/>
    <w:rsid w:val="00F30B4F"/>
    <w:rsid w:val="00F3248B"/>
    <w:rsid w:val="00F67B82"/>
    <w:rsid w:val="00F93097"/>
    <w:rsid w:val="00FD2C9F"/>
    <w:rsid w:val="00FD3C2D"/>
    <w:rsid w:val="00FE2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B1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409B"/>
    <w:pPr>
      <w:tabs>
        <w:tab w:val="center" w:pos="4320"/>
        <w:tab w:val="right" w:pos="8640"/>
      </w:tabs>
    </w:pPr>
  </w:style>
  <w:style w:type="paragraph" w:styleId="Footer">
    <w:name w:val="footer"/>
    <w:basedOn w:val="Normal"/>
    <w:link w:val="FooterChar"/>
    <w:uiPriority w:val="99"/>
    <w:rsid w:val="001F409B"/>
    <w:pPr>
      <w:tabs>
        <w:tab w:val="center" w:pos="4320"/>
        <w:tab w:val="right" w:pos="8640"/>
      </w:tabs>
    </w:pPr>
  </w:style>
  <w:style w:type="character" w:styleId="Hyperlink">
    <w:name w:val="Hyperlink"/>
    <w:basedOn w:val="DefaultParagraphFont"/>
    <w:rsid w:val="00D81125"/>
    <w:rPr>
      <w:color w:val="0000FF"/>
      <w:u w:val="single"/>
    </w:rPr>
  </w:style>
  <w:style w:type="paragraph" w:styleId="BalloonText">
    <w:name w:val="Balloon Text"/>
    <w:basedOn w:val="Normal"/>
    <w:link w:val="BalloonTextChar"/>
    <w:rsid w:val="001A7A78"/>
    <w:rPr>
      <w:rFonts w:ascii="Tahoma" w:hAnsi="Tahoma" w:cs="Tahoma"/>
      <w:sz w:val="16"/>
      <w:szCs w:val="16"/>
    </w:rPr>
  </w:style>
  <w:style w:type="character" w:customStyle="1" w:styleId="BalloonTextChar">
    <w:name w:val="Balloon Text Char"/>
    <w:basedOn w:val="DefaultParagraphFont"/>
    <w:link w:val="BalloonText"/>
    <w:rsid w:val="001A7A78"/>
    <w:rPr>
      <w:rFonts w:ascii="Tahoma" w:hAnsi="Tahoma" w:cs="Tahoma"/>
      <w:sz w:val="16"/>
      <w:szCs w:val="16"/>
      <w:lang w:val="en-US" w:eastAsia="en-US"/>
    </w:rPr>
  </w:style>
  <w:style w:type="paragraph" w:styleId="ListParagraph">
    <w:name w:val="List Paragraph"/>
    <w:basedOn w:val="Normal"/>
    <w:uiPriority w:val="34"/>
    <w:qFormat/>
    <w:rsid w:val="001148AB"/>
    <w:pPr>
      <w:ind w:left="720"/>
      <w:contextualSpacing/>
    </w:pPr>
  </w:style>
  <w:style w:type="character" w:customStyle="1" w:styleId="FooterChar">
    <w:name w:val="Footer Char"/>
    <w:basedOn w:val="DefaultParagraphFont"/>
    <w:link w:val="Footer"/>
    <w:uiPriority w:val="99"/>
    <w:rsid w:val="00AC056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PReform@treasury.gov.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ounslow@hollows.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hollows.org.au" TargetMode="External"/><Relationship Id="rId2" Type="http://schemas.openxmlformats.org/officeDocument/2006/relationships/hyperlink" Target="mailto:fhf@hollows.org"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ounslow\Desktop\FHF%20Sydney%20Lt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FHF Sydney Ltr Head.dotx</Template>
  <TotalTime>1</TotalTime>
  <Pages>3</Pages>
  <Words>1073</Words>
  <Characters>5859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Jhjhjhjhjhjhjhjhjhjhjhjhjhjhjhjhjhjhjhjhjhjhjhjhjhjhjhjhjhjhjhjhjhjhjhjhjhjhjhjhjhjhjhjhjhjhjhjhjhjhjhjhjhjhjhjhjhjhjhjhjhjhjhjhjhjhjhjhjhjhjhjhjhjhjhjhjhjhjhjhjhjhjhjhjhjhjhjhjhjhjhjhjhjhjhjhjhjhjhjhjhjhjhjhjhjhjhjhjhjhjhjhjhjhjhjhjhjhjhjhjhjhjhjhjhjhjh</vt:lpstr>
    </vt:vector>
  </TitlesOfParts>
  <Company>The Fred Hollows Foundation</Company>
  <LinksUpToDate>false</LinksUpToDate>
  <CharactersWithSpaces>6919</CharactersWithSpaces>
  <SharedDoc>false</SharedDoc>
  <HLinks>
    <vt:vector size="18" baseType="variant">
      <vt:variant>
        <vt:i4>7667747</vt:i4>
      </vt:variant>
      <vt:variant>
        <vt:i4>6</vt:i4>
      </vt:variant>
      <vt:variant>
        <vt:i4>0</vt:i4>
      </vt:variant>
      <vt:variant>
        <vt:i4>5</vt:i4>
      </vt:variant>
      <vt:variant>
        <vt:lpwstr>http://www.hollows.org.au/</vt:lpwstr>
      </vt:variant>
      <vt:variant>
        <vt:lpwstr/>
      </vt:variant>
      <vt:variant>
        <vt:i4>7471178</vt:i4>
      </vt:variant>
      <vt:variant>
        <vt:i4>3</vt:i4>
      </vt:variant>
      <vt:variant>
        <vt:i4>0</vt:i4>
      </vt:variant>
      <vt:variant>
        <vt:i4>5</vt:i4>
      </vt:variant>
      <vt:variant>
        <vt:lpwstr>mailto:fhf@hollows.org</vt:lpwstr>
      </vt:variant>
      <vt:variant>
        <vt:lpwstr/>
      </vt:variant>
      <vt:variant>
        <vt:i4>7667747</vt:i4>
      </vt:variant>
      <vt:variant>
        <vt:i4>0</vt:i4>
      </vt:variant>
      <vt:variant>
        <vt:i4>0</vt:i4>
      </vt:variant>
      <vt:variant>
        <vt:i4>5</vt:i4>
      </vt:variant>
      <vt:variant>
        <vt:lpwstr>http://www.hollows.org.au/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Jhjhjhjhjhjhjhjhjhjhjhjhjhjhjhjhjhjhjhjhjhjhjhjhjhjhjhjhjhjhjhjhjhjhjhjhjhjhjhjhjhjhjhjhjhjhjhjhjhjhjhjhjhjhjhjhjhjhjhjhjhjhjhjhjhjhjhjhjhjhjhjhjhjhjhjhjhjhjhjhjhjhjhjhjhjhjhjhjhjhjhjhjhjhjhjhjhjhjhjhjhjhjhjhjhjhjhjhjhjhjhjhjhjhjhjhjhjhjhjhjhjhjhjhjhjhjh</dc:title>
  <dc:creator>bhounslow</dc:creator>
  <cp:lastModifiedBy>Clark, Jessica</cp:lastModifiedBy>
  <cp:revision>2</cp:revision>
  <cp:lastPrinted>2012-05-14T06:52:00Z</cp:lastPrinted>
  <dcterms:created xsi:type="dcterms:W3CDTF">2012-05-14T22:46:00Z</dcterms:created>
  <dcterms:modified xsi:type="dcterms:W3CDTF">2012-05-14T22:46:00Z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-1752425361</vt:i4>
  </property>
  <property fmtid="{D5CDD505-2E9C-101B-9397-08002B2CF9AE}" pid="3" name="_NewReviewCycle">
    <vt:lpwstr/>
  </property>
  <property fmtid="{D5CDD505-2E9C-101B-9397-08002B2CF9AE}" pid="4" name="_EmailSubject">
    <vt:lpwstr>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ies>
</file>