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1B" w:rsidRDefault="000C311B" w:rsidP="0052611B">
      <w:pPr>
        <w:rPr>
          <w:rFonts w:ascii="Verdana" w:hAnsi="Verdana"/>
          <w:sz w:val="20"/>
          <w:szCs w:val="20"/>
        </w:rPr>
      </w:pPr>
    </w:p>
    <w:p w:rsidR="000C311B" w:rsidRDefault="000C311B" w:rsidP="0052611B">
      <w:pPr>
        <w:rPr>
          <w:rFonts w:ascii="Verdana" w:hAnsi="Verdana"/>
          <w:sz w:val="20"/>
          <w:szCs w:val="20"/>
        </w:rPr>
      </w:pPr>
    </w:p>
    <w:p w:rsidR="000C311B" w:rsidRDefault="000C311B" w:rsidP="0052611B">
      <w:pPr>
        <w:rPr>
          <w:rFonts w:ascii="Verdana" w:hAnsi="Verdana"/>
          <w:sz w:val="20"/>
          <w:szCs w:val="20"/>
        </w:rPr>
      </w:pPr>
    </w:p>
    <w:p w:rsidR="000C311B" w:rsidRDefault="00FF2DEF" w:rsidP="0052611B">
      <w:pPr>
        <w:rPr>
          <w:rFonts w:ascii="Verdana" w:hAnsi="Verdana"/>
          <w:sz w:val="20"/>
          <w:szCs w:val="20"/>
        </w:rPr>
      </w:pPr>
      <w:r>
        <w:rPr>
          <w:rFonts w:ascii="Verdana" w:hAnsi="Verdana"/>
          <w:sz w:val="20"/>
          <w:szCs w:val="20"/>
        </w:rPr>
        <w:t xml:space="preserve">6 </w:t>
      </w:r>
      <w:r w:rsidR="00801C40">
        <w:rPr>
          <w:rFonts w:ascii="Verdana" w:hAnsi="Verdana"/>
          <w:sz w:val="20"/>
          <w:szCs w:val="20"/>
        </w:rPr>
        <w:t>February 2012</w:t>
      </w:r>
    </w:p>
    <w:p w:rsidR="000C311B" w:rsidRDefault="000C311B" w:rsidP="0052611B">
      <w:pPr>
        <w:rPr>
          <w:rFonts w:ascii="Verdana" w:hAnsi="Verdana"/>
          <w:sz w:val="20"/>
          <w:szCs w:val="20"/>
        </w:rPr>
      </w:pPr>
    </w:p>
    <w:p w:rsidR="000C311B" w:rsidRDefault="000C311B" w:rsidP="0052611B">
      <w:pPr>
        <w:rPr>
          <w:rFonts w:ascii="Verdana" w:hAnsi="Verdana"/>
          <w:sz w:val="20"/>
          <w:szCs w:val="20"/>
        </w:rPr>
      </w:pPr>
    </w:p>
    <w:p w:rsidR="000C311B" w:rsidRDefault="000C311B" w:rsidP="0052611B">
      <w:pPr>
        <w:rPr>
          <w:rFonts w:ascii="Verdana" w:hAnsi="Verdana"/>
          <w:sz w:val="20"/>
          <w:szCs w:val="20"/>
        </w:rPr>
      </w:pPr>
      <w:r>
        <w:rPr>
          <w:rFonts w:ascii="Verdana" w:hAnsi="Verdana"/>
          <w:sz w:val="20"/>
          <w:szCs w:val="20"/>
        </w:rPr>
        <w:t xml:space="preserve">The </w:t>
      </w:r>
      <w:r w:rsidR="001F5C0C">
        <w:rPr>
          <w:rFonts w:ascii="Verdana" w:hAnsi="Verdana"/>
          <w:sz w:val="20"/>
          <w:szCs w:val="20"/>
        </w:rPr>
        <w:t>M</w:t>
      </w:r>
      <w:r>
        <w:rPr>
          <w:rFonts w:ascii="Verdana" w:hAnsi="Verdana"/>
          <w:sz w:val="20"/>
          <w:szCs w:val="20"/>
        </w:rPr>
        <w:t>anager</w:t>
      </w:r>
    </w:p>
    <w:p w:rsidR="000C311B" w:rsidRDefault="000C311B" w:rsidP="0052611B">
      <w:pPr>
        <w:rPr>
          <w:rFonts w:ascii="Verdana" w:hAnsi="Verdana"/>
          <w:sz w:val="20"/>
          <w:szCs w:val="20"/>
        </w:rPr>
      </w:pPr>
      <w:r>
        <w:rPr>
          <w:rFonts w:ascii="Verdana" w:hAnsi="Verdana"/>
          <w:sz w:val="20"/>
          <w:szCs w:val="20"/>
        </w:rPr>
        <w:t>Corporate Reporting and Accountability Unit</w:t>
      </w:r>
    </w:p>
    <w:p w:rsidR="000C311B" w:rsidRDefault="000C311B" w:rsidP="0052611B">
      <w:pPr>
        <w:rPr>
          <w:rFonts w:ascii="Verdana" w:hAnsi="Verdana"/>
          <w:sz w:val="20"/>
          <w:szCs w:val="20"/>
        </w:rPr>
      </w:pPr>
      <w:r>
        <w:rPr>
          <w:rFonts w:ascii="Verdana" w:hAnsi="Verdana"/>
          <w:sz w:val="20"/>
          <w:szCs w:val="20"/>
        </w:rPr>
        <w:t>Corporations and Capital Markets Division</w:t>
      </w:r>
    </w:p>
    <w:p w:rsidR="000C311B" w:rsidRDefault="000C311B" w:rsidP="0052611B">
      <w:pPr>
        <w:rPr>
          <w:rFonts w:ascii="Verdana" w:hAnsi="Verdana"/>
          <w:sz w:val="20"/>
          <w:szCs w:val="20"/>
        </w:rPr>
      </w:pPr>
      <w:r>
        <w:rPr>
          <w:rFonts w:ascii="Verdana" w:hAnsi="Verdana"/>
          <w:sz w:val="20"/>
          <w:szCs w:val="20"/>
        </w:rPr>
        <w:t>Australian Treasury</w:t>
      </w:r>
    </w:p>
    <w:p w:rsidR="000C311B" w:rsidRDefault="000C311B" w:rsidP="0052611B">
      <w:pPr>
        <w:rPr>
          <w:rFonts w:ascii="Verdana" w:hAnsi="Verdana"/>
          <w:sz w:val="20"/>
          <w:szCs w:val="20"/>
        </w:rPr>
      </w:pPr>
      <w:r>
        <w:rPr>
          <w:rFonts w:ascii="Verdana" w:hAnsi="Verdana"/>
          <w:sz w:val="20"/>
          <w:szCs w:val="20"/>
        </w:rPr>
        <w:t>Langton Crescent</w:t>
      </w:r>
    </w:p>
    <w:p w:rsidR="000C311B" w:rsidRDefault="000C311B" w:rsidP="000C311B">
      <w:pPr>
        <w:tabs>
          <w:tab w:val="left" w:pos="4410"/>
        </w:tabs>
        <w:rPr>
          <w:rFonts w:ascii="Verdana" w:hAnsi="Verdana"/>
          <w:sz w:val="20"/>
          <w:szCs w:val="20"/>
        </w:rPr>
      </w:pPr>
      <w:r>
        <w:rPr>
          <w:rFonts w:ascii="Verdana" w:hAnsi="Verdana"/>
          <w:sz w:val="20"/>
          <w:szCs w:val="20"/>
        </w:rPr>
        <w:t>PARKES ACT 2600</w:t>
      </w:r>
      <w:r>
        <w:rPr>
          <w:rFonts w:ascii="Verdana" w:hAnsi="Verdana"/>
          <w:sz w:val="20"/>
          <w:szCs w:val="20"/>
        </w:rPr>
        <w:tab/>
      </w:r>
      <w:hyperlink r:id="rId9" w:history="1">
        <w:r w:rsidRPr="00A446D0">
          <w:rPr>
            <w:rStyle w:val="Hyperlink"/>
            <w:rFonts w:ascii="Verdana" w:hAnsi="Verdana"/>
            <w:sz w:val="20"/>
            <w:szCs w:val="20"/>
          </w:rPr>
          <w:t>corporatereportingreforms@treasury.gov.au</w:t>
        </w:r>
      </w:hyperlink>
    </w:p>
    <w:p w:rsidR="000C311B" w:rsidRDefault="000C311B" w:rsidP="000C311B">
      <w:pPr>
        <w:tabs>
          <w:tab w:val="left" w:pos="4410"/>
        </w:tabs>
        <w:rPr>
          <w:rFonts w:ascii="Verdana" w:hAnsi="Verdana"/>
          <w:sz w:val="20"/>
          <w:szCs w:val="20"/>
        </w:rPr>
      </w:pPr>
    </w:p>
    <w:p w:rsidR="000C311B" w:rsidRDefault="000C311B" w:rsidP="000C311B">
      <w:pPr>
        <w:tabs>
          <w:tab w:val="left" w:pos="4410"/>
        </w:tabs>
        <w:rPr>
          <w:rFonts w:ascii="Verdana" w:hAnsi="Verdana"/>
          <w:sz w:val="20"/>
          <w:szCs w:val="20"/>
        </w:rPr>
      </w:pPr>
    </w:p>
    <w:p w:rsidR="000C311B" w:rsidRDefault="000C311B" w:rsidP="000C311B">
      <w:pPr>
        <w:tabs>
          <w:tab w:val="left" w:pos="4410"/>
        </w:tabs>
        <w:rPr>
          <w:rFonts w:ascii="Verdana" w:hAnsi="Verdana"/>
          <w:sz w:val="20"/>
          <w:szCs w:val="20"/>
        </w:rPr>
      </w:pPr>
    </w:p>
    <w:p w:rsidR="000C311B" w:rsidRDefault="000C311B" w:rsidP="000C311B">
      <w:pPr>
        <w:tabs>
          <w:tab w:val="left" w:pos="4410"/>
        </w:tabs>
        <w:rPr>
          <w:rFonts w:ascii="Verdana" w:hAnsi="Verdana"/>
          <w:sz w:val="20"/>
          <w:szCs w:val="20"/>
        </w:rPr>
      </w:pPr>
      <w:r>
        <w:rPr>
          <w:rFonts w:ascii="Verdana" w:hAnsi="Verdana"/>
          <w:sz w:val="20"/>
          <w:szCs w:val="20"/>
        </w:rPr>
        <w:t>Dear Sir/Madam</w:t>
      </w:r>
    </w:p>
    <w:p w:rsidR="000C311B" w:rsidRDefault="000C311B" w:rsidP="000C311B">
      <w:pPr>
        <w:tabs>
          <w:tab w:val="left" w:pos="4410"/>
        </w:tabs>
        <w:rPr>
          <w:rFonts w:ascii="Verdana" w:hAnsi="Verdana"/>
          <w:sz w:val="20"/>
          <w:szCs w:val="20"/>
        </w:rPr>
      </w:pPr>
    </w:p>
    <w:p w:rsidR="000C311B" w:rsidRDefault="000C311B" w:rsidP="000C311B">
      <w:pPr>
        <w:tabs>
          <w:tab w:val="left" w:pos="4410"/>
        </w:tabs>
        <w:jc w:val="center"/>
        <w:rPr>
          <w:rFonts w:ascii="Verdana" w:hAnsi="Verdana"/>
          <w:b/>
          <w:sz w:val="20"/>
          <w:szCs w:val="20"/>
        </w:rPr>
      </w:pPr>
      <w:r>
        <w:rPr>
          <w:rFonts w:ascii="Verdana" w:hAnsi="Verdana"/>
          <w:b/>
          <w:sz w:val="20"/>
          <w:szCs w:val="20"/>
        </w:rPr>
        <w:t>Proposed Amendments to the Corporations Act</w:t>
      </w:r>
    </w:p>
    <w:p w:rsidR="000C311B" w:rsidRDefault="000C311B" w:rsidP="000C311B">
      <w:pPr>
        <w:tabs>
          <w:tab w:val="left" w:pos="4410"/>
        </w:tabs>
        <w:jc w:val="both"/>
        <w:rPr>
          <w:rFonts w:ascii="Verdana" w:hAnsi="Verdana"/>
          <w:sz w:val="20"/>
          <w:szCs w:val="20"/>
        </w:rPr>
      </w:pPr>
    </w:p>
    <w:p w:rsidR="000C311B" w:rsidRDefault="000C311B" w:rsidP="000C311B">
      <w:pPr>
        <w:jc w:val="both"/>
        <w:rPr>
          <w:rFonts w:ascii="Verdana" w:hAnsi="Verdana"/>
          <w:sz w:val="20"/>
          <w:szCs w:val="20"/>
        </w:rPr>
      </w:pPr>
      <w:r>
        <w:rPr>
          <w:rFonts w:ascii="Verdana" w:hAnsi="Verdana"/>
          <w:sz w:val="20"/>
          <w:szCs w:val="20"/>
        </w:rPr>
        <w:t>The Group of 100 (G100) is an organization of chief financial officers from Australia’s largest business enterprises with the purpose of advancing Australia’s financial competitiveness.</w:t>
      </w:r>
      <w:r w:rsidR="00801C40">
        <w:rPr>
          <w:rFonts w:ascii="Verdana" w:hAnsi="Verdana"/>
          <w:sz w:val="20"/>
          <w:szCs w:val="20"/>
        </w:rPr>
        <w:t xml:space="preserve">  The G100 is pleased to provide comments on the proposed amendments to the Corporations Act.</w:t>
      </w:r>
    </w:p>
    <w:p w:rsidR="000C311B" w:rsidRDefault="000C311B" w:rsidP="000C311B">
      <w:pPr>
        <w:tabs>
          <w:tab w:val="left" w:pos="4410"/>
        </w:tabs>
        <w:jc w:val="both"/>
        <w:rPr>
          <w:rFonts w:ascii="Verdana" w:hAnsi="Verdana"/>
          <w:sz w:val="20"/>
          <w:szCs w:val="20"/>
        </w:rPr>
      </w:pPr>
    </w:p>
    <w:p w:rsidR="000C311B" w:rsidRDefault="00801C40" w:rsidP="000C311B">
      <w:pPr>
        <w:tabs>
          <w:tab w:val="left" w:pos="4410"/>
        </w:tabs>
        <w:jc w:val="both"/>
        <w:rPr>
          <w:rFonts w:ascii="Verdana" w:hAnsi="Verdana"/>
          <w:b/>
          <w:sz w:val="20"/>
          <w:szCs w:val="20"/>
        </w:rPr>
      </w:pPr>
      <w:r>
        <w:rPr>
          <w:rFonts w:ascii="Verdana" w:hAnsi="Verdana"/>
          <w:b/>
          <w:sz w:val="20"/>
          <w:szCs w:val="20"/>
        </w:rPr>
        <w:t>Our principal concern is that clarity is achieved in respect of the tests for the payment of dividends and the status of related fran</w:t>
      </w:r>
      <w:bookmarkStart w:id="0" w:name="_GoBack"/>
      <w:bookmarkEnd w:id="0"/>
      <w:r>
        <w:rPr>
          <w:rFonts w:ascii="Verdana" w:hAnsi="Verdana"/>
          <w:b/>
          <w:sz w:val="20"/>
          <w:szCs w:val="20"/>
        </w:rPr>
        <w:t>king credits.</w:t>
      </w:r>
    </w:p>
    <w:p w:rsidR="00801C40" w:rsidRDefault="00801C40" w:rsidP="000C311B">
      <w:pPr>
        <w:tabs>
          <w:tab w:val="left" w:pos="4410"/>
        </w:tabs>
        <w:jc w:val="both"/>
        <w:rPr>
          <w:rFonts w:ascii="Verdana" w:hAnsi="Verdana"/>
          <w:b/>
          <w:sz w:val="20"/>
          <w:szCs w:val="20"/>
        </w:rPr>
      </w:pPr>
    </w:p>
    <w:p w:rsidR="00801C40" w:rsidRPr="00801C40" w:rsidRDefault="00801C40" w:rsidP="000C311B">
      <w:pPr>
        <w:tabs>
          <w:tab w:val="left" w:pos="4410"/>
        </w:tabs>
        <w:jc w:val="both"/>
        <w:rPr>
          <w:rFonts w:ascii="Verdana" w:hAnsi="Verdana"/>
          <w:b/>
          <w:sz w:val="20"/>
          <w:szCs w:val="20"/>
        </w:rPr>
      </w:pPr>
    </w:p>
    <w:p w:rsidR="000C311B" w:rsidRPr="00D92247" w:rsidRDefault="000C311B" w:rsidP="000C311B">
      <w:pPr>
        <w:tabs>
          <w:tab w:val="left" w:pos="4410"/>
        </w:tabs>
        <w:jc w:val="both"/>
        <w:rPr>
          <w:rFonts w:ascii="Verdana" w:hAnsi="Verdana"/>
          <w:b/>
          <w:i/>
          <w:sz w:val="20"/>
          <w:szCs w:val="20"/>
        </w:rPr>
      </w:pPr>
      <w:r w:rsidRPr="00D92247">
        <w:rPr>
          <w:rFonts w:ascii="Verdana" w:hAnsi="Verdana"/>
          <w:b/>
          <w:i/>
          <w:sz w:val="20"/>
          <w:szCs w:val="20"/>
        </w:rPr>
        <w:t>TEST FOR PAYMENT OF DIVIDENDS</w:t>
      </w:r>
    </w:p>
    <w:p w:rsidR="00D92247" w:rsidRPr="00D92247" w:rsidRDefault="000C311B" w:rsidP="00D92247">
      <w:pPr>
        <w:numPr>
          <w:ilvl w:val="0"/>
          <w:numId w:val="2"/>
        </w:numPr>
        <w:tabs>
          <w:tab w:val="left" w:pos="630"/>
          <w:tab w:val="left" w:pos="4410"/>
        </w:tabs>
        <w:ind w:left="630" w:hanging="630"/>
        <w:jc w:val="both"/>
        <w:rPr>
          <w:rFonts w:ascii="Verdana" w:hAnsi="Verdana"/>
          <w:b/>
          <w:sz w:val="20"/>
          <w:szCs w:val="20"/>
        </w:rPr>
      </w:pPr>
      <w:r w:rsidRPr="00D92247">
        <w:rPr>
          <w:rFonts w:ascii="Verdana" w:hAnsi="Verdana"/>
          <w:b/>
          <w:i/>
          <w:sz w:val="20"/>
          <w:szCs w:val="20"/>
        </w:rPr>
        <w:t>Dividends Test</w:t>
      </w:r>
    </w:p>
    <w:p w:rsidR="000C311B" w:rsidRDefault="00D92247" w:rsidP="00D92247">
      <w:pPr>
        <w:tabs>
          <w:tab w:val="left" w:pos="630"/>
          <w:tab w:val="left" w:pos="4410"/>
        </w:tabs>
        <w:ind w:left="630"/>
        <w:jc w:val="both"/>
        <w:rPr>
          <w:rFonts w:ascii="Verdana" w:hAnsi="Verdana"/>
          <w:b/>
          <w:sz w:val="20"/>
          <w:szCs w:val="20"/>
        </w:rPr>
      </w:pPr>
      <w:r>
        <w:rPr>
          <w:rFonts w:ascii="Verdana" w:hAnsi="Verdana"/>
          <w:b/>
          <w:sz w:val="20"/>
          <w:szCs w:val="20"/>
        </w:rPr>
        <w:t xml:space="preserve">The G100 was a strong supporter of proposals to amend the dividend rules and replacing the outdated capital maintenance doctrine </w:t>
      </w:r>
      <w:r w:rsidR="00801C40">
        <w:rPr>
          <w:rFonts w:ascii="Verdana" w:hAnsi="Verdana"/>
          <w:b/>
          <w:sz w:val="20"/>
          <w:szCs w:val="20"/>
        </w:rPr>
        <w:t xml:space="preserve">as applied to the payment of dividends </w:t>
      </w:r>
      <w:r>
        <w:rPr>
          <w:rFonts w:ascii="Verdana" w:hAnsi="Verdana"/>
          <w:b/>
          <w:sz w:val="20"/>
          <w:szCs w:val="20"/>
        </w:rPr>
        <w:t xml:space="preserve">with a test based on solvency.  We believe that the tests introduced in the legislation are unnecessary because of the existing requirements under which directors must make a statement on solvency and the penalties </w:t>
      </w:r>
      <w:r w:rsidR="00801C40">
        <w:rPr>
          <w:rFonts w:ascii="Verdana" w:hAnsi="Verdana"/>
          <w:b/>
          <w:sz w:val="20"/>
          <w:szCs w:val="20"/>
        </w:rPr>
        <w:t>which apply to directors where a company is</w:t>
      </w:r>
      <w:r>
        <w:rPr>
          <w:rFonts w:ascii="Verdana" w:hAnsi="Verdana"/>
          <w:b/>
          <w:sz w:val="20"/>
          <w:szCs w:val="20"/>
        </w:rPr>
        <w:t xml:space="preserve"> trading while insolvent.  This approach is best reflected in the discussion of Option 2 regarding adoption of a solvency test.  An advantage of such a</w:t>
      </w:r>
      <w:r w:rsidR="008539D7">
        <w:rPr>
          <w:rFonts w:ascii="Verdana" w:hAnsi="Verdana"/>
          <w:b/>
          <w:sz w:val="20"/>
          <w:szCs w:val="20"/>
        </w:rPr>
        <w:t>n</w:t>
      </w:r>
      <w:r>
        <w:rPr>
          <w:rFonts w:ascii="Verdana" w:hAnsi="Verdana"/>
          <w:b/>
          <w:sz w:val="20"/>
          <w:szCs w:val="20"/>
        </w:rPr>
        <w:t xml:space="preserve"> approach is that </w:t>
      </w:r>
      <w:r w:rsidR="008539D7">
        <w:rPr>
          <w:rFonts w:ascii="Verdana" w:hAnsi="Verdana"/>
          <w:b/>
          <w:sz w:val="20"/>
          <w:szCs w:val="20"/>
        </w:rPr>
        <w:t>directors</w:t>
      </w:r>
      <w:r>
        <w:rPr>
          <w:rFonts w:ascii="Verdana" w:hAnsi="Verdana"/>
          <w:b/>
          <w:sz w:val="20"/>
          <w:szCs w:val="20"/>
        </w:rPr>
        <w:t xml:space="preserve"> need not be tied to the requirements of accounting standards in making a judgment whether the company’s assets will exceed its liabilities after the dividend is declared</w:t>
      </w:r>
      <w:r w:rsidR="00801C40">
        <w:rPr>
          <w:rFonts w:ascii="Verdana" w:hAnsi="Verdana"/>
          <w:b/>
          <w:sz w:val="20"/>
          <w:szCs w:val="20"/>
        </w:rPr>
        <w:t xml:space="preserve">. </w:t>
      </w:r>
      <w:r>
        <w:rPr>
          <w:rFonts w:ascii="Verdana" w:hAnsi="Verdana"/>
          <w:b/>
          <w:sz w:val="20"/>
          <w:szCs w:val="20"/>
        </w:rPr>
        <w:t xml:space="preserve"> </w:t>
      </w:r>
      <w:r w:rsidR="00801C40">
        <w:rPr>
          <w:rFonts w:ascii="Verdana" w:hAnsi="Verdana"/>
          <w:b/>
          <w:sz w:val="20"/>
          <w:szCs w:val="20"/>
        </w:rPr>
        <w:t>This is because</w:t>
      </w:r>
      <w:r>
        <w:rPr>
          <w:rFonts w:ascii="Verdana" w:hAnsi="Verdana"/>
          <w:b/>
          <w:sz w:val="20"/>
          <w:szCs w:val="20"/>
        </w:rPr>
        <w:t xml:space="preserve"> directors</w:t>
      </w:r>
      <w:r w:rsidR="00801C40">
        <w:rPr>
          <w:rFonts w:ascii="Verdana" w:hAnsi="Verdana"/>
          <w:b/>
          <w:sz w:val="20"/>
          <w:szCs w:val="20"/>
        </w:rPr>
        <w:t>, when declaring a dividend,</w:t>
      </w:r>
      <w:r>
        <w:rPr>
          <w:rFonts w:ascii="Verdana" w:hAnsi="Verdana"/>
          <w:b/>
          <w:sz w:val="20"/>
          <w:szCs w:val="20"/>
        </w:rPr>
        <w:t xml:space="preserve"> are required to have regard to the most recent financial statements prepared in accordance with </w:t>
      </w:r>
      <w:proofErr w:type="gramStart"/>
      <w:r>
        <w:rPr>
          <w:rFonts w:ascii="Verdana" w:hAnsi="Verdana"/>
          <w:b/>
          <w:sz w:val="20"/>
          <w:szCs w:val="20"/>
        </w:rPr>
        <w:t xml:space="preserve">Section 295 </w:t>
      </w:r>
      <w:r w:rsidR="00801C40">
        <w:rPr>
          <w:rFonts w:ascii="Verdana" w:hAnsi="Verdana"/>
          <w:b/>
          <w:sz w:val="20"/>
          <w:szCs w:val="20"/>
        </w:rPr>
        <w:t xml:space="preserve">in conjunction with considering </w:t>
      </w:r>
      <w:r>
        <w:rPr>
          <w:rFonts w:ascii="Verdana" w:hAnsi="Verdana"/>
          <w:b/>
          <w:sz w:val="20"/>
          <w:szCs w:val="20"/>
        </w:rPr>
        <w:t>other factors such as current valuations of assets which are not reflected in the financial statements.</w:t>
      </w:r>
      <w:proofErr w:type="gramEnd"/>
    </w:p>
    <w:p w:rsidR="000C311B" w:rsidRDefault="000C311B" w:rsidP="000C311B">
      <w:pPr>
        <w:tabs>
          <w:tab w:val="left" w:pos="630"/>
          <w:tab w:val="left" w:pos="4410"/>
        </w:tabs>
        <w:jc w:val="both"/>
        <w:rPr>
          <w:rFonts w:ascii="Verdana" w:hAnsi="Verdana"/>
          <w:b/>
          <w:sz w:val="20"/>
          <w:szCs w:val="20"/>
        </w:rPr>
      </w:pPr>
    </w:p>
    <w:p w:rsidR="008539D7" w:rsidRDefault="008539D7" w:rsidP="008539D7">
      <w:pPr>
        <w:tabs>
          <w:tab w:val="left" w:pos="630"/>
          <w:tab w:val="left" w:pos="4410"/>
        </w:tabs>
        <w:ind w:left="630" w:hanging="630"/>
        <w:jc w:val="both"/>
        <w:rPr>
          <w:rFonts w:ascii="Verdana" w:hAnsi="Verdana"/>
          <w:b/>
          <w:sz w:val="20"/>
          <w:szCs w:val="20"/>
        </w:rPr>
      </w:pPr>
      <w:r>
        <w:rPr>
          <w:rFonts w:ascii="Verdana" w:hAnsi="Verdana"/>
          <w:b/>
          <w:sz w:val="20"/>
          <w:szCs w:val="20"/>
        </w:rPr>
        <w:tab/>
        <w:t xml:space="preserve">The G100 believes that the franking status of dividends should be clarified in the legislation rather than </w:t>
      </w:r>
      <w:r w:rsidR="00801C40">
        <w:rPr>
          <w:rFonts w:ascii="Verdana" w:hAnsi="Verdana"/>
          <w:b/>
          <w:sz w:val="20"/>
          <w:szCs w:val="20"/>
        </w:rPr>
        <w:t xml:space="preserve">directors and their advisors </w:t>
      </w:r>
      <w:r>
        <w:rPr>
          <w:rFonts w:ascii="Verdana" w:hAnsi="Verdana"/>
          <w:b/>
          <w:sz w:val="20"/>
          <w:szCs w:val="20"/>
        </w:rPr>
        <w:t xml:space="preserve">having to rely on </w:t>
      </w:r>
      <w:r w:rsidR="002D159B">
        <w:rPr>
          <w:rFonts w:ascii="Verdana" w:hAnsi="Verdana"/>
          <w:b/>
          <w:sz w:val="20"/>
          <w:szCs w:val="20"/>
        </w:rPr>
        <w:t xml:space="preserve">rulings and </w:t>
      </w:r>
      <w:r>
        <w:rPr>
          <w:rFonts w:ascii="Verdana" w:hAnsi="Verdana"/>
          <w:b/>
          <w:sz w:val="20"/>
          <w:szCs w:val="20"/>
        </w:rPr>
        <w:t>fact sheets issued by the Australian Tax Office.  The G100 believes that where a company pays a dividend, whether sourced from profits or revaluations of assets, that dividend should be capable of being franked if the company has franking credits.</w:t>
      </w:r>
    </w:p>
    <w:p w:rsidR="000C311B" w:rsidRDefault="000C311B" w:rsidP="000C311B">
      <w:pPr>
        <w:tabs>
          <w:tab w:val="left" w:pos="630"/>
          <w:tab w:val="left" w:pos="4410"/>
        </w:tabs>
        <w:jc w:val="both"/>
        <w:rPr>
          <w:rFonts w:ascii="Verdana" w:hAnsi="Verdana"/>
          <w:b/>
          <w:sz w:val="20"/>
          <w:szCs w:val="20"/>
        </w:rPr>
      </w:pPr>
    </w:p>
    <w:p w:rsidR="008539D7" w:rsidRDefault="008539D7" w:rsidP="000C311B">
      <w:pPr>
        <w:tabs>
          <w:tab w:val="left" w:pos="630"/>
          <w:tab w:val="left" w:pos="4410"/>
        </w:tabs>
        <w:jc w:val="both"/>
        <w:rPr>
          <w:rFonts w:ascii="Verdana" w:hAnsi="Verdana"/>
          <w:b/>
          <w:sz w:val="20"/>
          <w:szCs w:val="20"/>
        </w:rPr>
      </w:pPr>
    </w:p>
    <w:p w:rsidR="008539D7" w:rsidRDefault="008539D7" w:rsidP="008539D7">
      <w:pPr>
        <w:tabs>
          <w:tab w:val="left" w:pos="630"/>
          <w:tab w:val="left" w:pos="4410"/>
        </w:tabs>
        <w:jc w:val="center"/>
        <w:rPr>
          <w:rFonts w:ascii="Verdana" w:hAnsi="Verdana"/>
          <w:b/>
          <w:sz w:val="20"/>
          <w:szCs w:val="20"/>
        </w:rPr>
      </w:pPr>
      <w:r>
        <w:rPr>
          <w:rFonts w:ascii="Verdana" w:hAnsi="Verdana"/>
          <w:b/>
          <w:sz w:val="20"/>
          <w:szCs w:val="20"/>
        </w:rPr>
        <w:lastRenderedPageBreak/>
        <w:t>-2-</w:t>
      </w:r>
    </w:p>
    <w:p w:rsidR="008539D7" w:rsidRDefault="008539D7" w:rsidP="000C311B">
      <w:pPr>
        <w:tabs>
          <w:tab w:val="left" w:pos="630"/>
          <w:tab w:val="left" w:pos="4410"/>
        </w:tabs>
        <w:jc w:val="both"/>
        <w:rPr>
          <w:rFonts w:ascii="Verdana" w:hAnsi="Verdana"/>
          <w:b/>
          <w:sz w:val="20"/>
          <w:szCs w:val="20"/>
        </w:rPr>
      </w:pPr>
    </w:p>
    <w:p w:rsidR="000C311B" w:rsidRDefault="000C311B" w:rsidP="000C311B">
      <w:pPr>
        <w:numPr>
          <w:ilvl w:val="0"/>
          <w:numId w:val="2"/>
        </w:numPr>
        <w:tabs>
          <w:tab w:val="left" w:pos="630"/>
          <w:tab w:val="left" w:pos="4410"/>
        </w:tabs>
        <w:jc w:val="both"/>
        <w:rPr>
          <w:rFonts w:ascii="Verdana" w:hAnsi="Verdana"/>
          <w:b/>
          <w:i/>
          <w:sz w:val="20"/>
          <w:szCs w:val="20"/>
        </w:rPr>
      </w:pPr>
      <w:r w:rsidRPr="00D92247">
        <w:rPr>
          <w:rFonts w:ascii="Verdana" w:hAnsi="Verdana"/>
          <w:b/>
          <w:i/>
          <w:sz w:val="20"/>
          <w:szCs w:val="20"/>
        </w:rPr>
        <w:t>Other related issues</w:t>
      </w:r>
    </w:p>
    <w:p w:rsidR="00D92247" w:rsidRDefault="00D92247" w:rsidP="00D92247">
      <w:pPr>
        <w:tabs>
          <w:tab w:val="left" w:pos="630"/>
          <w:tab w:val="left" w:pos="4410"/>
        </w:tabs>
        <w:ind w:left="630" w:hanging="270"/>
        <w:jc w:val="both"/>
        <w:rPr>
          <w:rFonts w:ascii="Verdana" w:hAnsi="Verdana"/>
          <w:b/>
          <w:sz w:val="20"/>
          <w:szCs w:val="20"/>
        </w:rPr>
      </w:pPr>
      <w:r w:rsidRPr="00D92247">
        <w:rPr>
          <w:rFonts w:ascii="Verdana" w:hAnsi="Verdana"/>
          <w:b/>
          <w:sz w:val="20"/>
          <w:szCs w:val="20"/>
        </w:rPr>
        <w:tab/>
      </w:r>
      <w:r w:rsidRPr="00D92247">
        <w:rPr>
          <w:rFonts w:ascii="Verdana" w:hAnsi="Verdana"/>
          <w:b/>
          <w:sz w:val="20"/>
          <w:szCs w:val="20"/>
          <w:u w:val="single"/>
        </w:rPr>
        <w:t xml:space="preserve">Use of </w:t>
      </w:r>
      <w:r w:rsidR="008C442E">
        <w:rPr>
          <w:rFonts w:ascii="Verdana" w:hAnsi="Verdana"/>
          <w:b/>
          <w:sz w:val="20"/>
          <w:szCs w:val="20"/>
          <w:u w:val="single"/>
        </w:rPr>
        <w:t>‘</w:t>
      </w:r>
      <w:r w:rsidRPr="00D92247">
        <w:rPr>
          <w:rFonts w:ascii="Verdana" w:hAnsi="Verdana"/>
          <w:b/>
          <w:sz w:val="20"/>
          <w:szCs w:val="20"/>
          <w:u w:val="single"/>
        </w:rPr>
        <w:t>declared</w:t>
      </w:r>
      <w:r w:rsidR="008C442E">
        <w:rPr>
          <w:rFonts w:ascii="Verdana" w:hAnsi="Verdana"/>
          <w:b/>
          <w:sz w:val="20"/>
          <w:szCs w:val="20"/>
          <w:u w:val="single"/>
        </w:rPr>
        <w:t>’</w:t>
      </w:r>
      <w:r w:rsidRPr="00D92247">
        <w:rPr>
          <w:rFonts w:ascii="Verdana" w:hAnsi="Verdana"/>
          <w:b/>
          <w:sz w:val="20"/>
          <w:szCs w:val="20"/>
        </w:rPr>
        <w:t>: The G100 supports the adoption of a solvency test and considers that the reference to ‘declared’ in respect of dividends should be retained.</w:t>
      </w:r>
    </w:p>
    <w:p w:rsidR="00512F7C" w:rsidRDefault="00512F7C" w:rsidP="00D92247">
      <w:pPr>
        <w:tabs>
          <w:tab w:val="left" w:pos="630"/>
          <w:tab w:val="left" w:pos="4410"/>
        </w:tabs>
        <w:ind w:left="630" w:hanging="270"/>
        <w:jc w:val="both"/>
        <w:rPr>
          <w:rFonts w:ascii="Verdana" w:hAnsi="Verdana"/>
          <w:b/>
          <w:sz w:val="20"/>
          <w:szCs w:val="20"/>
        </w:rPr>
      </w:pPr>
      <w:r>
        <w:rPr>
          <w:rFonts w:ascii="Verdana" w:hAnsi="Verdana"/>
          <w:b/>
          <w:sz w:val="20"/>
          <w:szCs w:val="20"/>
        </w:rPr>
        <w:tab/>
      </w:r>
      <w:r>
        <w:rPr>
          <w:rFonts w:ascii="Verdana" w:hAnsi="Verdana"/>
          <w:b/>
          <w:sz w:val="20"/>
          <w:szCs w:val="20"/>
          <w:u w:val="single"/>
        </w:rPr>
        <w:t>Capital maintenance</w:t>
      </w:r>
      <w:r>
        <w:rPr>
          <w:rFonts w:ascii="Verdana" w:hAnsi="Verdana"/>
          <w:b/>
          <w:sz w:val="20"/>
          <w:szCs w:val="20"/>
        </w:rPr>
        <w:t>: The G100 does not consider there to be a need for change.</w:t>
      </w:r>
    </w:p>
    <w:p w:rsidR="00512F7C" w:rsidRPr="00512F7C" w:rsidRDefault="00512F7C" w:rsidP="00D92247">
      <w:pPr>
        <w:tabs>
          <w:tab w:val="left" w:pos="630"/>
          <w:tab w:val="left" w:pos="4410"/>
        </w:tabs>
        <w:ind w:left="630" w:hanging="270"/>
        <w:jc w:val="both"/>
        <w:rPr>
          <w:rFonts w:ascii="Verdana" w:hAnsi="Verdana"/>
          <w:b/>
          <w:sz w:val="20"/>
          <w:szCs w:val="20"/>
        </w:rPr>
      </w:pPr>
      <w:r>
        <w:rPr>
          <w:rFonts w:ascii="Verdana" w:hAnsi="Verdana"/>
          <w:b/>
          <w:sz w:val="20"/>
          <w:szCs w:val="20"/>
        </w:rPr>
        <w:tab/>
      </w:r>
      <w:r>
        <w:rPr>
          <w:rFonts w:ascii="Verdana" w:hAnsi="Verdana"/>
          <w:b/>
          <w:sz w:val="20"/>
          <w:szCs w:val="20"/>
          <w:u w:val="single"/>
        </w:rPr>
        <w:t>Group companies</w:t>
      </w:r>
      <w:r>
        <w:rPr>
          <w:rFonts w:ascii="Verdana" w:hAnsi="Verdana"/>
          <w:b/>
          <w:sz w:val="20"/>
          <w:szCs w:val="20"/>
        </w:rPr>
        <w:t>: The G100 considers that clarification may be helpful to ensuring the flow of dividends within a company group.</w:t>
      </w:r>
    </w:p>
    <w:p w:rsidR="000C311B" w:rsidRDefault="000C311B" w:rsidP="000C311B">
      <w:pPr>
        <w:tabs>
          <w:tab w:val="left" w:pos="630"/>
          <w:tab w:val="left" w:pos="4410"/>
        </w:tabs>
        <w:jc w:val="both"/>
        <w:rPr>
          <w:rFonts w:ascii="Verdana" w:hAnsi="Verdana"/>
          <w:b/>
          <w:sz w:val="20"/>
          <w:szCs w:val="20"/>
        </w:rPr>
      </w:pPr>
    </w:p>
    <w:p w:rsidR="000C311B" w:rsidRDefault="000C311B" w:rsidP="000C311B">
      <w:pPr>
        <w:tabs>
          <w:tab w:val="left" w:pos="630"/>
          <w:tab w:val="left" w:pos="4410"/>
        </w:tabs>
        <w:jc w:val="both"/>
        <w:rPr>
          <w:rFonts w:ascii="Verdana" w:hAnsi="Verdana"/>
          <w:b/>
          <w:sz w:val="20"/>
          <w:szCs w:val="20"/>
        </w:rPr>
      </w:pPr>
    </w:p>
    <w:p w:rsidR="000C311B" w:rsidRPr="00512F7C" w:rsidRDefault="000C311B" w:rsidP="000C311B">
      <w:pPr>
        <w:tabs>
          <w:tab w:val="left" w:pos="630"/>
          <w:tab w:val="left" w:pos="4410"/>
        </w:tabs>
        <w:jc w:val="both"/>
        <w:rPr>
          <w:rFonts w:ascii="Verdana" w:hAnsi="Verdana"/>
          <w:b/>
          <w:i/>
          <w:sz w:val="20"/>
          <w:szCs w:val="20"/>
        </w:rPr>
      </w:pPr>
      <w:r w:rsidRPr="00512F7C">
        <w:rPr>
          <w:rFonts w:ascii="Verdana" w:hAnsi="Verdana"/>
          <w:b/>
          <w:i/>
          <w:sz w:val="20"/>
          <w:szCs w:val="20"/>
        </w:rPr>
        <w:t>OTHER AMENDMENTS</w:t>
      </w:r>
    </w:p>
    <w:p w:rsidR="000C311B" w:rsidRPr="00512F7C" w:rsidRDefault="000C311B" w:rsidP="000C311B">
      <w:pPr>
        <w:numPr>
          <w:ilvl w:val="0"/>
          <w:numId w:val="4"/>
        </w:numPr>
        <w:tabs>
          <w:tab w:val="left" w:pos="630"/>
          <w:tab w:val="left" w:pos="4410"/>
        </w:tabs>
        <w:jc w:val="both"/>
        <w:rPr>
          <w:rFonts w:ascii="Verdana" w:hAnsi="Verdana"/>
          <w:b/>
          <w:i/>
          <w:sz w:val="20"/>
          <w:szCs w:val="20"/>
        </w:rPr>
      </w:pPr>
      <w:r w:rsidRPr="00512F7C">
        <w:rPr>
          <w:rFonts w:ascii="Verdana" w:hAnsi="Verdana"/>
          <w:b/>
          <w:i/>
          <w:sz w:val="20"/>
          <w:szCs w:val="20"/>
        </w:rPr>
        <w:t>Parent entity financial statements</w:t>
      </w:r>
    </w:p>
    <w:p w:rsidR="000C311B" w:rsidRDefault="00512F7C" w:rsidP="00512F7C">
      <w:pPr>
        <w:tabs>
          <w:tab w:val="left" w:pos="630"/>
          <w:tab w:val="left" w:pos="4410"/>
        </w:tabs>
        <w:ind w:left="630" w:hanging="630"/>
        <w:jc w:val="both"/>
        <w:rPr>
          <w:rFonts w:ascii="Verdana" w:hAnsi="Verdana"/>
          <w:b/>
          <w:sz w:val="20"/>
          <w:szCs w:val="20"/>
        </w:rPr>
      </w:pPr>
      <w:r>
        <w:rPr>
          <w:rFonts w:ascii="Verdana" w:hAnsi="Verdana"/>
          <w:b/>
          <w:sz w:val="20"/>
          <w:szCs w:val="20"/>
        </w:rPr>
        <w:tab/>
        <w:t>The G100 supports amendments which would provide companies with the flexibility to prepare parent entity financial statements where required by a regulator or where in the judgment of directors parent entity financial statements better meet the needs of shareholders and other users instead of the currently required summary of parent entity information.</w:t>
      </w:r>
    </w:p>
    <w:p w:rsidR="00512F7C" w:rsidRDefault="00512F7C" w:rsidP="00512F7C">
      <w:pPr>
        <w:tabs>
          <w:tab w:val="left" w:pos="630"/>
          <w:tab w:val="left" w:pos="4410"/>
        </w:tabs>
        <w:ind w:left="630" w:hanging="630"/>
        <w:jc w:val="both"/>
        <w:rPr>
          <w:rFonts w:ascii="Verdana" w:hAnsi="Verdana"/>
          <w:b/>
          <w:sz w:val="20"/>
          <w:szCs w:val="20"/>
        </w:rPr>
      </w:pPr>
    </w:p>
    <w:p w:rsidR="000C311B" w:rsidRPr="00B62380" w:rsidRDefault="000C311B" w:rsidP="000C311B">
      <w:pPr>
        <w:numPr>
          <w:ilvl w:val="0"/>
          <w:numId w:val="4"/>
        </w:numPr>
        <w:tabs>
          <w:tab w:val="left" w:pos="630"/>
          <w:tab w:val="left" w:pos="4410"/>
        </w:tabs>
        <w:jc w:val="both"/>
        <w:rPr>
          <w:rFonts w:ascii="Verdana" w:hAnsi="Verdana"/>
          <w:b/>
          <w:i/>
          <w:sz w:val="20"/>
          <w:szCs w:val="20"/>
        </w:rPr>
      </w:pPr>
      <w:r w:rsidRPr="00B62380">
        <w:rPr>
          <w:rFonts w:ascii="Verdana" w:hAnsi="Verdana"/>
          <w:b/>
          <w:i/>
          <w:sz w:val="20"/>
          <w:szCs w:val="20"/>
        </w:rPr>
        <w:t>Changing financial year</w:t>
      </w:r>
    </w:p>
    <w:p w:rsidR="000C311B" w:rsidRDefault="00B62380" w:rsidP="00B62380">
      <w:pPr>
        <w:pStyle w:val="ListParagraph"/>
        <w:ind w:left="630"/>
        <w:rPr>
          <w:rFonts w:ascii="Verdana" w:hAnsi="Verdana"/>
          <w:b/>
          <w:sz w:val="20"/>
          <w:szCs w:val="20"/>
        </w:rPr>
      </w:pPr>
      <w:r>
        <w:rPr>
          <w:rFonts w:ascii="Verdana" w:hAnsi="Verdana"/>
          <w:b/>
          <w:sz w:val="20"/>
          <w:szCs w:val="20"/>
        </w:rPr>
        <w:t xml:space="preserve">The G100 supports the proposed amendment to remove the inconsistency between sub section </w:t>
      </w:r>
      <w:proofErr w:type="gramStart"/>
      <w:r>
        <w:rPr>
          <w:rFonts w:ascii="Verdana" w:hAnsi="Verdana"/>
          <w:b/>
          <w:sz w:val="20"/>
          <w:szCs w:val="20"/>
        </w:rPr>
        <w:t>323D(</w:t>
      </w:r>
      <w:proofErr w:type="gramEnd"/>
      <w:r>
        <w:rPr>
          <w:rFonts w:ascii="Verdana" w:hAnsi="Verdana"/>
          <w:b/>
          <w:sz w:val="20"/>
          <w:szCs w:val="20"/>
        </w:rPr>
        <w:t>2A) and sub section 323D(2).</w:t>
      </w:r>
    </w:p>
    <w:p w:rsidR="000C311B" w:rsidRDefault="000C311B" w:rsidP="000C311B">
      <w:pPr>
        <w:tabs>
          <w:tab w:val="left" w:pos="630"/>
          <w:tab w:val="left" w:pos="4410"/>
        </w:tabs>
        <w:jc w:val="both"/>
        <w:rPr>
          <w:rFonts w:ascii="Verdana" w:hAnsi="Verdana"/>
          <w:b/>
          <w:sz w:val="20"/>
          <w:szCs w:val="20"/>
        </w:rPr>
      </w:pPr>
    </w:p>
    <w:p w:rsidR="000C311B" w:rsidRDefault="000C311B" w:rsidP="000C311B">
      <w:pPr>
        <w:tabs>
          <w:tab w:val="left" w:pos="630"/>
          <w:tab w:val="left" w:pos="4410"/>
        </w:tabs>
        <w:jc w:val="both"/>
        <w:rPr>
          <w:rFonts w:ascii="Verdana" w:hAnsi="Verdana"/>
          <w:b/>
          <w:sz w:val="20"/>
          <w:szCs w:val="20"/>
        </w:rPr>
      </w:pPr>
    </w:p>
    <w:p w:rsidR="000C311B" w:rsidRDefault="000C311B" w:rsidP="000C311B">
      <w:pPr>
        <w:tabs>
          <w:tab w:val="left" w:pos="630"/>
          <w:tab w:val="left" w:pos="4410"/>
        </w:tabs>
        <w:jc w:val="both"/>
        <w:rPr>
          <w:rFonts w:ascii="Verdana" w:hAnsi="Verdana"/>
          <w:b/>
          <w:sz w:val="20"/>
          <w:szCs w:val="20"/>
        </w:rPr>
      </w:pPr>
    </w:p>
    <w:p w:rsidR="000C311B" w:rsidRDefault="000C311B" w:rsidP="000C311B">
      <w:pPr>
        <w:tabs>
          <w:tab w:val="left" w:pos="630"/>
          <w:tab w:val="left" w:pos="4410"/>
        </w:tabs>
        <w:jc w:val="both"/>
        <w:rPr>
          <w:rFonts w:ascii="Verdana" w:hAnsi="Verdana"/>
          <w:b/>
          <w:sz w:val="20"/>
          <w:szCs w:val="20"/>
        </w:rPr>
      </w:pPr>
    </w:p>
    <w:p w:rsidR="000C311B" w:rsidRDefault="000C311B" w:rsidP="000C311B">
      <w:pPr>
        <w:tabs>
          <w:tab w:val="left" w:pos="630"/>
          <w:tab w:val="left" w:pos="4410"/>
        </w:tabs>
        <w:jc w:val="both"/>
        <w:rPr>
          <w:rFonts w:ascii="Verdana" w:hAnsi="Verdana"/>
          <w:sz w:val="20"/>
          <w:szCs w:val="20"/>
        </w:rPr>
      </w:pPr>
      <w:r>
        <w:rPr>
          <w:rFonts w:ascii="Verdana" w:hAnsi="Verdana"/>
          <w:sz w:val="20"/>
          <w:szCs w:val="20"/>
        </w:rPr>
        <w:t>Yours sincerely</w:t>
      </w:r>
    </w:p>
    <w:p w:rsidR="000C311B" w:rsidRDefault="000C311B" w:rsidP="000C311B">
      <w:pPr>
        <w:tabs>
          <w:tab w:val="left" w:pos="630"/>
          <w:tab w:val="left" w:pos="4410"/>
        </w:tabs>
        <w:jc w:val="both"/>
        <w:rPr>
          <w:rFonts w:ascii="Verdana" w:hAnsi="Verdana"/>
          <w:b/>
          <w:sz w:val="20"/>
          <w:szCs w:val="20"/>
        </w:rPr>
      </w:pPr>
      <w:r>
        <w:rPr>
          <w:rFonts w:ascii="Verdana" w:hAnsi="Verdana"/>
          <w:b/>
          <w:sz w:val="20"/>
          <w:szCs w:val="20"/>
        </w:rPr>
        <w:t xml:space="preserve">Group of 100 </w:t>
      </w:r>
      <w:proofErr w:type="spellStart"/>
      <w:r>
        <w:rPr>
          <w:rFonts w:ascii="Verdana" w:hAnsi="Verdana"/>
          <w:b/>
          <w:sz w:val="20"/>
          <w:szCs w:val="20"/>
        </w:rPr>
        <w:t>Inc</w:t>
      </w:r>
      <w:proofErr w:type="spellEnd"/>
    </w:p>
    <w:p w:rsidR="000C311B" w:rsidRDefault="000C311B" w:rsidP="000C311B">
      <w:pPr>
        <w:tabs>
          <w:tab w:val="left" w:pos="630"/>
          <w:tab w:val="left" w:pos="4410"/>
        </w:tabs>
        <w:jc w:val="both"/>
        <w:rPr>
          <w:rFonts w:ascii="Verdana" w:hAnsi="Verdana"/>
          <w:b/>
          <w:sz w:val="20"/>
          <w:szCs w:val="20"/>
        </w:rPr>
      </w:pPr>
    </w:p>
    <w:p w:rsidR="000C311B" w:rsidRDefault="00C05740" w:rsidP="000C311B">
      <w:pPr>
        <w:tabs>
          <w:tab w:val="left" w:pos="630"/>
          <w:tab w:val="left" w:pos="4410"/>
        </w:tabs>
        <w:jc w:val="both"/>
        <w:rPr>
          <w:rFonts w:ascii="Verdana" w:hAnsi="Verdana"/>
          <w:b/>
          <w:sz w:val="20"/>
          <w:szCs w:val="20"/>
        </w:rPr>
      </w:pPr>
      <w:r>
        <w:rPr>
          <w:rFonts w:ascii="Calibri" w:hAnsi="Calibri" w:cs="Calibri"/>
          <w:color w:val="1F497D"/>
          <w:sz w:val="20"/>
          <w:szCs w:val="20"/>
        </w:rPr>
        <w:fldChar w:fldCharType="begin"/>
      </w:r>
      <w:r>
        <w:rPr>
          <w:rFonts w:ascii="Calibri" w:hAnsi="Calibri" w:cs="Calibri"/>
          <w:color w:val="1F497D"/>
          <w:sz w:val="20"/>
          <w:szCs w:val="20"/>
        </w:rPr>
        <w:instrText xml:space="preserve"> INCLUDEPICTURE  "cid:368583308@10122011-139B" \* MERGEFORMATINET </w:instrText>
      </w:r>
      <w:r>
        <w:rPr>
          <w:rFonts w:ascii="Calibri" w:hAnsi="Calibri" w:cs="Calibri"/>
          <w:color w:val="1F497D"/>
          <w:sz w:val="20"/>
          <w:szCs w:val="20"/>
        </w:rPr>
        <w:fldChar w:fldCharType="separate"/>
      </w:r>
      <w:r w:rsidR="003C596B">
        <w:rPr>
          <w:rFonts w:ascii="Calibri" w:hAnsi="Calibri" w:cs="Calibri"/>
          <w:color w:val="1F497D"/>
          <w:sz w:val="20"/>
          <w:szCs w:val="20"/>
        </w:rPr>
        <w:fldChar w:fldCharType="begin"/>
      </w:r>
      <w:r w:rsidR="003C596B">
        <w:rPr>
          <w:rFonts w:ascii="Calibri" w:hAnsi="Calibri" w:cs="Calibri"/>
          <w:color w:val="1F497D"/>
          <w:sz w:val="20"/>
          <w:szCs w:val="20"/>
        </w:rPr>
        <w:instrText xml:space="preserve"> </w:instrText>
      </w:r>
      <w:r w:rsidR="003C596B">
        <w:rPr>
          <w:rFonts w:ascii="Calibri" w:hAnsi="Calibri" w:cs="Calibri"/>
          <w:color w:val="1F497D"/>
          <w:sz w:val="20"/>
          <w:szCs w:val="20"/>
        </w:rPr>
        <w:instrText>INCLUDEPICTURE  "cid:368583308@10122011-139B" \* MERGEFORMATINET</w:instrText>
      </w:r>
      <w:r w:rsidR="003C596B">
        <w:rPr>
          <w:rFonts w:ascii="Calibri" w:hAnsi="Calibri" w:cs="Calibri"/>
          <w:color w:val="1F497D"/>
          <w:sz w:val="20"/>
          <w:szCs w:val="20"/>
        </w:rPr>
        <w:instrText xml:space="preserve"> </w:instrText>
      </w:r>
      <w:r w:rsidR="003C596B">
        <w:rPr>
          <w:rFonts w:ascii="Calibri" w:hAnsi="Calibri" w:cs="Calibri"/>
          <w:color w:val="1F497D"/>
          <w:sz w:val="20"/>
          <w:szCs w:val="20"/>
        </w:rPr>
        <w:fldChar w:fldCharType="separate"/>
      </w:r>
      <w:r w:rsidR="003C596B">
        <w:rPr>
          <w:rFonts w:ascii="Calibri" w:hAnsi="Calibri" w:cs="Calibri"/>
          <w:color w:val="1F497D"/>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64.5pt">
            <v:imagedata r:id="rId10" r:href="rId11"/>
          </v:shape>
        </w:pict>
      </w:r>
      <w:r w:rsidR="003C596B">
        <w:rPr>
          <w:rFonts w:ascii="Calibri" w:hAnsi="Calibri" w:cs="Calibri"/>
          <w:color w:val="1F497D"/>
          <w:sz w:val="20"/>
          <w:szCs w:val="20"/>
        </w:rPr>
        <w:fldChar w:fldCharType="end"/>
      </w:r>
      <w:r>
        <w:rPr>
          <w:rFonts w:ascii="Calibri" w:hAnsi="Calibri" w:cs="Calibri"/>
          <w:color w:val="1F497D"/>
          <w:sz w:val="20"/>
          <w:szCs w:val="20"/>
        </w:rPr>
        <w:fldChar w:fldCharType="end"/>
      </w:r>
    </w:p>
    <w:p w:rsidR="00FF2DEF" w:rsidRDefault="00FF2DEF" w:rsidP="000C311B">
      <w:pPr>
        <w:tabs>
          <w:tab w:val="left" w:pos="630"/>
          <w:tab w:val="left" w:pos="4410"/>
        </w:tabs>
        <w:jc w:val="both"/>
        <w:rPr>
          <w:rFonts w:ascii="Verdana" w:hAnsi="Verdana"/>
          <w:b/>
          <w:sz w:val="20"/>
          <w:szCs w:val="20"/>
        </w:rPr>
      </w:pPr>
      <w:r>
        <w:rPr>
          <w:rFonts w:ascii="Verdana" w:hAnsi="Verdana"/>
          <w:b/>
          <w:sz w:val="20"/>
          <w:szCs w:val="20"/>
        </w:rPr>
        <w:t>Terry Bowen</w:t>
      </w:r>
    </w:p>
    <w:p w:rsidR="000C311B" w:rsidRPr="000C311B" w:rsidRDefault="00FF2DEF" w:rsidP="000C311B">
      <w:pPr>
        <w:tabs>
          <w:tab w:val="left" w:pos="630"/>
          <w:tab w:val="left" w:pos="4410"/>
        </w:tabs>
        <w:jc w:val="both"/>
        <w:rPr>
          <w:rFonts w:ascii="Verdana" w:hAnsi="Verdana"/>
          <w:sz w:val="20"/>
          <w:szCs w:val="20"/>
        </w:rPr>
      </w:pPr>
      <w:r>
        <w:rPr>
          <w:rFonts w:ascii="Verdana" w:hAnsi="Verdana"/>
          <w:sz w:val="20"/>
          <w:szCs w:val="20"/>
        </w:rPr>
        <w:t>President</w:t>
      </w:r>
    </w:p>
    <w:sectPr w:rsidR="000C311B" w:rsidRPr="000C311B" w:rsidSect="00512F7C">
      <w:headerReference w:type="even" r:id="rId12"/>
      <w:headerReference w:type="default" r:id="rId13"/>
      <w:footerReference w:type="even" r:id="rId14"/>
      <w:footerReference w:type="default" r:id="rId15"/>
      <w:headerReference w:type="first" r:id="rId16"/>
      <w:footerReference w:type="first" r:id="rId17"/>
      <w:pgSz w:w="12240" w:h="15840" w:code="1"/>
      <w:pgMar w:top="1304" w:right="1588" w:bottom="1191" w:left="1644" w:header="709"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FAA" w:rsidRDefault="002B1FAA">
      <w:r>
        <w:separator/>
      </w:r>
    </w:p>
  </w:endnote>
  <w:endnote w:type="continuationSeparator" w:id="0">
    <w:p w:rsidR="002B1FAA" w:rsidRDefault="002B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3D1" w:rsidRDefault="00E323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3D1" w:rsidRDefault="00E323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3D1" w:rsidRDefault="00E32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FAA" w:rsidRDefault="002B1FAA">
      <w:r>
        <w:separator/>
      </w:r>
    </w:p>
  </w:footnote>
  <w:footnote w:type="continuationSeparator" w:id="0">
    <w:p w:rsidR="002B1FAA" w:rsidRDefault="002B1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3D1" w:rsidRDefault="00E323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3D1" w:rsidRDefault="00E323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3D1" w:rsidRDefault="00E323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1039"/>
    <w:multiLevelType w:val="hybridMultilevel"/>
    <w:tmpl w:val="0D70E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44814A39"/>
    <w:multiLevelType w:val="hybridMultilevel"/>
    <w:tmpl w:val="B860F1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6803530"/>
    <w:multiLevelType w:val="hybridMultilevel"/>
    <w:tmpl w:val="8716CC7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5C8357CD"/>
    <w:multiLevelType w:val="hybridMultilevel"/>
    <w:tmpl w:val="16D8E0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C8D656E"/>
    <w:multiLevelType w:val="hybridMultilevel"/>
    <w:tmpl w:val="54CA4C8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FA9"/>
    <w:rsid w:val="00052CE9"/>
    <w:rsid w:val="00071329"/>
    <w:rsid w:val="000C311B"/>
    <w:rsid w:val="00100EFB"/>
    <w:rsid w:val="001136CB"/>
    <w:rsid w:val="00121A88"/>
    <w:rsid w:val="00162D7C"/>
    <w:rsid w:val="001B6484"/>
    <w:rsid w:val="001E0A06"/>
    <w:rsid w:val="001F5C0C"/>
    <w:rsid w:val="00245271"/>
    <w:rsid w:val="00253F0F"/>
    <w:rsid w:val="002A3DAD"/>
    <w:rsid w:val="002B1FA9"/>
    <w:rsid w:val="002B1FAA"/>
    <w:rsid w:val="002C0F3C"/>
    <w:rsid w:val="002D159B"/>
    <w:rsid w:val="002D739E"/>
    <w:rsid w:val="003704D2"/>
    <w:rsid w:val="003C596B"/>
    <w:rsid w:val="003E5D37"/>
    <w:rsid w:val="00406EAD"/>
    <w:rsid w:val="00411FB9"/>
    <w:rsid w:val="0046333A"/>
    <w:rsid w:val="00475450"/>
    <w:rsid w:val="00491FD5"/>
    <w:rsid w:val="004B3378"/>
    <w:rsid w:val="004E744F"/>
    <w:rsid w:val="00512F7C"/>
    <w:rsid w:val="0052611B"/>
    <w:rsid w:val="00551648"/>
    <w:rsid w:val="00560229"/>
    <w:rsid w:val="00561781"/>
    <w:rsid w:val="0057101C"/>
    <w:rsid w:val="00597E66"/>
    <w:rsid w:val="005A46EC"/>
    <w:rsid w:val="005E093E"/>
    <w:rsid w:val="005E4040"/>
    <w:rsid w:val="00627734"/>
    <w:rsid w:val="00676E6B"/>
    <w:rsid w:val="00687460"/>
    <w:rsid w:val="006E64E8"/>
    <w:rsid w:val="006F3964"/>
    <w:rsid w:val="00721660"/>
    <w:rsid w:val="00765EFE"/>
    <w:rsid w:val="007B6AED"/>
    <w:rsid w:val="00801C40"/>
    <w:rsid w:val="008132EE"/>
    <w:rsid w:val="008218D2"/>
    <w:rsid w:val="00822068"/>
    <w:rsid w:val="00824579"/>
    <w:rsid w:val="008307A6"/>
    <w:rsid w:val="008510FE"/>
    <w:rsid w:val="008539D7"/>
    <w:rsid w:val="008901D2"/>
    <w:rsid w:val="00893F65"/>
    <w:rsid w:val="008C2388"/>
    <w:rsid w:val="008C442E"/>
    <w:rsid w:val="008D4002"/>
    <w:rsid w:val="0095286D"/>
    <w:rsid w:val="009540DA"/>
    <w:rsid w:val="00960A67"/>
    <w:rsid w:val="009A6084"/>
    <w:rsid w:val="009C3ED9"/>
    <w:rsid w:val="009D7F85"/>
    <w:rsid w:val="00A03A5F"/>
    <w:rsid w:val="00A077A5"/>
    <w:rsid w:val="00A1565E"/>
    <w:rsid w:val="00A27E14"/>
    <w:rsid w:val="00A8603E"/>
    <w:rsid w:val="00AB2E33"/>
    <w:rsid w:val="00AC0B79"/>
    <w:rsid w:val="00B16415"/>
    <w:rsid w:val="00B2734D"/>
    <w:rsid w:val="00B62380"/>
    <w:rsid w:val="00B93689"/>
    <w:rsid w:val="00C05740"/>
    <w:rsid w:val="00C12C22"/>
    <w:rsid w:val="00C31F12"/>
    <w:rsid w:val="00C522A7"/>
    <w:rsid w:val="00C7673B"/>
    <w:rsid w:val="00C779AE"/>
    <w:rsid w:val="00D327F5"/>
    <w:rsid w:val="00D40FF9"/>
    <w:rsid w:val="00D92247"/>
    <w:rsid w:val="00DC5E05"/>
    <w:rsid w:val="00DD386D"/>
    <w:rsid w:val="00DD4198"/>
    <w:rsid w:val="00DD4FF2"/>
    <w:rsid w:val="00DE5C2C"/>
    <w:rsid w:val="00E24082"/>
    <w:rsid w:val="00E323D1"/>
    <w:rsid w:val="00E3314E"/>
    <w:rsid w:val="00E57D03"/>
    <w:rsid w:val="00E73B0C"/>
    <w:rsid w:val="00EC3843"/>
    <w:rsid w:val="00ED5572"/>
    <w:rsid w:val="00EE24EE"/>
    <w:rsid w:val="00F36694"/>
    <w:rsid w:val="00F53853"/>
    <w:rsid w:val="00F57698"/>
    <w:rsid w:val="00F67CF0"/>
    <w:rsid w:val="00F73A37"/>
    <w:rsid w:val="00F87F8C"/>
    <w:rsid w:val="00FF2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4082"/>
    <w:rPr>
      <w:color w:val="0000FF"/>
      <w:u w:val="single"/>
    </w:rPr>
  </w:style>
  <w:style w:type="paragraph" w:styleId="Header">
    <w:name w:val="header"/>
    <w:basedOn w:val="Normal"/>
    <w:rsid w:val="008132EE"/>
    <w:pPr>
      <w:tabs>
        <w:tab w:val="center" w:pos="4320"/>
        <w:tab w:val="right" w:pos="8640"/>
      </w:tabs>
    </w:pPr>
  </w:style>
  <w:style w:type="paragraph" w:styleId="Footer">
    <w:name w:val="footer"/>
    <w:basedOn w:val="Normal"/>
    <w:link w:val="FooterChar"/>
    <w:uiPriority w:val="99"/>
    <w:rsid w:val="008132EE"/>
    <w:pPr>
      <w:tabs>
        <w:tab w:val="center" w:pos="4320"/>
        <w:tab w:val="right" w:pos="8640"/>
      </w:tabs>
    </w:pPr>
  </w:style>
  <w:style w:type="paragraph" w:styleId="BalloonText">
    <w:name w:val="Balloon Text"/>
    <w:basedOn w:val="Normal"/>
    <w:link w:val="BalloonTextChar"/>
    <w:rsid w:val="00B2734D"/>
    <w:rPr>
      <w:rFonts w:ascii="Tahoma" w:hAnsi="Tahoma" w:cs="Tahoma"/>
      <w:sz w:val="16"/>
      <w:szCs w:val="16"/>
    </w:rPr>
  </w:style>
  <w:style w:type="character" w:customStyle="1" w:styleId="BalloonTextChar">
    <w:name w:val="Balloon Text Char"/>
    <w:link w:val="BalloonText"/>
    <w:rsid w:val="00B2734D"/>
    <w:rPr>
      <w:rFonts w:ascii="Tahoma" w:hAnsi="Tahoma" w:cs="Tahoma"/>
      <w:sz w:val="16"/>
      <w:szCs w:val="16"/>
      <w:lang w:val="en-US" w:eastAsia="en-US"/>
    </w:rPr>
  </w:style>
  <w:style w:type="paragraph" w:styleId="ListParagraph">
    <w:name w:val="List Paragraph"/>
    <w:basedOn w:val="Normal"/>
    <w:uiPriority w:val="34"/>
    <w:qFormat/>
    <w:rsid w:val="000C311B"/>
    <w:pPr>
      <w:ind w:left="720"/>
    </w:pPr>
  </w:style>
  <w:style w:type="character" w:customStyle="1" w:styleId="FooterChar">
    <w:name w:val="Footer Char"/>
    <w:link w:val="Footer"/>
    <w:uiPriority w:val="99"/>
    <w:rsid w:val="000C311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368583308@10122011-139B"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orporatereportingreforms@treasury.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C9F9-F294-4384-9C22-93377443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496</Words>
  <Characters>2740</Characters>
  <Application>Microsoft Office Word</Application>
  <DocSecurity>0</DocSecurity>
  <Lines>87</Lines>
  <Paragraphs>29</Paragraphs>
  <ScaleCrop>false</ScaleCrop>
  <HeadingPairs>
    <vt:vector size="2" baseType="variant">
      <vt:variant>
        <vt:lpstr>Title</vt:lpstr>
      </vt:variant>
      <vt:variant>
        <vt:i4>1</vt:i4>
      </vt:variant>
    </vt:vector>
  </HeadingPairs>
  <TitlesOfParts>
    <vt:vector size="1" baseType="lpstr">
      <vt:lpstr>Submission: Propsed Amendments to the Corporations Act</vt:lpstr>
    </vt:vector>
  </TitlesOfParts>
  <Company/>
  <LinksUpToDate>false</LinksUpToDate>
  <CharactersWithSpaces>3218</CharactersWithSpaces>
  <SharedDoc>false</SharedDoc>
  <HLinks>
    <vt:vector size="12" baseType="variant">
      <vt:variant>
        <vt:i4>1507429</vt:i4>
      </vt:variant>
      <vt:variant>
        <vt:i4>0</vt:i4>
      </vt:variant>
      <vt:variant>
        <vt:i4>0</vt:i4>
      </vt:variant>
      <vt:variant>
        <vt:i4>5</vt:i4>
      </vt:variant>
      <vt:variant>
        <vt:lpwstr>mailto:corporatereportingreforms@treasury.gov.au</vt:lpwstr>
      </vt:variant>
      <vt:variant>
        <vt:lpwstr/>
      </vt:variant>
      <vt:variant>
        <vt:i4>1572898</vt:i4>
      </vt:variant>
      <vt:variant>
        <vt:i4>5419</vt:i4>
      </vt:variant>
      <vt:variant>
        <vt:i4>1025</vt:i4>
      </vt:variant>
      <vt:variant>
        <vt:i4>1</vt:i4>
      </vt:variant>
      <vt:variant>
        <vt:lpwstr>cid:368583308@10122011-139B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Propsed Amendments to the Corporations Act</dc:title>
  <dc:subject/>
  <dc:creator/>
  <cp:keywords/>
  <dc:description/>
  <cp:lastModifiedBy>Schumann, Vicky</cp:lastModifiedBy>
  <cp:revision>3</cp:revision>
  <cp:lastPrinted>2012-02-07T23:07:00Z</cp:lastPrinted>
  <dcterms:created xsi:type="dcterms:W3CDTF">2012-02-07T23:41:00Z</dcterms:created>
  <dcterms:modified xsi:type="dcterms:W3CDTF">2012-04-26T01:54:00Z</dcterms:modified>
</cp:coreProperties>
</file>