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FB2175">
      <w:pPr>
        <w:pStyle w:val="Title"/>
        <w:jc w:val="both"/>
        <w:rPr>
          <w:b/>
          <w:color w:val="auto"/>
        </w:rPr>
      </w:pPr>
      <w:bookmarkStart w:id="0" w:name="_GoBack"/>
      <w:bookmarkEnd w:id="0"/>
    </w:p>
    <w:p w:rsidR="00EF6F1B" w:rsidRPr="00620D25" w:rsidRDefault="00EF6F1B" w:rsidP="005E7AAA">
      <w:pPr>
        <w:pStyle w:val="Title"/>
        <w:rPr>
          <w:b/>
          <w:color w:val="auto"/>
        </w:rPr>
      </w:pPr>
    </w:p>
    <w:p w:rsidR="00EF6F1B" w:rsidRPr="00620D25" w:rsidRDefault="00491C99" w:rsidP="005E7AAA">
      <w:pPr>
        <w:pStyle w:val="Title"/>
        <w:rPr>
          <w:b/>
          <w:color w:val="auto"/>
        </w:rPr>
      </w:pPr>
      <w:r>
        <w:rPr>
          <w:rFonts w:ascii="Times New Roman" w:hAnsi="Times New Roman"/>
          <w:noProof/>
          <w:color w:val="auto"/>
          <w:sz w:val="24"/>
          <w:szCs w:val="24"/>
          <w:lang w:eastAsia="en-AU"/>
        </w:rPr>
        <mc:AlternateContent>
          <mc:Choice Requires="wps">
            <w:drawing>
              <wp:anchor distT="36576" distB="36576" distL="36576" distR="36576" simplePos="0" relativeHeight="251654656" behindDoc="0" locked="0" layoutInCell="1" allowOverlap="1" wp14:anchorId="26A2E1E3" wp14:editId="51C08E0A">
                <wp:simplePos x="0" y="0"/>
                <wp:positionH relativeFrom="column">
                  <wp:posOffset>411480</wp:posOffset>
                </wp:positionH>
                <wp:positionV relativeFrom="paragraph">
                  <wp:posOffset>6069330</wp:posOffset>
                </wp:positionV>
                <wp:extent cx="4485640" cy="618490"/>
                <wp:effectExtent l="0" t="444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618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C6E" w:rsidRDefault="000B5C6E"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 xml:space="preserve">released up to </w:t>
                            </w:r>
                            <w:r w:rsidR="00764804" w:rsidRPr="00764804">
                              <w:rPr>
                                <w:lang w:val="en-US"/>
                                <w14:ligatures w14:val="none"/>
                              </w:rPr>
                              <w:t xml:space="preserve">4 April </w:t>
                            </w:r>
                            <w:r w:rsidRPr="00764804">
                              <w:rPr>
                                <w:lang w:val="en-US"/>
                                <w14:ligatures w14:val="none"/>
                              </w:rPr>
                              <w:t>201</w:t>
                            </w:r>
                            <w:r w:rsidR="00E23E1F" w:rsidRPr="00764804">
                              <w:rPr>
                                <w:lang w:val="en-US"/>
                                <w14:ligatures w14:val="none"/>
                              </w:rPr>
                              <w:t>3</w:t>
                            </w:r>
                            <w:r w:rsidRPr="00764804">
                              <w:rPr>
                                <w:lang w:val="en-US"/>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4pt;margin-top:477.9pt;width:353.2pt;height:48.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" filled="f" stroked="f" strokecolor="black [0]" strokeweight="0" insetpen="t">
                <v:textbox inset="2.88pt,2.88pt,2.88pt,2.88pt">
                  <w:txbxContent>
                    <w:p w:rsidR="000B5C6E" w:rsidRDefault="000B5C6E"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 xml:space="preserve">released up to </w:t>
                      </w:r>
                      <w:r w:rsidR="00764804" w:rsidRPr="00764804">
                        <w:rPr>
                          <w:lang w:val="en-US"/>
                          <w14:ligatures w14:val="none"/>
                        </w:rPr>
                        <w:t xml:space="preserve">4 April </w:t>
                      </w:r>
                      <w:r w:rsidRPr="00764804">
                        <w:rPr>
                          <w:lang w:val="en-US"/>
                          <w14:ligatures w14:val="none"/>
                        </w:rPr>
                        <w:t>201</w:t>
                      </w:r>
                      <w:r w:rsidR="00E23E1F" w:rsidRPr="00764804">
                        <w:rPr>
                          <w:lang w:val="en-US"/>
                          <w14:ligatures w14:val="none"/>
                        </w:rPr>
                        <w:t>3</w:t>
                      </w:r>
                      <w:r w:rsidRPr="00764804">
                        <w:rPr>
                          <w:lang w:val="en-US"/>
                          <w14:ligatures w14:val="none"/>
                        </w:rPr>
                        <w:t>.</w:t>
                      </w: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5680" behindDoc="0" locked="0" layoutInCell="1" allowOverlap="1" wp14:anchorId="631607E6" wp14:editId="5F39DC78">
                <wp:simplePos x="0" y="0"/>
                <wp:positionH relativeFrom="column">
                  <wp:posOffset>411480</wp:posOffset>
                </wp:positionH>
                <wp:positionV relativeFrom="paragraph">
                  <wp:posOffset>4464050</wp:posOffset>
                </wp:positionV>
                <wp:extent cx="5936615" cy="84582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C6E" w:rsidRPr="00491C99" w:rsidRDefault="000B5C6E"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w:t>
                            </w:r>
                            <w:r>
                              <w:rPr>
                                <w:color w:val="548DD4" w:themeColor="text2" w:themeTint="99"/>
                                <w:sz w:val="32"/>
                                <w:szCs w:val="32"/>
                                <w:lang w:val="en-US"/>
                              </w:rPr>
                              <w:t xml:space="preserve">conomic outlook for 2012-13, </w:t>
                            </w:r>
                            <w:r w:rsidRPr="00491C99">
                              <w:rPr>
                                <w:color w:val="548DD4" w:themeColor="text2" w:themeTint="99"/>
                                <w:sz w:val="32"/>
                                <w:szCs w:val="32"/>
                                <w:lang w:val="en-US"/>
                              </w:rPr>
                              <w:t>2013-14</w:t>
                            </w:r>
                            <w:r>
                              <w:rPr>
                                <w:color w:val="548DD4" w:themeColor="text2" w:themeTint="99"/>
                                <w:sz w:val="32"/>
                                <w:szCs w:val="32"/>
                                <w:lang w:val="en-US"/>
                              </w:rPr>
                              <w:t xml:space="preserve"> and 2014-15</w:t>
                            </w:r>
                          </w:p>
                          <w:p w:rsidR="000B5C6E" w:rsidRPr="00491C99" w:rsidRDefault="00E23E1F" w:rsidP="004D585F">
                            <w:pPr>
                              <w:pStyle w:val="Title"/>
                              <w:widowControl w:val="0"/>
                              <w:jc w:val="left"/>
                              <w:rPr>
                                <w:color w:val="548DD4" w:themeColor="text2" w:themeTint="99"/>
                                <w:sz w:val="32"/>
                                <w:szCs w:val="32"/>
                                <w:lang w:val="en-US"/>
                              </w:rPr>
                            </w:pPr>
                            <w:r w:rsidRPr="00764804">
                              <w:rPr>
                                <w:color w:val="548DD4" w:themeColor="text2" w:themeTint="99"/>
                                <w:sz w:val="32"/>
                                <w:szCs w:val="32"/>
                                <w:lang w:val="en-US"/>
                              </w:rPr>
                              <w:t>March</w:t>
                            </w:r>
                            <w:r w:rsidR="000B5C6E" w:rsidRPr="00764804">
                              <w:rPr>
                                <w:color w:val="548DD4" w:themeColor="text2" w:themeTint="99"/>
                                <w:sz w:val="32"/>
                                <w:szCs w:val="32"/>
                                <w:lang w:val="en-US"/>
                              </w:rPr>
                              <w:t xml:space="preserve"> 201</w:t>
                            </w:r>
                            <w:r w:rsidRPr="00764804">
                              <w:rPr>
                                <w:color w:val="548DD4" w:themeColor="text2" w:themeTint="99"/>
                                <w:sz w:val="32"/>
                                <w:szCs w:val="32"/>
                                <w:lang w:val="en-US"/>
                              </w:rPr>
                              <w:t>3</w:t>
                            </w:r>
                          </w:p>
                          <w:p w:rsidR="000B5C6E" w:rsidRPr="00491C99" w:rsidRDefault="000B5C6E" w:rsidP="004D585F">
                            <w:pPr>
                              <w:pStyle w:val="Title"/>
                              <w:widowControl w:val="0"/>
                              <w:jc w:val="left"/>
                              <w:rPr>
                                <w:color w:val="548DD4" w:themeColor="text2" w:themeTint="99"/>
                                <w:sz w:val="64"/>
                                <w:szCs w:val="6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4pt;margin-top:351.5pt;width:467.45pt;height:66.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tDAMAALo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" filled="f" stroked="f" strokecolor="black [0]" strokeweight="0" insetpen="t">
                <v:textbox inset="2.88pt,2.88pt,2.88pt,2.88pt">
                  <w:txbxContent>
                    <w:p w:rsidR="000B5C6E" w:rsidRPr="00491C99" w:rsidRDefault="000B5C6E"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w:t>
                      </w:r>
                      <w:r>
                        <w:rPr>
                          <w:color w:val="548DD4" w:themeColor="text2" w:themeTint="99"/>
                          <w:sz w:val="32"/>
                          <w:szCs w:val="32"/>
                          <w:lang w:val="en-US"/>
                        </w:rPr>
                        <w:t xml:space="preserve">conomic outlook for 2012-13, </w:t>
                      </w:r>
                      <w:r w:rsidRPr="00491C99">
                        <w:rPr>
                          <w:color w:val="548DD4" w:themeColor="text2" w:themeTint="99"/>
                          <w:sz w:val="32"/>
                          <w:szCs w:val="32"/>
                          <w:lang w:val="en-US"/>
                        </w:rPr>
                        <w:t>2013-14</w:t>
                      </w:r>
                      <w:r>
                        <w:rPr>
                          <w:color w:val="548DD4" w:themeColor="text2" w:themeTint="99"/>
                          <w:sz w:val="32"/>
                          <w:szCs w:val="32"/>
                          <w:lang w:val="en-US"/>
                        </w:rPr>
                        <w:t xml:space="preserve"> and 2014-15</w:t>
                      </w:r>
                    </w:p>
                    <w:p w:rsidR="000B5C6E" w:rsidRPr="00491C99" w:rsidRDefault="00E23E1F" w:rsidP="004D585F">
                      <w:pPr>
                        <w:pStyle w:val="Title"/>
                        <w:widowControl w:val="0"/>
                        <w:jc w:val="left"/>
                        <w:rPr>
                          <w:color w:val="548DD4" w:themeColor="text2" w:themeTint="99"/>
                          <w:sz w:val="32"/>
                          <w:szCs w:val="32"/>
                          <w:lang w:val="en-US"/>
                        </w:rPr>
                      </w:pPr>
                      <w:r w:rsidRPr="00764804">
                        <w:rPr>
                          <w:color w:val="548DD4" w:themeColor="text2" w:themeTint="99"/>
                          <w:sz w:val="32"/>
                          <w:szCs w:val="32"/>
                          <w:lang w:val="en-US"/>
                        </w:rPr>
                        <w:t>March</w:t>
                      </w:r>
                      <w:r w:rsidR="000B5C6E" w:rsidRPr="00764804">
                        <w:rPr>
                          <w:color w:val="548DD4" w:themeColor="text2" w:themeTint="99"/>
                          <w:sz w:val="32"/>
                          <w:szCs w:val="32"/>
                          <w:lang w:val="en-US"/>
                        </w:rPr>
                        <w:t xml:space="preserve"> 201</w:t>
                      </w:r>
                      <w:r w:rsidRPr="00764804">
                        <w:rPr>
                          <w:color w:val="548DD4" w:themeColor="text2" w:themeTint="99"/>
                          <w:sz w:val="32"/>
                          <w:szCs w:val="32"/>
                          <w:lang w:val="en-US"/>
                        </w:rPr>
                        <w:t>3</w:t>
                      </w:r>
                    </w:p>
                    <w:p w:rsidR="000B5C6E" w:rsidRPr="00491C99" w:rsidRDefault="000B5C6E" w:rsidP="004D585F">
                      <w:pPr>
                        <w:pStyle w:val="Title"/>
                        <w:widowControl w:val="0"/>
                        <w:jc w:val="left"/>
                        <w:rPr>
                          <w:color w:val="548DD4" w:themeColor="text2" w:themeTint="99"/>
                          <w:sz w:val="64"/>
                          <w:szCs w:val="64"/>
                          <w:lang w:val="en-US"/>
                        </w:rPr>
                      </w:pP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6704" behindDoc="0" locked="0" layoutInCell="1" allowOverlap="1" wp14:anchorId="49CBC03C" wp14:editId="289A9311">
                <wp:simplePos x="0" y="0"/>
                <wp:positionH relativeFrom="column">
                  <wp:posOffset>-290830</wp:posOffset>
                </wp:positionH>
                <wp:positionV relativeFrom="paragraph">
                  <wp:posOffset>-802640</wp:posOffset>
                </wp:positionV>
                <wp:extent cx="638175" cy="93167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316720"/>
                        </a:xfrm>
                        <a:prstGeom prst="rect">
                          <a:avLst/>
                        </a:prstGeom>
                        <a:solidFill>
                          <a:srgbClr val="8AAFC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9pt;margin-top:-63.2pt;width:50.25pt;height:733.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" fillcolor="#8aafc1"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7728" behindDoc="0" locked="0" layoutInCell="1" allowOverlap="1" wp14:anchorId="4D08C1C6" wp14:editId="63FEB786">
                <wp:simplePos x="0" y="0"/>
                <wp:positionH relativeFrom="column">
                  <wp:posOffset>-290830</wp:posOffset>
                </wp:positionH>
                <wp:positionV relativeFrom="paragraph">
                  <wp:posOffset>-1116965</wp:posOffset>
                </wp:positionV>
                <wp:extent cx="638175" cy="32321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3215"/>
                        </a:xfrm>
                        <a:prstGeom prst="rect">
                          <a:avLst/>
                        </a:prstGeom>
                        <a:solidFill>
                          <a:srgbClr val="00517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pt;margin-top:-87.95pt;width:50.25pt;height:25.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" fillcolor="#00517a"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8752" behindDoc="0" locked="0" layoutInCell="1" allowOverlap="1" wp14:anchorId="3DD36D6A" wp14:editId="73195E43">
                <wp:simplePos x="0" y="0"/>
                <wp:positionH relativeFrom="column">
                  <wp:posOffset>-281940</wp:posOffset>
                </wp:positionH>
                <wp:positionV relativeFrom="paragraph">
                  <wp:posOffset>-812800</wp:posOffset>
                </wp:positionV>
                <wp:extent cx="616585" cy="0"/>
                <wp:effectExtent l="18415" t="18415" r="2222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28575">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2pt,-64pt" to="2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" strokecolor="#069" strokeweight="2.25pt">
                <v:shadow color="#ccc"/>
              </v:line>
            </w:pict>
          </mc:Fallback>
        </mc:AlternateContent>
      </w:r>
      <w:r>
        <w:rPr>
          <w:rFonts w:ascii="Times New Roman" w:hAnsi="Times New Roman"/>
          <w:noProof/>
          <w:color w:val="auto"/>
          <w:sz w:val="24"/>
          <w:szCs w:val="24"/>
          <w:lang w:eastAsia="en-AU"/>
        </w:rPr>
        <w:drawing>
          <wp:anchor distT="36576" distB="36576" distL="36576" distR="36576" simplePos="0" relativeHeight="251659776" behindDoc="0" locked="0" layoutInCell="1" allowOverlap="1" wp14:anchorId="2F42199E" wp14:editId="15DD7DD2">
            <wp:simplePos x="0" y="0"/>
            <wp:positionH relativeFrom="column">
              <wp:posOffset>415290</wp:posOffset>
            </wp:positionH>
            <wp:positionV relativeFrom="paragraph">
              <wp:posOffset>-1054735</wp:posOffset>
            </wp:positionV>
            <wp:extent cx="2926080" cy="6705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670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6B1311" w:rsidRDefault="00C5511F">
      <w:pPr>
        <w:pStyle w:val="TOC3"/>
      </w:pPr>
      <w:r>
        <w:rPr>
          <w:rFonts w:ascii="Times New Roman" w:hAnsi="Times New Roman"/>
          <w:lang w:eastAsia="en-AU"/>
        </w:rPr>
        <mc:AlternateContent>
          <mc:Choice Requires="wps">
            <w:drawing>
              <wp:anchor distT="36576" distB="36576" distL="36576" distR="36576" simplePos="0" relativeHeight="251660800" behindDoc="0" locked="0" layoutInCell="1" allowOverlap="1" wp14:anchorId="6D309656" wp14:editId="7C045228">
                <wp:simplePos x="0" y="0"/>
                <wp:positionH relativeFrom="column">
                  <wp:posOffset>418465</wp:posOffset>
                </wp:positionH>
                <wp:positionV relativeFrom="paragraph">
                  <wp:posOffset>165328</wp:posOffset>
                </wp:positionV>
                <wp:extent cx="5582920" cy="21291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2129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JOINT ECONOMIC FORECASTING GROUP</w:t>
                            </w:r>
                          </w:p>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95pt;margin-top:13pt;width:439.6pt;height:167.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" filled="f" stroked="f" strokecolor="black [0]" strokeweight="0" insetpen="t">
                <v:textbox inset="2.88pt,2.88pt,2.88pt,2.88pt">
                  <w:txbxContent>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JOINT ECONOMIC FORECASTING GROUP</w:t>
                      </w:r>
                    </w:p>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v:textbox>
              </v:shape>
            </w:pict>
          </mc:Fallback>
        </mc:AlternateContent>
      </w:r>
      <w:r w:rsidR="00A8671C" w:rsidRPr="003344B0">
        <w:rPr>
          <w:b w:val="0"/>
          <w:highlight w:val="yellow"/>
        </w:rPr>
        <w:br w:type="page"/>
      </w:r>
      <w:r w:rsidR="004D4273" w:rsidRPr="00CA05D4">
        <w:rPr>
          <w:b w:val="0"/>
        </w:rPr>
        <w:lastRenderedPageBreak/>
        <w:fldChar w:fldCharType="begin"/>
      </w:r>
      <w:r w:rsidR="00C825B7" w:rsidRPr="00CA05D4">
        <w:rPr>
          <w:b w:val="0"/>
        </w:rPr>
        <w:instrText xml:space="preserve"> TOC \o "1-4" \h \z \u </w:instrText>
      </w:r>
      <w:r w:rsidR="004D4273" w:rsidRPr="00CA05D4">
        <w:rPr>
          <w:b w:val="0"/>
        </w:rPr>
        <w:fldChar w:fldCharType="separate"/>
      </w:r>
    </w:p>
    <w:p w:rsidR="006B1311" w:rsidRDefault="005A6BBC">
      <w:pPr>
        <w:pStyle w:val="TOC3"/>
        <w:rPr>
          <w:rFonts w:asciiTheme="minorHAnsi" w:eastAsiaTheme="minorEastAsia" w:hAnsiTheme="minorHAnsi" w:cstheme="minorBidi"/>
          <w:b w:val="0"/>
          <w:sz w:val="22"/>
          <w:szCs w:val="22"/>
          <w:lang w:eastAsia="en-AU"/>
        </w:rPr>
      </w:pPr>
      <w:hyperlink w:anchor="_Toc343518878" w:history="1">
        <w:r w:rsidR="006B1311" w:rsidRPr="0031004A">
          <w:rPr>
            <w:rStyle w:val="Hyperlink"/>
          </w:rPr>
          <w:t>Overview</w:t>
        </w:r>
        <w:r w:rsidR="006B1311">
          <w:rPr>
            <w:webHidden/>
          </w:rPr>
          <w:tab/>
        </w:r>
        <w:r w:rsidR="006B1311">
          <w:rPr>
            <w:webHidden/>
          </w:rPr>
          <w:fldChar w:fldCharType="begin"/>
        </w:r>
        <w:r w:rsidR="006B1311">
          <w:rPr>
            <w:webHidden/>
          </w:rPr>
          <w:instrText xml:space="preserve"> PAGEREF _Toc343518878 \h </w:instrText>
        </w:r>
        <w:r w:rsidR="006B1311">
          <w:rPr>
            <w:webHidden/>
          </w:rPr>
        </w:r>
        <w:r w:rsidR="006B1311">
          <w:rPr>
            <w:webHidden/>
          </w:rPr>
          <w:fldChar w:fldCharType="separate"/>
        </w:r>
        <w:r w:rsidR="00F169F2">
          <w:rPr>
            <w:webHidden/>
          </w:rPr>
          <w:t>3</w:t>
        </w:r>
        <w:r w:rsidR="006B1311">
          <w:rPr>
            <w:webHidden/>
          </w:rPr>
          <w:fldChar w:fldCharType="end"/>
        </w:r>
      </w:hyperlink>
    </w:p>
    <w:p w:rsidR="006B1311" w:rsidRDefault="005A6BBC">
      <w:pPr>
        <w:pStyle w:val="TOC3"/>
        <w:rPr>
          <w:rFonts w:asciiTheme="minorHAnsi" w:eastAsiaTheme="minorEastAsia" w:hAnsiTheme="minorHAnsi" w:cstheme="minorBidi"/>
          <w:b w:val="0"/>
          <w:sz w:val="22"/>
          <w:szCs w:val="22"/>
          <w:lang w:eastAsia="en-AU"/>
        </w:rPr>
      </w:pPr>
      <w:hyperlink w:anchor="_Toc343518879" w:history="1">
        <w:r w:rsidR="006B1311" w:rsidRPr="0031004A">
          <w:rPr>
            <w:rStyle w:val="Hyperlink"/>
          </w:rPr>
          <w:t>Outlook for the domestic economy</w:t>
        </w:r>
        <w:r w:rsidR="006B1311">
          <w:rPr>
            <w:webHidden/>
          </w:rPr>
          <w:tab/>
        </w:r>
        <w:r w:rsidR="006B1311">
          <w:rPr>
            <w:webHidden/>
          </w:rPr>
          <w:fldChar w:fldCharType="begin"/>
        </w:r>
        <w:r w:rsidR="006B1311">
          <w:rPr>
            <w:webHidden/>
          </w:rPr>
          <w:instrText xml:space="preserve"> PAGEREF _Toc343518879 \h </w:instrText>
        </w:r>
        <w:r w:rsidR="006B1311">
          <w:rPr>
            <w:webHidden/>
          </w:rPr>
        </w:r>
        <w:r w:rsidR="006B1311">
          <w:rPr>
            <w:webHidden/>
          </w:rPr>
          <w:fldChar w:fldCharType="separate"/>
        </w:r>
        <w:r w:rsidR="00F169F2">
          <w:rPr>
            <w:webHidden/>
          </w:rPr>
          <w:t>3</w:t>
        </w:r>
        <w:r w:rsidR="006B1311">
          <w:rPr>
            <w:webHidden/>
          </w:rPr>
          <w:fldChar w:fldCharType="end"/>
        </w:r>
      </w:hyperlink>
    </w:p>
    <w:p w:rsidR="006B1311" w:rsidRDefault="005A6BBC">
      <w:pPr>
        <w:pStyle w:val="TOC4"/>
        <w:rPr>
          <w:rFonts w:asciiTheme="minorHAnsi" w:eastAsiaTheme="minorEastAsia" w:hAnsiTheme="minorHAnsi" w:cstheme="minorBidi"/>
          <w:i w:val="0"/>
          <w:sz w:val="22"/>
          <w:szCs w:val="22"/>
          <w:lang w:eastAsia="en-AU"/>
        </w:rPr>
      </w:pPr>
      <w:hyperlink w:anchor="_Toc343518880" w:history="1">
        <w:r w:rsidR="006B1311" w:rsidRPr="0031004A">
          <w:rPr>
            <w:rStyle w:val="Hyperlink"/>
          </w:rPr>
          <w:t>Household consumption</w:t>
        </w:r>
        <w:r w:rsidR="006B1311">
          <w:rPr>
            <w:webHidden/>
          </w:rPr>
          <w:tab/>
        </w:r>
        <w:r w:rsidR="006B1311">
          <w:rPr>
            <w:webHidden/>
          </w:rPr>
          <w:fldChar w:fldCharType="begin"/>
        </w:r>
        <w:r w:rsidR="006B1311">
          <w:rPr>
            <w:webHidden/>
          </w:rPr>
          <w:instrText xml:space="preserve"> PAGEREF _Toc343518880 \h </w:instrText>
        </w:r>
        <w:r w:rsidR="006B1311">
          <w:rPr>
            <w:webHidden/>
          </w:rPr>
        </w:r>
        <w:r w:rsidR="006B1311">
          <w:rPr>
            <w:webHidden/>
          </w:rPr>
          <w:fldChar w:fldCharType="separate"/>
        </w:r>
        <w:r w:rsidR="00F169F2">
          <w:rPr>
            <w:webHidden/>
          </w:rPr>
          <w:t>7</w:t>
        </w:r>
        <w:r w:rsidR="006B1311">
          <w:rPr>
            <w:webHidden/>
          </w:rPr>
          <w:fldChar w:fldCharType="end"/>
        </w:r>
      </w:hyperlink>
    </w:p>
    <w:p w:rsidR="006B1311" w:rsidRDefault="005A6BBC">
      <w:pPr>
        <w:pStyle w:val="TOC4"/>
        <w:rPr>
          <w:rFonts w:asciiTheme="minorHAnsi" w:eastAsiaTheme="minorEastAsia" w:hAnsiTheme="minorHAnsi" w:cstheme="minorBidi"/>
          <w:i w:val="0"/>
          <w:sz w:val="22"/>
          <w:szCs w:val="22"/>
          <w:lang w:eastAsia="en-AU"/>
        </w:rPr>
      </w:pPr>
      <w:hyperlink w:anchor="_Toc343518881" w:history="1">
        <w:r w:rsidR="006B1311" w:rsidRPr="0031004A">
          <w:rPr>
            <w:rStyle w:val="Hyperlink"/>
          </w:rPr>
          <w:t>Dwelling investment</w:t>
        </w:r>
        <w:r w:rsidR="006B1311">
          <w:rPr>
            <w:webHidden/>
          </w:rPr>
          <w:tab/>
        </w:r>
        <w:r w:rsidR="006B1311">
          <w:rPr>
            <w:webHidden/>
          </w:rPr>
          <w:fldChar w:fldCharType="begin"/>
        </w:r>
        <w:r w:rsidR="006B1311">
          <w:rPr>
            <w:webHidden/>
          </w:rPr>
          <w:instrText xml:space="preserve"> PAGEREF _Toc343518881 \h </w:instrText>
        </w:r>
        <w:r w:rsidR="006B1311">
          <w:rPr>
            <w:webHidden/>
          </w:rPr>
        </w:r>
        <w:r w:rsidR="006B1311">
          <w:rPr>
            <w:webHidden/>
          </w:rPr>
          <w:fldChar w:fldCharType="separate"/>
        </w:r>
        <w:r w:rsidR="00F169F2">
          <w:rPr>
            <w:webHidden/>
          </w:rPr>
          <w:t>7</w:t>
        </w:r>
        <w:r w:rsidR="006B1311">
          <w:rPr>
            <w:webHidden/>
          </w:rPr>
          <w:fldChar w:fldCharType="end"/>
        </w:r>
      </w:hyperlink>
    </w:p>
    <w:p w:rsidR="006B1311" w:rsidRDefault="005A6BBC">
      <w:pPr>
        <w:pStyle w:val="TOC4"/>
        <w:rPr>
          <w:rFonts w:asciiTheme="minorHAnsi" w:eastAsiaTheme="minorEastAsia" w:hAnsiTheme="minorHAnsi" w:cstheme="minorBidi"/>
          <w:i w:val="0"/>
          <w:sz w:val="22"/>
          <w:szCs w:val="22"/>
          <w:lang w:eastAsia="en-AU"/>
        </w:rPr>
      </w:pPr>
      <w:hyperlink w:anchor="_Toc343518882" w:history="1">
        <w:r w:rsidR="006B1311" w:rsidRPr="0031004A">
          <w:rPr>
            <w:rStyle w:val="Hyperlink"/>
          </w:rPr>
          <w:t>Business investment</w:t>
        </w:r>
        <w:r w:rsidR="006B1311">
          <w:rPr>
            <w:webHidden/>
          </w:rPr>
          <w:tab/>
        </w:r>
        <w:r w:rsidR="006B1311">
          <w:rPr>
            <w:webHidden/>
          </w:rPr>
          <w:fldChar w:fldCharType="begin"/>
        </w:r>
        <w:r w:rsidR="006B1311">
          <w:rPr>
            <w:webHidden/>
          </w:rPr>
          <w:instrText xml:space="preserve"> PAGEREF _Toc343518882 \h </w:instrText>
        </w:r>
        <w:r w:rsidR="006B1311">
          <w:rPr>
            <w:webHidden/>
          </w:rPr>
        </w:r>
        <w:r w:rsidR="006B1311">
          <w:rPr>
            <w:webHidden/>
          </w:rPr>
          <w:fldChar w:fldCharType="separate"/>
        </w:r>
        <w:r w:rsidR="00F169F2">
          <w:rPr>
            <w:webHidden/>
          </w:rPr>
          <w:t>7</w:t>
        </w:r>
        <w:r w:rsidR="006B1311">
          <w:rPr>
            <w:webHidden/>
          </w:rPr>
          <w:fldChar w:fldCharType="end"/>
        </w:r>
      </w:hyperlink>
    </w:p>
    <w:p w:rsidR="006B1311" w:rsidRDefault="005A6BBC">
      <w:pPr>
        <w:pStyle w:val="TOC4"/>
        <w:rPr>
          <w:rFonts w:asciiTheme="minorHAnsi" w:eastAsiaTheme="minorEastAsia" w:hAnsiTheme="minorHAnsi" w:cstheme="minorBidi"/>
          <w:i w:val="0"/>
          <w:sz w:val="22"/>
          <w:szCs w:val="22"/>
          <w:lang w:eastAsia="en-AU"/>
        </w:rPr>
      </w:pPr>
      <w:hyperlink w:anchor="_Toc343518883" w:history="1">
        <w:r w:rsidR="006B1311" w:rsidRPr="0031004A">
          <w:rPr>
            <w:rStyle w:val="Hyperlink"/>
          </w:rPr>
          <w:t>Public final demand</w:t>
        </w:r>
        <w:r w:rsidR="006B1311">
          <w:rPr>
            <w:webHidden/>
          </w:rPr>
          <w:tab/>
        </w:r>
        <w:r w:rsidR="006B1311">
          <w:rPr>
            <w:webHidden/>
          </w:rPr>
          <w:fldChar w:fldCharType="begin"/>
        </w:r>
        <w:r w:rsidR="006B1311">
          <w:rPr>
            <w:webHidden/>
          </w:rPr>
          <w:instrText xml:space="preserve"> PAGEREF _Toc343518883 \h </w:instrText>
        </w:r>
        <w:r w:rsidR="006B1311">
          <w:rPr>
            <w:webHidden/>
          </w:rPr>
        </w:r>
        <w:r w:rsidR="006B1311">
          <w:rPr>
            <w:webHidden/>
          </w:rPr>
          <w:fldChar w:fldCharType="separate"/>
        </w:r>
        <w:r w:rsidR="00F169F2">
          <w:rPr>
            <w:webHidden/>
          </w:rPr>
          <w:t>8</w:t>
        </w:r>
        <w:r w:rsidR="006B1311">
          <w:rPr>
            <w:webHidden/>
          </w:rPr>
          <w:fldChar w:fldCharType="end"/>
        </w:r>
      </w:hyperlink>
    </w:p>
    <w:p w:rsidR="006B1311" w:rsidRDefault="005A6BBC">
      <w:pPr>
        <w:pStyle w:val="TOC4"/>
        <w:rPr>
          <w:rFonts w:asciiTheme="minorHAnsi" w:eastAsiaTheme="minorEastAsia" w:hAnsiTheme="minorHAnsi" w:cstheme="minorBidi"/>
          <w:i w:val="0"/>
          <w:sz w:val="22"/>
          <w:szCs w:val="22"/>
          <w:lang w:eastAsia="en-AU"/>
        </w:rPr>
      </w:pPr>
      <w:hyperlink w:anchor="_Toc343518884" w:history="1">
        <w:r w:rsidR="006B1311" w:rsidRPr="0031004A">
          <w:rPr>
            <w:rStyle w:val="Hyperlink"/>
          </w:rPr>
          <w:t>Exports, imports and the current account deficit</w:t>
        </w:r>
        <w:r w:rsidR="006B1311">
          <w:rPr>
            <w:webHidden/>
          </w:rPr>
          <w:tab/>
        </w:r>
        <w:r w:rsidR="006B1311">
          <w:rPr>
            <w:webHidden/>
          </w:rPr>
          <w:fldChar w:fldCharType="begin"/>
        </w:r>
        <w:r w:rsidR="006B1311">
          <w:rPr>
            <w:webHidden/>
          </w:rPr>
          <w:instrText xml:space="preserve"> PAGEREF _Toc343518884 \h </w:instrText>
        </w:r>
        <w:r w:rsidR="006B1311">
          <w:rPr>
            <w:webHidden/>
          </w:rPr>
        </w:r>
        <w:r w:rsidR="006B1311">
          <w:rPr>
            <w:webHidden/>
          </w:rPr>
          <w:fldChar w:fldCharType="separate"/>
        </w:r>
        <w:r w:rsidR="00F169F2">
          <w:rPr>
            <w:webHidden/>
          </w:rPr>
          <w:t>8</w:t>
        </w:r>
        <w:r w:rsidR="006B1311">
          <w:rPr>
            <w:webHidden/>
          </w:rPr>
          <w:fldChar w:fldCharType="end"/>
        </w:r>
      </w:hyperlink>
    </w:p>
    <w:p w:rsidR="006B1311" w:rsidRDefault="005A6BBC">
      <w:pPr>
        <w:pStyle w:val="TOC4"/>
        <w:rPr>
          <w:rFonts w:asciiTheme="minorHAnsi" w:eastAsiaTheme="minorEastAsia" w:hAnsiTheme="minorHAnsi" w:cstheme="minorBidi"/>
          <w:i w:val="0"/>
          <w:sz w:val="22"/>
          <w:szCs w:val="22"/>
          <w:lang w:eastAsia="en-AU"/>
        </w:rPr>
      </w:pPr>
      <w:hyperlink w:anchor="_Toc343518885" w:history="1">
        <w:r w:rsidR="006B1311" w:rsidRPr="0031004A">
          <w:rPr>
            <w:rStyle w:val="Hyperlink"/>
          </w:rPr>
          <w:t>Employment, wages and inflation</w:t>
        </w:r>
        <w:r w:rsidR="006B1311">
          <w:rPr>
            <w:webHidden/>
          </w:rPr>
          <w:tab/>
        </w:r>
        <w:r w:rsidR="006B1311">
          <w:rPr>
            <w:webHidden/>
          </w:rPr>
          <w:fldChar w:fldCharType="begin"/>
        </w:r>
        <w:r w:rsidR="006B1311">
          <w:rPr>
            <w:webHidden/>
          </w:rPr>
          <w:instrText xml:space="preserve"> PAGEREF _Toc343518885 \h </w:instrText>
        </w:r>
        <w:r w:rsidR="006B1311">
          <w:rPr>
            <w:webHidden/>
          </w:rPr>
        </w:r>
        <w:r w:rsidR="006B1311">
          <w:rPr>
            <w:webHidden/>
          </w:rPr>
          <w:fldChar w:fldCharType="separate"/>
        </w:r>
        <w:r w:rsidR="00F169F2">
          <w:rPr>
            <w:webHidden/>
          </w:rPr>
          <w:t>10</w:t>
        </w:r>
        <w:r w:rsidR="006B1311">
          <w:rPr>
            <w:webHidden/>
          </w:rPr>
          <w:fldChar w:fldCharType="end"/>
        </w:r>
      </w:hyperlink>
    </w:p>
    <w:p w:rsidR="006B1311" w:rsidRDefault="005A6BBC">
      <w:pPr>
        <w:pStyle w:val="TOC3"/>
        <w:rPr>
          <w:rFonts w:asciiTheme="minorHAnsi" w:eastAsiaTheme="minorEastAsia" w:hAnsiTheme="minorHAnsi" w:cstheme="minorBidi"/>
          <w:b w:val="0"/>
          <w:sz w:val="22"/>
          <w:szCs w:val="22"/>
          <w:lang w:eastAsia="en-AU"/>
        </w:rPr>
      </w:pPr>
      <w:hyperlink w:anchor="_Toc343518886" w:history="1">
        <w:r w:rsidR="006B1311" w:rsidRPr="0031004A">
          <w:rPr>
            <w:rStyle w:val="Hyperlink"/>
          </w:rPr>
          <w:t>Outlook for the international economy</w:t>
        </w:r>
        <w:r w:rsidR="006B1311">
          <w:rPr>
            <w:webHidden/>
          </w:rPr>
          <w:tab/>
        </w:r>
        <w:r w:rsidR="006B1311">
          <w:rPr>
            <w:webHidden/>
          </w:rPr>
          <w:fldChar w:fldCharType="begin"/>
        </w:r>
        <w:r w:rsidR="006B1311">
          <w:rPr>
            <w:webHidden/>
          </w:rPr>
          <w:instrText xml:space="preserve"> PAGEREF _Toc343518886 \h </w:instrText>
        </w:r>
        <w:r w:rsidR="006B1311">
          <w:rPr>
            <w:webHidden/>
          </w:rPr>
        </w:r>
        <w:r w:rsidR="006B1311">
          <w:rPr>
            <w:webHidden/>
          </w:rPr>
          <w:fldChar w:fldCharType="separate"/>
        </w:r>
        <w:r w:rsidR="00F169F2">
          <w:rPr>
            <w:webHidden/>
          </w:rPr>
          <w:t>12</w:t>
        </w:r>
        <w:r w:rsidR="006B1311">
          <w:rPr>
            <w:webHidden/>
          </w:rPr>
          <w:fldChar w:fldCharType="end"/>
        </w:r>
      </w:hyperlink>
    </w:p>
    <w:p w:rsidR="005964C3" w:rsidRPr="003344B0" w:rsidRDefault="004D4273" w:rsidP="00A16F7F">
      <w:pPr>
        <w:pStyle w:val="Title"/>
        <w:outlineLvl w:val="0"/>
        <w:rPr>
          <w:b/>
          <w:color w:val="auto"/>
          <w:sz w:val="24"/>
          <w:szCs w:val="24"/>
          <w:highlight w:val="yellow"/>
        </w:rPr>
        <w:sectPr w:rsidR="005964C3" w:rsidRPr="003344B0" w:rsidSect="00412C66">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567" w:footer="567" w:gutter="0"/>
          <w:cols w:space="720"/>
          <w:titlePg/>
        </w:sectPr>
      </w:pPr>
      <w:r w:rsidRPr="00CA05D4">
        <w:rPr>
          <w:color w:val="auto"/>
        </w:rPr>
        <w:fldChar w:fldCharType="end"/>
      </w:r>
    </w:p>
    <w:p w:rsidR="00E573F9" w:rsidRPr="00685CA1" w:rsidRDefault="00E573F9" w:rsidP="00E573F9">
      <w:pPr>
        <w:pStyle w:val="Heading3"/>
        <w:rPr>
          <w:bCs/>
          <w:smallCaps w:val="0"/>
        </w:rPr>
      </w:pPr>
      <w:bookmarkStart w:id="1" w:name="_Toc336420544"/>
      <w:bookmarkStart w:id="2" w:name="_Toc343518878"/>
      <w:bookmarkStart w:id="3" w:name="_Toc90977883"/>
      <w:bookmarkStart w:id="4" w:name="_Toc185498655"/>
      <w:r w:rsidRPr="00685CA1">
        <w:lastRenderedPageBreak/>
        <w:t>Overview</w:t>
      </w:r>
      <w:bookmarkEnd w:id="1"/>
      <w:bookmarkEnd w:id="2"/>
    </w:p>
    <w:p w:rsidR="00166A67" w:rsidRPr="00C1046F" w:rsidRDefault="00166A67" w:rsidP="00166A67">
      <w:pPr>
        <w:spacing w:line="240" w:lineRule="auto"/>
        <w:rPr>
          <w:kern w:val="2"/>
          <w:szCs w:val="20"/>
        </w:rPr>
      </w:pPr>
      <w:bookmarkStart w:id="5" w:name="_Toc336420545"/>
      <w:bookmarkStart w:id="6" w:name="_Toc343518879"/>
      <w:r w:rsidRPr="00C1046F">
        <w:rPr>
          <w:kern w:val="2"/>
          <w:szCs w:val="20"/>
        </w:rPr>
        <w:t xml:space="preserve">While the near-term outlook has moderated following softer-than-expected recent outcomes, the outlook for the Australian economy in 2014-15 has strengthened since the December update.  Real GDP growth was a little below trend in the December quarter, and total hours worked declined for a second consecutive quarter. Investment in the resources sector is expected to peak at a lower level than forecast at the December update and the </w:t>
      </w:r>
      <w:r w:rsidR="00903484">
        <w:rPr>
          <w:kern w:val="2"/>
          <w:szCs w:val="20"/>
        </w:rPr>
        <w:t xml:space="preserve">near-term </w:t>
      </w:r>
      <w:r w:rsidRPr="00C1046F">
        <w:rPr>
          <w:kern w:val="2"/>
          <w:szCs w:val="20"/>
        </w:rPr>
        <w:t xml:space="preserve">outlook for non-mining business investment </w:t>
      </w:r>
      <w:r>
        <w:rPr>
          <w:kern w:val="2"/>
          <w:szCs w:val="20"/>
        </w:rPr>
        <w:t xml:space="preserve">remains </w:t>
      </w:r>
      <w:r w:rsidR="00903484">
        <w:rPr>
          <w:kern w:val="2"/>
          <w:szCs w:val="20"/>
        </w:rPr>
        <w:t>subdued</w:t>
      </w:r>
      <w:r w:rsidRPr="00C1046F">
        <w:rPr>
          <w:kern w:val="2"/>
          <w:szCs w:val="20"/>
        </w:rPr>
        <w:t>.  Still, with exports now expected to grow more strongly and some additional resources investment expected toward the end of the forecast period, real</w:t>
      </w:r>
      <w:r w:rsidR="00AE4383">
        <w:rPr>
          <w:kern w:val="2"/>
          <w:szCs w:val="20"/>
        </w:rPr>
        <w:t xml:space="preserve"> GDP growth is forecast to pick </w:t>
      </w:r>
      <w:r w:rsidRPr="00C1046F">
        <w:rPr>
          <w:kern w:val="2"/>
          <w:szCs w:val="20"/>
        </w:rPr>
        <w:t>up in 2014-15. Consistent with slightly</w:t>
      </w:r>
      <w:r w:rsidR="00AE4383">
        <w:rPr>
          <w:kern w:val="2"/>
          <w:szCs w:val="20"/>
        </w:rPr>
        <w:t xml:space="preserve"> </w:t>
      </w:r>
      <w:r w:rsidRPr="00C1046F">
        <w:rPr>
          <w:kern w:val="2"/>
          <w:szCs w:val="20"/>
        </w:rPr>
        <w:t>below-trend growth in the near term, the unemployment rate is forecast to rise to 5¾ per cent by the June quarter of 2014, but then stabilise around that level as economic growth strengthens.</w:t>
      </w:r>
    </w:p>
    <w:p w:rsidR="00903484" w:rsidRPr="00C1046F" w:rsidRDefault="00903484" w:rsidP="00166A67">
      <w:pPr>
        <w:spacing w:line="240" w:lineRule="auto"/>
        <w:rPr>
          <w:kern w:val="2"/>
          <w:szCs w:val="20"/>
        </w:rPr>
      </w:pPr>
      <w:r>
        <w:rPr>
          <w:kern w:val="2"/>
          <w:szCs w:val="20"/>
        </w:rPr>
        <w:t>G</w:t>
      </w:r>
      <w:r w:rsidR="00166A67" w:rsidRPr="00C1046F">
        <w:rPr>
          <w:kern w:val="2"/>
          <w:szCs w:val="20"/>
        </w:rPr>
        <w:t xml:space="preserve">lobal economic conditions have broadly improved since the December update. China’s growth appears to be strengthening, the United States </w:t>
      </w:r>
      <w:r>
        <w:rPr>
          <w:kern w:val="2"/>
          <w:szCs w:val="20"/>
        </w:rPr>
        <w:t xml:space="preserve">Congress reached an </w:t>
      </w:r>
      <w:r w:rsidR="00166A67" w:rsidRPr="00C1046F">
        <w:rPr>
          <w:kern w:val="2"/>
          <w:szCs w:val="20"/>
        </w:rPr>
        <w:t>agree</w:t>
      </w:r>
      <w:r>
        <w:rPr>
          <w:kern w:val="2"/>
          <w:szCs w:val="20"/>
        </w:rPr>
        <w:t>ment</w:t>
      </w:r>
      <w:r w:rsidR="00166A67" w:rsidRPr="00C1046F">
        <w:rPr>
          <w:kern w:val="2"/>
          <w:szCs w:val="20"/>
        </w:rPr>
        <w:t xml:space="preserve"> to avert the majority of the ‘fiscal cliff’ and Japanese authorities announced more aggressive policy stimulus to boost the economy.  However, </w:t>
      </w:r>
      <w:r>
        <w:rPr>
          <w:kern w:val="2"/>
          <w:szCs w:val="20"/>
        </w:rPr>
        <w:t>recent events in Cyprus and Italy have highlighted that downside risks still remain</w:t>
      </w:r>
      <w:r w:rsidR="001560BA">
        <w:rPr>
          <w:kern w:val="2"/>
          <w:szCs w:val="20"/>
        </w:rPr>
        <w:t xml:space="preserve"> in Europe, which are only partly off</w:t>
      </w:r>
      <w:r w:rsidR="00D81E2B">
        <w:rPr>
          <w:kern w:val="2"/>
          <w:szCs w:val="20"/>
        </w:rPr>
        <w:t>set by the upside risks in Asia</w:t>
      </w:r>
      <w:r w:rsidR="001560BA">
        <w:rPr>
          <w:kern w:val="2"/>
          <w:szCs w:val="20"/>
        </w:rPr>
        <w:t xml:space="preserve"> and the United States</w:t>
      </w:r>
      <w:r>
        <w:rPr>
          <w:kern w:val="2"/>
          <w:szCs w:val="20"/>
        </w:rPr>
        <w:t>.</w:t>
      </w:r>
      <w:r>
        <w:t xml:space="preserve"> </w:t>
      </w:r>
    </w:p>
    <w:p w:rsidR="00166A67" w:rsidRPr="00C1046F" w:rsidRDefault="00166A67" w:rsidP="00166A67">
      <w:pPr>
        <w:keepNext/>
        <w:keepLines/>
        <w:spacing w:after="0" w:line="240" w:lineRule="auto"/>
        <w:rPr>
          <w:rFonts w:cs="Tahoma"/>
          <w:b/>
          <w:kern w:val="2"/>
        </w:rPr>
      </w:pPr>
      <w:r w:rsidRPr="00C1046F">
        <w:rPr>
          <w:rFonts w:cs="Tahoma"/>
          <w:b/>
          <w:kern w:val="2"/>
        </w:rPr>
        <w:t xml:space="preserve">Table 1: Key Domestic </w:t>
      </w:r>
      <w:proofErr w:type="gramStart"/>
      <w:r w:rsidRPr="00C1046F">
        <w:rPr>
          <w:rFonts w:cs="Tahoma"/>
          <w:b/>
          <w:kern w:val="2"/>
        </w:rPr>
        <w:t>Forecasts</w:t>
      </w:r>
      <w:r w:rsidRPr="00C1046F">
        <w:rPr>
          <w:rFonts w:cs="Tahoma"/>
          <w:b/>
          <w:kern w:val="2"/>
          <w:vertAlign w:val="superscript"/>
        </w:rPr>
        <w:t>(</w:t>
      </w:r>
      <w:proofErr w:type="gramEnd"/>
      <w:r w:rsidRPr="00C1046F">
        <w:rPr>
          <w:rFonts w:cs="Tahoma"/>
          <w:b/>
          <w:kern w:val="2"/>
          <w:vertAlign w:val="superscript"/>
        </w:rPr>
        <w:t>a)</w:t>
      </w:r>
      <w:r w:rsidRPr="00C1046F">
        <w:rPr>
          <w:rFonts w:cs="Tahoma"/>
          <w:b/>
          <w:kern w:val="2"/>
        </w:rPr>
        <w:t xml:space="preserve"> </w:t>
      </w:r>
    </w:p>
    <w:p w:rsidR="00166A67" w:rsidRPr="00C1046F" w:rsidRDefault="00166A67" w:rsidP="00166A67">
      <w:pPr>
        <w:pStyle w:val="TableGraphic0"/>
        <w:keepNext/>
        <w:keepLines/>
        <w:rPr>
          <w:kern w:val="2"/>
        </w:rPr>
      </w:pPr>
      <w:r w:rsidRPr="00C1046F">
        <w:rPr>
          <w:kern w:val="2"/>
        </w:rPr>
        <w:object w:dxaOrig="9176" w:dyaOrig="2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5pt;height:141.5pt" o:ole="">
            <v:imagedata r:id="rId16" o:title=""/>
          </v:shape>
          <o:OLEObject Type="Link" ProgID="Excel.SheetMacroEnabled.12" ShapeID="_x0000_i1025" DrawAspect="Content" r:id="rId17" UpdateMode="Always">
            <o:LinkType>EnhancedMetaFile</o:LinkType>
            <o:LockedField>false</o:LockedField>
            <o:FieldCodes>\* MERGEFORMAT</o:FieldCodes>
          </o:OLEObject>
        </w:object>
      </w:r>
    </w:p>
    <w:p w:rsidR="00166A67" w:rsidRPr="00C1046F" w:rsidRDefault="00166A67" w:rsidP="00166A67">
      <w:pPr>
        <w:pStyle w:val="ChartandTableFootnoteAlpha"/>
        <w:keepNext/>
        <w:keepLines/>
        <w:tabs>
          <w:tab w:val="clear" w:pos="283"/>
        </w:tabs>
        <w:spacing w:line="240" w:lineRule="auto"/>
        <w:ind w:left="0" w:firstLine="0"/>
        <w:rPr>
          <w:rFonts w:ascii="Book Antiqua" w:hAnsi="Book Antiqua"/>
          <w:kern w:val="2"/>
        </w:rPr>
      </w:pPr>
      <w:r w:rsidRPr="00C1046F">
        <w:rPr>
          <w:rFonts w:ascii="Book Antiqua" w:hAnsi="Book Antiqua"/>
          <w:kern w:val="2"/>
        </w:rPr>
        <w:t>(a) Real GDP, nominal GDP and the terms of trade are year-average growth. Employment, CPI, underlying inflation and the WPI are through-the-year growth to the June quarter. The unemployment rate is the rate for the June quarter.</w:t>
      </w:r>
    </w:p>
    <w:p w:rsidR="00166A67" w:rsidRPr="00C1046F" w:rsidRDefault="00166A67" w:rsidP="00166A67">
      <w:pPr>
        <w:pStyle w:val="ChartandTableFootnoteAlpha"/>
        <w:tabs>
          <w:tab w:val="clear" w:pos="283"/>
        </w:tabs>
        <w:spacing w:line="240" w:lineRule="auto"/>
        <w:ind w:left="0" w:firstLine="0"/>
        <w:rPr>
          <w:rFonts w:ascii="Book Antiqua" w:hAnsi="Book Antiqua"/>
          <w:kern w:val="2"/>
        </w:rPr>
      </w:pPr>
    </w:p>
    <w:p w:rsidR="00166A67" w:rsidRPr="00C1046F" w:rsidRDefault="00166A67" w:rsidP="00166A67">
      <w:pPr>
        <w:spacing w:line="240" w:lineRule="auto"/>
        <w:rPr>
          <w:kern w:val="2"/>
          <w:szCs w:val="20"/>
        </w:rPr>
      </w:pPr>
      <w:r w:rsidRPr="00C1046F">
        <w:rPr>
          <w:kern w:val="2"/>
          <w:szCs w:val="20"/>
        </w:rPr>
        <w:t xml:space="preserve">Economic growth in 2012-13 will be supported by rising investment </w:t>
      </w:r>
      <w:r w:rsidR="00903484">
        <w:rPr>
          <w:kern w:val="2"/>
          <w:szCs w:val="20"/>
        </w:rPr>
        <w:t xml:space="preserve">in the resources sector, and a stronger </w:t>
      </w:r>
      <w:r w:rsidRPr="00C1046F">
        <w:rPr>
          <w:kern w:val="2"/>
          <w:szCs w:val="20"/>
        </w:rPr>
        <w:t>increase in export volumes for non</w:t>
      </w:r>
      <w:r w:rsidRPr="00C1046F">
        <w:rPr>
          <w:kern w:val="2"/>
          <w:szCs w:val="20"/>
        </w:rPr>
        <w:noBreakHyphen/>
        <w:t>rural bulk commodities. Real GDP is forecast to grow 2¾</w:t>
      </w:r>
      <w:r w:rsidR="00FB407A">
        <w:rPr>
          <w:kern w:val="2"/>
          <w:szCs w:val="20"/>
        </w:rPr>
        <w:t> </w:t>
      </w:r>
      <w:r w:rsidRPr="00C1046F">
        <w:rPr>
          <w:kern w:val="2"/>
          <w:szCs w:val="20"/>
        </w:rPr>
        <w:t>per cent in 2013-14, and then accelerate to 3 per cent in 2014-15. As resources projects progressively move from the construction phase to the production phase, growth in non</w:t>
      </w:r>
      <w:r w:rsidRPr="00C1046F">
        <w:rPr>
          <w:kern w:val="2"/>
          <w:szCs w:val="20"/>
        </w:rPr>
        <w:noBreakHyphen/>
        <w:t xml:space="preserve">rural bulk commodity export volumes will continue to strengthen. Non-rural commodity export volumes are expected to grow </w:t>
      </w:r>
      <w:r w:rsidR="00EC18BB">
        <w:rPr>
          <w:kern w:val="2"/>
          <w:szCs w:val="20"/>
        </w:rPr>
        <w:t>over</w:t>
      </w:r>
      <w:r>
        <w:rPr>
          <w:kern w:val="2"/>
          <w:szCs w:val="20"/>
        </w:rPr>
        <w:t xml:space="preserve"> </w:t>
      </w:r>
      <w:r w:rsidRPr="00EC18BB">
        <w:rPr>
          <w:kern w:val="2"/>
          <w:szCs w:val="20"/>
        </w:rPr>
        <w:t>30 per cent over the next three years</w:t>
      </w:r>
      <w:r w:rsidRPr="00C1046F">
        <w:rPr>
          <w:kern w:val="2"/>
          <w:szCs w:val="20"/>
        </w:rPr>
        <w:t xml:space="preserve">. This strong exports growth combined with solid growth in household consumption and a modest recovery in non-mining investment will support real GDP growth over the forecast period. </w:t>
      </w:r>
    </w:p>
    <w:p w:rsidR="00166A67" w:rsidRPr="00C1046F" w:rsidRDefault="00166A67" w:rsidP="00166A67">
      <w:pPr>
        <w:spacing w:line="240" w:lineRule="auto"/>
        <w:rPr>
          <w:kern w:val="2"/>
          <w:szCs w:val="20"/>
        </w:rPr>
      </w:pPr>
      <w:r w:rsidRPr="00C1046F">
        <w:rPr>
          <w:kern w:val="2"/>
          <w:szCs w:val="20"/>
        </w:rPr>
        <w:t>The lower peak in resources investment in 2013-14</w:t>
      </w:r>
      <w:r w:rsidR="00FB407A">
        <w:rPr>
          <w:kern w:val="2"/>
          <w:szCs w:val="20"/>
        </w:rPr>
        <w:t xml:space="preserve"> and the </w:t>
      </w:r>
      <w:r w:rsidR="00EF1559">
        <w:rPr>
          <w:kern w:val="2"/>
          <w:szCs w:val="20"/>
        </w:rPr>
        <w:t>more gradual</w:t>
      </w:r>
      <w:r w:rsidR="00FB407A">
        <w:rPr>
          <w:kern w:val="2"/>
          <w:szCs w:val="20"/>
        </w:rPr>
        <w:t xml:space="preserve"> decline in 2014-15</w:t>
      </w:r>
      <w:r w:rsidRPr="00C1046F">
        <w:rPr>
          <w:kern w:val="2"/>
          <w:szCs w:val="20"/>
        </w:rPr>
        <w:t xml:space="preserve"> reflect both a sh</w:t>
      </w:r>
      <w:r w:rsidRPr="00CA4F81">
        <w:rPr>
          <w:kern w:val="2"/>
          <w:szCs w:val="20"/>
        </w:rPr>
        <w:t xml:space="preserve">ift in the timing of expected capital expenditure and a reassessment of the likelihood of some projects under consideration proceeding toward the construction phase. </w:t>
      </w:r>
      <w:r w:rsidRPr="00C1046F">
        <w:rPr>
          <w:kern w:val="2"/>
          <w:szCs w:val="20"/>
        </w:rPr>
        <w:t xml:space="preserve">Outside the resources sector, the outlook for non-mining investment remains subdued, with near-term risks firmly to the downside. </w:t>
      </w:r>
      <w:r w:rsidR="00DC0F1B">
        <w:rPr>
          <w:kern w:val="2"/>
          <w:szCs w:val="20"/>
        </w:rPr>
        <w:t>Recent b</w:t>
      </w:r>
      <w:r w:rsidRPr="00C1046F">
        <w:rPr>
          <w:kern w:val="2"/>
          <w:szCs w:val="20"/>
        </w:rPr>
        <w:t>usiness survey outcomes</w:t>
      </w:r>
      <w:r w:rsidR="00DC0F1B">
        <w:rPr>
          <w:kern w:val="2"/>
          <w:szCs w:val="20"/>
        </w:rPr>
        <w:t xml:space="preserve"> have</w:t>
      </w:r>
      <w:r w:rsidRPr="00C1046F">
        <w:rPr>
          <w:kern w:val="2"/>
          <w:szCs w:val="20"/>
        </w:rPr>
        <w:t xml:space="preserve"> pointed to </w:t>
      </w:r>
      <w:r w:rsidR="00DC0F1B">
        <w:rPr>
          <w:kern w:val="2"/>
          <w:szCs w:val="20"/>
        </w:rPr>
        <w:t xml:space="preserve">continued weakness </w:t>
      </w:r>
      <w:r w:rsidRPr="00C1046F">
        <w:rPr>
          <w:kern w:val="2"/>
          <w:szCs w:val="20"/>
        </w:rPr>
        <w:t>in business conditions and capacity utilisation</w:t>
      </w:r>
      <w:r w:rsidR="00DC0F1B">
        <w:rPr>
          <w:kern w:val="2"/>
          <w:szCs w:val="20"/>
        </w:rPr>
        <w:t xml:space="preserve"> rates</w:t>
      </w:r>
      <w:r w:rsidRPr="00C1046F">
        <w:rPr>
          <w:kern w:val="2"/>
          <w:szCs w:val="20"/>
        </w:rPr>
        <w:t xml:space="preserve"> across most industries.  This, combined with a weaker-than-expected December quarter outcome and the most recent CAPEX estimate, has led to a downgrade in the forecast for new machinery and equipment</w:t>
      </w:r>
      <w:r w:rsidR="00F479F7">
        <w:rPr>
          <w:kern w:val="2"/>
          <w:szCs w:val="20"/>
        </w:rPr>
        <w:t xml:space="preserve"> investment</w:t>
      </w:r>
      <w:r w:rsidRPr="00C1046F">
        <w:rPr>
          <w:kern w:val="2"/>
          <w:szCs w:val="20"/>
        </w:rPr>
        <w:t xml:space="preserve"> in 2012</w:t>
      </w:r>
      <w:r w:rsidRPr="00C1046F">
        <w:rPr>
          <w:kern w:val="2"/>
          <w:szCs w:val="20"/>
        </w:rPr>
        <w:noBreakHyphen/>
        <w:t xml:space="preserve">13 and 2013-14. A modest recovery is forecast in 2014-15 with the accommodative stance of monetary policy and improving economic conditions motivating firms to rebuild capital stocks.  </w:t>
      </w:r>
    </w:p>
    <w:p w:rsidR="00166A67" w:rsidRPr="00C1046F" w:rsidRDefault="00166A67" w:rsidP="00166A67">
      <w:pPr>
        <w:spacing w:line="240" w:lineRule="auto"/>
        <w:rPr>
          <w:kern w:val="2"/>
          <w:szCs w:val="20"/>
        </w:rPr>
      </w:pPr>
      <w:r w:rsidRPr="00C1046F">
        <w:rPr>
          <w:kern w:val="2"/>
          <w:szCs w:val="20"/>
        </w:rPr>
        <w:t>Construction activity in the dwelli</w:t>
      </w:r>
      <w:r w:rsidR="00FB407A">
        <w:rPr>
          <w:kern w:val="2"/>
          <w:szCs w:val="20"/>
        </w:rPr>
        <w:t>ngs sector is expected to gain</w:t>
      </w:r>
      <w:r w:rsidRPr="00C1046F">
        <w:rPr>
          <w:kern w:val="2"/>
          <w:szCs w:val="20"/>
        </w:rPr>
        <w:t xml:space="preserve"> further momentum over the next two years, after signs of a recovery in dwelling investment in the first half of 2012-13. Over the forecast period, growth in dwellings investment will be </w:t>
      </w:r>
      <w:r w:rsidR="00EF1559">
        <w:rPr>
          <w:kern w:val="2"/>
          <w:szCs w:val="20"/>
        </w:rPr>
        <w:t>supported</w:t>
      </w:r>
      <w:r w:rsidRPr="00C1046F">
        <w:rPr>
          <w:kern w:val="2"/>
          <w:szCs w:val="20"/>
        </w:rPr>
        <w:t xml:space="preserve"> </w:t>
      </w:r>
      <w:r w:rsidR="00FB407A">
        <w:rPr>
          <w:kern w:val="2"/>
          <w:szCs w:val="20"/>
        </w:rPr>
        <w:t>by</w:t>
      </w:r>
      <w:r w:rsidRPr="00C1046F">
        <w:rPr>
          <w:kern w:val="2"/>
          <w:szCs w:val="20"/>
        </w:rPr>
        <w:t xml:space="preserve"> low interest rates, strong population growth, high rental yields and low vacancy rates. Nonetheless, household caution around debt accumulation coupled with </w:t>
      </w:r>
      <w:r w:rsidR="00FB407A">
        <w:rPr>
          <w:kern w:val="2"/>
          <w:szCs w:val="20"/>
        </w:rPr>
        <w:t>ongoing supply constraints</w:t>
      </w:r>
      <w:r w:rsidRPr="00C1046F">
        <w:rPr>
          <w:kern w:val="2"/>
          <w:szCs w:val="20"/>
        </w:rPr>
        <w:t xml:space="preserve"> continue to pose downside risk to the outlook.  </w:t>
      </w:r>
    </w:p>
    <w:p w:rsidR="00166A67" w:rsidRPr="00C1046F" w:rsidRDefault="00166A67" w:rsidP="00166A67">
      <w:pPr>
        <w:spacing w:line="240" w:lineRule="auto"/>
        <w:rPr>
          <w:kern w:val="2"/>
          <w:szCs w:val="20"/>
        </w:rPr>
      </w:pPr>
      <w:r w:rsidRPr="00C1046F">
        <w:rPr>
          <w:kern w:val="2"/>
          <w:szCs w:val="20"/>
        </w:rPr>
        <w:t>Household consumption will continue to support economic growth across the forecast period, although forecast growth for 2012-13 has been</w:t>
      </w:r>
      <w:r>
        <w:rPr>
          <w:kern w:val="2"/>
          <w:szCs w:val="20"/>
        </w:rPr>
        <w:t xml:space="preserve"> downgraded by a further ¼ of a </w:t>
      </w:r>
      <w:r w:rsidRPr="00C1046F">
        <w:rPr>
          <w:kern w:val="2"/>
          <w:szCs w:val="20"/>
        </w:rPr>
        <w:t>percentage point following another very weak outcome in the December quarter. Over the remainder of the forecast period, consumption growth is expected to remain solid, albeit slightly below trend at 3 per cent. This outlook is consistent with forecast softness in the labour market, below</w:t>
      </w:r>
      <w:r w:rsidRPr="00C1046F">
        <w:rPr>
          <w:kern w:val="2"/>
          <w:szCs w:val="20"/>
        </w:rPr>
        <w:noBreakHyphen/>
        <w:t xml:space="preserve">trend wages growth, and improving but subdued growth in household wealth. </w:t>
      </w:r>
      <w:r w:rsidR="00FB407A">
        <w:rPr>
          <w:kern w:val="2"/>
          <w:szCs w:val="20"/>
        </w:rPr>
        <w:t>Consistent with this,</w:t>
      </w:r>
      <w:r w:rsidRPr="00C1046F">
        <w:rPr>
          <w:kern w:val="2"/>
          <w:szCs w:val="20"/>
        </w:rPr>
        <w:t xml:space="preserve"> the household saving ratio is expected to fall gradually, but remain elevated. </w:t>
      </w:r>
    </w:p>
    <w:p w:rsidR="00166A67" w:rsidRPr="00C1046F" w:rsidRDefault="00166A67" w:rsidP="00166A67">
      <w:pPr>
        <w:spacing w:line="240" w:lineRule="auto"/>
        <w:rPr>
          <w:kern w:val="2"/>
          <w:szCs w:val="20"/>
        </w:rPr>
      </w:pPr>
      <w:r w:rsidRPr="00C1046F">
        <w:rPr>
          <w:kern w:val="2"/>
          <w:szCs w:val="20"/>
        </w:rPr>
        <w:lastRenderedPageBreak/>
        <w:t xml:space="preserve">Strong non-rural commodity exports growth in the December quarter reflected relatively favourable weather conditions in the quarter and the better-than-expected progress of expansion plans at some sites.  Export forecasts have been upgraded across the forecast period to reflect this progress, as well as the bring-forward of some expansions in the forecast period. The level of imports is forecast to remain high in 2012-13 and 2013-14, reflecting continued import-intensive LNG investment over those years. Growth in imports is expected to soften in 2014-15, but be slightly higher than expected at the December update consistent with the forecast for </w:t>
      </w:r>
      <w:r>
        <w:rPr>
          <w:kern w:val="2"/>
          <w:szCs w:val="20"/>
        </w:rPr>
        <w:t xml:space="preserve">slightly </w:t>
      </w:r>
      <w:r w:rsidRPr="00C1046F">
        <w:rPr>
          <w:kern w:val="2"/>
          <w:szCs w:val="20"/>
        </w:rPr>
        <w:t xml:space="preserve">stronger </w:t>
      </w:r>
      <w:r>
        <w:rPr>
          <w:kern w:val="2"/>
          <w:szCs w:val="20"/>
        </w:rPr>
        <w:t>resources</w:t>
      </w:r>
      <w:r w:rsidRPr="00C1046F">
        <w:rPr>
          <w:kern w:val="2"/>
          <w:szCs w:val="20"/>
        </w:rPr>
        <w:t xml:space="preserve"> investment growth in that year.</w:t>
      </w:r>
    </w:p>
    <w:p w:rsidR="00853371" w:rsidRDefault="00166A67" w:rsidP="00853371">
      <w:pPr>
        <w:spacing w:line="240" w:lineRule="auto"/>
        <w:rPr>
          <w:kern w:val="2"/>
          <w:szCs w:val="20"/>
        </w:rPr>
      </w:pPr>
      <w:r w:rsidRPr="00C1046F">
        <w:rPr>
          <w:kern w:val="2"/>
          <w:szCs w:val="20"/>
        </w:rPr>
        <w:t>Unforeseen strength in iron ore spot prices over the March quarter has led to an upgrade to the forecast terms of trade for 2012-13.  The terms of trade are expected to decrease 7½</w:t>
      </w:r>
      <w:r>
        <w:rPr>
          <w:kern w:val="2"/>
          <w:szCs w:val="20"/>
        </w:rPr>
        <w:t> </w:t>
      </w:r>
      <w:r w:rsidRPr="00C1046F">
        <w:rPr>
          <w:kern w:val="2"/>
          <w:szCs w:val="20"/>
        </w:rPr>
        <w:t>per</w:t>
      </w:r>
      <w:r>
        <w:rPr>
          <w:kern w:val="2"/>
          <w:szCs w:val="20"/>
        </w:rPr>
        <w:t> </w:t>
      </w:r>
      <w:r w:rsidRPr="00C1046F">
        <w:rPr>
          <w:kern w:val="2"/>
          <w:szCs w:val="20"/>
        </w:rPr>
        <w:t xml:space="preserve">cent in 2012-13, an upward revision of </w:t>
      </w:r>
      <w:r w:rsidR="00853371">
        <w:rPr>
          <w:kern w:val="2"/>
          <w:szCs w:val="20"/>
        </w:rPr>
        <w:t xml:space="preserve">1¼ </w:t>
      </w:r>
      <w:r w:rsidRPr="00C1046F">
        <w:rPr>
          <w:kern w:val="2"/>
          <w:szCs w:val="20"/>
        </w:rPr>
        <w:t>percentage point</w:t>
      </w:r>
      <w:r w:rsidR="00853371">
        <w:rPr>
          <w:kern w:val="2"/>
          <w:szCs w:val="20"/>
        </w:rPr>
        <w:t>s</w:t>
      </w:r>
      <w:r w:rsidRPr="00C1046F">
        <w:rPr>
          <w:kern w:val="2"/>
          <w:szCs w:val="20"/>
        </w:rPr>
        <w:t xml:space="preserve"> since December.  </w:t>
      </w:r>
      <w:r>
        <w:rPr>
          <w:kern w:val="2"/>
          <w:szCs w:val="20"/>
        </w:rPr>
        <w:t>Spot p</w:t>
      </w:r>
      <w:r w:rsidRPr="00C1046F">
        <w:rPr>
          <w:kern w:val="2"/>
          <w:szCs w:val="20"/>
        </w:rPr>
        <w:t xml:space="preserve">rices for iron ore are expected to decline further over the forecast period than </w:t>
      </w:r>
      <w:r>
        <w:rPr>
          <w:kern w:val="2"/>
          <w:szCs w:val="20"/>
        </w:rPr>
        <w:t>expected</w:t>
      </w:r>
      <w:r w:rsidRPr="00C1046F">
        <w:rPr>
          <w:kern w:val="2"/>
          <w:szCs w:val="20"/>
        </w:rPr>
        <w:t xml:space="preserve"> at December, consistent with </w:t>
      </w:r>
      <w:r>
        <w:rPr>
          <w:kern w:val="2"/>
          <w:szCs w:val="20"/>
        </w:rPr>
        <w:t xml:space="preserve">the </w:t>
      </w:r>
      <w:r w:rsidRPr="00C1046F">
        <w:rPr>
          <w:kern w:val="2"/>
          <w:szCs w:val="20"/>
        </w:rPr>
        <w:t xml:space="preserve">outlook for stronger </w:t>
      </w:r>
      <w:r>
        <w:rPr>
          <w:kern w:val="2"/>
          <w:szCs w:val="20"/>
        </w:rPr>
        <w:t>export volumes</w:t>
      </w:r>
      <w:r w:rsidRPr="00C1046F">
        <w:rPr>
          <w:kern w:val="2"/>
          <w:szCs w:val="20"/>
        </w:rPr>
        <w:t xml:space="preserve">.  Despite this </w:t>
      </w:r>
      <w:r w:rsidRPr="008463DD">
        <w:rPr>
          <w:kern w:val="2"/>
          <w:szCs w:val="20"/>
        </w:rPr>
        <w:t>softer outlook for iron ore spot prices, the terms of trade are expected to fall more gradually over the forecast period,</w:t>
      </w:r>
      <w:r w:rsidR="00853371" w:rsidRPr="00853371">
        <w:rPr>
          <w:kern w:val="2"/>
          <w:szCs w:val="20"/>
        </w:rPr>
        <w:t xml:space="preserve"> </w:t>
      </w:r>
      <w:r w:rsidR="00853371">
        <w:rPr>
          <w:kern w:val="2"/>
          <w:szCs w:val="20"/>
        </w:rPr>
        <w:t xml:space="preserve">with </w:t>
      </w:r>
      <w:r w:rsidR="00853371" w:rsidRPr="008463DD">
        <w:rPr>
          <w:kern w:val="2"/>
          <w:szCs w:val="20"/>
        </w:rPr>
        <w:t>a higher expected average</w:t>
      </w:r>
      <w:r w:rsidR="00853371">
        <w:rPr>
          <w:kern w:val="2"/>
          <w:szCs w:val="20"/>
        </w:rPr>
        <w:t xml:space="preserve"> </w:t>
      </w:r>
      <w:r w:rsidR="00853371" w:rsidRPr="008463DD">
        <w:rPr>
          <w:kern w:val="2"/>
          <w:szCs w:val="20"/>
        </w:rPr>
        <w:t xml:space="preserve">grade </w:t>
      </w:r>
      <w:r w:rsidR="00853371">
        <w:rPr>
          <w:kern w:val="2"/>
          <w:szCs w:val="20"/>
        </w:rPr>
        <w:t xml:space="preserve">supporting stronger export prices for iron ore and </w:t>
      </w:r>
      <w:r w:rsidR="001F3AED">
        <w:rPr>
          <w:kern w:val="2"/>
          <w:szCs w:val="20"/>
        </w:rPr>
        <w:t xml:space="preserve">a scaling back in </w:t>
      </w:r>
      <w:r w:rsidR="001F3AED" w:rsidRPr="008463DD">
        <w:rPr>
          <w:kern w:val="2"/>
          <w:szCs w:val="20"/>
        </w:rPr>
        <w:t xml:space="preserve">some global </w:t>
      </w:r>
      <w:proofErr w:type="gramStart"/>
      <w:r w:rsidR="001F3AED" w:rsidRPr="008463DD">
        <w:rPr>
          <w:kern w:val="2"/>
          <w:szCs w:val="20"/>
        </w:rPr>
        <w:t>suppliers</w:t>
      </w:r>
      <w:proofErr w:type="gramEnd"/>
      <w:r w:rsidR="001F3AED" w:rsidRPr="008463DD">
        <w:rPr>
          <w:kern w:val="2"/>
          <w:szCs w:val="20"/>
        </w:rPr>
        <w:t xml:space="preserve"> expansion plans </w:t>
      </w:r>
      <w:r w:rsidR="001F3AED">
        <w:rPr>
          <w:kern w:val="2"/>
          <w:szCs w:val="20"/>
        </w:rPr>
        <w:t xml:space="preserve">giving rise to </w:t>
      </w:r>
      <w:r w:rsidR="00853371" w:rsidRPr="008463DD">
        <w:rPr>
          <w:kern w:val="2"/>
          <w:szCs w:val="20"/>
        </w:rPr>
        <w:t>an improved outlook for coal prices</w:t>
      </w:r>
      <w:r w:rsidR="00853371">
        <w:rPr>
          <w:kern w:val="2"/>
          <w:szCs w:val="20"/>
        </w:rPr>
        <w:t>.</w:t>
      </w:r>
    </w:p>
    <w:p w:rsidR="00166A67" w:rsidRPr="00C1046F" w:rsidRDefault="00166A67" w:rsidP="00166A67">
      <w:pPr>
        <w:spacing w:line="240" w:lineRule="auto"/>
        <w:rPr>
          <w:kern w:val="2"/>
          <w:szCs w:val="20"/>
        </w:rPr>
      </w:pPr>
      <w:r w:rsidRPr="00C1046F">
        <w:rPr>
          <w:kern w:val="2"/>
          <w:szCs w:val="20"/>
        </w:rPr>
        <w:t>Notwithstanding the improved outlook for the terms of trade, nominal GDP growth is still expected to remain below average for some time</w:t>
      </w:r>
      <w:r>
        <w:rPr>
          <w:kern w:val="2"/>
          <w:szCs w:val="20"/>
        </w:rPr>
        <w:t>.  Forecast</w:t>
      </w:r>
      <w:r w:rsidR="00F93EDC">
        <w:rPr>
          <w:kern w:val="2"/>
          <w:szCs w:val="20"/>
        </w:rPr>
        <w:t xml:space="preserve"> nominal GDP growth in 2012-13 is</w:t>
      </w:r>
      <w:r w:rsidRPr="00C1046F">
        <w:rPr>
          <w:kern w:val="2"/>
          <w:szCs w:val="20"/>
        </w:rPr>
        <w:t xml:space="preserve"> unchanged at 3¼ per cent with weaker real GDP growth offsetting the upward revision to the terms of trade</w:t>
      </w:r>
      <w:r w:rsidR="00764804">
        <w:rPr>
          <w:kern w:val="2"/>
          <w:szCs w:val="20"/>
        </w:rPr>
        <w:t xml:space="preserve"> (</w:t>
      </w:r>
      <w:r w:rsidR="00DD6D59">
        <w:rPr>
          <w:kern w:val="2"/>
          <w:szCs w:val="20"/>
        </w:rPr>
        <w:t>C</w:t>
      </w:r>
      <w:r w:rsidR="00764804">
        <w:rPr>
          <w:kern w:val="2"/>
          <w:szCs w:val="20"/>
        </w:rPr>
        <w:t>hart 1)</w:t>
      </w:r>
      <w:r w:rsidRPr="00C1046F">
        <w:rPr>
          <w:kern w:val="2"/>
          <w:szCs w:val="20"/>
        </w:rPr>
        <w:t xml:space="preserve">.  Forecast nominal GDP growth in 2013-14 </w:t>
      </w:r>
      <w:r>
        <w:rPr>
          <w:kern w:val="2"/>
          <w:szCs w:val="20"/>
        </w:rPr>
        <w:t xml:space="preserve">has been downgraded ¼ of a percentage point since </w:t>
      </w:r>
      <w:r w:rsidR="008D4A99">
        <w:rPr>
          <w:kern w:val="2"/>
          <w:szCs w:val="20"/>
        </w:rPr>
        <w:t xml:space="preserve">the </w:t>
      </w:r>
      <w:r>
        <w:rPr>
          <w:kern w:val="2"/>
          <w:szCs w:val="20"/>
        </w:rPr>
        <w:t>December</w:t>
      </w:r>
      <w:r w:rsidR="008D4A99">
        <w:rPr>
          <w:kern w:val="2"/>
          <w:szCs w:val="20"/>
        </w:rPr>
        <w:t xml:space="preserve"> update</w:t>
      </w:r>
      <w:r>
        <w:rPr>
          <w:kern w:val="2"/>
          <w:szCs w:val="20"/>
        </w:rPr>
        <w:t xml:space="preserve"> to reflect a slight downgrade in the forecast for domestic prices growth</w:t>
      </w:r>
      <w:r w:rsidRPr="00C1046F">
        <w:rPr>
          <w:kern w:val="2"/>
          <w:szCs w:val="20"/>
        </w:rPr>
        <w:t>.  In 2014-15, nominal GDP growth has been upgraded by ¾ of a percentage point to 5 per cent, supported by strengthening real GDP growth</w:t>
      </w:r>
      <w:r>
        <w:rPr>
          <w:kern w:val="2"/>
          <w:szCs w:val="20"/>
        </w:rPr>
        <w:t xml:space="preserve"> and a more modest fall in the terms of trade</w:t>
      </w:r>
      <w:r w:rsidRPr="00C1046F">
        <w:rPr>
          <w:kern w:val="2"/>
          <w:szCs w:val="20"/>
        </w:rPr>
        <w:t xml:space="preserve">.  Still, with the terms of trade expected to gradually decline for some time, nominal GDP is forecast to remain below its </w:t>
      </w:r>
      <w:r w:rsidR="008D4A99">
        <w:rPr>
          <w:kern w:val="2"/>
          <w:szCs w:val="20"/>
        </w:rPr>
        <w:br/>
      </w:r>
      <w:r w:rsidR="001560BA">
        <w:rPr>
          <w:kern w:val="2"/>
          <w:szCs w:val="20"/>
        </w:rPr>
        <w:t>2</w:t>
      </w:r>
      <w:r>
        <w:rPr>
          <w:kern w:val="2"/>
          <w:szCs w:val="20"/>
        </w:rPr>
        <w:t xml:space="preserve">0-year </w:t>
      </w:r>
      <w:r w:rsidRPr="00C1046F">
        <w:rPr>
          <w:kern w:val="2"/>
          <w:szCs w:val="20"/>
        </w:rPr>
        <w:t xml:space="preserve">average annual growth rate of </w:t>
      </w:r>
      <w:r w:rsidR="001560BA">
        <w:rPr>
          <w:kern w:val="2"/>
          <w:szCs w:val="20"/>
        </w:rPr>
        <w:t xml:space="preserve">6½ </w:t>
      </w:r>
      <w:r w:rsidRPr="00C1046F">
        <w:rPr>
          <w:kern w:val="2"/>
          <w:szCs w:val="20"/>
        </w:rPr>
        <w:t>per cent throughout the forecast period and into the medium term.</w:t>
      </w:r>
      <w:r w:rsidR="001560BA">
        <w:rPr>
          <w:kern w:val="2"/>
          <w:szCs w:val="20"/>
        </w:rPr>
        <w:t xml:space="preserve"> </w:t>
      </w:r>
    </w:p>
    <w:p w:rsidR="00166A67" w:rsidRPr="00C1046F" w:rsidRDefault="00166A67" w:rsidP="00166A67">
      <w:pPr>
        <w:spacing w:line="240" w:lineRule="auto"/>
        <w:rPr>
          <w:kern w:val="2"/>
          <w:szCs w:val="20"/>
        </w:rPr>
      </w:pPr>
      <w:r w:rsidRPr="00C1046F">
        <w:rPr>
          <w:kern w:val="2"/>
          <w:szCs w:val="20"/>
        </w:rPr>
        <w:t>Employment growth is forecast to remain below tren</w:t>
      </w:r>
      <w:r>
        <w:rPr>
          <w:kern w:val="2"/>
          <w:szCs w:val="20"/>
        </w:rPr>
        <w:t>d over the next two years at 1¼ </w:t>
      </w:r>
      <w:r w:rsidRPr="00C1046F">
        <w:rPr>
          <w:kern w:val="2"/>
          <w:szCs w:val="20"/>
        </w:rPr>
        <w:t>per cent.  Reflecting the strengthening outlook toward the end of the forecast period, forecast employment growth has been upgraded by ¼ of a percentage point to 1½ per cent in 2014-15. The unemployment rate is expected to gradually rise to 5¾ per cent by</w:t>
      </w:r>
      <w:r w:rsidR="008D4A99">
        <w:rPr>
          <w:kern w:val="2"/>
          <w:szCs w:val="20"/>
        </w:rPr>
        <w:t xml:space="preserve"> the</w:t>
      </w:r>
      <w:r w:rsidRPr="00C1046F">
        <w:rPr>
          <w:kern w:val="2"/>
          <w:szCs w:val="20"/>
        </w:rPr>
        <w:t xml:space="preserve"> June</w:t>
      </w:r>
      <w:r w:rsidR="008D4A99">
        <w:rPr>
          <w:kern w:val="2"/>
          <w:szCs w:val="20"/>
        </w:rPr>
        <w:t xml:space="preserve"> quarter</w:t>
      </w:r>
      <w:r w:rsidRPr="00C1046F">
        <w:rPr>
          <w:kern w:val="2"/>
          <w:szCs w:val="20"/>
        </w:rPr>
        <w:t xml:space="preserve"> 2014, and stabilise at that level through to</w:t>
      </w:r>
      <w:r w:rsidR="008D4A99">
        <w:rPr>
          <w:kern w:val="2"/>
          <w:szCs w:val="20"/>
        </w:rPr>
        <w:t xml:space="preserve"> the</w:t>
      </w:r>
      <w:r w:rsidRPr="00C1046F">
        <w:rPr>
          <w:kern w:val="2"/>
          <w:szCs w:val="20"/>
        </w:rPr>
        <w:t xml:space="preserve"> June</w:t>
      </w:r>
      <w:r w:rsidR="008D4A99">
        <w:rPr>
          <w:kern w:val="2"/>
          <w:szCs w:val="20"/>
        </w:rPr>
        <w:t xml:space="preserve"> quarter</w:t>
      </w:r>
      <w:r w:rsidRPr="00C1046F">
        <w:rPr>
          <w:kern w:val="2"/>
          <w:szCs w:val="20"/>
        </w:rPr>
        <w:t xml:space="preserve"> 2015. The participation rate is forecast to remain at 65 per cent</w:t>
      </w:r>
      <w:r w:rsidR="00853371">
        <w:rPr>
          <w:kern w:val="2"/>
          <w:szCs w:val="20"/>
        </w:rPr>
        <w:t xml:space="preserve">. </w:t>
      </w:r>
      <w:r w:rsidRPr="00C1046F">
        <w:rPr>
          <w:kern w:val="2"/>
          <w:szCs w:val="20"/>
        </w:rPr>
        <w:t xml:space="preserve">The outlook </w:t>
      </w:r>
      <w:r w:rsidR="00F93EDC">
        <w:rPr>
          <w:kern w:val="2"/>
          <w:szCs w:val="20"/>
        </w:rPr>
        <w:t xml:space="preserve">for wages growth </w:t>
      </w:r>
      <w:r w:rsidRPr="00C1046F">
        <w:rPr>
          <w:kern w:val="2"/>
          <w:szCs w:val="20"/>
        </w:rPr>
        <w:t>remains subdued, consis</w:t>
      </w:r>
      <w:r>
        <w:rPr>
          <w:kern w:val="2"/>
          <w:szCs w:val="20"/>
        </w:rPr>
        <w:t>tent with the outlook for below</w:t>
      </w:r>
      <w:r>
        <w:rPr>
          <w:kern w:val="2"/>
          <w:szCs w:val="20"/>
        </w:rPr>
        <w:noBreakHyphen/>
      </w:r>
      <w:r w:rsidRPr="00C1046F">
        <w:rPr>
          <w:kern w:val="2"/>
          <w:szCs w:val="20"/>
        </w:rPr>
        <w:t xml:space="preserve">trend employment growth. Forecasts of the Wage Price Index are unchanged </w:t>
      </w:r>
      <w:r>
        <w:rPr>
          <w:kern w:val="2"/>
          <w:szCs w:val="20"/>
        </w:rPr>
        <w:t>from</w:t>
      </w:r>
      <w:r w:rsidRPr="00C1046F">
        <w:rPr>
          <w:kern w:val="2"/>
          <w:szCs w:val="20"/>
        </w:rPr>
        <w:t xml:space="preserve"> </w:t>
      </w:r>
      <w:r w:rsidR="008D4A99">
        <w:rPr>
          <w:kern w:val="2"/>
          <w:szCs w:val="20"/>
        </w:rPr>
        <w:t xml:space="preserve">the </w:t>
      </w:r>
      <w:r w:rsidRPr="00C1046F">
        <w:rPr>
          <w:kern w:val="2"/>
          <w:szCs w:val="20"/>
        </w:rPr>
        <w:t xml:space="preserve">December </w:t>
      </w:r>
      <w:r w:rsidR="008D4A99">
        <w:rPr>
          <w:kern w:val="2"/>
          <w:szCs w:val="20"/>
        </w:rPr>
        <w:t xml:space="preserve">update </w:t>
      </w:r>
      <w:r w:rsidRPr="00C1046F">
        <w:rPr>
          <w:kern w:val="2"/>
          <w:szCs w:val="20"/>
        </w:rPr>
        <w:t xml:space="preserve">at 3½ per cent through the year to the June quarters of 2013, 2014 and 2015.  The forecast for </w:t>
      </w:r>
      <w:r w:rsidR="008D4A99">
        <w:rPr>
          <w:kern w:val="2"/>
          <w:szCs w:val="20"/>
        </w:rPr>
        <w:t xml:space="preserve">underlying </w:t>
      </w:r>
      <w:r w:rsidRPr="00C1046F">
        <w:rPr>
          <w:kern w:val="2"/>
          <w:szCs w:val="20"/>
        </w:rPr>
        <w:t>i</w:t>
      </w:r>
      <w:r w:rsidR="00853371">
        <w:rPr>
          <w:kern w:val="2"/>
          <w:szCs w:val="20"/>
        </w:rPr>
        <w:t>nflation is unchanged, remaining in</w:t>
      </w:r>
      <w:r w:rsidRPr="00C1046F">
        <w:rPr>
          <w:kern w:val="2"/>
          <w:szCs w:val="20"/>
        </w:rPr>
        <w:t xml:space="preserve"> the bottom </w:t>
      </w:r>
      <w:r w:rsidR="00853371">
        <w:rPr>
          <w:kern w:val="2"/>
          <w:szCs w:val="20"/>
        </w:rPr>
        <w:t xml:space="preserve">half </w:t>
      </w:r>
      <w:r w:rsidRPr="00C1046F">
        <w:rPr>
          <w:kern w:val="2"/>
          <w:szCs w:val="20"/>
        </w:rPr>
        <w:t xml:space="preserve">of the Reserve Bank’s target band, consistent with the forecasts for below-trend </w:t>
      </w:r>
      <w:r w:rsidR="00F93EDC">
        <w:rPr>
          <w:kern w:val="2"/>
          <w:szCs w:val="20"/>
        </w:rPr>
        <w:t xml:space="preserve">employment and </w:t>
      </w:r>
      <w:r w:rsidRPr="00C1046F">
        <w:rPr>
          <w:kern w:val="2"/>
          <w:szCs w:val="20"/>
        </w:rPr>
        <w:t>wages</w:t>
      </w:r>
      <w:r w:rsidR="00F93EDC">
        <w:rPr>
          <w:kern w:val="2"/>
          <w:szCs w:val="20"/>
        </w:rPr>
        <w:t xml:space="preserve"> growth</w:t>
      </w:r>
      <w:r w:rsidRPr="00C1046F">
        <w:rPr>
          <w:kern w:val="2"/>
          <w:szCs w:val="20"/>
        </w:rPr>
        <w:t xml:space="preserve">. </w:t>
      </w:r>
    </w:p>
    <w:p w:rsidR="00166A67" w:rsidRDefault="00166A67">
      <w:pPr>
        <w:spacing w:after="0" w:line="240" w:lineRule="auto"/>
        <w:jc w:val="left"/>
        <w:rPr>
          <w:rFonts w:cs="Arial"/>
          <w:b/>
          <w:kern w:val="2"/>
          <w:sz w:val="24"/>
        </w:rPr>
      </w:pPr>
      <w:r>
        <w:rPr>
          <w:rFonts w:cs="Arial"/>
          <w:b/>
          <w:kern w:val="2"/>
          <w:sz w:val="24"/>
        </w:rPr>
        <w:br w:type="page"/>
      </w:r>
    </w:p>
    <w:p w:rsidR="00166A67" w:rsidRPr="00EE2692" w:rsidRDefault="00166A67" w:rsidP="00166A67">
      <w:pPr>
        <w:keepLines/>
        <w:spacing w:after="0" w:line="240" w:lineRule="auto"/>
        <w:rPr>
          <w:rFonts w:cs="Tahoma"/>
          <w:b/>
          <w:kern w:val="2"/>
        </w:rPr>
      </w:pPr>
      <w:r w:rsidRPr="00EE2692">
        <w:rPr>
          <w:rFonts w:cs="Tahoma"/>
          <w:b/>
          <w:kern w:val="2"/>
        </w:rPr>
        <w:lastRenderedPageBreak/>
        <w:t>Chart</w:t>
      </w:r>
      <w:r w:rsidR="00764804" w:rsidRPr="00EE2692">
        <w:rPr>
          <w:rFonts w:cs="Tahoma"/>
          <w:b/>
          <w:kern w:val="2"/>
        </w:rPr>
        <w:t xml:space="preserve"> 1</w:t>
      </w:r>
      <w:r w:rsidRPr="00EE2692">
        <w:rPr>
          <w:rFonts w:cs="Tahoma"/>
          <w:b/>
          <w:kern w:val="2"/>
        </w:rPr>
        <w:t>: Contributions to nominal GDP growth</w:t>
      </w:r>
    </w:p>
    <w:p w:rsidR="00166A67" w:rsidRPr="00C1046F" w:rsidRDefault="00166A67" w:rsidP="00166A67">
      <w:pPr>
        <w:keepLines/>
        <w:spacing w:after="0" w:line="240" w:lineRule="auto"/>
        <w:rPr>
          <w:rFonts w:cs="Arial"/>
          <w:b/>
          <w:kern w:val="2"/>
          <w:sz w:val="24"/>
        </w:rPr>
      </w:pPr>
      <w:r w:rsidRPr="00C1046F">
        <w:rPr>
          <w:rFonts w:cs="Arial"/>
          <w:b/>
          <w:kern w:val="2"/>
          <w:sz w:val="24"/>
          <w:highlight w:val="yellow"/>
        </w:rPr>
        <w:object w:dxaOrig="8775" w:dyaOrig="4515">
          <v:shape id="_x0000_i1026" type="#_x0000_t75" style="width:439.5pt;height:224.75pt" o:ole="">
            <v:imagedata r:id="rId18" o:title=""/>
          </v:shape>
          <o:OLEObject Type="Link" ProgID="Excel.Sheet.12" ShapeID="_x0000_i1026" DrawAspect="Content" r:id="rId19" UpdateMode="Always">
            <o:LinkType>EnhancedMetaFile</o:LinkType>
            <o:LockedField>false</o:LockedField>
            <o:FieldCodes>\* MERGEFORMAT</o:FieldCodes>
          </o:OLEObject>
        </w:object>
      </w:r>
    </w:p>
    <w:p w:rsidR="00166A67" w:rsidRPr="00C1046F" w:rsidRDefault="00166A67" w:rsidP="00166A67">
      <w:pPr>
        <w:keepLines/>
        <w:spacing w:line="240" w:lineRule="auto"/>
        <w:rPr>
          <w:rFonts w:cs="Arial"/>
          <w:kern w:val="2"/>
          <w:sz w:val="16"/>
        </w:rPr>
      </w:pPr>
      <w:r w:rsidRPr="00C1046F">
        <w:rPr>
          <w:rFonts w:cs="Arial"/>
          <w:kern w:val="2"/>
          <w:sz w:val="16"/>
        </w:rPr>
        <w:t>Source: ABS catalogue number 5206.0 and Treasury</w:t>
      </w:r>
      <w:r w:rsidR="00032F38">
        <w:rPr>
          <w:rFonts w:cs="Arial"/>
          <w:kern w:val="2"/>
          <w:sz w:val="16"/>
        </w:rPr>
        <w:t>.</w:t>
      </w:r>
    </w:p>
    <w:p w:rsidR="00166A67" w:rsidRPr="00C1046F" w:rsidRDefault="00166A67" w:rsidP="00166A67">
      <w:pPr>
        <w:spacing w:line="240" w:lineRule="auto"/>
        <w:rPr>
          <w:kern w:val="2"/>
          <w:szCs w:val="20"/>
        </w:rPr>
      </w:pPr>
      <w:r w:rsidRPr="00C1046F">
        <w:rPr>
          <w:kern w:val="2"/>
          <w:szCs w:val="20"/>
        </w:rPr>
        <w:t xml:space="preserve">The main risks to the outlook continue to stem from the external environment. </w:t>
      </w:r>
      <w:r>
        <w:rPr>
          <w:kern w:val="2"/>
          <w:szCs w:val="20"/>
        </w:rPr>
        <w:t>Clear</w:t>
      </w:r>
      <w:r w:rsidRPr="00C1046F">
        <w:rPr>
          <w:kern w:val="2"/>
          <w:szCs w:val="20"/>
        </w:rPr>
        <w:t xml:space="preserve"> signs of a global economic recovery are not yet apparent, and </w:t>
      </w:r>
      <w:r w:rsidR="00F93EDC">
        <w:rPr>
          <w:kern w:val="2"/>
          <w:szCs w:val="20"/>
        </w:rPr>
        <w:t xml:space="preserve">there are continuing </w:t>
      </w:r>
      <w:r w:rsidRPr="00C1046F">
        <w:rPr>
          <w:kern w:val="2"/>
          <w:szCs w:val="20"/>
        </w:rPr>
        <w:t xml:space="preserve">risks from financial instability in Europe and fiscal uncertainty in the United States.  </w:t>
      </w:r>
      <w:r w:rsidR="00853371">
        <w:rPr>
          <w:kern w:val="2"/>
          <w:szCs w:val="20"/>
        </w:rPr>
        <w:t>T</w:t>
      </w:r>
      <w:r w:rsidRPr="00C1046F">
        <w:rPr>
          <w:kern w:val="2"/>
          <w:szCs w:val="20"/>
        </w:rPr>
        <w:t>he potential for further significant volatility in commodity prices presents a considerable risk to the forecasts for the terms of trade and nominal GDP.  Additionally, the transition to resource</w:t>
      </w:r>
      <w:r w:rsidR="008D4A99">
        <w:rPr>
          <w:kern w:val="2"/>
          <w:szCs w:val="20"/>
        </w:rPr>
        <w:t>s</w:t>
      </w:r>
      <w:r w:rsidRPr="00C1046F">
        <w:rPr>
          <w:kern w:val="2"/>
          <w:szCs w:val="20"/>
        </w:rPr>
        <w:t>-led export g</w:t>
      </w:r>
      <w:r w:rsidR="00853371">
        <w:rPr>
          <w:kern w:val="2"/>
          <w:szCs w:val="20"/>
        </w:rPr>
        <w:t>rowth and a recovery in the non</w:t>
      </w:r>
      <w:r w:rsidR="00853371">
        <w:rPr>
          <w:kern w:val="2"/>
          <w:szCs w:val="20"/>
        </w:rPr>
        <w:noBreakHyphen/>
      </w:r>
      <w:r w:rsidRPr="00C1046F">
        <w:rPr>
          <w:kern w:val="2"/>
          <w:szCs w:val="20"/>
        </w:rPr>
        <w:t xml:space="preserve">mining economy may be less seamless than </w:t>
      </w:r>
      <w:r>
        <w:rPr>
          <w:kern w:val="2"/>
          <w:szCs w:val="20"/>
        </w:rPr>
        <w:t>forecast</w:t>
      </w:r>
      <w:r w:rsidRPr="00C1046F">
        <w:rPr>
          <w:kern w:val="2"/>
          <w:szCs w:val="20"/>
        </w:rPr>
        <w:t>.</w:t>
      </w:r>
    </w:p>
    <w:p w:rsidR="005A4378" w:rsidRDefault="005A4378">
      <w:pPr>
        <w:spacing w:after="0" w:line="240" w:lineRule="auto"/>
        <w:jc w:val="left"/>
      </w:pPr>
    </w:p>
    <w:p w:rsidR="005A4378" w:rsidRPr="00C1046F" w:rsidRDefault="00EE2692" w:rsidP="005A4378">
      <w:pPr>
        <w:pStyle w:val="TableGraphic"/>
        <w:widowControl w:val="0"/>
        <w:spacing w:after="0" w:line="240" w:lineRule="auto"/>
        <w:jc w:val="both"/>
        <w:rPr>
          <w:rFonts w:ascii="Book Antiqua" w:hAnsi="Book Antiqua" w:cs="Tahoma"/>
          <w:kern w:val="2"/>
        </w:rPr>
      </w:pPr>
      <w:r>
        <w:rPr>
          <w:rFonts w:ascii="Book Antiqua" w:hAnsi="Book Antiqua" w:cs="Tahoma"/>
          <w:kern w:val="2"/>
        </w:rPr>
        <w:t>Table 2:</w:t>
      </w:r>
      <w:r w:rsidR="005A4378" w:rsidRPr="00C1046F">
        <w:rPr>
          <w:rFonts w:ascii="Book Antiqua" w:hAnsi="Book Antiqua" w:cs="Tahoma"/>
          <w:kern w:val="2"/>
        </w:rPr>
        <w:t xml:space="preserve"> Domestic economy forecasts</w:t>
      </w:r>
      <w:r w:rsidR="005A4378" w:rsidRPr="00C1046F">
        <w:rPr>
          <w:rFonts w:ascii="Book Antiqua" w:hAnsi="Book Antiqua" w:cs="Tahoma"/>
          <w:kern w:val="2"/>
          <w:vertAlign w:val="superscript"/>
        </w:rPr>
        <w:t>(a)</w:t>
      </w:r>
    </w:p>
    <w:p w:rsidR="005A4378" w:rsidRPr="00C1046F" w:rsidRDefault="005A4378" w:rsidP="005A4378">
      <w:pPr>
        <w:pStyle w:val="TableGraphic0"/>
        <w:rPr>
          <w:kern w:val="2"/>
          <w:highlight w:val="yellow"/>
        </w:rPr>
      </w:pPr>
      <w:r w:rsidRPr="00C1046F">
        <w:rPr>
          <w:kern w:val="2"/>
        </w:rPr>
        <w:object w:dxaOrig="9082" w:dyaOrig="9684">
          <v:shape id="_x0000_i1027" type="#_x0000_t75" style="width:453.9pt;height:471.45pt" o:ole="">
            <v:imagedata r:id="rId20" o:title=""/>
          </v:shape>
          <o:OLEObject Type="Link" ProgID="Excel.SheetMacroEnabled.12" ShapeID="_x0000_i1027" DrawAspect="Content" r:id="rId21" UpdateMode="Always">
            <o:LinkType>EnhancedMetaFile</o:LinkType>
            <o:LockedField>false</o:LockedField>
            <o:FieldCodes>\* MERGEFORMAT</o:FieldCodes>
          </o:OLEObject>
        </w:objec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Percentage change on preceding year unless otherwise indicated.</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Calculated using original data unless otherwise indicated.</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Chain volume measures except for nominal gross domestic product which is in current prices.</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Excluding second</w:t>
      </w:r>
      <w:r w:rsidRPr="00C1046F">
        <w:rPr>
          <w:rFonts w:ascii="Book Antiqua" w:hAnsi="Book Antiqua"/>
          <w:kern w:val="2"/>
        </w:rPr>
        <w:noBreakHyphen/>
        <w:t>hand asset sales from the public sector to the private sector.</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 xml:space="preserve">Percentage point contribution to growth in GDP. </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Seasonally adjusted, through</w:t>
      </w:r>
      <w:r w:rsidRPr="00C1046F">
        <w:rPr>
          <w:rFonts w:ascii="Book Antiqua" w:hAnsi="Book Antiqua"/>
          <w:kern w:val="2"/>
        </w:rPr>
        <w:noBreakHyphen/>
        <w:t>the</w:t>
      </w:r>
      <w:r w:rsidRPr="00C1046F">
        <w:rPr>
          <w:rFonts w:ascii="Book Antiqua" w:hAnsi="Book Antiqua"/>
          <w:kern w:val="2"/>
        </w:rPr>
        <w:noBreakHyphen/>
        <w:t>year growth rate to the June quarter.</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Seasonally adjusted rate for the June quarter.</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Through</w:t>
      </w:r>
      <w:r w:rsidRPr="00C1046F">
        <w:rPr>
          <w:rFonts w:ascii="Book Antiqua" w:hAnsi="Book Antiqua"/>
          <w:kern w:val="2"/>
        </w:rPr>
        <w:noBreakHyphen/>
        <w:t>the</w:t>
      </w:r>
      <w:r w:rsidRPr="00C1046F">
        <w:rPr>
          <w:rFonts w:ascii="Book Antiqua" w:hAnsi="Book Antiqua"/>
          <w:kern w:val="2"/>
        </w:rPr>
        <w:noBreakHyphen/>
        <w:t>year growth rate to the June quarter.</w:t>
      </w:r>
    </w:p>
    <w:p w:rsidR="005A4378" w:rsidRPr="00C1046F" w:rsidRDefault="005A4378" w:rsidP="005A4378">
      <w:pPr>
        <w:pStyle w:val="ChartandTableFootnoteAlpha"/>
        <w:tabs>
          <w:tab w:val="clear" w:pos="283"/>
        </w:tabs>
        <w:spacing w:line="240" w:lineRule="auto"/>
        <w:ind w:left="0" w:firstLine="0"/>
        <w:rPr>
          <w:rFonts w:ascii="Book Antiqua" w:hAnsi="Book Antiqua"/>
          <w:kern w:val="2"/>
        </w:rPr>
      </w:pPr>
      <w:r w:rsidRPr="00C1046F">
        <w:rPr>
          <w:rFonts w:ascii="Book Antiqua" w:hAnsi="Book Antiqua"/>
          <w:kern w:val="2"/>
        </w:rPr>
        <w:t>Note: The forecasts for the domestic economy are based on several technical assumptions. The exchange rate is assumed to remain around its recent average level — a trade</w:t>
      </w:r>
      <w:r w:rsidRPr="00C1046F">
        <w:rPr>
          <w:rFonts w:ascii="Book Antiqua" w:hAnsi="Book Antiqua"/>
          <w:kern w:val="2"/>
        </w:rPr>
        <w:noBreakHyphen/>
        <w:t>weighted index of around 77 and a $US exchange rate of around 103 US cents. Interest rates are assumed to move broadly in line with market expectations. World oil prices (Malaysian Tapis) are assumed to remain around US$120 per barrel. The farm sector forecasts are based on an assumption of average seasonal conditions.</w:t>
      </w:r>
    </w:p>
    <w:p w:rsidR="005A4378" w:rsidRPr="00C1046F" w:rsidRDefault="005A4378" w:rsidP="005A4378">
      <w:pPr>
        <w:pStyle w:val="Source"/>
        <w:spacing w:after="0"/>
        <w:rPr>
          <w:rFonts w:ascii="Book Antiqua" w:hAnsi="Book Antiqua" w:cs="Arial"/>
          <w:kern w:val="2"/>
        </w:rPr>
      </w:pPr>
      <w:r w:rsidRPr="00C1046F">
        <w:rPr>
          <w:rFonts w:ascii="Book Antiqua" w:hAnsi="Book Antiqua" w:cs="Arial"/>
          <w:kern w:val="2"/>
        </w:rPr>
        <w:t xml:space="preserve">Source: ABS cat. </w:t>
      </w:r>
      <w:proofErr w:type="gramStart"/>
      <w:r w:rsidRPr="00C1046F">
        <w:rPr>
          <w:rFonts w:ascii="Book Antiqua" w:hAnsi="Book Antiqua" w:cs="Arial"/>
          <w:kern w:val="2"/>
        </w:rPr>
        <w:t>no</w:t>
      </w:r>
      <w:proofErr w:type="gramEnd"/>
      <w:r w:rsidRPr="00C1046F">
        <w:rPr>
          <w:rFonts w:ascii="Book Antiqua" w:hAnsi="Book Antiqua" w:cs="Arial"/>
          <w:kern w:val="2"/>
        </w:rPr>
        <w:t>. 5206.0, 5302.0, 6202.0, 6345.0, 6401.0, unpublished ABS data and Treasury.</w:t>
      </w:r>
    </w:p>
    <w:p w:rsidR="005A4378" w:rsidRPr="00C1046F" w:rsidRDefault="005A4378" w:rsidP="005A4378">
      <w:pPr>
        <w:spacing w:line="240" w:lineRule="auto"/>
        <w:rPr>
          <w:kern w:val="2"/>
          <w:highlight w:val="yellow"/>
        </w:rPr>
      </w:pPr>
    </w:p>
    <w:p w:rsidR="005A4378" w:rsidRPr="00C1046F" w:rsidRDefault="005A4378" w:rsidP="005A4378">
      <w:pPr>
        <w:spacing w:line="240" w:lineRule="auto"/>
        <w:rPr>
          <w:kern w:val="2"/>
        </w:rPr>
      </w:pPr>
    </w:p>
    <w:p w:rsidR="00166A67" w:rsidRDefault="00166A67">
      <w:pPr>
        <w:spacing w:after="0" w:line="240" w:lineRule="auto"/>
        <w:jc w:val="left"/>
        <w:rPr>
          <w:rFonts w:ascii="Tahoma" w:hAnsi="Tahoma"/>
          <w:b/>
          <w:smallCaps/>
          <w:sz w:val="26"/>
        </w:rPr>
      </w:pPr>
    </w:p>
    <w:p w:rsidR="005A4378" w:rsidRDefault="005A4378">
      <w:pPr>
        <w:spacing w:after="0" w:line="240" w:lineRule="auto"/>
        <w:jc w:val="left"/>
        <w:rPr>
          <w:rFonts w:ascii="Tahoma" w:hAnsi="Tahoma"/>
          <w:b/>
          <w:smallCaps/>
          <w:sz w:val="26"/>
        </w:rPr>
      </w:pPr>
      <w:r>
        <w:br w:type="page"/>
      </w:r>
    </w:p>
    <w:p w:rsidR="00E573F9" w:rsidRPr="00355653" w:rsidRDefault="00E573F9" w:rsidP="00E573F9">
      <w:pPr>
        <w:pStyle w:val="Heading3"/>
        <w:rPr>
          <w:bCs/>
          <w:smallCaps w:val="0"/>
        </w:rPr>
      </w:pPr>
      <w:r w:rsidRPr="00355653">
        <w:lastRenderedPageBreak/>
        <w:t>Outlook for the domestic economy</w:t>
      </w:r>
      <w:bookmarkEnd w:id="5"/>
      <w:bookmarkEnd w:id="6"/>
    </w:p>
    <w:p w:rsidR="00E573F9" w:rsidRDefault="00E573F9" w:rsidP="00E573F9">
      <w:pPr>
        <w:pStyle w:val="Source"/>
        <w:spacing w:after="0"/>
        <w:rPr>
          <w:rFonts w:cs="Arial"/>
        </w:rPr>
      </w:pPr>
    </w:p>
    <w:p w:rsidR="00E573F9" w:rsidRDefault="00E573F9" w:rsidP="00E573F9">
      <w:pPr>
        <w:pStyle w:val="Source"/>
        <w:spacing w:after="0"/>
        <w:rPr>
          <w:rFonts w:cs="Arial"/>
        </w:rPr>
        <w:sectPr w:rsidR="00E573F9" w:rsidSect="00E573F9">
          <w:headerReference w:type="default" r:id="rId22"/>
          <w:footerReference w:type="even" r:id="rId23"/>
          <w:footerReference w:type="default" r:id="rId24"/>
          <w:pgSz w:w="11907" w:h="16840" w:code="9"/>
          <w:pgMar w:top="1135" w:right="1418" w:bottom="567" w:left="1418" w:header="567" w:footer="567" w:gutter="0"/>
          <w:cols w:space="720"/>
        </w:sectPr>
      </w:pPr>
    </w:p>
    <w:p w:rsidR="00E573F9" w:rsidRPr="00140433" w:rsidRDefault="00E573F9" w:rsidP="00E573F9">
      <w:pPr>
        <w:pStyle w:val="Heading4"/>
        <w:rPr>
          <w:bCs/>
          <w:i/>
          <w:iCs/>
        </w:rPr>
      </w:pPr>
      <w:bookmarkStart w:id="7" w:name="_Toc336420546"/>
      <w:bookmarkStart w:id="8" w:name="_Toc343518880"/>
      <w:bookmarkEnd w:id="3"/>
      <w:bookmarkEnd w:id="4"/>
      <w:r w:rsidRPr="00140433">
        <w:lastRenderedPageBreak/>
        <w:t>Household consumption</w:t>
      </w:r>
      <w:bookmarkEnd w:id="7"/>
      <w:bookmarkEnd w:id="8"/>
    </w:p>
    <w:p w:rsidR="00530A29" w:rsidRDefault="00EA1512" w:rsidP="00530A29">
      <w:r w:rsidRPr="00EA1512">
        <w:t xml:space="preserve">The forecast for </w:t>
      </w:r>
      <w:r w:rsidRPr="00EA1512">
        <w:rPr>
          <w:b/>
        </w:rPr>
        <w:t>household consumption</w:t>
      </w:r>
      <w:r w:rsidRPr="00EA1512">
        <w:t xml:space="preserve"> growth in 2012-13 has been downgraded from 2¾ per cent to 2½ per cent </w:t>
      </w:r>
      <w:r w:rsidR="00676D78">
        <w:t>since</w:t>
      </w:r>
      <w:r w:rsidRPr="00EA1512">
        <w:t xml:space="preserve"> December JEFG. The </w:t>
      </w:r>
      <w:r>
        <w:t>downgrade reflects the</w:t>
      </w:r>
      <w:r w:rsidRPr="00EA1512">
        <w:t xml:space="preserve"> weaker</w:t>
      </w:r>
      <w:r w:rsidR="00676D78">
        <w:noBreakHyphen/>
      </w:r>
      <w:r w:rsidRPr="00EA1512">
        <w:t>than</w:t>
      </w:r>
      <w:r>
        <w:t>-</w:t>
      </w:r>
      <w:r w:rsidRPr="00EA1512">
        <w:t>expected</w:t>
      </w:r>
      <w:r>
        <w:t xml:space="preserve"> outcome</w:t>
      </w:r>
      <w:r w:rsidRPr="00EA1512">
        <w:t xml:space="preserve"> in the December quarter National Accounts. Consistent with the</w:t>
      </w:r>
      <w:r>
        <w:t xml:space="preserve"> recent improvement </w:t>
      </w:r>
      <w:r w:rsidR="00EF53B4">
        <w:t>in</w:t>
      </w:r>
      <w:r w:rsidR="00F93EDC">
        <w:t xml:space="preserve"> results from</w:t>
      </w:r>
      <w:r w:rsidR="00EF53B4">
        <w:t xml:space="preserve"> </w:t>
      </w:r>
      <w:r w:rsidR="0085034E">
        <w:t xml:space="preserve">the </w:t>
      </w:r>
      <w:r w:rsidRPr="00EA1512">
        <w:t>monthly retail trade</w:t>
      </w:r>
      <w:r>
        <w:t xml:space="preserve"> </w:t>
      </w:r>
      <w:r w:rsidR="0085034E">
        <w:t>survey</w:t>
      </w:r>
      <w:r w:rsidRPr="00EA1512">
        <w:t xml:space="preserve"> and improving consumer confidence, consumption growth is expected to pick-up in the near term. Over the remainder of the forecast </w:t>
      </w:r>
      <w:r w:rsidR="0085034E">
        <w:t>period</w:t>
      </w:r>
      <w:r w:rsidRPr="00EA1512">
        <w:t>, consumption growth is expected to remain solid, albeit below trend at 3 per cent</w:t>
      </w:r>
      <w:r w:rsidR="009E16CD">
        <w:t xml:space="preserve"> in 2013-14 and </w:t>
      </w:r>
      <w:r w:rsidR="009E16CD">
        <w:br/>
        <w:t>2014-15</w:t>
      </w:r>
      <w:r w:rsidRPr="00EA1512">
        <w:t>. This outlook reflects</w:t>
      </w:r>
      <w:r w:rsidR="00676D78">
        <w:t xml:space="preserve"> below</w:t>
      </w:r>
      <w:r w:rsidR="00676D78">
        <w:noBreakHyphen/>
      </w:r>
      <w:r>
        <w:t>trend growth</w:t>
      </w:r>
      <w:r w:rsidRPr="00EA1512">
        <w:t xml:space="preserve"> in</w:t>
      </w:r>
      <w:r>
        <w:t xml:space="preserve"> employment and </w:t>
      </w:r>
      <w:r w:rsidRPr="00EA1512">
        <w:t>wages, and improving but subdued growth in household wealth. Consistent with this outlook, the household saving ratio is expected to remain elevated over the forecast period, as households remain prudent and continue to rely on saving rather than capital gains to strengthen their balance sheets</w:t>
      </w:r>
      <w:r w:rsidR="00764804">
        <w:t xml:space="preserve"> (</w:t>
      </w:r>
      <w:r w:rsidR="00DD6D59">
        <w:t>C</w:t>
      </w:r>
      <w:r w:rsidR="00764804">
        <w:t>hart 2</w:t>
      </w:r>
      <w:r w:rsidR="009E16CD">
        <w:t>)</w:t>
      </w:r>
      <w:r w:rsidR="00530A29">
        <w:t>.</w:t>
      </w:r>
    </w:p>
    <w:p w:rsidR="00E573F9" w:rsidRPr="00380F20" w:rsidRDefault="00FB5ED4" w:rsidP="00E573F9">
      <w:pPr>
        <w:keepNext/>
        <w:autoSpaceDE w:val="0"/>
        <w:autoSpaceDN w:val="0"/>
        <w:spacing w:after="0"/>
        <w:jc w:val="center"/>
        <w:rPr>
          <w:b/>
          <w:szCs w:val="20"/>
        </w:rPr>
      </w:pPr>
      <w:r w:rsidRPr="00380F20">
        <w:rPr>
          <w:b/>
          <w:szCs w:val="20"/>
        </w:rPr>
        <w:t xml:space="preserve">Chart </w:t>
      </w:r>
      <w:r w:rsidR="00764804">
        <w:rPr>
          <w:b/>
          <w:szCs w:val="20"/>
        </w:rPr>
        <w:t>2</w:t>
      </w:r>
      <w:r w:rsidR="00E573F9" w:rsidRPr="00380F20">
        <w:rPr>
          <w:b/>
          <w:szCs w:val="20"/>
        </w:rPr>
        <w:t xml:space="preserve">: Household </w:t>
      </w:r>
      <w:r w:rsidR="00726038">
        <w:rPr>
          <w:b/>
          <w:szCs w:val="20"/>
        </w:rPr>
        <w:t xml:space="preserve">consumption </w:t>
      </w:r>
      <w:r w:rsidR="00726038">
        <w:rPr>
          <w:b/>
          <w:szCs w:val="20"/>
        </w:rPr>
        <w:br/>
        <w:t>(chain-volume measure)</w:t>
      </w:r>
    </w:p>
    <w:p w:rsidR="00E573F9" w:rsidRPr="0079668F" w:rsidRDefault="00726038" w:rsidP="0079668F">
      <w:pPr>
        <w:pStyle w:val="ChartGraphic0"/>
        <w:spacing w:after="120"/>
        <w:jc w:val="left"/>
        <w:rPr>
          <w:rFonts w:ascii="Tahoma" w:hAnsi="Tahoma" w:cs="Tahoma"/>
          <w:sz w:val="16"/>
          <w:szCs w:val="16"/>
        </w:rPr>
      </w:pPr>
      <w:r>
        <w:object w:dxaOrig="3961" w:dyaOrig="3945">
          <v:shape id="_x0000_i1028" type="#_x0000_t75" style="width:197.85pt;height:197.2pt" o:ole="">
            <v:imagedata r:id="rId25" o:title=""/>
          </v:shape>
          <o:OLEObject Type="Link" ProgID="Excel.Sheet.12" ShapeID="_x0000_i1028" DrawAspect="Content" r:id="rId26" UpdateMode="Always">
            <o:LinkType>EnhancedMetaFile</o:LinkType>
            <o:LockedField>false</o:LockedField>
          </o:OLEObject>
        </w:object>
      </w:r>
      <w:r w:rsidR="00E573F9" w:rsidRPr="009B6BDB">
        <w:rPr>
          <w:rFonts w:ascii="Book Antiqua" w:hAnsi="Book Antiqua"/>
          <w:color w:val="auto"/>
          <w:kern w:val="2"/>
          <w:sz w:val="16"/>
        </w:rPr>
        <w:t xml:space="preserve">Source:  ABS cat. </w:t>
      </w:r>
      <w:proofErr w:type="gramStart"/>
      <w:r w:rsidR="00E573F9" w:rsidRPr="009B6BDB">
        <w:rPr>
          <w:rFonts w:ascii="Book Antiqua" w:hAnsi="Book Antiqua"/>
          <w:color w:val="auto"/>
          <w:kern w:val="2"/>
          <w:sz w:val="16"/>
        </w:rPr>
        <w:t>no</w:t>
      </w:r>
      <w:proofErr w:type="gramEnd"/>
      <w:r w:rsidR="00E573F9" w:rsidRPr="009B6BDB">
        <w:rPr>
          <w:rFonts w:ascii="Book Antiqua" w:hAnsi="Book Antiqua"/>
          <w:color w:val="auto"/>
          <w:kern w:val="2"/>
          <w:sz w:val="16"/>
        </w:rPr>
        <w:t>. 5206.0 and Treasury.</w:t>
      </w:r>
    </w:p>
    <w:p w:rsidR="00E573F9" w:rsidRDefault="00E573F9" w:rsidP="0079668F">
      <w:pPr>
        <w:pStyle w:val="Heading4"/>
        <w:spacing w:before="240"/>
        <w:rPr>
          <w:bCs/>
          <w:i/>
          <w:iCs/>
        </w:rPr>
      </w:pPr>
      <w:bookmarkStart w:id="9" w:name="_Toc336420547"/>
      <w:bookmarkStart w:id="10" w:name="_Toc343518881"/>
      <w:r w:rsidRPr="00140433">
        <w:t>Dwelling investment</w:t>
      </w:r>
      <w:bookmarkEnd w:id="9"/>
      <w:bookmarkEnd w:id="10"/>
    </w:p>
    <w:p w:rsidR="00EA1512" w:rsidRDefault="00EA1512" w:rsidP="00EA1512">
      <w:r>
        <w:t xml:space="preserve">The </w:t>
      </w:r>
      <w:r w:rsidR="00676D78">
        <w:t xml:space="preserve">near-term </w:t>
      </w:r>
      <w:r>
        <w:t xml:space="preserve">outlook for </w:t>
      </w:r>
      <w:r w:rsidRPr="00EA1512">
        <w:rPr>
          <w:b/>
        </w:rPr>
        <w:t>dwelling investment</w:t>
      </w:r>
      <w:r>
        <w:t xml:space="preserve"> has strengthened slightly since December JE</w:t>
      </w:r>
      <w:r w:rsidR="00676D78">
        <w:t>FG, following the stronger</w:t>
      </w:r>
      <w:r w:rsidR="00676D78">
        <w:noBreakHyphen/>
        <w:t>than</w:t>
      </w:r>
      <w:r w:rsidR="00676D78">
        <w:noBreakHyphen/>
      </w:r>
      <w:r>
        <w:t>expected December quarter outcome. D</w:t>
      </w:r>
      <w:r w:rsidR="00993862">
        <w:t>welling investment grew 2.1 per </w:t>
      </w:r>
      <w:r>
        <w:t>cent in the December quarter, the strongest rise in over two years.</w:t>
      </w:r>
      <w:r w:rsidR="006A2304">
        <w:t xml:space="preserve"> </w:t>
      </w:r>
      <w:r w:rsidR="003A6A9C" w:rsidRPr="003A6A9C">
        <w:t>While the medium-to-high density sector has been a key source of growth over recent quarters, and is expected to remain so over the rest of the forecast period, there are tentative signs that conditions in the weaker detached housing sector are beginning to stabilise. In the December quarter National Accounts, detached housing investment recorded its second consecutive quarter of positive growth, growing at its strongest quarterly rate in over two years.</w:t>
      </w:r>
    </w:p>
    <w:p w:rsidR="00600BB1" w:rsidRPr="00600BB1" w:rsidRDefault="00676D78" w:rsidP="00831BCF">
      <w:r>
        <w:lastRenderedPageBreak/>
        <w:t>Consistent with these emerging signs of a</w:t>
      </w:r>
      <w:r w:rsidR="00EA1512">
        <w:t xml:space="preserve"> recovery</w:t>
      </w:r>
      <w:r w:rsidR="00FB2175">
        <w:t xml:space="preserve"> </w:t>
      </w:r>
      <w:r w:rsidR="006A2304">
        <w:t>and</w:t>
      </w:r>
      <w:r w:rsidR="00EA1512">
        <w:t xml:space="preserve"> </w:t>
      </w:r>
      <w:r w:rsidR="00AB692A">
        <w:t>favourable</w:t>
      </w:r>
      <w:r w:rsidR="00EA1512">
        <w:t xml:space="preserve"> market fundamentals</w:t>
      </w:r>
      <w:r w:rsidR="00FB2175">
        <w:t xml:space="preserve"> (</w:t>
      </w:r>
      <w:r w:rsidR="00AB692A">
        <w:t>such as</w:t>
      </w:r>
      <w:r w:rsidR="00AB692A" w:rsidRPr="00AB692A">
        <w:t xml:space="preserve"> </w:t>
      </w:r>
      <w:r w:rsidR="00AB692A">
        <w:t xml:space="preserve">low interest rates, strong population growth, low vacancy rates and </w:t>
      </w:r>
      <w:r>
        <w:t>high</w:t>
      </w:r>
      <w:r w:rsidR="00AB692A">
        <w:t xml:space="preserve"> rental yields</w:t>
      </w:r>
      <w:r w:rsidR="00FB2175">
        <w:t xml:space="preserve">), </w:t>
      </w:r>
      <w:r w:rsidR="00EA1512">
        <w:t xml:space="preserve">dwelling investment is expected to grow </w:t>
      </w:r>
      <w:r w:rsidR="006A2304">
        <w:t>½</w:t>
      </w:r>
      <w:r w:rsidR="00D63501">
        <w:t xml:space="preserve"> of a </w:t>
      </w:r>
      <w:r w:rsidR="00EA1512">
        <w:t xml:space="preserve">per cent in 2012-13, </w:t>
      </w:r>
      <w:r w:rsidR="006A2304">
        <w:t>5</w:t>
      </w:r>
      <w:r>
        <w:t> </w:t>
      </w:r>
      <w:r w:rsidR="00EA1512">
        <w:t>per cent in 2013-14 and 5</w:t>
      </w:r>
      <w:r w:rsidR="006A2304">
        <w:t xml:space="preserve">½ </w:t>
      </w:r>
      <w:r w:rsidR="00993862">
        <w:t>per cent in 2014</w:t>
      </w:r>
      <w:r w:rsidR="00993862">
        <w:noBreakHyphen/>
      </w:r>
      <w:r w:rsidR="00EA1512">
        <w:t>15</w:t>
      </w:r>
      <w:r w:rsidR="00831BCF">
        <w:t>.</w:t>
      </w:r>
    </w:p>
    <w:p w:rsidR="00E573F9" w:rsidRPr="00DD63D8" w:rsidRDefault="00E573F9" w:rsidP="00E573F9">
      <w:pPr>
        <w:pStyle w:val="Heading4"/>
        <w:rPr>
          <w:bCs/>
          <w:i/>
          <w:iCs/>
        </w:rPr>
      </w:pPr>
      <w:bookmarkStart w:id="11" w:name="_Toc187553173"/>
      <w:bookmarkStart w:id="12" w:name="_Toc336420548"/>
      <w:bookmarkStart w:id="13" w:name="_Toc343518882"/>
      <w:r w:rsidRPr="00DD63D8">
        <w:t>Business investment</w:t>
      </w:r>
      <w:bookmarkEnd w:id="11"/>
      <w:bookmarkEnd w:id="12"/>
      <w:bookmarkEnd w:id="13"/>
    </w:p>
    <w:p w:rsidR="00530A29" w:rsidRDefault="00934062" w:rsidP="00530A29">
      <w:r>
        <w:t xml:space="preserve">The outlook for </w:t>
      </w:r>
      <w:r>
        <w:rPr>
          <w:b/>
        </w:rPr>
        <w:t>n</w:t>
      </w:r>
      <w:r w:rsidR="002677E8" w:rsidRPr="00DD63D8">
        <w:rPr>
          <w:b/>
        </w:rPr>
        <w:t>ew</w:t>
      </w:r>
      <w:r w:rsidR="00530A29" w:rsidRPr="00DD63D8">
        <w:rPr>
          <w:b/>
        </w:rPr>
        <w:t xml:space="preserve"> business investment</w:t>
      </w:r>
      <w:r w:rsidR="00035930" w:rsidRPr="00DD63D8">
        <w:t xml:space="preserve"> </w:t>
      </w:r>
      <w:r>
        <w:t>has been downgraded in 2012-13 and 2013-14 but upgraded in 2014-15 compared with December JEFG. The downgrades in 2012-13 and 2013-14 reflect the expectation</w:t>
      </w:r>
      <w:r w:rsidR="00676D78">
        <w:t>s</w:t>
      </w:r>
      <w:r>
        <w:t xml:space="preserve"> that investment in the resources sector will peak at a lower level than previously </w:t>
      </w:r>
      <w:r w:rsidR="00971189">
        <w:t>forecast</w:t>
      </w:r>
      <w:r>
        <w:t xml:space="preserve"> and </w:t>
      </w:r>
      <w:r w:rsidR="00676D78">
        <w:t xml:space="preserve">that the </w:t>
      </w:r>
      <w:r w:rsidR="00A7707D">
        <w:t xml:space="preserve">recent </w:t>
      </w:r>
      <w:r>
        <w:t xml:space="preserve">weakness in non-mining investment will continue. </w:t>
      </w:r>
      <w:r w:rsidR="00024381">
        <w:t xml:space="preserve">The upgrade in </w:t>
      </w:r>
      <w:r>
        <w:t xml:space="preserve">2014-15 </w:t>
      </w:r>
      <w:r w:rsidR="00676D78">
        <w:t>reflect</w:t>
      </w:r>
      <w:r w:rsidR="00024381">
        <w:t>s</w:t>
      </w:r>
      <w:r>
        <w:t xml:space="preserve"> a </w:t>
      </w:r>
      <w:r w:rsidR="00676D78">
        <w:t>softer</w:t>
      </w:r>
      <w:r>
        <w:t xml:space="preserve"> decline </w:t>
      </w:r>
      <w:r w:rsidR="00676D78">
        <w:t>from a lower peak</w:t>
      </w:r>
      <w:r>
        <w:t xml:space="preserve"> in resources investment, </w:t>
      </w:r>
      <w:r w:rsidR="00024381">
        <w:t>revised expe</w:t>
      </w:r>
      <w:r>
        <w:t>nditure plans</w:t>
      </w:r>
      <w:r w:rsidR="00024381">
        <w:t xml:space="preserve"> for some key resource projects,</w:t>
      </w:r>
      <w:r>
        <w:t xml:space="preserve"> and a modest recovery in non-mining investment. New bus</w:t>
      </w:r>
      <w:r w:rsidR="00801833">
        <w:t xml:space="preserve">iness investment is forecast to </w:t>
      </w:r>
      <w:r>
        <w:t xml:space="preserve">grow </w:t>
      </w:r>
      <w:r w:rsidR="00DD63D8">
        <w:t>10</w:t>
      </w:r>
      <w:r w:rsidR="00530A29" w:rsidRPr="00DD63D8">
        <w:rPr>
          <w:bCs/>
          <w:szCs w:val="20"/>
        </w:rPr>
        <w:t>½</w:t>
      </w:r>
      <w:r w:rsidR="00024381">
        <w:rPr>
          <w:bCs/>
          <w:szCs w:val="20"/>
        </w:rPr>
        <w:t> </w:t>
      </w:r>
      <w:r w:rsidR="00530A29" w:rsidRPr="00DD63D8">
        <w:t>per</w:t>
      </w:r>
      <w:r w:rsidR="00801833">
        <w:t xml:space="preserve"> </w:t>
      </w:r>
      <w:r w:rsidR="00530A29" w:rsidRPr="00DD63D8">
        <w:t>cent in 2012-13,</w:t>
      </w:r>
      <w:r w:rsidR="00035930" w:rsidRPr="00DD63D8">
        <w:t xml:space="preserve"> </w:t>
      </w:r>
      <w:r w:rsidR="00A7707D">
        <w:t>4</w:t>
      </w:r>
      <w:r w:rsidR="00035930" w:rsidRPr="00DD63D8">
        <w:t>½</w:t>
      </w:r>
      <w:r w:rsidR="00801833">
        <w:rPr>
          <w:bCs/>
          <w:szCs w:val="20"/>
        </w:rPr>
        <w:t xml:space="preserve"> </w:t>
      </w:r>
      <w:r w:rsidR="00530A29" w:rsidRPr="00DD63D8">
        <w:t>per</w:t>
      </w:r>
      <w:r w:rsidR="00801833">
        <w:t xml:space="preserve"> </w:t>
      </w:r>
      <w:r w:rsidR="00035930" w:rsidRPr="00DD63D8">
        <w:t>cent</w:t>
      </w:r>
      <w:r w:rsidR="00801833">
        <w:t xml:space="preserve"> </w:t>
      </w:r>
      <w:r>
        <w:t xml:space="preserve">in 2013-14 and 1 </w:t>
      </w:r>
      <w:r w:rsidR="00530A29" w:rsidRPr="00DD63D8">
        <w:t>per cent in</w:t>
      </w:r>
      <w:r w:rsidR="00801833">
        <w:t xml:space="preserve"> </w:t>
      </w:r>
      <w:r w:rsidR="000A63CE" w:rsidRPr="00DD63D8">
        <w:t>2014-15 as the mining investment peak passes.</w:t>
      </w:r>
    </w:p>
    <w:p w:rsidR="0085034E" w:rsidRDefault="0085034E" w:rsidP="0085034E">
      <w:r>
        <w:t xml:space="preserve">Forecasts of </w:t>
      </w:r>
      <w:r w:rsidRPr="00C708CC">
        <w:rPr>
          <w:b/>
        </w:rPr>
        <w:t>n</w:t>
      </w:r>
      <w:r w:rsidRPr="00A7707D">
        <w:rPr>
          <w:b/>
        </w:rPr>
        <w:t xml:space="preserve">ew engineering construction </w:t>
      </w:r>
      <w:r w:rsidR="00B275A0">
        <w:t xml:space="preserve">growth </w:t>
      </w:r>
      <w:r>
        <w:t xml:space="preserve">have been downgraded in 2012-13 and 2013-14 reflecting </w:t>
      </w:r>
      <w:r w:rsidRPr="00A7707D">
        <w:t>a shift in the timing of expected capital expenditure and a reassessment of the likelihood of some projects under consideration proceedin</w:t>
      </w:r>
      <w:r>
        <w:t>g toward the construction phase</w:t>
      </w:r>
      <w:r w:rsidR="008F60F2">
        <w:t xml:space="preserve"> in the forecast period</w:t>
      </w:r>
      <w:r w:rsidR="00971189">
        <w:t xml:space="preserve"> (</w:t>
      </w:r>
      <w:r w:rsidR="00DD6D59">
        <w:t>C</w:t>
      </w:r>
      <w:r w:rsidR="00971189">
        <w:t>hart</w:t>
      </w:r>
      <w:r w:rsidR="008F60F2">
        <w:t> </w:t>
      </w:r>
      <w:r w:rsidR="00764804">
        <w:t>3</w:t>
      </w:r>
      <w:r w:rsidR="00971189">
        <w:t>)</w:t>
      </w:r>
      <w:r>
        <w:t xml:space="preserve">. However, recently revised expenditure plans for a number of major resource projects indicate the expected decline in investment following the peak in 2013-14 is </w:t>
      </w:r>
      <w:r w:rsidR="00801833">
        <w:t>likely</w:t>
      </w:r>
      <w:r>
        <w:t xml:space="preserve"> to</w:t>
      </w:r>
      <w:r w:rsidR="00801833">
        <w:t xml:space="preserve"> </w:t>
      </w:r>
      <w:r w:rsidR="002023D2">
        <w:t>be more gradual</w:t>
      </w:r>
      <w:r>
        <w:t xml:space="preserve"> than previously expected. New engineering construction is forecast t</w:t>
      </w:r>
      <w:r w:rsidR="00B275A0">
        <w:t xml:space="preserve">o grow 24 per cent in 2012-13 and </w:t>
      </w:r>
      <w:r>
        <w:t xml:space="preserve">6½ </w:t>
      </w:r>
      <w:r w:rsidR="00971189">
        <w:t xml:space="preserve">per cent </w:t>
      </w:r>
      <w:r>
        <w:t>in 2013-14</w:t>
      </w:r>
      <w:r w:rsidR="00B275A0">
        <w:t>,</w:t>
      </w:r>
      <w:r>
        <w:t xml:space="preserve"> before falling 4½ per cent</w:t>
      </w:r>
      <w:r w:rsidR="00971189">
        <w:t xml:space="preserve"> in 2014-15</w:t>
      </w:r>
      <w:r>
        <w:t>. The forecast fall in 2014-15 has been revised up from a decline of 15 per cent at December JEFG.</w:t>
      </w:r>
    </w:p>
    <w:p w:rsidR="00E573F9" w:rsidRPr="00510894" w:rsidRDefault="00E573F9" w:rsidP="00E573F9">
      <w:pPr>
        <w:keepNext/>
        <w:autoSpaceDE w:val="0"/>
        <w:autoSpaceDN w:val="0"/>
        <w:spacing w:after="0"/>
        <w:jc w:val="center"/>
        <w:rPr>
          <w:b/>
          <w:szCs w:val="20"/>
        </w:rPr>
      </w:pPr>
      <w:r w:rsidRPr="00510894">
        <w:rPr>
          <w:b/>
          <w:szCs w:val="20"/>
        </w:rPr>
        <w:t xml:space="preserve">Chart </w:t>
      </w:r>
      <w:r w:rsidR="00764804">
        <w:rPr>
          <w:b/>
          <w:szCs w:val="20"/>
        </w:rPr>
        <w:t>3</w:t>
      </w:r>
      <w:r w:rsidRPr="00510894">
        <w:rPr>
          <w:b/>
          <w:szCs w:val="20"/>
        </w:rPr>
        <w:t xml:space="preserve">: </w:t>
      </w:r>
      <w:r w:rsidR="00035930" w:rsidRPr="00510894">
        <w:rPr>
          <w:b/>
        </w:rPr>
        <w:t>New e</w:t>
      </w:r>
      <w:r w:rsidR="00AE7822" w:rsidRPr="00510894">
        <w:rPr>
          <w:b/>
        </w:rPr>
        <w:t xml:space="preserve">ngineering </w:t>
      </w:r>
      <w:r w:rsidR="00035930" w:rsidRPr="00510894">
        <w:rPr>
          <w:b/>
        </w:rPr>
        <w:t>c</w:t>
      </w:r>
      <w:r w:rsidR="00AE7822" w:rsidRPr="00510894">
        <w:rPr>
          <w:b/>
        </w:rPr>
        <w:t>onstruction (</w:t>
      </w:r>
      <w:r w:rsidR="00035930" w:rsidRPr="00510894">
        <w:rPr>
          <w:b/>
        </w:rPr>
        <w:t>c</w:t>
      </w:r>
      <w:r w:rsidR="00AE7822" w:rsidRPr="00510894">
        <w:rPr>
          <w:b/>
        </w:rPr>
        <w:t>hain-volume measure)</w:t>
      </w:r>
    </w:p>
    <w:p w:rsidR="00E573F9" w:rsidRPr="00510894" w:rsidRDefault="00EF53B4" w:rsidP="005B27FC">
      <w:pPr>
        <w:pStyle w:val="ChartGraphic0"/>
      </w:pPr>
      <w:r w:rsidRPr="00510894">
        <w:object w:dxaOrig="3945" w:dyaOrig="3945">
          <v:shape id="_x0000_i1029" type="#_x0000_t75" style="width:192.85pt;height:192.85pt" o:ole="">
            <v:imagedata r:id="rId27" o:title=""/>
          </v:shape>
          <o:OLEObject Type="Link" ProgID="Excel.Sheet.12" ShapeID="_x0000_i1029" DrawAspect="Content" r:id="rId28" UpdateMode="Always">
            <o:LinkType>EnhancedMetaFile</o:LinkType>
            <o:LockedField>false</o:LockedField>
            <o:FieldCodes>\* MERGEFORMAT</o:FieldCodes>
          </o:OLEObject>
        </w:object>
      </w:r>
    </w:p>
    <w:p w:rsidR="00E573F9" w:rsidRPr="009B6BDB" w:rsidRDefault="00E573F9" w:rsidP="00124CAF">
      <w:pPr>
        <w:pStyle w:val="ChartGraphic0"/>
        <w:spacing w:after="120"/>
        <w:jc w:val="left"/>
        <w:rPr>
          <w:rFonts w:ascii="Book Antiqua" w:hAnsi="Book Antiqua"/>
          <w:color w:val="auto"/>
          <w:kern w:val="2"/>
          <w:sz w:val="16"/>
        </w:rPr>
      </w:pPr>
      <w:r w:rsidRPr="009B6BDB">
        <w:rPr>
          <w:rFonts w:ascii="Book Antiqua" w:hAnsi="Book Antiqua"/>
          <w:color w:val="auto"/>
          <w:kern w:val="2"/>
          <w:sz w:val="16"/>
        </w:rPr>
        <w:lastRenderedPageBreak/>
        <w:t xml:space="preserve">Source:  ABS cat. </w:t>
      </w:r>
      <w:proofErr w:type="gramStart"/>
      <w:r w:rsidRPr="009B6BDB">
        <w:rPr>
          <w:rFonts w:ascii="Book Antiqua" w:hAnsi="Book Antiqua"/>
          <w:color w:val="auto"/>
          <w:kern w:val="2"/>
          <w:sz w:val="16"/>
        </w:rPr>
        <w:t>no</w:t>
      </w:r>
      <w:proofErr w:type="gramEnd"/>
      <w:r w:rsidRPr="009B6BDB">
        <w:rPr>
          <w:rFonts w:ascii="Book Antiqua" w:hAnsi="Book Antiqua"/>
          <w:color w:val="auto"/>
          <w:kern w:val="2"/>
          <w:sz w:val="16"/>
        </w:rPr>
        <w:t>. 5206.0 and Treasury.</w:t>
      </w:r>
    </w:p>
    <w:p w:rsidR="0056263D" w:rsidRPr="0056263D" w:rsidRDefault="000C7C6B" w:rsidP="00530A29">
      <w:bookmarkStart w:id="14" w:name="_Toc336420549"/>
      <w:r>
        <w:t xml:space="preserve">Investment in </w:t>
      </w:r>
      <w:r>
        <w:rPr>
          <w:b/>
        </w:rPr>
        <w:t>n</w:t>
      </w:r>
      <w:r w:rsidR="00530A29" w:rsidRPr="0056263D">
        <w:rPr>
          <w:b/>
        </w:rPr>
        <w:t>ew machinery and equipment</w:t>
      </w:r>
      <w:r w:rsidR="00530A29" w:rsidRPr="0056263D">
        <w:t xml:space="preserve"> </w:t>
      </w:r>
      <w:r>
        <w:t>has been downgraded since December JEFG</w:t>
      </w:r>
      <w:r w:rsidR="007230FE">
        <w:t xml:space="preserve"> </w:t>
      </w:r>
      <w:r w:rsidR="00971189">
        <w:t>in line with the</w:t>
      </w:r>
      <w:r w:rsidR="007230FE">
        <w:t xml:space="preserve"> weaker-than-expected outcome</w:t>
      </w:r>
      <w:r w:rsidR="00971189">
        <w:t xml:space="preserve"> for the December </w:t>
      </w:r>
      <w:proofErr w:type="gramStart"/>
      <w:r w:rsidR="00971189">
        <w:t>quarter</w:t>
      </w:r>
      <w:r w:rsidR="007230FE">
        <w:t>,</w:t>
      </w:r>
      <w:proofErr w:type="gramEnd"/>
      <w:r w:rsidR="007230FE">
        <w:t xml:space="preserve"> </w:t>
      </w:r>
      <w:r w:rsidRPr="00971189">
        <w:t>the lower peak in resources investment</w:t>
      </w:r>
      <w:r>
        <w:t xml:space="preserve"> and continued weakness in non-mining investment</w:t>
      </w:r>
      <w:r w:rsidR="007230FE">
        <w:t xml:space="preserve"> intentions</w:t>
      </w:r>
      <w:r>
        <w:t xml:space="preserve"> in the latest CAPEX survey.</w:t>
      </w:r>
      <w:r w:rsidR="007230FE">
        <w:t xml:space="preserve">  With capacity utilisation rates</w:t>
      </w:r>
      <w:r w:rsidR="00EE7CFB">
        <w:t xml:space="preserve"> in the non-mining parts of the economy</w:t>
      </w:r>
      <w:r w:rsidR="007230FE">
        <w:t xml:space="preserve"> currently below</w:t>
      </w:r>
      <w:r w:rsidR="008F60F2">
        <w:t xml:space="preserve"> </w:t>
      </w:r>
      <w:r w:rsidR="002023D2">
        <w:t>their</w:t>
      </w:r>
      <w:r w:rsidR="008F60F2">
        <w:t xml:space="preserve"> long-run </w:t>
      </w:r>
      <w:r w:rsidR="00801833">
        <w:t>average</w:t>
      </w:r>
      <w:r w:rsidR="007230FE">
        <w:t xml:space="preserve">, investment in machinery and equipment is expected to remain subdued. A modest recovery is expected in 2014-15 as low interest rates </w:t>
      </w:r>
      <w:r w:rsidR="00801833">
        <w:t xml:space="preserve">and </w:t>
      </w:r>
      <w:r w:rsidR="00B275A0">
        <w:t>accelerating</w:t>
      </w:r>
      <w:r w:rsidR="00801833">
        <w:t xml:space="preserve"> economic growth encourage</w:t>
      </w:r>
      <w:r w:rsidR="007230FE">
        <w:t xml:space="preserve"> firms </w:t>
      </w:r>
      <w:r w:rsidR="00801833">
        <w:t xml:space="preserve">to </w:t>
      </w:r>
      <w:r w:rsidR="007230FE">
        <w:t xml:space="preserve">rebuild their capital stock. New machinery and equipment </w:t>
      </w:r>
      <w:r w:rsidR="00530A29" w:rsidRPr="0056263D">
        <w:t>is</w:t>
      </w:r>
      <w:r w:rsidR="007230FE">
        <w:t xml:space="preserve"> forecast to grow 1½ per cent in 2012-13, 2</w:t>
      </w:r>
      <w:r w:rsidR="00993862">
        <w:t>½ per cent in 2013-14 and 5 per </w:t>
      </w:r>
      <w:r w:rsidR="007230FE">
        <w:t>cent in 2014-15.</w:t>
      </w:r>
      <w:r w:rsidR="00E83212" w:rsidRPr="0056263D">
        <w:t xml:space="preserve"> </w:t>
      </w:r>
    </w:p>
    <w:p w:rsidR="00824B36" w:rsidRDefault="007230FE" w:rsidP="00530A29">
      <w:r>
        <w:rPr>
          <w:b/>
        </w:rPr>
        <w:t>N</w:t>
      </w:r>
      <w:r w:rsidR="00530A29" w:rsidRPr="007230FE">
        <w:rPr>
          <w:b/>
        </w:rPr>
        <w:t>ew</w:t>
      </w:r>
      <w:r w:rsidR="00E83212" w:rsidRPr="007230FE">
        <w:rPr>
          <w:b/>
        </w:rPr>
        <w:t xml:space="preserve"> </w:t>
      </w:r>
      <w:r w:rsidR="00530A29" w:rsidRPr="007230FE">
        <w:rPr>
          <w:b/>
        </w:rPr>
        <w:t>non</w:t>
      </w:r>
      <w:r w:rsidR="00E83212" w:rsidRPr="007230FE">
        <w:rPr>
          <w:b/>
        </w:rPr>
        <w:noBreakHyphen/>
      </w:r>
      <w:r w:rsidR="0085034E">
        <w:rPr>
          <w:b/>
        </w:rPr>
        <w:t>residential</w:t>
      </w:r>
      <w:r w:rsidR="00530A29" w:rsidRPr="007230FE">
        <w:rPr>
          <w:b/>
        </w:rPr>
        <w:t xml:space="preserve"> building</w:t>
      </w:r>
      <w:r>
        <w:t xml:space="preserve"> is forecast to grow 5½ per cent in 2012-13 following strength in recent quarters from </w:t>
      </w:r>
      <w:r w:rsidR="00824B36">
        <w:t>some one-off projects. Beyond this, the</w:t>
      </w:r>
      <w:r w:rsidR="002023D2">
        <w:t xml:space="preserve"> outlook for</w:t>
      </w:r>
      <w:r w:rsidR="00824B36">
        <w:t xml:space="preserve"> investment </w:t>
      </w:r>
      <w:r w:rsidR="002023D2">
        <w:t>growth</w:t>
      </w:r>
      <w:r w:rsidR="00824B36">
        <w:t xml:space="preserve"> remains </w:t>
      </w:r>
      <w:r w:rsidR="00801833">
        <w:t>modest</w:t>
      </w:r>
      <w:r w:rsidR="00EE7CFB">
        <w:t xml:space="preserve"> due to</w:t>
      </w:r>
      <w:r w:rsidR="00824B36">
        <w:t xml:space="preserve"> </w:t>
      </w:r>
      <w:r w:rsidR="00EE7CFB">
        <w:t>above-average</w:t>
      </w:r>
      <w:r w:rsidR="00824B36">
        <w:t xml:space="preserve"> vacancy rates and a </w:t>
      </w:r>
      <w:r w:rsidR="00801833">
        <w:t>subdued labour market. New non</w:t>
      </w:r>
      <w:r w:rsidR="00801833">
        <w:noBreakHyphen/>
      </w:r>
      <w:r w:rsidR="00824B36">
        <w:t xml:space="preserve">residential building is expected to grow 1½ per cent in </w:t>
      </w:r>
      <w:r w:rsidR="00801833">
        <w:t>2013-14 and 3½ per cent in 2014</w:t>
      </w:r>
      <w:r w:rsidR="00801833">
        <w:noBreakHyphen/>
      </w:r>
      <w:r w:rsidR="00824B36">
        <w:t>15.</w:t>
      </w:r>
    </w:p>
    <w:p w:rsidR="00E573F9" w:rsidRPr="00035930" w:rsidRDefault="00E573F9" w:rsidP="00E573F9">
      <w:pPr>
        <w:pStyle w:val="Heading4"/>
        <w:rPr>
          <w:bCs/>
          <w:i/>
          <w:iCs/>
        </w:rPr>
      </w:pPr>
      <w:bookmarkStart w:id="15" w:name="_Toc343518883"/>
      <w:r w:rsidRPr="00035930">
        <w:t>Public final demand</w:t>
      </w:r>
      <w:bookmarkEnd w:id="14"/>
      <w:bookmarkEnd w:id="15"/>
    </w:p>
    <w:p w:rsidR="00035930" w:rsidRDefault="00035930" w:rsidP="00035930">
      <w:bookmarkStart w:id="16" w:name="_Toc336420550"/>
      <w:bookmarkStart w:id="17" w:name="_Toc343518884"/>
      <w:r w:rsidRPr="00035930">
        <w:rPr>
          <w:b/>
        </w:rPr>
        <w:t>Public final demand</w:t>
      </w:r>
      <w:r>
        <w:t xml:space="preserve"> is forecast to fall ½</w:t>
      </w:r>
      <w:r w:rsidR="00993862">
        <w:t> of a </w:t>
      </w:r>
      <w:r>
        <w:t>per cent in 2012</w:t>
      </w:r>
      <w:r w:rsidR="00801833">
        <w:t xml:space="preserve">-13, remain flat </w:t>
      </w:r>
      <w:r w:rsidR="00E83212">
        <w:t>in 2013</w:t>
      </w:r>
      <w:r w:rsidR="00E83212">
        <w:noBreakHyphen/>
      </w:r>
      <w:r w:rsidR="00801833">
        <w:t>14 and grow</w:t>
      </w:r>
      <w:r w:rsidR="00D63501">
        <w:t xml:space="preserve"> ½ </w:t>
      </w:r>
      <w:r w:rsidR="00EE7CFB">
        <w:t xml:space="preserve">of a </w:t>
      </w:r>
      <w:r w:rsidR="00D63501">
        <w:t>per cent</w:t>
      </w:r>
      <w:r w:rsidR="00801833">
        <w:t xml:space="preserve"> in </w:t>
      </w:r>
      <w:r>
        <w:t>2014-15.</w:t>
      </w:r>
      <w:r w:rsidR="00D63501">
        <w:t xml:space="preserve"> Growth has been upgraded by ¼ of a percentage point in 2013-14 and 2014-15 based on revised state and local governm</w:t>
      </w:r>
      <w:r w:rsidR="00993862">
        <w:t>ent investment profiles in 2013</w:t>
      </w:r>
      <w:r w:rsidR="00993862">
        <w:noBreakHyphen/>
      </w:r>
      <w:r w:rsidR="00D63501">
        <w:t>14 and modest increases in expenditure plans across a</w:t>
      </w:r>
      <w:r w:rsidR="00993862">
        <w:t>ll levels of government in 2014</w:t>
      </w:r>
      <w:r w:rsidR="00993862">
        <w:noBreakHyphen/>
      </w:r>
      <w:r w:rsidR="00D63501">
        <w:t>15. The</w:t>
      </w:r>
      <w:r>
        <w:t xml:space="preserve"> forecast</w:t>
      </w:r>
      <w:r w:rsidR="00B4276C">
        <w:t>s are</w:t>
      </w:r>
      <w:r>
        <w:t xml:space="preserve"> </w:t>
      </w:r>
      <w:r w:rsidR="00AF7EDA" w:rsidRPr="00AF7EDA">
        <w:t>consistent with announced ex</w:t>
      </w:r>
      <w:r w:rsidR="00D63501">
        <w:t>penditure plans at state Budget mid-year updates and Pre-ERC estimates of</w:t>
      </w:r>
      <w:r w:rsidR="00AF7EDA">
        <w:t xml:space="preserve"> </w:t>
      </w:r>
      <w:r w:rsidR="00AF7EDA" w:rsidRPr="00AF7EDA">
        <w:t xml:space="preserve">Commonwealth </w:t>
      </w:r>
      <w:r w:rsidR="00D63501">
        <w:t>expenditure</w:t>
      </w:r>
      <w:r w:rsidR="00AF7EDA" w:rsidRPr="00AF7EDA">
        <w:t>.</w:t>
      </w:r>
      <w:r>
        <w:t xml:space="preserve"> </w:t>
      </w:r>
    </w:p>
    <w:p w:rsidR="00E573F9" w:rsidRDefault="00E573F9" w:rsidP="00E573F9">
      <w:pPr>
        <w:pStyle w:val="Heading4"/>
        <w:rPr>
          <w:bCs/>
          <w:i/>
          <w:iCs/>
        </w:rPr>
      </w:pPr>
      <w:r w:rsidRPr="00170BD5">
        <w:t>Exports, imports and the current account deficit</w:t>
      </w:r>
      <w:bookmarkEnd w:id="16"/>
      <w:bookmarkEnd w:id="17"/>
    </w:p>
    <w:p w:rsidR="005C7BD0" w:rsidRDefault="005C7BD0" w:rsidP="005C7BD0">
      <w:pPr>
        <w:rPr>
          <w:szCs w:val="20"/>
        </w:rPr>
      </w:pPr>
      <w:r w:rsidRPr="005C7BD0">
        <w:rPr>
          <w:szCs w:val="20"/>
        </w:rPr>
        <w:t>Export</w:t>
      </w:r>
      <w:r>
        <w:rPr>
          <w:szCs w:val="20"/>
        </w:rPr>
        <w:t xml:space="preserve"> forecasts</w:t>
      </w:r>
      <w:r w:rsidRPr="005C7BD0">
        <w:rPr>
          <w:szCs w:val="20"/>
        </w:rPr>
        <w:t xml:space="preserve"> have been upgraded</w:t>
      </w:r>
      <w:r w:rsidR="00613AFF">
        <w:rPr>
          <w:szCs w:val="20"/>
        </w:rPr>
        <w:t xml:space="preserve"> since December JEFG, reflecting both the strong </w:t>
      </w:r>
      <w:r w:rsidR="00F479F7">
        <w:rPr>
          <w:szCs w:val="20"/>
        </w:rPr>
        <w:t>outcome</w:t>
      </w:r>
      <w:r w:rsidR="00613AFF">
        <w:rPr>
          <w:szCs w:val="20"/>
        </w:rPr>
        <w:t xml:space="preserve"> in the December quarter, and</w:t>
      </w:r>
      <w:r w:rsidRPr="005C7BD0">
        <w:rPr>
          <w:szCs w:val="20"/>
        </w:rPr>
        <w:t xml:space="preserve"> increases to </w:t>
      </w:r>
      <w:r w:rsidR="00EE7CFB">
        <w:rPr>
          <w:szCs w:val="20"/>
        </w:rPr>
        <w:t>a number of specific</w:t>
      </w:r>
      <w:r w:rsidR="001F3AED">
        <w:rPr>
          <w:szCs w:val="20"/>
        </w:rPr>
        <w:t xml:space="preserve"> resource</w:t>
      </w:r>
      <w:r w:rsidR="00EE7CFB">
        <w:rPr>
          <w:szCs w:val="20"/>
        </w:rPr>
        <w:t xml:space="preserve"> </w:t>
      </w:r>
      <w:r w:rsidRPr="005C7BD0">
        <w:rPr>
          <w:szCs w:val="20"/>
        </w:rPr>
        <w:t>expansion</w:t>
      </w:r>
      <w:r w:rsidR="00EE7CFB">
        <w:rPr>
          <w:szCs w:val="20"/>
        </w:rPr>
        <w:t xml:space="preserve"> project</w:t>
      </w:r>
      <w:r w:rsidRPr="005C7BD0">
        <w:rPr>
          <w:szCs w:val="20"/>
        </w:rPr>
        <w:t>s in the forecast period</w:t>
      </w:r>
      <w:r>
        <w:rPr>
          <w:szCs w:val="20"/>
        </w:rPr>
        <w:t xml:space="preserve">.  </w:t>
      </w:r>
      <w:r w:rsidRPr="005C7BD0">
        <w:rPr>
          <w:b/>
          <w:szCs w:val="20"/>
        </w:rPr>
        <w:t>Exports</w:t>
      </w:r>
      <w:r>
        <w:rPr>
          <w:szCs w:val="20"/>
        </w:rPr>
        <w:t xml:space="preserve"> are expected to grow</w:t>
      </w:r>
      <w:r w:rsidR="00801833">
        <w:rPr>
          <w:szCs w:val="20"/>
        </w:rPr>
        <w:t xml:space="preserve"> 7 per cent in </w:t>
      </w:r>
      <w:r w:rsidR="00801833">
        <w:rPr>
          <w:szCs w:val="20"/>
        </w:rPr>
        <w:lastRenderedPageBreak/>
        <w:t>2012-13, 6½ per </w:t>
      </w:r>
      <w:r w:rsidRPr="005C7BD0">
        <w:rPr>
          <w:szCs w:val="20"/>
        </w:rPr>
        <w:t>cent in</w:t>
      </w:r>
      <w:r w:rsidR="00613AFF">
        <w:rPr>
          <w:szCs w:val="20"/>
        </w:rPr>
        <w:t xml:space="preserve"> 2013</w:t>
      </w:r>
      <w:r w:rsidR="00613AFF">
        <w:rPr>
          <w:szCs w:val="20"/>
        </w:rPr>
        <w:noBreakHyphen/>
      </w:r>
      <w:r w:rsidR="00801833">
        <w:rPr>
          <w:szCs w:val="20"/>
        </w:rPr>
        <w:t>14 and 7 per cent in 2014</w:t>
      </w:r>
      <w:r w:rsidR="00801833">
        <w:rPr>
          <w:szCs w:val="20"/>
        </w:rPr>
        <w:noBreakHyphen/>
      </w:r>
      <w:r w:rsidRPr="005C7BD0">
        <w:rPr>
          <w:szCs w:val="20"/>
        </w:rPr>
        <w:t xml:space="preserve">15. </w:t>
      </w:r>
    </w:p>
    <w:p w:rsidR="005C7BD0" w:rsidRDefault="005C7BD0" w:rsidP="00530A29">
      <w:pPr>
        <w:rPr>
          <w:szCs w:val="20"/>
        </w:rPr>
      </w:pPr>
      <w:r w:rsidRPr="005C7BD0">
        <w:rPr>
          <w:szCs w:val="20"/>
        </w:rPr>
        <w:t xml:space="preserve">The outlook for </w:t>
      </w:r>
      <w:r w:rsidRPr="005C7BD0">
        <w:rPr>
          <w:b/>
          <w:szCs w:val="20"/>
        </w:rPr>
        <w:t>non-rural commodity</w:t>
      </w:r>
      <w:r w:rsidRPr="005C7BD0">
        <w:rPr>
          <w:szCs w:val="20"/>
        </w:rPr>
        <w:t xml:space="preserve"> </w:t>
      </w:r>
      <w:r w:rsidR="00F479F7">
        <w:rPr>
          <w:szCs w:val="20"/>
        </w:rPr>
        <w:t>export volumes has</w:t>
      </w:r>
      <w:r w:rsidRPr="005C7BD0">
        <w:rPr>
          <w:szCs w:val="20"/>
        </w:rPr>
        <w:t xml:space="preserve"> been upgraded</w:t>
      </w:r>
      <w:r w:rsidR="008D0AE3">
        <w:rPr>
          <w:szCs w:val="20"/>
        </w:rPr>
        <w:t xml:space="preserve"> since December JEFG. This reflects the strong December quarter outcome</w:t>
      </w:r>
      <w:r w:rsidR="00801833">
        <w:rPr>
          <w:szCs w:val="20"/>
        </w:rPr>
        <w:t>;</w:t>
      </w:r>
      <w:r w:rsidRPr="005C7BD0">
        <w:rPr>
          <w:szCs w:val="20"/>
        </w:rPr>
        <w:t xml:space="preserve"> increases to specific </w:t>
      </w:r>
      <w:r w:rsidR="008D0AE3">
        <w:rPr>
          <w:szCs w:val="20"/>
        </w:rPr>
        <w:t xml:space="preserve">iron ore </w:t>
      </w:r>
      <w:r w:rsidRPr="005C7BD0">
        <w:rPr>
          <w:szCs w:val="20"/>
        </w:rPr>
        <w:t>expansions</w:t>
      </w:r>
      <w:r w:rsidR="00801833">
        <w:rPr>
          <w:szCs w:val="20"/>
        </w:rPr>
        <w:t xml:space="preserve">; and </w:t>
      </w:r>
      <w:r w:rsidR="00867121">
        <w:rPr>
          <w:szCs w:val="20"/>
        </w:rPr>
        <w:t>better-</w:t>
      </w:r>
      <w:r w:rsidRPr="005C7BD0">
        <w:rPr>
          <w:szCs w:val="20"/>
        </w:rPr>
        <w:t>than</w:t>
      </w:r>
      <w:r w:rsidR="00867121">
        <w:rPr>
          <w:szCs w:val="20"/>
        </w:rPr>
        <w:t>-</w:t>
      </w:r>
      <w:r w:rsidRPr="005C7BD0">
        <w:rPr>
          <w:szCs w:val="20"/>
        </w:rPr>
        <w:t xml:space="preserve">expected progress on </w:t>
      </w:r>
      <w:r w:rsidR="00801833">
        <w:rPr>
          <w:szCs w:val="20"/>
        </w:rPr>
        <w:t xml:space="preserve">some </w:t>
      </w:r>
      <w:r w:rsidRPr="005C7BD0">
        <w:rPr>
          <w:szCs w:val="20"/>
        </w:rPr>
        <w:t xml:space="preserve">projects, particularly in the Pilbara. </w:t>
      </w:r>
      <w:r w:rsidR="00801833">
        <w:rPr>
          <w:szCs w:val="20"/>
        </w:rPr>
        <w:t>G</w:t>
      </w:r>
      <w:r w:rsidRPr="005C7BD0">
        <w:rPr>
          <w:szCs w:val="20"/>
        </w:rPr>
        <w:t xml:space="preserve">rowth has been upgraded in each of the forecast years with non-rural commodity exports expected to increase by </w:t>
      </w:r>
      <w:r w:rsidR="00EC18BB">
        <w:rPr>
          <w:szCs w:val="20"/>
        </w:rPr>
        <w:t xml:space="preserve">over </w:t>
      </w:r>
      <w:r w:rsidR="00613AFF" w:rsidRPr="00EC18BB">
        <w:rPr>
          <w:szCs w:val="20"/>
        </w:rPr>
        <w:t>30</w:t>
      </w:r>
      <w:r w:rsidR="008D0AE3" w:rsidRPr="00EC18BB">
        <w:rPr>
          <w:szCs w:val="20"/>
        </w:rPr>
        <w:t> </w:t>
      </w:r>
      <w:r w:rsidRPr="00EC18BB">
        <w:rPr>
          <w:szCs w:val="20"/>
        </w:rPr>
        <w:t xml:space="preserve">per cent over the next </w:t>
      </w:r>
      <w:r w:rsidR="00613AFF" w:rsidRPr="00EC18BB">
        <w:rPr>
          <w:szCs w:val="20"/>
        </w:rPr>
        <w:t>three years</w:t>
      </w:r>
      <w:r w:rsidR="00764804">
        <w:rPr>
          <w:szCs w:val="20"/>
        </w:rPr>
        <w:t xml:space="preserve"> (</w:t>
      </w:r>
      <w:r w:rsidR="00DD6D59">
        <w:rPr>
          <w:szCs w:val="20"/>
        </w:rPr>
        <w:t>C</w:t>
      </w:r>
      <w:r w:rsidR="00764804">
        <w:rPr>
          <w:szCs w:val="20"/>
        </w:rPr>
        <w:t>hart 4)</w:t>
      </w:r>
      <w:r w:rsidR="00613AFF">
        <w:rPr>
          <w:szCs w:val="20"/>
        </w:rPr>
        <w:t>.</w:t>
      </w:r>
    </w:p>
    <w:p w:rsidR="005C7BD0" w:rsidRDefault="005C7BD0" w:rsidP="00530A29">
      <w:pPr>
        <w:rPr>
          <w:szCs w:val="20"/>
        </w:rPr>
      </w:pPr>
      <w:r w:rsidRPr="005C7BD0">
        <w:rPr>
          <w:b/>
          <w:szCs w:val="20"/>
        </w:rPr>
        <w:t>Services</w:t>
      </w:r>
      <w:r w:rsidRPr="005C7BD0">
        <w:rPr>
          <w:szCs w:val="20"/>
        </w:rPr>
        <w:t xml:space="preserve"> exports are forecast to grow 1 per cent in 2012-13, 1½</w:t>
      </w:r>
      <w:r w:rsidR="00801833">
        <w:rPr>
          <w:szCs w:val="20"/>
        </w:rPr>
        <w:t xml:space="preserve"> per cent in 2013-14 and 2½ per </w:t>
      </w:r>
      <w:r w:rsidRPr="005C7BD0">
        <w:rPr>
          <w:szCs w:val="20"/>
        </w:rPr>
        <w:t xml:space="preserve">cent in 2014-15, reflecting </w:t>
      </w:r>
      <w:r w:rsidR="001F3AED">
        <w:rPr>
          <w:szCs w:val="20"/>
        </w:rPr>
        <w:t>ongoing strength in business services exports</w:t>
      </w:r>
      <w:r w:rsidRPr="005C7BD0">
        <w:rPr>
          <w:szCs w:val="20"/>
        </w:rPr>
        <w:t xml:space="preserve"> and a gradual return to trend growth in the international student sector. </w:t>
      </w:r>
    </w:p>
    <w:p w:rsidR="00530A29" w:rsidRDefault="00801833" w:rsidP="00530A29">
      <w:pPr>
        <w:rPr>
          <w:szCs w:val="20"/>
        </w:rPr>
      </w:pPr>
      <w:r>
        <w:rPr>
          <w:szCs w:val="20"/>
        </w:rPr>
        <w:t>In 2012-</w:t>
      </w:r>
      <w:r w:rsidR="005C7BD0" w:rsidRPr="005C7BD0">
        <w:rPr>
          <w:szCs w:val="20"/>
        </w:rPr>
        <w:t xml:space="preserve">13, farm production is expected to decline from the record </w:t>
      </w:r>
      <w:r w:rsidR="00613AFF">
        <w:rPr>
          <w:szCs w:val="20"/>
        </w:rPr>
        <w:t xml:space="preserve">level </w:t>
      </w:r>
      <w:r>
        <w:rPr>
          <w:szCs w:val="20"/>
        </w:rPr>
        <w:t xml:space="preserve">of </w:t>
      </w:r>
      <w:r w:rsidR="005C7BD0" w:rsidRPr="005C7BD0">
        <w:rPr>
          <w:szCs w:val="20"/>
        </w:rPr>
        <w:t>2011</w:t>
      </w:r>
      <w:r>
        <w:rPr>
          <w:szCs w:val="20"/>
        </w:rPr>
        <w:t>-</w:t>
      </w:r>
      <w:r w:rsidR="005C7BD0" w:rsidRPr="005C7BD0">
        <w:rPr>
          <w:szCs w:val="20"/>
        </w:rPr>
        <w:t xml:space="preserve">12, </w:t>
      </w:r>
      <w:r w:rsidR="00AE4383">
        <w:rPr>
          <w:szCs w:val="20"/>
        </w:rPr>
        <w:t>owing to</w:t>
      </w:r>
      <w:r>
        <w:rPr>
          <w:szCs w:val="20"/>
        </w:rPr>
        <w:t xml:space="preserve"> less</w:t>
      </w:r>
      <w:r w:rsidR="005C7BD0" w:rsidRPr="005C7BD0">
        <w:rPr>
          <w:szCs w:val="20"/>
        </w:rPr>
        <w:t xml:space="preserve"> favourable weather conditions for the recent winter crop. </w:t>
      </w:r>
      <w:r w:rsidR="004E4D3E">
        <w:rPr>
          <w:szCs w:val="20"/>
        </w:rPr>
        <w:t>R</w:t>
      </w:r>
      <w:r w:rsidR="005C7BD0" w:rsidRPr="005C7BD0">
        <w:rPr>
          <w:szCs w:val="20"/>
        </w:rPr>
        <w:t>ural output is expected to increase moderately</w:t>
      </w:r>
      <w:r w:rsidR="004E4D3E">
        <w:rPr>
          <w:szCs w:val="20"/>
        </w:rPr>
        <w:t xml:space="preserve"> in 2013-14 before flattening in 2014-15</w:t>
      </w:r>
      <w:r w:rsidR="005C7BD0" w:rsidRPr="005C7BD0">
        <w:rPr>
          <w:szCs w:val="20"/>
        </w:rPr>
        <w:t xml:space="preserve">, in line with an assumed return to average weather </w:t>
      </w:r>
      <w:r w:rsidR="004E4D3E">
        <w:rPr>
          <w:szCs w:val="20"/>
        </w:rPr>
        <w:t xml:space="preserve">conditions. </w:t>
      </w:r>
      <w:r>
        <w:rPr>
          <w:szCs w:val="20"/>
        </w:rPr>
        <w:t xml:space="preserve">Despite the decline in production, </w:t>
      </w:r>
      <w:r>
        <w:rPr>
          <w:b/>
          <w:szCs w:val="20"/>
        </w:rPr>
        <w:t>r</w:t>
      </w:r>
      <w:r w:rsidR="005C7BD0" w:rsidRPr="005C7BD0">
        <w:rPr>
          <w:b/>
          <w:szCs w:val="20"/>
        </w:rPr>
        <w:t>ural</w:t>
      </w:r>
      <w:r w:rsidR="005C7BD0" w:rsidRPr="005C7BD0">
        <w:rPr>
          <w:szCs w:val="20"/>
        </w:rPr>
        <w:t xml:space="preserve"> exports volumes are forecast to be little changed in 2012-13, supported by </w:t>
      </w:r>
      <w:r>
        <w:rPr>
          <w:szCs w:val="20"/>
        </w:rPr>
        <w:t xml:space="preserve">a drawdown </w:t>
      </w:r>
      <w:r w:rsidR="004E4D3E">
        <w:rPr>
          <w:szCs w:val="20"/>
        </w:rPr>
        <w:t xml:space="preserve">on </w:t>
      </w:r>
      <w:r>
        <w:rPr>
          <w:szCs w:val="20"/>
        </w:rPr>
        <w:t xml:space="preserve">inventories </w:t>
      </w:r>
      <w:r w:rsidR="00613AFF">
        <w:rPr>
          <w:szCs w:val="20"/>
        </w:rPr>
        <w:t>accumulated</w:t>
      </w:r>
      <w:r>
        <w:rPr>
          <w:szCs w:val="20"/>
        </w:rPr>
        <w:t xml:space="preserve"> in 2011-12</w:t>
      </w:r>
      <w:r w:rsidR="00AE4383">
        <w:rPr>
          <w:szCs w:val="20"/>
        </w:rPr>
        <w:t>.</w:t>
      </w:r>
    </w:p>
    <w:p w:rsidR="00E573F9" w:rsidRDefault="00E573F9" w:rsidP="00C622D3">
      <w:pPr>
        <w:keepNext/>
        <w:spacing w:after="0"/>
        <w:jc w:val="center"/>
        <w:rPr>
          <w:b/>
        </w:rPr>
      </w:pPr>
      <w:r w:rsidRPr="00681283">
        <w:rPr>
          <w:b/>
        </w:rPr>
        <w:t xml:space="preserve">Chart </w:t>
      </w:r>
      <w:r w:rsidR="00764804">
        <w:rPr>
          <w:b/>
        </w:rPr>
        <w:t>4</w:t>
      </w:r>
      <w:r w:rsidRPr="00681283">
        <w:rPr>
          <w:b/>
        </w:rPr>
        <w:t>: Export volumes</w:t>
      </w:r>
    </w:p>
    <w:p w:rsidR="00F479F7" w:rsidRPr="00681283" w:rsidRDefault="00F479F7" w:rsidP="00C622D3">
      <w:pPr>
        <w:keepNext/>
        <w:spacing w:after="0"/>
        <w:jc w:val="center"/>
        <w:rPr>
          <w:b/>
        </w:rPr>
      </w:pPr>
      <w:r>
        <w:rPr>
          <w:b/>
        </w:rPr>
        <w:t>(</w:t>
      </w:r>
      <w:proofErr w:type="gramStart"/>
      <w:r>
        <w:rPr>
          <w:b/>
        </w:rPr>
        <w:t>c</w:t>
      </w:r>
      <w:r w:rsidR="004665DD">
        <w:rPr>
          <w:b/>
        </w:rPr>
        <w:t>hain-</w:t>
      </w:r>
      <w:r>
        <w:rPr>
          <w:b/>
        </w:rPr>
        <w:t>v</w:t>
      </w:r>
      <w:r w:rsidR="004665DD">
        <w:rPr>
          <w:b/>
        </w:rPr>
        <w:t>olume</w:t>
      </w:r>
      <w:proofErr w:type="gramEnd"/>
      <w:r w:rsidR="004665DD">
        <w:rPr>
          <w:b/>
        </w:rPr>
        <w:t xml:space="preserve"> </w:t>
      </w:r>
      <w:r>
        <w:rPr>
          <w:b/>
        </w:rPr>
        <w:t>m</w:t>
      </w:r>
      <w:r w:rsidR="004665DD">
        <w:rPr>
          <w:b/>
        </w:rPr>
        <w:t>easure</w:t>
      </w:r>
      <w:r>
        <w:rPr>
          <w:b/>
        </w:rPr>
        <w:t>)</w:t>
      </w:r>
    </w:p>
    <w:p w:rsidR="00E573F9" w:rsidRPr="00681283" w:rsidRDefault="00681283" w:rsidP="0042672A">
      <w:pPr>
        <w:pStyle w:val="ChartGraphic0"/>
      </w:pPr>
      <w:r w:rsidRPr="00681283">
        <w:object w:dxaOrig="3961" w:dyaOrig="3961">
          <v:shape id="_x0000_i1030" type="#_x0000_t75" style="width:199.1pt;height:199.1pt" o:ole="">
            <v:imagedata r:id="rId29" o:title=""/>
          </v:shape>
          <o:OLEObject Type="Link" ProgID="Excel.Sheet.12" ShapeID="_x0000_i1030" DrawAspect="Content" r:id="rId30" UpdateMode="Always">
            <o:LinkType>EnhancedMetaFile</o:LinkType>
            <o:LockedField>false</o:LockedField>
            <o:FieldCodes>\* MERGEFORMAT</o:FieldCodes>
          </o:OLEObject>
        </w:object>
      </w:r>
    </w:p>
    <w:p w:rsidR="00E573F9" w:rsidRPr="009B6BDB" w:rsidRDefault="00E573F9" w:rsidP="009B6BDB">
      <w:pPr>
        <w:pStyle w:val="ChartGraphic0"/>
        <w:spacing w:after="120"/>
        <w:jc w:val="left"/>
        <w:rPr>
          <w:rFonts w:ascii="Book Antiqua" w:hAnsi="Book Antiqua"/>
          <w:color w:val="auto"/>
          <w:kern w:val="2"/>
          <w:sz w:val="16"/>
        </w:rPr>
      </w:pPr>
      <w:r w:rsidRPr="009B6BDB">
        <w:rPr>
          <w:rFonts w:ascii="Book Antiqua" w:hAnsi="Book Antiqua"/>
          <w:color w:val="auto"/>
          <w:kern w:val="2"/>
          <w:sz w:val="16"/>
        </w:rPr>
        <w:t>Source:  ABS cat. no. 5302.0 and Treasury.</w:t>
      </w:r>
    </w:p>
    <w:p w:rsidR="00695431" w:rsidRDefault="005C7BD0" w:rsidP="00530A29">
      <w:pPr>
        <w:rPr>
          <w:szCs w:val="20"/>
        </w:rPr>
      </w:pPr>
      <w:r w:rsidRPr="005C7BD0">
        <w:rPr>
          <w:b/>
          <w:szCs w:val="20"/>
        </w:rPr>
        <w:t xml:space="preserve">Import </w:t>
      </w:r>
      <w:r w:rsidRPr="00695431">
        <w:rPr>
          <w:szCs w:val="20"/>
        </w:rPr>
        <w:t xml:space="preserve">growth forecasts have been downgraded in 2012-13, </w:t>
      </w:r>
      <w:r w:rsidR="00613AFF">
        <w:rPr>
          <w:szCs w:val="20"/>
        </w:rPr>
        <w:t>remain</w:t>
      </w:r>
      <w:r w:rsidRPr="00695431">
        <w:rPr>
          <w:szCs w:val="20"/>
        </w:rPr>
        <w:t xml:space="preserve"> unchanged in 2013-14 and upgraded slightly in 2014-15</w:t>
      </w:r>
      <w:r w:rsidR="00695431">
        <w:rPr>
          <w:szCs w:val="20"/>
        </w:rPr>
        <w:t xml:space="preserve"> since December JEFG</w:t>
      </w:r>
      <w:r w:rsidRPr="00695431">
        <w:rPr>
          <w:szCs w:val="20"/>
        </w:rPr>
        <w:t>, largely driven by the revision to forecast growth in LNG investment. Import volumes are forecast to grow 5 per cent in</w:t>
      </w:r>
      <w:r w:rsidR="00801833">
        <w:rPr>
          <w:szCs w:val="20"/>
        </w:rPr>
        <w:t xml:space="preserve"> 2012-13 and 6 per cent in 2013-</w:t>
      </w:r>
      <w:r w:rsidRPr="00695431">
        <w:rPr>
          <w:szCs w:val="20"/>
        </w:rPr>
        <w:t xml:space="preserve">14. With the passing of the peak </w:t>
      </w:r>
      <w:r w:rsidR="00695431">
        <w:rPr>
          <w:szCs w:val="20"/>
        </w:rPr>
        <w:t>in</w:t>
      </w:r>
      <w:r w:rsidRPr="00695431">
        <w:rPr>
          <w:szCs w:val="20"/>
        </w:rPr>
        <w:t xml:space="preserve"> </w:t>
      </w:r>
      <w:r w:rsidR="00695431">
        <w:rPr>
          <w:szCs w:val="20"/>
        </w:rPr>
        <w:t>resources sector</w:t>
      </w:r>
      <w:r w:rsidRPr="00695431">
        <w:rPr>
          <w:szCs w:val="20"/>
        </w:rPr>
        <w:t xml:space="preserve"> investment, imports growth is expected to slow to 3 per cent in 2014-15. </w:t>
      </w:r>
    </w:p>
    <w:p w:rsidR="00530A29" w:rsidRDefault="00613AFF" w:rsidP="00530A29">
      <w:pPr>
        <w:rPr>
          <w:szCs w:val="20"/>
        </w:rPr>
      </w:pPr>
      <w:r>
        <w:rPr>
          <w:szCs w:val="20"/>
        </w:rPr>
        <w:lastRenderedPageBreak/>
        <w:t xml:space="preserve">The forecast for the contribution of </w:t>
      </w:r>
      <w:r w:rsidR="00424329" w:rsidRPr="00F479F7">
        <w:rPr>
          <w:b/>
          <w:szCs w:val="20"/>
        </w:rPr>
        <w:t>n</w:t>
      </w:r>
      <w:r w:rsidR="005C7BD0" w:rsidRPr="00695431">
        <w:rPr>
          <w:b/>
          <w:szCs w:val="20"/>
        </w:rPr>
        <w:t>et exports</w:t>
      </w:r>
      <w:r w:rsidR="005C7BD0" w:rsidRPr="00695431">
        <w:rPr>
          <w:szCs w:val="20"/>
        </w:rPr>
        <w:t xml:space="preserve"> </w:t>
      </w:r>
      <w:r>
        <w:rPr>
          <w:szCs w:val="20"/>
        </w:rPr>
        <w:t xml:space="preserve">to GDP growth has been revised up across the forecast period, consistent with </w:t>
      </w:r>
      <w:r w:rsidR="007172FF">
        <w:rPr>
          <w:szCs w:val="20"/>
        </w:rPr>
        <w:t xml:space="preserve">the expectation of </w:t>
      </w:r>
      <w:r>
        <w:rPr>
          <w:szCs w:val="20"/>
        </w:rPr>
        <w:t>stronger growth in non-rural bulk commodity exports.  Net exports are</w:t>
      </w:r>
      <w:r w:rsidR="00801833">
        <w:rPr>
          <w:szCs w:val="20"/>
        </w:rPr>
        <w:t xml:space="preserve"> expected to contribute ½ of a </w:t>
      </w:r>
      <w:r w:rsidR="005C7BD0" w:rsidRPr="00695431">
        <w:rPr>
          <w:szCs w:val="20"/>
        </w:rPr>
        <w:t>percentage point to real GDP gro</w:t>
      </w:r>
      <w:r>
        <w:rPr>
          <w:szCs w:val="20"/>
        </w:rPr>
        <w:t xml:space="preserve">wth in </w:t>
      </w:r>
      <w:r w:rsidR="005C7BD0" w:rsidRPr="00695431">
        <w:rPr>
          <w:szCs w:val="20"/>
        </w:rPr>
        <w:t>2012-13</w:t>
      </w:r>
      <w:r>
        <w:rPr>
          <w:szCs w:val="20"/>
        </w:rPr>
        <w:t>, an upward revision of 1 percentage point since December</w:t>
      </w:r>
      <w:r w:rsidR="005C7BD0" w:rsidRPr="00695431">
        <w:rPr>
          <w:szCs w:val="20"/>
        </w:rPr>
        <w:t xml:space="preserve">. </w:t>
      </w:r>
      <w:r w:rsidR="003A6A9C">
        <w:rPr>
          <w:szCs w:val="20"/>
        </w:rPr>
        <w:t xml:space="preserve">The forecast </w:t>
      </w:r>
      <w:r>
        <w:rPr>
          <w:szCs w:val="20"/>
        </w:rPr>
        <w:t>contribution of net exports to growth</w:t>
      </w:r>
      <w:r w:rsidR="003A6A9C">
        <w:rPr>
          <w:szCs w:val="20"/>
        </w:rPr>
        <w:t xml:space="preserve"> in 2013-14</w:t>
      </w:r>
      <w:r>
        <w:rPr>
          <w:szCs w:val="20"/>
        </w:rPr>
        <w:t xml:space="preserve"> has been r</w:t>
      </w:r>
      <w:r w:rsidR="003A6A9C">
        <w:rPr>
          <w:szCs w:val="20"/>
        </w:rPr>
        <w:t>evised up ¼ of a </w:t>
      </w:r>
      <w:r>
        <w:rPr>
          <w:szCs w:val="20"/>
        </w:rPr>
        <w:t>percentage point</w:t>
      </w:r>
      <w:r w:rsidR="003A6A9C">
        <w:rPr>
          <w:szCs w:val="20"/>
        </w:rPr>
        <w:t>,</w:t>
      </w:r>
      <w:r>
        <w:rPr>
          <w:szCs w:val="20"/>
        </w:rPr>
        <w:t xml:space="preserve"> to have no net effect</w:t>
      </w:r>
      <w:r w:rsidR="003A6A9C">
        <w:rPr>
          <w:szCs w:val="20"/>
        </w:rPr>
        <w:t xml:space="preserve"> on growth</w:t>
      </w:r>
      <w:r>
        <w:rPr>
          <w:szCs w:val="20"/>
        </w:rPr>
        <w:t xml:space="preserve">. </w:t>
      </w:r>
      <w:r w:rsidR="007172FF">
        <w:rPr>
          <w:szCs w:val="20"/>
        </w:rPr>
        <w:t>N</w:t>
      </w:r>
      <w:r w:rsidR="005C7BD0" w:rsidRPr="00695431">
        <w:rPr>
          <w:szCs w:val="20"/>
        </w:rPr>
        <w:t>et exports are then expected to contribute 1</w:t>
      </w:r>
      <w:r w:rsidR="00695431">
        <w:rPr>
          <w:szCs w:val="20"/>
        </w:rPr>
        <w:t> </w:t>
      </w:r>
      <w:r w:rsidR="005C7BD0" w:rsidRPr="00695431">
        <w:rPr>
          <w:szCs w:val="20"/>
        </w:rPr>
        <w:t>percentage point</w:t>
      </w:r>
      <w:r w:rsidR="007172FF">
        <w:rPr>
          <w:szCs w:val="20"/>
        </w:rPr>
        <w:t xml:space="preserve"> to growth</w:t>
      </w:r>
      <w:r w:rsidR="005C7BD0" w:rsidRPr="00695431">
        <w:rPr>
          <w:szCs w:val="20"/>
        </w:rPr>
        <w:t xml:space="preserve"> in 2014-15</w:t>
      </w:r>
      <w:r w:rsidR="007172FF">
        <w:rPr>
          <w:szCs w:val="20"/>
        </w:rPr>
        <w:t>.</w:t>
      </w:r>
    </w:p>
    <w:p w:rsidR="007172FF" w:rsidRDefault="00530A29" w:rsidP="000914F6">
      <w:pPr>
        <w:rPr>
          <w:lang w:val="en-US"/>
        </w:rPr>
      </w:pPr>
      <w:r w:rsidRPr="00E94659">
        <w:rPr>
          <w:szCs w:val="20"/>
        </w:rPr>
        <w:t xml:space="preserve">The </w:t>
      </w:r>
      <w:r w:rsidRPr="00E94659">
        <w:rPr>
          <w:b/>
          <w:szCs w:val="20"/>
        </w:rPr>
        <w:t>terms of trade</w:t>
      </w:r>
      <w:r w:rsidRPr="00E94659">
        <w:rPr>
          <w:szCs w:val="20"/>
        </w:rPr>
        <w:t xml:space="preserve"> have been </w:t>
      </w:r>
      <w:r w:rsidR="00695431">
        <w:rPr>
          <w:szCs w:val="20"/>
        </w:rPr>
        <w:t>up</w:t>
      </w:r>
      <w:r w:rsidRPr="00E94659">
        <w:rPr>
          <w:szCs w:val="20"/>
        </w:rPr>
        <w:t xml:space="preserve">graded </w:t>
      </w:r>
      <w:r w:rsidR="00695431">
        <w:rPr>
          <w:szCs w:val="20"/>
        </w:rPr>
        <w:t>since December JEFG</w:t>
      </w:r>
      <w:r w:rsidRPr="00E94659">
        <w:rPr>
          <w:szCs w:val="20"/>
        </w:rPr>
        <w:t xml:space="preserve"> and are expected to decrease </w:t>
      </w:r>
      <w:r w:rsidR="00695431">
        <w:rPr>
          <w:szCs w:val="20"/>
        </w:rPr>
        <w:t xml:space="preserve">7½ </w:t>
      </w:r>
      <w:r w:rsidRPr="00E94659">
        <w:rPr>
          <w:szCs w:val="20"/>
        </w:rPr>
        <w:t xml:space="preserve">per cent in 2012-13, </w:t>
      </w:r>
      <w:r w:rsidR="00695431">
        <w:rPr>
          <w:szCs w:val="20"/>
        </w:rPr>
        <w:t xml:space="preserve">¾ </w:t>
      </w:r>
      <w:r w:rsidRPr="00E94659">
        <w:rPr>
          <w:szCs w:val="20"/>
        </w:rPr>
        <w:t>of a per</w:t>
      </w:r>
      <w:r w:rsidR="00695431">
        <w:rPr>
          <w:szCs w:val="20"/>
        </w:rPr>
        <w:t xml:space="preserve"> </w:t>
      </w:r>
      <w:r w:rsidRPr="00E94659">
        <w:rPr>
          <w:szCs w:val="20"/>
        </w:rPr>
        <w:t>cent in 2013</w:t>
      </w:r>
      <w:r w:rsidRPr="00E94659">
        <w:rPr>
          <w:szCs w:val="20"/>
        </w:rPr>
        <w:noBreakHyphen/>
        <w:t xml:space="preserve">14 and </w:t>
      </w:r>
      <w:r w:rsidR="00695431">
        <w:rPr>
          <w:szCs w:val="20"/>
        </w:rPr>
        <w:t xml:space="preserve">1¾ </w:t>
      </w:r>
      <w:r w:rsidRPr="00E94659">
        <w:rPr>
          <w:szCs w:val="20"/>
        </w:rPr>
        <w:t>per cent in 20</w:t>
      </w:r>
      <w:r w:rsidR="00035930" w:rsidRPr="00E94659">
        <w:rPr>
          <w:szCs w:val="20"/>
        </w:rPr>
        <w:t>1</w:t>
      </w:r>
      <w:r w:rsidRPr="00E94659">
        <w:rPr>
          <w:szCs w:val="20"/>
        </w:rPr>
        <w:t>4-15</w:t>
      </w:r>
      <w:r w:rsidR="00DD15DA">
        <w:rPr>
          <w:szCs w:val="20"/>
        </w:rPr>
        <w:t xml:space="preserve"> (</w:t>
      </w:r>
      <w:r w:rsidR="00DD6D59">
        <w:rPr>
          <w:szCs w:val="20"/>
        </w:rPr>
        <w:t>C</w:t>
      </w:r>
      <w:r w:rsidR="00DD15DA">
        <w:rPr>
          <w:szCs w:val="20"/>
        </w:rPr>
        <w:t xml:space="preserve">hart </w:t>
      </w:r>
      <w:r w:rsidR="00764804">
        <w:rPr>
          <w:szCs w:val="20"/>
        </w:rPr>
        <w:t>5</w:t>
      </w:r>
      <w:r w:rsidR="00DD15DA">
        <w:rPr>
          <w:szCs w:val="20"/>
        </w:rPr>
        <w:t>)</w:t>
      </w:r>
      <w:r w:rsidRPr="00E94659">
        <w:rPr>
          <w:szCs w:val="20"/>
        </w:rPr>
        <w:t xml:space="preserve">. </w:t>
      </w:r>
      <w:r w:rsidR="00FD74E0" w:rsidRPr="00E94659">
        <w:rPr>
          <w:lang w:val="en-US"/>
        </w:rPr>
        <w:t xml:space="preserve">The near-term </w:t>
      </w:r>
      <w:r w:rsidR="00695431" w:rsidRPr="00695431">
        <w:rPr>
          <w:lang w:val="en-US"/>
        </w:rPr>
        <w:t xml:space="preserve">upgrade reflects the increase in iron ore prices since December. </w:t>
      </w:r>
      <w:r w:rsidR="004E4D3E">
        <w:rPr>
          <w:lang w:val="en-US"/>
        </w:rPr>
        <w:t xml:space="preserve"> The forecast for</w:t>
      </w:r>
      <w:r w:rsidR="00695431" w:rsidRPr="00695431">
        <w:rPr>
          <w:lang w:val="en-US"/>
        </w:rPr>
        <w:t xml:space="preserve"> iron ore spot prices </w:t>
      </w:r>
      <w:r w:rsidR="004E4D3E">
        <w:rPr>
          <w:lang w:val="en-US"/>
        </w:rPr>
        <w:t xml:space="preserve">in 2013-14 and 2014-15 </w:t>
      </w:r>
      <w:r w:rsidR="00695431" w:rsidRPr="00695431">
        <w:rPr>
          <w:lang w:val="en-US"/>
        </w:rPr>
        <w:t>ha</w:t>
      </w:r>
      <w:r w:rsidR="004E4D3E">
        <w:rPr>
          <w:lang w:val="en-US"/>
        </w:rPr>
        <w:t>s</w:t>
      </w:r>
      <w:r w:rsidR="00695431" w:rsidRPr="00695431">
        <w:rPr>
          <w:lang w:val="en-US"/>
        </w:rPr>
        <w:t xml:space="preserve"> been downgraded due to the</w:t>
      </w:r>
      <w:r w:rsidR="004E4D3E">
        <w:rPr>
          <w:lang w:val="en-US"/>
        </w:rPr>
        <w:t xml:space="preserve"> expected </w:t>
      </w:r>
      <w:r w:rsidR="00695431" w:rsidRPr="00695431">
        <w:rPr>
          <w:lang w:val="en-US"/>
        </w:rPr>
        <w:t xml:space="preserve">increase in </w:t>
      </w:r>
      <w:r w:rsidR="00F479F7">
        <w:rPr>
          <w:lang w:val="en-US"/>
        </w:rPr>
        <w:t>exports</w:t>
      </w:r>
      <w:r w:rsidR="00695431" w:rsidRPr="00695431">
        <w:rPr>
          <w:lang w:val="en-US"/>
        </w:rPr>
        <w:t xml:space="preserve">, which </w:t>
      </w:r>
      <w:r w:rsidR="004E4D3E">
        <w:rPr>
          <w:lang w:val="en-US"/>
        </w:rPr>
        <w:t>will</w:t>
      </w:r>
      <w:r w:rsidR="00695431" w:rsidRPr="00695431">
        <w:rPr>
          <w:lang w:val="en-US"/>
        </w:rPr>
        <w:t xml:space="preserve"> move production down the cost curve to a lower cost marginal producer.</w:t>
      </w:r>
      <w:r w:rsidR="00695431">
        <w:rPr>
          <w:lang w:val="en-US"/>
        </w:rPr>
        <w:t xml:space="preserve"> </w:t>
      </w:r>
    </w:p>
    <w:p w:rsidR="005A4378" w:rsidRDefault="005A4378" w:rsidP="000914F6">
      <w:pPr>
        <w:rPr>
          <w:lang w:val="en-US"/>
        </w:rPr>
      </w:pPr>
      <w:r w:rsidRPr="005A4378">
        <w:rPr>
          <w:lang w:val="en-US"/>
        </w:rPr>
        <w:t xml:space="preserve">However, </w:t>
      </w:r>
      <w:r>
        <w:rPr>
          <w:lang w:val="en-US"/>
        </w:rPr>
        <w:t xml:space="preserve">recent analysis suggests that the average grade of </w:t>
      </w:r>
      <w:r w:rsidRPr="005A4378">
        <w:rPr>
          <w:lang w:val="en-US"/>
        </w:rPr>
        <w:t xml:space="preserve">iron ore </w:t>
      </w:r>
      <w:r>
        <w:rPr>
          <w:lang w:val="en-US"/>
        </w:rPr>
        <w:t>will be higher than previously expected. Higher grade iron ore is less costly to smelt and therefore attracts a higher price than lower grades.  This has raised the profile of iron ore export prices over the forecast period.</w:t>
      </w:r>
    </w:p>
    <w:p w:rsidR="000914F6" w:rsidRPr="00380F20" w:rsidRDefault="009E16CD" w:rsidP="000914F6">
      <w:pPr>
        <w:rPr>
          <w:lang w:val="en-US"/>
        </w:rPr>
      </w:pPr>
      <w:r w:rsidRPr="009E16CD">
        <w:rPr>
          <w:lang w:val="en-US"/>
        </w:rPr>
        <w:t>Metallurgical coal prices have fallen significantly over the past two years, while therm</w:t>
      </w:r>
      <w:r>
        <w:rPr>
          <w:lang w:val="en-US"/>
        </w:rPr>
        <w:t xml:space="preserve">al coal spot prices have fallen to a lesser extent. </w:t>
      </w:r>
      <w:r w:rsidRPr="009E16CD">
        <w:rPr>
          <w:lang w:val="en-US"/>
        </w:rPr>
        <w:t xml:space="preserve">Both </w:t>
      </w:r>
      <w:r w:rsidR="009A1216">
        <w:rPr>
          <w:lang w:val="en-US"/>
        </w:rPr>
        <w:t>metallurgical and thermal</w:t>
      </w:r>
      <w:r w:rsidRPr="009E16CD">
        <w:rPr>
          <w:lang w:val="en-US"/>
        </w:rPr>
        <w:t xml:space="preserve"> coal prices now appear to reflect marginal producer costs and are expected to remain around their current level, with increasing production costs expected to lead only</w:t>
      </w:r>
      <w:r>
        <w:rPr>
          <w:lang w:val="en-US"/>
        </w:rPr>
        <w:t xml:space="preserve"> to</w:t>
      </w:r>
      <w:r w:rsidRPr="009E16CD">
        <w:rPr>
          <w:lang w:val="en-US"/>
        </w:rPr>
        <w:t xml:space="preserve"> a modest increase in prices over the forecast horizon.</w:t>
      </w:r>
    </w:p>
    <w:p w:rsidR="00E573F9" w:rsidRPr="00380F20" w:rsidRDefault="00E573F9" w:rsidP="000914F6">
      <w:pPr>
        <w:keepNext/>
        <w:spacing w:after="0"/>
        <w:jc w:val="center"/>
        <w:rPr>
          <w:b/>
        </w:rPr>
      </w:pPr>
      <w:r w:rsidRPr="00380F20">
        <w:rPr>
          <w:b/>
        </w:rPr>
        <w:t xml:space="preserve">Chart </w:t>
      </w:r>
      <w:r w:rsidR="00764804">
        <w:rPr>
          <w:b/>
        </w:rPr>
        <w:t>5</w:t>
      </w:r>
      <w:r w:rsidRPr="00380F20">
        <w:rPr>
          <w:b/>
        </w:rPr>
        <w:t>: The terms of trade</w:t>
      </w:r>
    </w:p>
    <w:p w:rsidR="008E5DC2" w:rsidRDefault="00736F39" w:rsidP="008E5DC2">
      <w:pPr>
        <w:pStyle w:val="ChartGraphic0"/>
      </w:pPr>
      <w:r>
        <w:object w:dxaOrig="3961" w:dyaOrig="3961">
          <v:shape id="_x0000_i1031" type="#_x0000_t75" style="width:193.45pt;height:193.45pt" o:ole="">
            <v:imagedata r:id="rId31" o:title=""/>
          </v:shape>
          <o:OLEObject Type="Link" ProgID="Excel.Sheet.12" ShapeID="_x0000_i1031" DrawAspect="Content" r:id="rId32" UpdateMode="Always">
            <o:LinkType>EnhancedMetaFile</o:LinkType>
            <o:LockedField>false</o:LockedField>
          </o:OLEObject>
        </w:object>
      </w:r>
    </w:p>
    <w:p w:rsidR="00E573F9" w:rsidRPr="009B6BDB" w:rsidRDefault="00E573F9" w:rsidP="009B6BDB">
      <w:pPr>
        <w:pStyle w:val="ChartGraphic0"/>
        <w:spacing w:after="120"/>
        <w:jc w:val="left"/>
        <w:rPr>
          <w:rFonts w:ascii="Book Antiqua" w:hAnsi="Book Antiqua"/>
          <w:color w:val="auto"/>
          <w:kern w:val="2"/>
          <w:sz w:val="16"/>
        </w:rPr>
      </w:pPr>
      <w:r w:rsidRPr="009B6BDB">
        <w:rPr>
          <w:rFonts w:ascii="Book Antiqua" w:hAnsi="Book Antiqua"/>
          <w:color w:val="auto"/>
          <w:kern w:val="2"/>
          <w:sz w:val="16"/>
        </w:rPr>
        <w:t>Source: ABS cat. no. 5206.0 and Treasury.</w:t>
      </w:r>
    </w:p>
    <w:p w:rsidR="000918B2" w:rsidRDefault="00E8749B" w:rsidP="00530A29">
      <w:bookmarkStart w:id="18" w:name="_Toc336420551"/>
      <w:r>
        <w:t xml:space="preserve">Forecasts of the </w:t>
      </w:r>
      <w:r w:rsidRPr="000918B2">
        <w:rPr>
          <w:b/>
        </w:rPr>
        <w:t>current account deficit</w:t>
      </w:r>
      <w:r>
        <w:t xml:space="preserve"> have been upgraded significantly since December JEFG as a result of the substantial improvement in the outlook for the trade balance</w:t>
      </w:r>
      <w:r w:rsidR="000918B2">
        <w:t xml:space="preserve"> </w:t>
      </w:r>
      <w:r>
        <w:t xml:space="preserve">and changes to the methodology for forecasting the net income deficit. </w:t>
      </w:r>
      <w:r w:rsidR="000918B2" w:rsidRPr="000914F6">
        <w:t xml:space="preserve">The current account deficit is </w:t>
      </w:r>
      <w:r w:rsidR="000918B2">
        <w:t xml:space="preserve">now </w:t>
      </w:r>
      <w:r w:rsidR="000918B2" w:rsidRPr="000914F6">
        <w:t>expected to be 3½</w:t>
      </w:r>
      <w:r w:rsidR="004E4D3E">
        <w:t> </w:t>
      </w:r>
      <w:r w:rsidR="000918B2" w:rsidRPr="000914F6">
        <w:t>per</w:t>
      </w:r>
      <w:r w:rsidR="004E4D3E">
        <w:t> </w:t>
      </w:r>
      <w:r w:rsidR="000918B2" w:rsidRPr="000914F6">
        <w:t>cent of GDP in 2012-13, 3¾ per cent of GDP in 2013-14 and 3</w:t>
      </w:r>
      <w:r w:rsidR="000918B2">
        <w:t xml:space="preserve">¼ </w:t>
      </w:r>
      <w:r w:rsidR="000918B2" w:rsidRPr="000914F6">
        <w:t>per cent of GDP in 2014-15</w:t>
      </w:r>
      <w:r w:rsidR="00764804">
        <w:t xml:space="preserve"> (</w:t>
      </w:r>
      <w:r w:rsidR="00DD6D59">
        <w:t>C</w:t>
      </w:r>
      <w:r w:rsidR="00764804">
        <w:t>hart 6)</w:t>
      </w:r>
      <w:r w:rsidR="000918B2" w:rsidRPr="000914F6">
        <w:t>.</w:t>
      </w:r>
      <w:r w:rsidR="009C6772">
        <w:t xml:space="preserve"> The trade balance is expected to move </w:t>
      </w:r>
      <w:r w:rsidR="004E4D3E">
        <w:t xml:space="preserve">toward </w:t>
      </w:r>
      <w:r w:rsidR="009C6772">
        <w:t xml:space="preserve">surplus </w:t>
      </w:r>
      <w:r w:rsidR="004E4D3E">
        <w:t>by</w:t>
      </w:r>
      <w:r w:rsidR="009C6772">
        <w:t xml:space="preserve"> the end of the forecast period in line with the better outlook for exports and weaker import growth</w:t>
      </w:r>
      <w:r w:rsidR="008D0AE3">
        <w:t>,</w:t>
      </w:r>
      <w:r w:rsidR="009C6772">
        <w:t xml:space="preserve"> while the </w:t>
      </w:r>
      <w:r w:rsidR="000914F6" w:rsidRPr="000914F6">
        <w:t>net income deficit is</w:t>
      </w:r>
      <w:r w:rsidR="000918B2">
        <w:t xml:space="preserve"> now</w:t>
      </w:r>
      <w:r w:rsidR="000914F6" w:rsidRPr="000914F6">
        <w:t xml:space="preserve"> expected to </w:t>
      </w:r>
      <w:r w:rsidR="000918B2">
        <w:t>remain broadly flat</w:t>
      </w:r>
      <w:r w:rsidR="008D0AE3">
        <w:t xml:space="preserve"> at its current level</w:t>
      </w:r>
      <w:r w:rsidR="000918B2">
        <w:t xml:space="preserve"> over the forecast period</w:t>
      </w:r>
      <w:r w:rsidR="009C6772">
        <w:t xml:space="preserve">. </w:t>
      </w:r>
    </w:p>
    <w:p w:rsidR="008E5DC2" w:rsidRPr="00681283" w:rsidRDefault="008E5DC2" w:rsidP="008E5DC2">
      <w:pPr>
        <w:keepNext/>
        <w:autoSpaceDE w:val="0"/>
        <w:autoSpaceDN w:val="0"/>
        <w:spacing w:after="0"/>
        <w:jc w:val="center"/>
        <w:rPr>
          <w:b/>
        </w:rPr>
      </w:pPr>
      <w:r w:rsidRPr="00681283">
        <w:rPr>
          <w:b/>
        </w:rPr>
        <w:t xml:space="preserve">Chart </w:t>
      </w:r>
      <w:r w:rsidR="00764804">
        <w:rPr>
          <w:b/>
        </w:rPr>
        <w:t>6</w:t>
      </w:r>
      <w:r w:rsidRPr="00681283">
        <w:rPr>
          <w:b/>
        </w:rPr>
        <w:t xml:space="preserve">: </w:t>
      </w:r>
      <w:r>
        <w:rPr>
          <w:b/>
        </w:rPr>
        <w:t>Current account deficit</w:t>
      </w:r>
    </w:p>
    <w:p w:rsidR="008E5DC2" w:rsidRPr="008E5DC2" w:rsidRDefault="00736F39" w:rsidP="0079668F">
      <w:pPr>
        <w:pStyle w:val="ChartGraphic0"/>
        <w:spacing w:after="120"/>
        <w:jc w:val="both"/>
        <w:rPr>
          <w:rFonts w:ascii="Tahoma" w:hAnsi="Tahoma" w:cs="Tahoma"/>
          <w:sz w:val="16"/>
          <w:szCs w:val="16"/>
        </w:rPr>
      </w:pPr>
      <w:r>
        <w:rPr>
          <w:rFonts w:ascii="Tahoma" w:hAnsi="Tahoma" w:cs="Tahoma"/>
          <w:sz w:val="16"/>
          <w:szCs w:val="16"/>
        </w:rPr>
        <w:object w:dxaOrig="4516" w:dyaOrig="4515">
          <v:shape id="_x0000_i1032" type="#_x0000_t75" style="width:201.6pt;height:201.6pt" o:ole="">
            <v:imagedata r:id="rId33" o:title=""/>
          </v:shape>
          <o:OLEObject Type="Link" ProgID="Excel.Sheet.12" ShapeID="_x0000_i1032" DrawAspect="Content" r:id="rId34" UpdateMode="Always">
            <o:LinkType>EnhancedMetaFile</o:LinkType>
            <o:LockedField>false</o:LockedField>
          </o:OLEObject>
        </w:object>
      </w:r>
      <w:r w:rsidR="008E5DC2" w:rsidRPr="009B6BDB">
        <w:rPr>
          <w:rFonts w:ascii="Book Antiqua" w:hAnsi="Book Antiqua"/>
          <w:color w:val="auto"/>
          <w:kern w:val="2"/>
          <w:sz w:val="16"/>
        </w:rPr>
        <w:t xml:space="preserve">Source: ABS cat. </w:t>
      </w:r>
      <w:proofErr w:type="gramStart"/>
      <w:r w:rsidR="008E5DC2" w:rsidRPr="009B6BDB">
        <w:rPr>
          <w:rFonts w:ascii="Book Antiqua" w:hAnsi="Book Antiqua"/>
          <w:color w:val="auto"/>
          <w:kern w:val="2"/>
          <w:sz w:val="16"/>
        </w:rPr>
        <w:t>no</w:t>
      </w:r>
      <w:proofErr w:type="gramEnd"/>
      <w:r w:rsidR="008E5DC2" w:rsidRPr="009B6BDB">
        <w:rPr>
          <w:rFonts w:ascii="Book Antiqua" w:hAnsi="Book Antiqua"/>
          <w:color w:val="auto"/>
          <w:kern w:val="2"/>
          <w:sz w:val="16"/>
        </w:rPr>
        <w:t>. 5302.0 and Treasury.</w:t>
      </w:r>
    </w:p>
    <w:p w:rsidR="00E573F9" w:rsidRPr="00AD764A" w:rsidRDefault="00E573F9" w:rsidP="00C660BA">
      <w:pPr>
        <w:pStyle w:val="Heading4"/>
        <w:spacing w:before="240"/>
        <w:rPr>
          <w:bCs/>
          <w:i/>
          <w:iCs/>
        </w:rPr>
      </w:pPr>
      <w:bookmarkStart w:id="19" w:name="_Toc343518885"/>
      <w:r w:rsidRPr="00AD764A">
        <w:t>Employment, wages and inflation</w:t>
      </w:r>
      <w:bookmarkEnd w:id="18"/>
      <w:bookmarkEnd w:id="19"/>
    </w:p>
    <w:p w:rsidR="00817A68" w:rsidRDefault="00817A68" w:rsidP="009B6BDB">
      <w:pPr>
        <w:spacing w:after="120"/>
        <w:rPr>
          <w:szCs w:val="20"/>
        </w:rPr>
      </w:pPr>
      <w:r w:rsidRPr="00817A68">
        <w:rPr>
          <w:b/>
          <w:szCs w:val="20"/>
        </w:rPr>
        <w:t>Employment</w:t>
      </w:r>
      <w:r w:rsidRPr="00817A68">
        <w:rPr>
          <w:szCs w:val="20"/>
        </w:rPr>
        <w:t xml:space="preserve"> growth is forecast to remain below trend over the next two years at 1¼</w:t>
      </w:r>
      <w:r w:rsidR="004E4D3E">
        <w:rPr>
          <w:szCs w:val="20"/>
        </w:rPr>
        <w:t> </w:t>
      </w:r>
      <w:r w:rsidRPr="00817A68">
        <w:rPr>
          <w:szCs w:val="20"/>
        </w:rPr>
        <w:t>per</w:t>
      </w:r>
      <w:r w:rsidR="004E4D3E">
        <w:rPr>
          <w:szCs w:val="20"/>
        </w:rPr>
        <w:t> </w:t>
      </w:r>
      <w:r w:rsidRPr="00817A68">
        <w:rPr>
          <w:szCs w:val="20"/>
        </w:rPr>
        <w:t>cent</w:t>
      </w:r>
      <w:r>
        <w:rPr>
          <w:szCs w:val="20"/>
        </w:rPr>
        <w:t xml:space="preserve"> in line with below-trend growth in real GDP</w:t>
      </w:r>
      <w:r w:rsidR="00DD15DA">
        <w:rPr>
          <w:szCs w:val="20"/>
        </w:rPr>
        <w:t xml:space="preserve"> (</w:t>
      </w:r>
      <w:r w:rsidR="00DD6D59">
        <w:rPr>
          <w:szCs w:val="20"/>
        </w:rPr>
        <w:t>C</w:t>
      </w:r>
      <w:r w:rsidR="00DD15DA">
        <w:rPr>
          <w:szCs w:val="20"/>
        </w:rPr>
        <w:t xml:space="preserve">hart </w:t>
      </w:r>
      <w:r w:rsidR="00764804">
        <w:rPr>
          <w:szCs w:val="20"/>
        </w:rPr>
        <w:t>7</w:t>
      </w:r>
      <w:r w:rsidR="00DD15DA">
        <w:rPr>
          <w:szCs w:val="20"/>
        </w:rPr>
        <w:t>)</w:t>
      </w:r>
      <w:r w:rsidRPr="00817A68">
        <w:rPr>
          <w:szCs w:val="20"/>
        </w:rPr>
        <w:t xml:space="preserve">. Reflecting the outlook </w:t>
      </w:r>
      <w:r>
        <w:rPr>
          <w:szCs w:val="20"/>
        </w:rPr>
        <w:t xml:space="preserve">for </w:t>
      </w:r>
      <w:r w:rsidR="004E4D3E">
        <w:rPr>
          <w:szCs w:val="20"/>
        </w:rPr>
        <w:t xml:space="preserve">stronger </w:t>
      </w:r>
      <w:r>
        <w:rPr>
          <w:szCs w:val="20"/>
        </w:rPr>
        <w:t xml:space="preserve">real GDP </w:t>
      </w:r>
      <w:r w:rsidR="004E4D3E">
        <w:rPr>
          <w:szCs w:val="20"/>
        </w:rPr>
        <w:t xml:space="preserve">growth </w:t>
      </w:r>
      <w:r w:rsidRPr="00817A68">
        <w:rPr>
          <w:szCs w:val="20"/>
        </w:rPr>
        <w:t>toward the end of the forecast period, forecast employment growth has been upgraded</w:t>
      </w:r>
      <w:r>
        <w:rPr>
          <w:szCs w:val="20"/>
        </w:rPr>
        <w:t xml:space="preserve"> since December JEFG</w:t>
      </w:r>
      <w:r w:rsidRPr="00817A68">
        <w:rPr>
          <w:szCs w:val="20"/>
        </w:rPr>
        <w:t xml:space="preserve"> by ¼</w:t>
      </w:r>
      <w:r w:rsidR="00DD15DA">
        <w:rPr>
          <w:szCs w:val="20"/>
        </w:rPr>
        <w:t> </w:t>
      </w:r>
      <w:r w:rsidRPr="00817A68">
        <w:rPr>
          <w:szCs w:val="20"/>
        </w:rPr>
        <w:t xml:space="preserve">of a percentage point to 1½ per cent in 2014-15. The </w:t>
      </w:r>
      <w:r w:rsidRPr="008D0AE3">
        <w:rPr>
          <w:b/>
          <w:szCs w:val="20"/>
        </w:rPr>
        <w:t>unemployment rate</w:t>
      </w:r>
      <w:r w:rsidRPr="00817A68">
        <w:rPr>
          <w:szCs w:val="20"/>
        </w:rPr>
        <w:t xml:space="preserve"> is expected to gradually rise to</w:t>
      </w:r>
      <w:r>
        <w:rPr>
          <w:szCs w:val="20"/>
        </w:rPr>
        <w:t xml:space="preserve"> 5½ per</w:t>
      </w:r>
      <w:r w:rsidR="004E4D3E">
        <w:rPr>
          <w:szCs w:val="20"/>
        </w:rPr>
        <w:t xml:space="preserve"> cent in the June quarter 2013 and then </w:t>
      </w:r>
      <w:r w:rsidRPr="00817A68">
        <w:rPr>
          <w:szCs w:val="20"/>
        </w:rPr>
        <w:t>5¾</w:t>
      </w:r>
      <w:r>
        <w:rPr>
          <w:szCs w:val="20"/>
        </w:rPr>
        <w:t> </w:t>
      </w:r>
      <w:r w:rsidRPr="00817A68">
        <w:rPr>
          <w:szCs w:val="20"/>
        </w:rPr>
        <w:t xml:space="preserve">per cent </w:t>
      </w:r>
      <w:r>
        <w:rPr>
          <w:szCs w:val="20"/>
        </w:rPr>
        <w:t>in the June quarter 201</w:t>
      </w:r>
      <w:r w:rsidR="008D4A99">
        <w:rPr>
          <w:szCs w:val="20"/>
        </w:rPr>
        <w:t>4</w:t>
      </w:r>
      <w:r w:rsidRPr="00817A68">
        <w:rPr>
          <w:szCs w:val="20"/>
        </w:rPr>
        <w:t xml:space="preserve">, </w:t>
      </w:r>
      <w:r w:rsidR="004E4D3E">
        <w:rPr>
          <w:szCs w:val="20"/>
        </w:rPr>
        <w:t xml:space="preserve">but </w:t>
      </w:r>
      <w:r w:rsidRPr="00817A68">
        <w:rPr>
          <w:szCs w:val="20"/>
        </w:rPr>
        <w:t>stabilise at that level through to</w:t>
      </w:r>
      <w:r w:rsidR="008D4A99">
        <w:rPr>
          <w:szCs w:val="20"/>
        </w:rPr>
        <w:t xml:space="preserve"> the</w:t>
      </w:r>
      <w:r w:rsidRPr="00817A68">
        <w:rPr>
          <w:szCs w:val="20"/>
        </w:rPr>
        <w:t xml:space="preserve"> June</w:t>
      </w:r>
      <w:r>
        <w:rPr>
          <w:szCs w:val="20"/>
        </w:rPr>
        <w:t xml:space="preserve"> quarter</w:t>
      </w:r>
      <w:r w:rsidRPr="00817A68">
        <w:rPr>
          <w:szCs w:val="20"/>
        </w:rPr>
        <w:t xml:space="preserve"> 2015.</w:t>
      </w:r>
    </w:p>
    <w:p w:rsidR="00E573F9" w:rsidRPr="00681283" w:rsidRDefault="00E573F9" w:rsidP="00E573F9">
      <w:pPr>
        <w:keepNext/>
        <w:autoSpaceDE w:val="0"/>
        <w:autoSpaceDN w:val="0"/>
        <w:spacing w:after="0"/>
        <w:jc w:val="center"/>
        <w:rPr>
          <w:b/>
        </w:rPr>
      </w:pPr>
      <w:r w:rsidRPr="00681283">
        <w:rPr>
          <w:b/>
        </w:rPr>
        <w:t xml:space="preserve">Chart </w:t>
      </w:r>
      <w:r w:rsidR="00764804">
        <w:rPr>
          <w:b/>
        </w:rPr>
        <w:t>7</w:t>
      </w:r>
      <w:r w:rsidRPr="00681283">
        <w:rPr>
          <w:b/>
        </w:rPr>
        <w:t>: Employment growth</w:t>
      </w:r>
    </w:p>
    <w:p w:rsidR="00E573F9" w:rsidRPr="00681283" w:rsidRDefault="00DD15DA" w:rsidP="00B444BF">
      <w:pPr>
        <w:pStyle w:val="ChartGraphic0"/>
      </w:pPr>
      <w:r w:rsidRPr="00681283">
        <w:object w:dxaOrig="3961" w:dyaOrig="3961">
          <v:shape id="_x0000_i1033" type="#_x0000_t75" style="width:199.1pt;height:199.1pt" o:ole="">
            <v:imagedata r:id="rId35" o:title=""/>
          </v:shape>
          <o:OLEObject Type="Link" ProgID="Excel.Sheet.12" ShapeID="_x0000_i1033" DrawAspect="Content" r:id="rId36" UpdateMode="Always">
            <o:LinkType>EnhancedMetaFile</o:LinkType>
            <o:LockedField>false</o:LockedField>
            <o:FieldCodes>\* MERGEFORMAT</o:FieldCodes>
          </o:OLEObject>
        </w:object>
      </w:r>
    </w:p>
    <w:p w:rsidR="00E573F9" w:rsidRPr="009B6BDB" w:rsidRDefault="00E573F9" w:rsidP="00E573F9">
      <w:pPr>
        <w:spacing w:after="120"/>
        <w:rPr>
          <w:rFonts w:cs="Arial"/>
          <w:kern w:val="2"/>
          <w:sz w:val="16"/>
        </w:rPr>
      </w:pPr>
      <w:r w:rsidRPr="009B6BDB">
        <w:rPr>
          <w:rFonts w:cs="Arial"/>
          <w:kern w:val="2"/>
          <w:sz w:val="16"/>
        </w:rPr>
        <w:t>Source: ABS cat. no. 6202.0 and Treasury.</w:t>
      </w:r>
    </w:p>
    <w:p w:rsidR="00530A29" w:rsidRPr="001C59EC" w:rsidRDefault="00817A68" w:rsidP="00530A29">
      <w:pPr>
        <w:rPr>
          <w:szCs w:val="20"/>
          <w:highlight w:val="yellow"/>
        </w:rPr>
      </w:pPr>
      <w:r w:rsidRPr="00817A68">
        <w:rPr>
          <w:b/>
          <w:szCs w:val="20"/>
        </w:rPr>
        <w:t xml:space="preserve">Wages </w:t>
      </w:r>
      <w:r w:rsidRPr="00817A68">
        <w:rPr>
          <w:szCs w:val="20"/>
        </w:rPr>
        <w:t>growth</w:t>
      </w:r>
      <w:r w:rsidRPr="00817A68">
        <w:rPr>
          <w:b/>
          <w:szCs w:val="20"/>
        </w:rPr>
        <w:t xml:space="preserve"> </w:t>
      </w:r>
      <w:r w:rsidRPr="00817A68">
        <w:rPr>
          <w:szCs w:val="20"/>
        </w:rPr>
        <w:t xml:space="preserve">is expected to remain </w:t>
      </w:r>
      <w:r>
        <w:rPr>
          <w:szCs w:val="20"/>
        </w:rPr>
        <w:t>subdued</w:t>
      </w:r>
      <w:r w:rsidR="008D0AE3">
        <w:rPr>
          <w:szCs w:val="20"/>
        </w:rPr>
        <w:t xml:space="preserve"> over the forecast period</w:t>
      </w:r>
      <w:r w:rsidRPr="00817A68">
        <w:rPr>
          <w:szCs w:val="20"/>
        </w:rPr>
        <w:t>, consistent with the</w:t>
      </w:r>
      <w:r>
        <w:rPr>
          <w:szCs w:val="20"/>
        </w:rPr>
        <w:t xml:space="preserve"> outlook for below-trend employment growth</w:t>
      </w:r>
      <w:r w:rsidRPr="00817A68">
        <w:rPr>
          <w:szCs w:val="20"/>
        </w:rPr>
        <w:t>. Private sector wages growth has slowed to below its 10</w:t>
      </w:r>
      <w:r w:rsidR="008D4A99">
        <w:rPr>
          <w:szCs w:val="20"/>
        </w:rPr>
        <w:t>-</w:t>
      </w:r>
      <w:r w:rsidRPr="00817A68">
        <w:rPr>
          <w:szCs w:val="20"/>
        </w:rPr>
        <w:t xml:space="preserve">year average, while fiscal consolidation continues to </w:t>
      </w:r>
      <w:r w:rsidR="009A1216">
        <w:rPr>
          <w:szCs w:val="20"/>
        </w:rPr>
        <w:t>dampen</w:t>
      </w:r>
      <w:r w:rsidRPr="00817A68">
        <w:rPr>
          <w:szCs w:val="20"/>
        </w:rPr>
        <w:t xml:space="preserve"> public sector wages growth. The Wage Price Index is forecast to grow 3½ per cent through the year to the June quarters of 2013, 2014 and 2015, unchanged from December JEFG</w:t>
      </w:r>
      <w:r>
        <w:rPr>
          <w:szCs w:val="20"/>
        </w:rPr>
        <w:t>.</w:t>
      </w:r>
    </w:p>
    <w:p w:rsidR="00530A29" w:rsidRPr="001C59EC" w:rsidRDefault="00817A68" w:rsidP="00530A29">
      <w:pPr>
        <w:spacing w:after="120"/>
        <w:rPr>
          <w:szCs w:val="20"/>
          <w:highlight w:val="yellow"/>
        </w:rPr>
      </w:pPr>
      <w:r w:rsidRPr="00283643">
        <w:rPr>
          <w:szCs w:val="20"/>
        </w:rPr>
        <w:t>The outlook for</w:t>
      </w:r>
      <w:r>
        <w:rPr>
          <w:b/>
          <w:szCs w:val="20"/>
        </w:rPr>
        <w:t xml:space="preserve"> i</w:t>
      </w:r>
      <w:r w:rsidRPr="002B7AF6">
        <w:rPr>
          <w:b/>
          <w:szCs w:val="20"/>
        </w:rPr>
        <w:t>nflation</w:t>
      </w:r>
      <w:r w:rsidRPr="002B7AF6">
        <w:rPr>
          <w:szCs w:val="20"/>
        </w:rPr>
        <w:t xml:space="preserve"> is</w:t>
      </w:r>
      <w:r>
        <w:rPr>
          <w:szCs w:val="20"/>
        </w:rPr>
        <w:t xml:space="preserve"> broadly unchanged since the December JEFG. </w:t>
      </w:r>
      <w:r w:rsidR="0054059F">
        <w:rPr>
          <w:szCs w:val="20"/>
        </w:rPr>
        <w:t>Headline i</w:t>
      </w:r>
      <w:r>
        <w:rPr>
          <w:szCs w:val="20"/>
        </w:rPr>
        <w:t xml:space="preserve">nflation </w:t>
      </w:r>
      <w:r w:rsidR="008D0AE3">
        <w:rPr>
          <w:szCs w:val="20"/>
        </w:rPr>
        <w:t xml:space="preserve">in through-the-year terms </w:t>
      </w:r>
      <w:r>
        <w:rPr>
          <w:szCs w:val="20"/>
        </w:rPr>
        <w:t>is</w:t>
      </w:r>
      <w:r w:rsidRPr="002B7AF6">
        <w:rPr>
          <w:szCs w:val="20"/>
        </w:rPr>
        <w:t xml:space="preserve"> expected t</w:t>
      </w:r>
      <w:r w:rsidR="007172FF">
        <w:rPr>
          <w:szCs w:val="20"/>
        </w:rPr>
        <w:t xml:space="preserve">o pick up slightly in </w:t>
      </w:r>
      <w:r w:rsidR="008D4A99">
        <w:rPr>
          <w:szCs w:val="20"/>
        </w:rPr>
        <w:t>2012-13</w:t>
      </w:r>
      <w:r>
        <w:rPr>
          <w:szCs w:val="20"/>
        </w:rPr>
        <w:t>, partly</w:t>
      </w:r>
      <w:r w:rsidR="00797531">
        <w:rPr>
          <w:szCs w:val="20"/>
        </w:rPr>
        <w:t xml:space="preserve"> reflecting the strong September quarter 2012 outcome which included</w:t>
      </w:r>
      <w:r>
        <w:rPr>
          <w:szCs w:val="20"/>
        </w:rPr>
        <w:t xml:space="preserve"> t</w:t>
      </w:r>
      <w:r w:rsidRPr="00DB164B">
        <w:rPr>
          <w:szCs w:val="20"/>
        </w:rPr>
        <w:t>he introduction of the carbon price</w:t>
      </w:r>
      <w:r w:rsidR="00797531">
        <w:rPr>
          <w:szCs w:val="20"/>
        </w:rPr>
        <w:t xml:space="preserve"> and a number of one-off administered price rises</w:t>
      </w:r>
      <w:r>
        <w:rPr>
          <w:szCs w:val="20"/>
        </w:rPr>
        <w:t xml:space="preserve">. However, broader disinflationary pressures remain, with spare capacity in the labour market and solid productivity growth expected to hold down cost pressures and keep inflation within the lower half of the </w:t>
      </w:r>
      <w:r w:rsidR="00DD63D8">
        <w:rPr>
          <w:szCs w:val="20"/>
        </w:rPr>
        <w:t xml:space="preserve">Reserve Bank’s </w:t>
      </w:r>
      <w:r>
        <w:rPr>
          <w:szCs w:val="20"/>
        </w:rPr>
        <w:t>target band for the remainder of the forecast period</w:t>
      </w:r>
      <w:r w:rsidRPr="001A7D81">
        <w:rPr>
          <w:szCs w:val="20"/>
        </w:rPr>
        <w:t xml:space="preserve">.  </w:t>
      </w:r>
      <w:r w:rsidRPr="00201D9E">
        <w:rPr>
          <w:szCs w:val="20"/>
        </w:rPr>
        <w:t>Headline inflation (including the carbon price impact) is expected to be 2¾ per cent through the year to the June quarter 2013 and 2¼ per cent through the year to the June quarters of 2014 and 2015</w:t>
      </w:r>
      <w:r w:rsidR="00DD15DA">
        <w:rPr>
          <w:szCs w:val="20"/>
        </w:rPr>
        <w:t xml:space="preserve"> (</w:t>
      </w:r>
      <w:r w:rsidR="00DD6D59">
        <w:rPr>
          <w:szCs w:val="20"/>
        </w:rPr>
        <w:t>C</w:t>
      </w:r>
      <w:r w:rsidR="00DD15DA">
        <w:rPr>
          <w:szCs w:val="20"/>
        </w:rPr>
        <w:t xml:space="preserve">hart </w:t>
      </w:r>
      <w:r w:rsidR="00764804">
        <w:rPr>
          <w:szCs w:val="20"/>
        </w:rPr>
        <w:t>8</w:t>
      </w:r>
      <w:r w:rsidR="00DD15DA">
        <w:rPr>
          <w:szCs w:val="20"/>
        </w:rPr>
        <w:t>)</w:t>
      </w:r>
      <w:r w:rsidRPr="00201D9E">
        <w:rPr>
          <w:szCs w:val="20"/>
        </w:rPr>
        <w:t>.  Underlying inflation (including the carbon price impact) is expected to be 2½ per cent through the year to the June quarter 2013, and 2¼ per cent through the year to the June quarters of 2014 and 2015</w:t>
      </w:r>
      <w:r>
        <w:rPr>
          <w:szCs w:val="20"/>
        </w:rPr>
        <w:t>.</w:t>
      </w:r>
    </w:p>
    <w:p w:rsidR="00E573F9" w:rsidRPr="00681283" w:rsidRDefault="00E573F9" w:rsidP="00E573F9">
      <w:pPr>
        <w:keepNext/>
        <w:spacing w:after="0"/>
        <w:jc w:val="center"/>
        <w:rPr>
          <w:b/>
        </w:rPr>
      </w:pPr>
      <w:r w:rsidRPr="00681283">
        <w:rPr>
          <w:b/>
        </w:rPr>
        <w:t xml:space="preserve">Chart </w:t>
      </w:r>
      <w:r w:rsidR="00764804">
        <w:rPr>
          <w:b/>
        </w:rPr>
        <w:t>8</w:t>
      </w:r>
      <w:r w:rsidRPr="00681283">
        <w:rPr>
          <w:b/>
        </w:rPr>
        <w:t>: Inflation</w:t>
      </w:r>
    </w:p>
    <w:p w:rsidR="00E573F9" w:rsidRPr="00681283" w:rsidRDefault="00681283" w:rsidP="00243EC5">
      <w:pPr>
        <w:pStyle w:val="ChartGraphic0"/>
      </w:pPr>
      <w:r w:rsidRPr="00681283">
        <w:object w:dxaOrig="3961" w:dyaOrig="3961">
          <v:shape id="_x0000_i1034" type="#_x0000_t75" style="width:199.1pt;height:199.1pt" o:ole="">
            <v:imagedata r:id="rId37" o:title=""/>
          </v:shape>
          <o:OLEObject Type="Link" ProgID="Excel.Sheet.12" ShapeID="_x0000_i1034" DrawAspect="Content" r:id="rId38" UpdateMode="Always">
            <o:LinkType>EnhancedMetaFile</o:LinkType>
            <o:LockedField>false</o:LockedField>
            <o:FieldCodes>\* MERGEFORMAT</o:FieldCodes>
          </o:OLEObject>
        </w:object>
      </w:r>
    </w:p>
    <w:p w:rsidR="00E573F9" w:rsidRDefault="00E573F9" w:rsidP="009B6BDB">
      <w:pPr>
        <w:spacing w:after="120"/>
        <w:rPr>
          <w:rFonts w:cs="Arial"/>
          <w:kern w:val="2"/>
          <w:sz w:val="16"/>
        </w:rPr>
      </w:pPr>
      <w:r w:rsidRPr="009B6BDB">
        <w:rPr>
          <w:rFonts w:cs="Arial"/>
          <w:kern w:val="2"/>
          <w:sz w:val="16"/>
        </w:rPr>
        <w:t xml:space="preserve">Source:  ABS cat. </w:t>
      </w:r>
      <w:proofErr w:type="gramStart"/>
      <w:r w:rsidRPr="009B6BDB">
        <w:rPr>
          <w:rFonts w:cs="Arial"/>
          <w:kern w:val="2"/>
          <w:sz w:val="16"/>
        </w:rPr>
        <w:t>no</w:t>
      </w:r>
      <w:proofErr w:type="gramEnd"/>
      <w:r w:rsidRPr="009B6BDB">
        <w:rPr>
          <w:rFonts w:cs="Arial"/>
          <w:kern w:val="2"/>
          <w:sz w:val="16"/>
        </w:rPr>
        <w:t>. 6401.0 and Treasury.</w:t>
      </w:r>
    </w:p>
    <w:p w:rsidR="009A1216" w:rsidRDefault="009A1216" w:rsidP="009B6BDB">
      <w:pPr>
        <w:spacing w:after="120"/>
        <w:rPr>
          <w:szCs w:val="20"/>
        </w:rPr>
      </w:pPr>
    </w:p>
    <w:p w:rsidR="00E573F9" w:rsidRDefault="00E573F9" w:rsidP="00E573F9">
      <w:pPr>
        <w:spacing w:after="0"/>
      </w:pPr>
    </w:p>
    <w:p w:rsidR="00017D72" w:rsidRDefault="00017D72" w:rsidP="00E573F9">
      <w:pPr>
        <w:spacing w:after="0"/>
        <w:sectPr w:rsidR="00017D72" w:rsidSect="00CA4B93">
          <w:type w:val="continuous"/>
          <w:pgSz w:w="11907" w:h="16840" w:code="9"/>
          <w:pgMar w:top="1418" w:right="1418" w:bottom="1418" w:left="1418" w:header="567" w:footer="567" w:gutter="0"/>
          <w:cols w:num="2" w:space="709"/>
        </w:sectPr>
      </w:pPr>
    </w:p>
    <w:p w:rsidR="00DC5B41" w:rsidRPr="00685CA1" w:rsidRDefault="00DC5B41" w:rsidP="00DC5B41">
      <w:pPr>
        <w:pStyle w:val="Heading3"/>
      </w:pPr>
      <w:bookmarkStart w:id="20" w:name="_Toc116366080"/>
      <w:bookmarkStart w:id="21" w:name="_Toc90808266"/>
      <w:bookmarkStart w:id="22" w:name="_Toc343518886"/>
      <w:bookmarkStart w:id="23" w:name="OLE_LINK1"/>
      <w:bookmarkStart w:id="24" w:name="_Toc90808267"/>
      <w:r w:rsidRPr="00685CA1">
        <w:t>Outlook for the international economy</w:t>
      </w:r>
      <w:bookmarkStart w:id="25" w:name="_Toc90977891"/>
      <w:bookmarkEnd w:id="20"/>
      <w:bookmarkEnd w:id="21"/>
      <w:bookmarkEnd w:id="22"/>
    </w:p>
    <w:bookmarkEnd w:id="25"/>
    <w:p w:rsidR="00685CA1" w:rsidRPr="00271E84" w:rsidRDefault="00685CA1" w:rsidP="00685CA1">
      <w:pPr>
        <w:pStyle w:val="TableHeadingCharChar"/>
      </w:pPr>
      <w:r>
        <w:t xml:space="preserve">Table </w:t>
      </w:r>
      <w:r w:rsidR="00D438B3">
        <w:t>3</w:t>
      </w:r>
      <w:r>
        <w:t xml:space="preserve">: International GDP growth </w:t>
      </w:r>
      <w:proofErr w:type="gramStart"/>
      <w:r>
        <w:t>forecast</w:t>
      </w:r>
      <w:r w:rsidRPr="001B61B7">
        <w:t>s</w:t>
      </w:r>
      <w:r w:rsidRPr="001B61B7">
        <w:rPr>
          <w:rFonts w:cs="Tahoma"/>
          <w:bCs/>
          <w:szCs w:val="22"/>
          <w:vertAlign w:val="superscript"/>
        </w:rPr>
        <w:t>(</w:t>
      </w:r>
      <w:proofErr w:type="gramEnd"/>
      <w:r w:rsidRPr="001B61B7">
        <w:rPr>
          <w:rFonts w:cs="Tahoma"/>
          <w:bCs/>
          <w:szCs w:val="22"/>
          <w:vertAlign w:val="superscript"/>
        </w:rPr>
        <w:t>a)</w:t>
      </w:r>
    </w:p>
    <w:p w:rsidR="00685CA1" w:rsidRPr="000D11AA" w:rsidRDefault="00685CA1" w:rsidP="00685CA1">
      <w:pPr>
        <w:pStyle w:val="ChartGraphic0"/>
      </w:pPr>
      <w:r>
        <w:rPr>
          <w:noProof/>
          <w:lang w:eastAsia="en-AU"/>
        </w:rPr>
        <w:drawing>
          <wp:inline distT="0" distB="0" distL="0" distR="0" wp14:anchorId="28984E89" wp14:editId="7609AD7E">
            <wp:extent cx="5753100" cy="2314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3100" cy="2314575"/>
                    </a:xfrm>
                    <a:prstGeom prst="rect">
                      <a:avLst/>
                    </a:prstGeom>
                    <a:noFill/>
                    <a:ln>
                      <a:noFill/>
                    </a:ln>
                  </pic:spPr>
                </pic:pic>
              </a:graphicData>
            </a:graphic>
          </wp:inline>
        </w:drawing>
      </w:r>
    </w:p>
    <w:p w:rsidR="007C5DE3" w:rsidRDefault="007C5DE3" w:rsidP="007C5DE3">
      <w:pPr>
        <w:pStyle w:val="Heading4"/>
        <w:spacing w:after="120"/>
      </w:pPr>
    </w:p>
    <w:p w:rsidR="007C5DE3" w:rsidRDefault="007C5DE3" w:rsidP="007C5DE3">
      <w:pPr>
        <w:autoSpaceDE w:val="0"/>
        <w:autoSpaceDN w:val="0"/>
        <w:spacing w:after="0"/>
        <w:sectPr w:rsidR="007C5DE3" w:rsidSect="007C5DE3">
          <w:headerReference w:type="default" r:id="rId40"/>
          <w:footerReference w:type="even" r:id="rId41"/>
          <w:footerReference w:type="default" r:id="rId42"/>
          <w:pgSz w:w="11907" w:h="16840" w:code="9"/>
          <w:pgMar w:top="1418" w:right="1418" w:bottom="1418" w:left="1418" w:header="567" w:footer="567" w:gutter="0"/>
          <w:cols w:space="709"/>
        </w:sectPr>
      </w:pPr>
    </w:p>
    <w:p w:rsidR="007C5DE3" w:rsidRPr="005711C2" w:rsidRDefault="007C5DE3" w:rsidP="007C5DE3">
      <w:pPr>
        <w:pStyle w:val="Heading4"/>
        <w:spacing w:after="120"/>
      </w:pPr>
      <w:r>
        <w:t>World outlook and risks</w:t>
      </w:r>
    </w:p>
    <w:p w:rsidR="007C5DE3" w:rsidRPr="00685CA1" w:rsidRDefault="007C5DE3" w:rsidP="007C5DE3">
      <w:pPr>
        <w:autoSpaceDE w:val="0"/>
        <w:autoSpaceDN w:val="0"/>
        <w:spacing w:after="0"/>
      </w:pPr>
      <w:r w:rsidRPr="00685CA1">
        <w:t>The global outlook remains subdued, and has evolved broadly in line with the December JEFG round forecasts. Global financial markets have become more optimistic in recent months, although this likely reflects the avoidance of a worst-case scenario in the second half of 2012, rather than any substantial improvement in the global economic outlook.</w:t>
      </w:r>
    </w:p>
    <w:p w:rsidR="007C5DE3" w:rsidRPr="00685CA1" w:rsidRDefault="007C5DE3" w:rsidP="007C5DE3">
      <w:pPr>
        <w:autoSpaceDE w:val="0"/>
        <w:autoSpaceDN w:val="0"/>
        <w:spacing w:after="0"/>
      </w:pPr>
    </w:p>
    <w:p w:rsidR="007C5DE3" w:rsidRPr="00685CA1" w:rsidRDefault="007C5DE3" w:rsidP="007C5DE3">
      <w:pPr>
        <w:autoSpaceDE w:val="0"/>
        <w:autoSpaceDN w:val="0"/>
        <w:spacing w:after="0"/>
      </w:pPr>
      <w:r w:rsidRPr="00685CA1">
        <w:t xml:space="preserve">The recession in Europe is deepening. Recent events in Cyprus and Italy have highlighted downside risks, suggesting that the region’s outlook may be even weaker than previously anticipated. Nevertheless, there have been a number of positive developments since December JEFG.  China’s growth appears to be strengthening, with the economy avoiding the ‘hard landing’ that some commentators had identified as a risk last year. Meanwhile, the Japanese government and the Bank of Japan have both announced more aggressive policy stimulus that is expected to provide a boost to the economy, at least in the short term. In the United States, a deal was struck on 1 January to avert the majority of the ‘fiscal cliff’, the threat of a government shutdown in late March was avoided, and </w:t>
      </w:r>
      <w:r>
        <w:t xml:space="preserve">a decision on </w:t>
      </w:r>
      <w:r w:rsidRPr="00685CA1">
        <w:t xml:space="preserve">the debt ceiling was extended to the middle of May. </w:t>
      </w:r>
    </w:p>
    <w:bookmarkEnd w:id="23"/>
    <w:bookmarkEnd w:id="24"/>
    <w:p w:rsidR="00685CA1" w:rsidRPr="00685CA1" w:rsidRDefault="00685CA1" w:rsidP="00685CA1">
      <w:pPr>
        <w:autoSpaceDE w:val="0"/>
        <w:autoSpaceDN w:val="0"/>
        <w:spacing w:after="0"/>
      </w:pPr>
    </w:p>
    <w:p w:rsidR="00685CA1" w:rsidRPr="00685CA1" w:rsidRDefault="00685CA1" w:rsidP="00685CA1">
      <w:pPr>
        <w:autoSpaceDE w:val="0"/>
        <w:autoSpaceDN w:val="0"/>
        <w:spacing w:after="0"/>
      </w:pPr>
      <w:r w:rsidRPr="00685CA1">
        <w:t xml:space="preserve">Encouraging though such developments are, risks to the global outlook, while somewhat more balanced than at December JEFG, are still tilted to the downside.  </w:t>
      </w:r>
    </w:p>
    <w:p w:rsidR="00685CA1" w:rsidRPr="00685CA1" w:rsidRDefault="00685CA1" w:rsidP="00685CA1">
      <w:pPr>
        <w:autoSpaceDE w:val="0"/>
        <w:autoSpaceDN w:val="0"/>
        <w:spacing w:after="0"/>
        <w:rPr>
          <w:highlight w:val="yellow"/>
        </w:rPr>
      </w:pPr>
    </w:p>
    <w:p w:rsidR="00685CA1" w:rsidRPr="00685CA1" w:rsidRDefault="00685CA1" w:rsidP="00685CA1">
      <w:pPr>
        <w:autoSpaceDE w:val="0"/>
        <w:autoSpaceDN w:val="0"/>
        <w:spacing w:after="0"/>
      </w:pPr>
      <w:r w:rsidRPr="00685CA1">
        <w:t>Fiscal policy issues continue to cloud the US and global outlooks. The expenditure cuts initially delayed until 1 March under the fiscal cliff agreement will now occur un</w:t>
      </w:r>
      <w:r w:rsidR="00A64892">
        <w:t>impeded</w:t>
      </w:r>
      <w:r w:rsidRPr="00685CA1">
        <w:t xml:space="preserve"> and unchanged by Congress. A protracted debate on raising the debt ceiling in mid</w:t>
      </w:r>
      <w:r w:rsidRPr="00685CA1">
        <w:noBreakHyphen/>
        <w:t>May is a key near</w:t>
      </w:r>
      <w:r w:rsidRPr="00685CA1">
        <w:noBreakHyphen/>
        <w:t xml:space="preserve">term risk.    </w:t>
      </w:r>
    </w:p>
    <w:p w:rsidR="00685CA1" w:rsidRPr="00685CA1" w:rsidRDefault="00685CA1" w:rsidP="00685CA1">
      <w:pPr>
        <w:autoSpaceDE w:val="0"/>
        <w:autoSpaceDN w:val="0"/>
        <w:spacing w:after="0"/>
      </w:pPr>
    </w:p>
    <w:p w:rsidR="00685CA1" w:rsidRPr="00685CA1" w:rsidRDefault="00685CA1" w:rsidP="00685CA1">
      <w:pPr>
        <w:autoSpaceDE w:val="0"/>
        <w:autoSpaceDN w:val="0"/>
        <w:spacing w:after="0"/>
      </w:pPr>
      <w:r w:rsidRPr="00685CA1">
        <w:t xml:space="preserve">While financial conditions in the euro area are relatively stable at present, the crisis remains far from resolved and the region is firmly in recession.  The bailout of Cyprus and the inconclusive Italian election are reminders that downside risks continue to dominate the region’s outlook, including political risks to the implementation and maintenance of necessary structural reform measures. </w:t>
      </w:r>
    </w:p>
    <w:p w:rsidR="00685CA1" w:rsidRPr="00685CA1" w:rsidRDefault="00685CA1" w:rsidP="00685CA1">
      <w:pPr>
        <w:autoSpaceDE w:val="0"/>
        <w:autoSpaceDN w:val="0"/>
        <w:spacing w:after="0"/>
        <w:rPr>
          <w:highlight w:val="yellow"/>
        </w:rPr>
      </w:pPr>
    </w:p>
    <w:p w:rsidR="00685CA1" w:rsidRPr="00685CA1" w:rsidRDefault="00685CA1" w:rsidP="00685CA1">
      <w:pPr>
        <w:autoSpaceDE w:val="0"/>
        <w:autoSpaceDN w:val="0"/>
        <w:spacing w:after="0"/>
      </w:pPr>
      <w:r w:rsidRPr="00685CA1">
        <w:t>Oil prices have eased over the past month or so. Nonetheless, political tensions in the Middle East linger, and accordingly so does the threat of an oil price spike.</w:t>
      </w:r>
    </w:p>
    <w:p w:rsidR="00685CA1" w:rsidRPr="00685CA1" w:rsidRDefault="00685CA1" w:rsidP="00685CA1">
      <w:pPr>
        <w:autoSpaceDE w:val="0"/>
        <w:autoSpaceDN w:val="0"/>
        <w:spacing w:after="0"/>
      </w:pPr>
    </w:p>
    <w:p w:rsidR="00685CA1" w:rsidRPr="00685CA1" w:rsidRDefault="00685CA1" w:rsidP="00685CA1">
      <w:pPr>
        <w:autoSpaceDE w:val="0"/>
        <w:autoSpaceDN w:val="0"/>
        <w:spacing w:after="0"/>
      </w:pPr>
      <w:r w:rsidRPr="00685CA1">
        <w:t>Even assuming that the key risks as outlined are avoided, any improvement in global conditions over the course of 2013 is likely to be relatively modest. Forecasts for global growth are unchanged from December JEFG, with the expectation of below-trend growth</w:t>
      </w:r>
      <w:r w:rsidR="00764804">
        <w:t xml:space="preserve"> of 3½ per cent in 2013 (Chart 9</w:t>
      </w:r>
      <w:r w:rsidRPr="00685CA1">
        <w:t>). While the euro area is now expected to contract slightly in year</w:t>
      </w:r>
      <w:r w:rsidRPr="00685CA1">
        <w:noBreakHyphen/>
        <w:t>average terms in 2013, this additional weakness is largely offset by a more favourable near</w:t>
      </w:r>
      <w:r w:rsidRPr="00685CA1">
        <w:noBreakHyphen/>
        <w:t xml:space="preserve">term outlook for Japan and India. Global growth is then expected to pick up to 4 per cent in 2014 and 2015 as US growth gradually gains further momentum, the euro area begins to grow again and India resumes a more robust rate of growth.  </w:t>
      </w:r>
    </w:p>
    <w:p w:rsidR="00685CA1" w:rsidRPr="00685CA1" w:rsidRDefault="00685CA1" w:rsidP="00685CA1">
      <w:pPr>
        <w:autoSpaceDE w:val="0"/>
        <w:autoSpaceDN w:val="0"/>
        <w:spacing w:after="0"/>
        <w:rPr>
          <w:highlight w:val="yellow"/>
        </w:rPr>
      </w:pPr>
      <w:r w:rsidRPr="00685CA1">
        <w:rPr>
          <w:highlight w:val="yellow"/>
        </w:rPr>
        <w:t xml:space="preserve"> </w:t>
      </w:r>
    </w:p>
    <w:p w:rsidR="00685CA1" w:rsidRPr="009720C7" w:rsidRDefault="00685CA1" w:rsidP="009720C7">
      <w:pPr>
        <w:spacing w:after="0"/>
        <w:jc w:val="center"/>
        <w:rPr>
          <w:b/>
        </w:rPr>
      </w:pPr>
      <w:r w:rsidRPr="009720C7">
        <w:rPr>
          <w:b/>
        </w:rPr>
        <w:t xml:space="preserve">Chart </w:t>
      </w:r>
      <w:r w:rsidR="00764804" w:rsidRPr="009720C7">
        <w:rPr>
          <w:b/>
        </w:rPr>
        <w:t>9</w:t>
      </w:r>
      <w:r w:rsidR="009720C7" w:rsidRPr="009720C7">
        <w:rPr>
          <w:b/>
        </w:rPr>
        <w:t>:</w:t>
      </w:r>
      <w:r w:rsidRPr="009720C7">
        <w:rPr>
          <w:b/>
        </w:rPr>
        <w:t xml:space="preserve"> Global GDP growth</w:t>
      </w:r>
    </w:p>
    <w:p w:rsidR="00685CA1" w:rsidRPr="00685CA1" w:rsidRDefault="00685CA1" w:rsidP="009720C7">
      <w:pPr>
        <w:spacing w:after="0" w:line="360" w:lineRule="auto"/>
        <w:jc w:val="center"/>
      </w:pPr>
      <w:r w:rsidRPr="00685CA1">
        <w:rPr>
          <w:noProof/>
          <w:lang w:eastAsia="en-AU"/>
        </w:rPr>
        <w:drawing>
          <wp:inline distT="0" distB="0" distL="0" distR="0" wp14:anchorId="6A78D5EA" wp14:editId="38B351B1">
            <wp:extent cx="2524125"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24125" cy="2571750"/>
                    </a:xfrm>
                    <a:prstGeom prst="rect">
                      <a:avLst/>
                    </a:prstGeom>
                    <a:noFill/>
                    <a:ln>
                      <a:noFill/>
                    </a:ln>
                  </pic:spPr>
                </pic:pic>
              </a:graphicData>
            </a:graphic>
          </wp:inline>
        </w:drawing>
      </w:r>
    </w:p>
    <w:p w:rsidR="00685CA1" w:rsidRPr="00DD6D59" w:rsidRDefault="00685CA1" w:rsidP="00685CA1">
      <w:pPr>
        <w:spacing w:line="360" w:lineRule="auto"/>
        <w:rPr>
          <w:sz w:val="16"/>
          <w:szCs w:val="16"/>
        </w:rPr>
      </w:pPr>
      <w:r w:rsidRPr="00DD6D59">
        <w:rPr>
          <w:sz w:val="16"/>
          <w:szCs w:val="16"/>
        </w:rPr>
        <w:t>Source: IMF and Treasury.</w:t>
      </w:r>
    </w:p>
    <w:p w:rsidR="00685CA1" w:rsidRPr="00685CA1" w:rsidRDefault="00685CA1" w:rsidP="00685CA1">
      <w:pPr>
        <w:rPr>
          <w:highlight w:val="yellow"/>
        </w:rPr>
      </w:pPr>
      <w:r w:rsidRPr="00685CA1">
        <w:t>Aggregate growth for</w:t>
      </w:r>
      <w:r w:rsidRPr="00685CA1">
        <w:rPr>
          <w:b/>
        </w:rPr>
        <w:t xml:space="preserve"> </w:t>
      </w:r>
      <w:r w:rsidRPr="00685CA1">
        <w:t xml:space="preserve">Australia’s major trading partners (MTPs) has been revised up slightly across the forecast horizon by a ¼ percentage point for each year. </w:t>
      </w:r>
      <w:r w:rsidR="00676D78">
        <w:t>This reflects</w:t>
      </w:r>
      <w:r w:rsidRPr="00685CA1">
        <w:t xml:space="preserve"> slightly better-than-expected outcomes for a number of economies, including China and India. As with the global growth forecasts, the 2013 upgrade reflects improved near-term outlooks for Japan and India, </w:t>
      </w:r>
      <w:r w:rsidR="001E7371" w:rsidRPr="001E7371">
        <w:t>with forecast growth in the ASEAN-5 also slightly higher as outcomes continue to surprise on the upside</w:t>
      </w:r>
      <w:r w:rsidR="009A1216">
        <w:t>.</w:t>
      </w:r>
    </w:p>
    <w:p w:rsidR="00685CA1" w:rsidRPr="00685CA1" w:rsidRDefault="00685CA1" w:rsidP="00685CA1">
      <w:r w:rsidRPr="00685CA1">
        <w:t xml:space="preserve">The forecasts for </w:t>
      </w:r>
      <w:r w:rsidRPr="00685CA1">
        <w:rPr>
          <w:b/>
        </w:rPr>
        <w:t>China’s</w:t>
      </w:r>
      <w:r w:rsidRPr="00685CA1">
        <w:t xml:space="preserve"> growth for 2013 and 2014 are unchanged from December JEFG, at 8 per cent in 2013 and 7¾ per cent in 2014. </w:t>
      </w:r>
    </w:p>
    <w:p w:rsidR="00685CA1" w:rsidRPr="00685CA1" w:rsidRDefault="00685CA1" w:rsidP="00685CA1">
      <w:r w:rsidRPr="00685CA1">
        <w:t>While there are recent signs that the People’s Bank of China (PBC) will adopt a more neutral monetary policy stance in 2013, the accommodative credit conditions that prevailed during 2012 are likely to provide continued impetus for strong growth in investment, at least in the near term. Total social financing – a broad measure of new finance activity – surged in the second half of 2012, supporting an investment-led recovery in economic growth. This saw through</w:t>
      </w:r>
      <w:r w:rsidRPr="00685CA1">
        <w:noBreakHyphen/>
        <w:t>the</w:t>
      </w:r>
      <w:r w:rsidRPr="00685CA1">
        <w:noBreakHyphen/>
        <w:t xml:space="preserve">year growth in GDP strengthen to 7.9 per cent in the December quarter 2012, consistent with the recovery in industrial production growth in the latter half of the year. </w:t>
      </w:r>
    </w:p>
    <w:p w:rsidR="00685CA1" w:rsidRPr="00685CA1" w:rsidRDefault="00685CA1" w:rsidP="00685CA1">
      <w:r w:rsidRPr="00685CA1">
        <w:t xml:space="preserve">The solid near-term growth outlook is also consistent with the latest partial data for 2013. While interpreting these data has been made difficult by the timing of the Chinese New Year, taken as a whole, it suggests economic conditions remained solid in early 2013. While retail sales growth was weaker in January and February than in late 2012, investment and export growth remained strong.  </w:t>
      </w:r>
    </w:p>
    <w:p w:rsidR="00685CA1" w:rsidRPr="00685CA1" w:rsidRDefault="00685CA1" w:rsidP="00685CA1">
      <w:r w:rsidRPr="00685CA1">
        <w:t xml:space="preserve">Looking further ahead, the momentum generated during the second half of 2012 is expected to see economic growth rise to 8 per cent in 2013.  This reflects solid growth prospects for domestic demand, with export demand expected to continue to make a more modest contribution to growth than in previous years, due to the weak growth outlook for many advanced economies in 2013. </w:t>
      </w:r>
    </w:p>
    <w:p w:rsidR="00685CA1" w:rsidRPr="00685CA1" w:rsidRDefault="00685CA1" w:rsidP="00685CA1">
      <w:r w:rsidRPr="00685CA1">
        <w:t xml:space="preserve">The near-term risks to China’s outlook continue to stem mainly from possible developments in advanced economies, although – as discussed elsewhere – these risks appear to have eased since December JEFG. Nonetheless, there is still the possibility that adverse developments in Europe or the US could weigh on China’s growth through weaker-than-expected export demand. </w:t>
      </w:r>
    </w:p>
    <w:p w:rsidR="00685CA1" w:rsidRPr="00685CA1" w:rsidRDefault="00685CA1" w:rsidP="00685CA1">
      <w:r w:rsidRPr="00685CA1">
        <w:t>China’s stabilisation appears to be having flow</w:t>
      </w:r>
      <w:r w:rsidRPr="00685CA1">
        <w:noBreakHyphen/>
        <w:t>on effects to other economies in the region.  Growth strengthened in the highly trade</w:t>
      </w:r>
      <w:r w:rsidRPr="00685CA1">
        <w:noBreakHyphen/>
        <w:t>exposed Newly Industrialised Economies (NIEs) during late 2012, following the noticeable slowdown in their growth reflecting the softening in China and the North Atlantic economies that occurred since late 2011.</w:t>
      </w:r>
    </w:p>
    <w:p w:rsidR="00685CA1" w:rsidRPr="00685CA1" w:rsidRDefault="00685CA1" w:rsidP="00685CA1">
      <w:r w:rsidRPr="00685CA1">
        <w:t xml:space="preserve">Growth forecasts for the </w:t>
      </w:r>
      <w:r w:rsidRPr="00685CA1">
        <w:rPr>
          <w:b/>
        </w:rPr>
        <w:t>United States</w:t>
      </w:r>
      <w:r w:rsidRPr="00685CA1">
        <w:t xml:space="preserve"> are unchanged from December JEFG, with the effect of fiscal drag largely factored into the previous round’s forecasts. While the December quarter growth outcome was flat, this partly reflected temporary factors such as a sharp fall in defence spending, as the private economy remained robust. </w:t>
      </w:r>
    </w:p>
    <w:p w:rsidR="00685CA1" w:rsidRPr="00685CA1" w:rsidRDefault="00685CA1" w:rsidP="00685CA1">
      <w:r w:rsidRPr="00685CA1">
        <w:t xml:space="preserve">Fiscal developments have dominated the US outlook in recent months.  The components of the ‘fiscal cliff’ that weren’t avoided under the 1 January deal, such as the payroll tax expiration, in conjunction with the expenditure sequestration that commenced on 1 March, will provide some drag on already subdued growth. However, partial indicators of consumption and business investment </w:t>
      </w:r>
      <w:r w:rsidR="00676D78">
        <w:t>(</w:t>
      </w:r>
      <w:r w:rsidRPr="00685CA1">
        <w:t>which h</w:t>
      </w:r>
      <w:r w:rsidR="00676D78">
        <w:t xml:space="preserve">ave been key drivers of growth) </w:t>
      </w:r>
      <w:r w:rsidRPr="00685CA1">
        <w:t>appear to be holding up reasonably well.</w:t>
      </w:r>
    </w:p>
    <w:p w:rsidR="00685CA1" w:rsidRPr="00685CA1" w:rsidRDefault="00685CA1" w:rsidP="00685CA1">
      <w:r w:rsidRPr="00685CA1">
        <w:t>A key risk is that the debt ceiling may not be raised in a timely manner in mid</w:t>
      </w:r>
      <w:r w:rsidRPr="00685CA1">
        <w:noBreakHyphen/>
        <w:t xml:space="preserve">May, and </w:t>
      </w:r>
      <w:r w:rsidR="00676D78">
        <w:t xml:space="preserve">that this </w:t>
      </w:r>
      <w:r w:rsidR="001E7371">
        <w:t xml:space="preserve">issue </w:t>
      </w:r>
      <w:r w:rsidR="00676D78">
        <w:t>may not be</w:t>
      </w:r>
      <w:r w:rsidRPr="00685CA1">
        <w:t xml:space="preserve"> resolved on a longer</w:t>
      </w:r>
      <w:r w:rsidRPr="00685CA1">
        <w:noBreakHyphen/>
        <w:t xml:space="preserve">term basis. </w:t>
      </w:r>
    </w:p>
    <w:p w:rsidR="00685CA1" w:rsidRPr="00685CA1" w:rsidRDefault="00685CA1" w:rsidP="00685CA1">
      <w:r w:rsidRPr="00685CA1">
        <w:t xml:space="preserve">Abstracting from fiscal </w:t>
      </w:r>
      <w:r w:rsidR="001E7371">
        <w:t>problems</w:t>
      </w:r>
      <w:r w:rsidRPr="00685CA1">
        <w:t>, there have been some positive developments. In mid</w:t>
      </w:r>
      <w:r w:rsidRPr="00685CA1">
        <w:noBreakHyphen/>
        <w:t>December the Federal Reserve announced further stimulus through an additional US$45 billion per month in asset purchases and extended forward guidance on its very accommodative monetary policy. Payrolls growth has been relatively robust in recent months, and the S&amp;P500 is only slightly below its October 2007 peak.  If the housing sector recovery continues to accelerate at its recent pace, it could pose a welcome upside risk to the US growth outlook.</w:t>
      </w:r>
    </w:p>
    <w:p w:rsidR="00685CA1" w:rsidRPr="00685CA1" w:rsidRDefault="00685CA1" w:rsidP="00685CA1">
      <w:r w:rsidRPr="00685CA1">
        <w:t>The</w:t>
      </w:r>
      <w:r w:rsidRPr="00685CA1">
        <w:rPr>
          <w:b/>
        </w:rPr>
        <w:t xml:space="preserve"> euro area</w:t>
      </w:r>
      <w:r w:rsidRPr="00685CA1">
        <w:t xml:space="preserve"> recession has deepened, with GDP contracting 0.6 per cent in the December quarter including a 0.6 per cent contraction recorded by Germany. Despite the weak December quarter, forward</w:t>
      </w:r>
      <w:r w:rsidRPr="00685CA1">
        <w:noBreakHyphen/>
        <w:t xml:space="preserve">looking indicators for Germany imply that activity may have already bottomed out. However, comparable measures for France show much less sign of improvement and the euro area periphery remains in deep recession. Accordingly, the euro area’s recovery is expected to be even weaker than anticipated at December JEFG, with euro area GDP now forecast to contract by ¼ of a percentage point in 2013. </w:t>
      </w:r>
    </w:p>
    <w:p w:rsidR="00676D78" w:rsidRDefault="00685CA1" w:rsidP="00685CA1">
      <w:r w:rsidRPr="00685CA1">
        <w:t xml:space="preserve">Somewhat in contrast to the recessionary conditions in the region, </w:t>
      </w:r>
      <w:r w:rsidR="001E7371">
        <w:t xml:space="preserve">and </w:t>
      </w:r>
      <w:r w:rsidRPr="00685CA1">
        <w:t>with unemployment continuing to reach new euro</w:t>
      </w:r>
      <w:r w:rsidRPr="00685CA1">
        <w:noBreakHyphen/>
        <w:t xml:space="preserve">era highs, financial conditions have been relatively calm. The European Central Bank’s Outright Monetary Transactions (OMT) program has continued to relieve pressure on troubled sovereigns.  While there is some concern over the political stalemate in Italy following the recent election, this has manifested only mildly in Italian bond yields so far. Furthermore, Spanish bond yields appear unaffected by any market anxiety over the Italian election, suggesting that contagion risks may have receded, at least for now. Nonetheless, the Italian election result highlights that political risks remain a major threat to resolving the crisis in the euro area.  Market reaction to the bailout of Cyprus has also been relatively muted. </w:t>
      </w:r>
    </w:p>
    <w:p w:rsidR="00685CA1" w:rsidRPr="00685CA1" w:rsidRDefault="00685CA1" w:rsidP="00685CA1">
      <w:r w:rsidRPr="00685CA1">
        <w:t>The short</w:t>
      </w:r>
      <w:r w:rsidRPr="00685CA1">
        <w:noBreakHyphen/>
        <w:t xml:space="preserve">term outlook for </w:t>
      </w:r>
      <w:r w:rsidRPr="00685CA1">
        <w:rPr>
          <w:b/>
        </w:rPr>
        <w:t>Japan</w:t>
      </w:r>
      <w:r w:rsidRPr="00685CA1">
        <w:t xml:space="preserve"> has improved since December JEFG. In January, the newly</w:t>
      </w:r>
      <w:r w:rsidRPr="00685CA1">
        <w:noBreakHyphen/>
        <w:t xml:space="preserve">elected Japanese government of Prime Minister </w:t>
      </w:r>
      <w:proofErr w:type="spellStart"/>
      <w:r w:rsidRPr="00685CA1">
        <w:t>Shinzo</w:t>
      </w:r>
      <w:proofErr w:type="spellEnd"/>
      <w:r w:rsidRPr="00685CA1">
        <w:t xml:space="preserve"> Abe announced a supplementary budget package worth around 2 per cent of annual GDP, focussed on public works. Prior to its election in December 2012, the then opposition stated its preference for the Bank of Japan (</w:t>
      </w:r>
      <w:proofErr w:type="spellStart"/>
      <w:r w:rsidRPr="00685CA1">
        <w:t>BoJ</w:t>
      </w:r>
      <w:proofErr w:type="spellEnd"/>
      <w:r w:rsidRPr="00685CA1">
        <w:t xml:space="preserve">) to pursue a more aggressive monetary policy stance. In January the </w:t>
      </w:r>
      <w:proofErr w:type="spellStart"/>
      <w:r w:rsidRPr="00685CA1">
        <w:t>BoJ</w:t>
      </w:r>
      <w:proofErr w:type="spellEnd"/>
      <w:r w:rsidRPr="00685CA1">
        <w:t xml:space="preserve"> announced that it would provide additional monetary stimulus by pursuing a higher inflation target and commencing open</w:t>
      </w:r>
      <w:r w:rsidRPr="00685CA1">
        <w:noBreakHyphen/>
        <w:t xml:space="preserve">ended asset purchases in 2014 once the current round of asset purchases is complete. </w:t>
      </w:r>
    </w:p>
    <w:p w:rsidR="00685CA1" w:rsidRPr="00685CA1" w:rsidRDefault="00685CA1" w:rsidP="00685CA1">
      <w:r w:rsidRPr="00685CA1">
        <w:t>Since the start of the Japanese election campaign in mid</w:t>
      </w:r>
      <w:r w:rsidRPr="00685CA1">
        <w:noBreakHyphen/>
        <w:t xml:space="preserve">November 2012, the yen has depreciated by around 14 per cent against the US dollar sparking complaints within the G20 </w:t>
      </w:r>
      <w:r w:rsidR="00676D78">
        <w:t>of</w:t>
      </w:r>
      <w:r w:rsidRPr="00685CA1">
        <w:t xml:space="preserve"> a ‘currency war’. The lower yen should help export competitiveness but it remains to be seen whether the </w:t>
      </w:r>
      <w:proofErr w:type="spellStart"/>
      <w:r w:rsidRPr="00685CA1">
        <w:t>BoJ</w:t>
      </w:r>
      <w:proofErr w:type="spellEnd"/>
      <w:r w:rsidRPr="00685CA1">
        <w:t xml:space="preserve"> can achieve its higher inflation target, having consistently failed to rid Japan of deflation over the past two decades.    </w:t>
      </w:r>
    </w:p>
    <w:p w:rsidR="00685CA1" w:rsidRPr="00685CA1" w:rsidRDefault="00685CA1" w:rsidP="00685CA1">
      <w:r w:rsidRPr="00685CA1">
        <w:t>During the election campaign, the outcome of an Abe-led government was considered a near certainty, and so the December JEFG forecasts had previously anticipated some degree of policy stimulus post</w:t>
      </w:r>
      <w:r w:rsidRPr="00685CA1">
        <w:noBreakHyphen/>
        <w:t xml:space="preserve">election.  The eventual fiscal stimulus was somewhat larger than assumed, and as such the 2013 forecast for Japan has been revised up by a ¼ of a percentage point to 1¼ per cent. The 2014 forecast remains unchanged, with growth constrained by the assumed introduction of a rise in the consumption tax rate in early 2014. </w:t>
      </w:r>
    </w:p>
    <w:p w:rsidR="00685CA1" w:rsidRPr="00685CA1" w:rsidRDefault="001E7371" w:rsidP="00685CA1">
      <w:r>
        <w:t xml:space="preserve">The forecast for </w:t>
      </w:r>
      <w:r w:rsidR="00685CA1" w:rsidRPr="00685CA1">
        <w:rPr>
          <w:b/>
        </w:rPr>
        <w:t>India’s</w:t>
      </w:r>
      <w:r>
        <w:rPr>
          <w:b/>
        </w:rPr>
        <w:t xml:space="preserve"> </w:t>
      </w:r>
      <w:r>
        <w:t>economic growth in</w:t>
      </w:r>
      <w:r w:rsidR="00685CA1" w:rsidRPr="00685CA1">
        <w:t xml:space="preserve"> 2013 has been upgraded by 1 percentage point to 5¾ per cent. Partial indicators such as the service sector PMI and vehicle sales indicate activity has bottomed out. </w:t>
      </w:r>
    </w:p>
    <w:p w:rsidR="00764804" w:rsidRDefault="00685CA1" w:rsidP="001C59EC">
      <w:r w:rsidRPr="00685CA1">
        <w:t>However the pickup is assumed to be muted, with growth over the remainder of the forecast horizon unchanged. This is due to structural factors such as high inflation, widening fiscal and current account deficits, and various supply</w:t>
      </w:r>
      <w:r w:rsidRPr="00685CA1">
        <w:noBreakHyphen/>
        <w:t>side constraints, which are likely to impede higher rate</w:t>
      </w:r>
      <w:r w:rsidR="009B6BDB">
        <w:t>s of growth in the medium term.</w:t>
      </w:r>
    </w:p>
    <w:p w:rsidR="00F355E8" w:rsidRPr="005D232E" w:rsidRDefault="00F355E8" w:rsidP="00032F38">
      <w:pPr>
        <w:spacing w:after="0" w:line="240" w:lineRule="auto"/>
        <w:jc w:val="left"/>
      </w:pPr>
    </w:p>
    <w:sectPr w:rsidR="00F355E8" w:rsidRPr="005D232E" w:rsidSect="007C5DE3">
      <w:type w:val="continuous"/>
      <w:pgSz w:w="11907" w:h="16840" w:code="9"/>
      <w:pgMar w:top="1418" w:right="1418" w:bottom="1418" w:left="1418" w:header="567" w:footer="567"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6E" w:rsidRDefault="000B5C6E">
      <w:r>
        <w:separator/>
      </w:r>
    </w:p>
  </w:endnote>
  <w:endnote w:type="continuationSeparator" w:id="0">
    <w:p w:rsidR="000B5C6E" w:rsidRDefault="000B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B5C6E"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5C6E" w:rsidRDefault="000B5C6E" w:rsidP="0060744E">
    <w:pPr>
      <w:pStyle w:val="Footer"/>
      <w:ind w:right="360" w:firstLine="360"/>
      <w:jc w:val="center"/>
    </w:pPr>
    <w:r>
      <w:t>PROTECTED</w:t>
    </w:r>
    <w:r>
      <w:fldChar w:fldCharType="begin"/>
    </w:r>
    <w:r>
      <w:instrText xml:space="preserve"> COMMENTS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B5C6E"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BBC">
      <w:rPr>
        <w:rStyle w:val="PageNumber"/>
        <w:noProof/>
      </w:rPr>
      <w:t>2</w:t>
    </w:r>
    <w:r>
      <w:rPr>
        <w:rStyle w:val="PageNumber"/>
      </w:rPr>
      <w:fldChar w:fldCharType="end"/>
    </w:r>
  </w:p>
  <w:p w:rsidR="000B5C6E" w:rsidRPr="00704E0D" w:rsidRDefault="000B5C6E" w:rsidP="000429A4">
    <w:pPr>
      <w:pStyle w:val="Classificatio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BC" w:rsidRDefault="005A6B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B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B5C6E" w:rsidRDefault="000B5C6E">
    <w:pPr>
      <w:pStyle w:val="Footer"/>
      <w:ind w:right="360"/>
      <w:jc w:val="right"/>
    </w:pPr>
    <w:r>
      <w:fldChar w:fldCharType="begin"/>
    </w:r>
    <w:r>
      <w:instrText xml:space="preserve"> COMMENTS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B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BBC">
      <w:rPr>
        <w:rStyle w:val="PageNumber"/>
        <w:noProof/>
      </w:rPr>
      <w:t>3</w:t>
    </w:r>
    <w:r>
      <w:rPr>
        <w:rStyle w:val="PageNumber"/>
      </w:rPr>
      <w:fldChar w:fldCharType="end"/>
    </w:r>
  </w:p>
  <w:p w:rsidR="000B5C6E" w:rsidRDefault="000B5C6E">
    <w:pPr>
      <w:pStyle w:val="Footer"/>
      <w:ind w:right="360"/>
      <w:jc w:val="right"/>
    </w:pPr>
    <w:r>
      <w:fldChar w:fldCharType="begin"/>
    </w:r>
    <w:r>
      <w:instrText xml:space="preserve"> COMMENTS  \* MERGEFORMAT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A1" w:rsidRDefault="00685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85CA1" w:rsidRDefault="00685CA1">
    <w:pPr>
      <w:pStyle w:val="Footer"/>
      <w:ind w:right="360"/>
      <w:jc w:val="right"/>
    </w:pPr>
    <w:r>
      <w:fldChar w:fldCharType="begin"/>
    </w:r>
    <w:r>
      <w:instrText xml:space="preserve"> COMMENTS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A1" w:rsidRDefault="00685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BBC">
      <w:rPr>
        <w:rStyle w:val="PageNumber"/>
        <w:noProof/>
      </w:rPr>
      <w:t>15</w:t>
    </w:r>
    <w:r>
      <w:rPr>
        <w:rStyle w:val="PageNumber"/>
      </w:rPr>
      <w:fldChar w:fldCharType="end"/>
    </w:r>
  </w:p>
  <w:p w:rsidR="00685CA1" w:rsidRDefault="00685CA1">
    <w:pPr>
      <w:pStyle w:val="Footer"/>
      <w:ind w:right="360"/>
      <w:jc w:val="right"/>
    </w:pP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6E" w:rsidRDefault="000B5C6E">
      <w:pPr>
        <w:pStyle w:val="TableBodyText"/>
        <w:spacing w:before="120" w:after="120"/>
      </w:pPr>
      <w:r>
        <w:separator/>
      </w:r>
    </w:p>
  </w:footnote>
  <w:footnote w:type="continuationSeparator" w:id="0">
    <w:p w:rsidR="000B5C6E" w:rsidRDefault="000B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BC" w:rsidRDefault="005A6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BC" w:rsidRDefault="005A6B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BC" w:rsidRDefault="005A6B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5A6BBC">
    <w:pPr>
      <w:framePr w:wrap="around" w:vAnchor="page" w:hAnchor="margin" w:x="14460" w:y="7939" w:anchorLock="1"/>
      <w:rPr>
        <w:rStyle w:val="FramedHeader"/>
      </w:rPr>
    </w:pPr>
    <w:r>
      <w:fldChar w:fldCharType="begin"/>
    </w:r>
    <w:r>
      <w:instrText xml:space="preserve"> TITLE  \* MERGEFORMAT </w:instrText>
    </w:r>
    <w:r>
      <w:fldChar w:fldCharType="separate"/>
    </w:r>
    <w:r w:rsidR="00F169F2" w:rsidRPr="00F169F2">
      <w:rPr>
        <w:rStyle w:val="FramedHeader"/>
      </w:rPr>
      <w:t>March 06 Forecasting Report</w:t>
    </w:r>
    <w:r>
      <w:rPr>
        <w:rStyle w:val="FramedHeader"/>
      </w:rPr>
      <w:fldChar w:fldCharType="end"/>
    </w:r>
  </w:p>
  <w:p w:rsidR="000B5C6E" w:rsidRPr="00841CE6" w:rsidRDefault="000B5C6E" w:rsidP="000429A4">
    <w:pPr>
      <w:pStyle w:val="Header"/>
      <w:jc w:val="center"/>
      <w:rPr>
        <w:rFonts w:asciiTheme="majorHAnsi" w:hAnsiTheme="majorHAnsi"/>
        <w:b/>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A1" w:rsidRDefault="00F169F2">
    <w:pPr>
      <w:framePr w:wrap="around" w:vAnchor="page" w:hAnchor="margin" w:x="14460" w:y="7939" w:anchorLock="1"/>
      <w:rPr>
        <w:rStyle w:val="FramedHeader"/>
      </w:rPr>
    </w:pPr>
    <w:fldSimple w:instr=" TITLE  \* MERGEFORMAT ">
      <w:r w:rsidRPr="00F169F2">
        <w:rPr>
          <w:rStyle w:val="FramedHeader"/>
        </w:rPr>
        <w:t>March 06 Forecasting Report</w:t>
      </w:r>
    </w:fldSimple>
  </w:p>
  <w:p w:rsidR="00685CA1" w:rsidRDefault="00685C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2E3003"/>
    <w:multiLevelType w:val="multilevel"/>
    <w:tmpl w:val="6C9CFC8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7">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1">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2">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2E19AC"/>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5">
    <w:nsid w:val="3B8B757B"/>
    <w:multiLevelType w:val="singleLevel"/>
    <w:tmpl w:val="3D8230E8"/>
    <w:lvl w:ilvl="0">
      <w:start w:val="2"/>
      <w:numFmt w:val="decimal"/>
      <w:lvlText w:val="%1."/>
      <w:lvlJc w:val="left"/>
      <w:pPr>
        <w:tabs>
          <w:tab w:val="num" w:pos="567"/>
        </w:tabs>
        <w:ind w:left="0" w:firstLine="0"/>
      </w:pPr>
    </w:lvl>
  </w:abstractNum>
  <w:abstractNum w:abstractNumId="26">
    <w:nsid w:val="3CF65E56"/>
    <w:multiLevelType w:val="multilevel"/>
    <w:tmpl w:val="736EC11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30">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31">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32">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33">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E8E299C"/>
    <w:multiLevelType w:val="multilevel"/>
    <w:tmpl w:val="9FCE46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8">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9">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44">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5"/>
  </w:num>
  <w:num w:numId="2">
    <w:abstractNumId w:val="30"/>
  </w:num>
  <w:num w:numId="3">
    <w:abstractNumId w:val="20"/>
  </w:num>
  <w:num w:numId="4">
    <w:abstractNumId w:val="44"/>
  </w:num>
  <w:num w:numId="5">
    <w:abstractNumId w:val="11"/>
  </w:num>
  <w:num w:numId="6">
    <w:abstractNumId w:val="15"/>
  </w:num>
  <w:num w:numId="7">
    <w:abstractNumId w:val="19"/>
  </w:num>
  <w:num w:numId="8">
    <w:abstractNumId w:val="37"/>
  </w:num>
  <w:num w:numId="9">
    <w:abstractNumId w:val="40"/>
  </w:num>
  <w:num w:numId="10">
    <w:abstractNumId w:val="16"/>
  </w:num>
  <w:num w:numId="11">
    <w:abstractNumId w:val="36"/>
  </w:num>
  <w:num w:numId="12">
    <w:abstractNumId w:val="21"/>
  </w:num>
  <w:num w:numId="13">
    <w:abstractNumId w:val="43"/>
  </w:num>
  <w:num w:numId="14">
    <w:abstractNumId w:val="13"/>
  </w:num>
  <w:num w:numId="15">
    <w:abstractNumId w:val="1"/>
  </w:num>
  <w:num w:numId="16">
    <w:abstractNumId w:val="7"/>
  </w:num>
  <w:num w:numId="17">
    <w:abstractNumId w:val="33"/>
  </w:num>
  <w:num w:numId="18">
    <w:abstractNumId w:val="4"/>
  </w:num>
  <w:num w:numId="19">
    <w:abstractNumId w:val="28"/>
  </w:num>
  <w:num w:numId="20">
    <w:abstractNumId w:val="2"/>
  </w:num>
  <w:num w:numId="21">
    <w:abstractNumId w:val="6"/>
  </w:num>
  <w:num w:numId="22">
    <w:abstractNumId w:val="8"/>
  </w:num>
  <w:num w:numId="23">
    <w:abstractNumId w:val="23"/>
  </w:num>
  <w:num w:numId="24">
    <w:abstractNumId w:val="45"/>
  </w:num>
  <w:num w:numId="25">
    <w:abstractNumId w:val="17"/>
  </w:num>
  <w:num w:numId="26">
    <w:abstractNumId w:val="41"/>
  </w:num>
  <w:num w:numId="27">
    <w:abstractNumId w:val="3"/>
  </w:num>
  <w:num w:numId="28">
    <w:abstractNumId w:val="22"/>
  </w:num>
  <w:num w:numId="29">
    <w:abstractNumId w:val="18"/>
  </w:num>
  <w:num w:numId="30">
    <w:abstractNumId w:val="27"/>
  </w:num>
  <w:num w:numId="31">
    <w:abstractNumId w:val="42"/>
  </w:num>
  <w:num w:numId="32">
    <w:abstractNumId w:val="10"/>
  </w:num>
  <w:num w:numId="33">
    <w:abstractNumId w:val="32"/>
  </w:num>
  <w:num w:numId="34">
    <w:abstractNumId w:val="9"/>
  </w:num>
  <w:num w:numId="35">
    <w:abstractNumId w:val="5"/>
  </w:num>
  <w:num w:numId="36">
    <w:abstractNumId w:val="0"/>
  </w:num>
  <w:num w:numId="37">
    <w:abstractNumId w:val="12"/>
  </w:num>
  <w:num w:numId="38">
    <w:abstractNumId w:val="39"/>
  </w:num>
  <w:num w:numId="39">
    <w:abstractNumId w:val="38"/>
  </w:num>
  <w:num w:numId="40">
    <w:abstractNumId w:val="31"/>
  </w:num>
  <w:num w:numId="41">
    <w:abstractNumId w:val="25"/>
  </w:num>
  <w:num w:numId="42">
    <w:abstractNumId w:val="14"/>
  </w:num>
  <w:num w:numId="43">
    <w:abstractNumId w:val="26"/>
  </w:num>
  <w:num w:numId="4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2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7E9"/>
    <w:rsid w:val="00000E3B"/>
    <w:rsid w:val="00000F89"/>
    <w:rsid w:val="0000168C"/>
    <w:rsid w:val="00001847"/>
    <w:rsid w:val="00001ECA"/>
    <w:rsid w:val="00001ED7"/>
    <w:rsid w:val="00001F20"/>
    <w:rsid w:val="000024DE"/>
    <w:rsid w:val="00002B6E"/>
    <w:rsid w:val="000032D9"/>
    <w:rsid w:val="0000336A"/>
    <w:rsid w:val="00003654"/>
    <w:rsid w:val="0000396B"/>
    <w:rsid w:val="00003AB4"/>
    <w:rsid w:val="00003D87"/>
    <w:rsid w:val="0000421E"/>
    <w:rsid w:val="000044D9"/>
    <w:rsid w:val="000048F1"/>
    <w:rsid w:val="00004D90"/>
    <w:rsid w:val="00004F72"/>
    <w:rsid w:val="000051F3"/>
    <w:rsid w:val="0000520C"/>
    <w:rsid w:val="00005608"/>
    <w:rsid w:val="000058E4"/>
    <w:rsid w:val="00005A9F"/>
    <w:rsid w:val="00005D3C"/>
    <w:rsid w:val="00006587"/>
    <w:rsid w:val="000066FC"/>
    <w:rsid w:val="00006910"/>
    <w:rsid w:val="00006A6A"/>
    <w:rsid w:val="00006E4D"/>
    <w:rsid w:val="00007037"/>
    <w:rsid w:val="00007138"/>
    <w:rsid w:val="0000744F"/>
    <w:rsid w:val="00007475"/>
    <w:rsid w:val="0000776A"/>
    <w:rsid w:val="00007813"/>
    <w:rsid w:val="0000785F"/>
    <w:rsid w:val="00007DA9"/>
    <w:rsid w:val="0001006B"/>
    <w:rsid w:val="00010FD8"/>
    <w:rsid w:val="000111F8"/>
    <w:rsid w:val="00011C71"/>
    <w:rsid w:val="00012704"/>
    <w:rsid w:val="00012A49"/>
    <w:rsid w:val="00012B6C"/>
    <w:rsid w:val="00012B77"/>
    <w:rsid w:val="00012D40"/>
    <w:rsid w:val="00013369"/>
    <w:rsid w:val="000133E2"/>
    <w:rsid w:val="000144FD"/>
    <w:rsid w:val="0001469E"/>
    <w:rsid w:val="00014D9D"/>
    <w:rsid w:val="00014F14"/>
    <w:rsid w:val="00015306"/>
    <w:rsid w:val="000154D0"/>
    <w:rsid w:val="000157E8"/>
    <w:rsid w:val="0001590F"/>
    <w:rsid w:val="00015E50"/>
    <w:rsid w:val="00015F4B"/>
    <w:rsid w:val="000164DE"/>
    <w:rsid w:val="00016578"/>
    <w:rsid w:val="0001662D"/>
    <w:rsid w:val="00016694"/>
    <w:rsid w:val="00016799"/>
    <w:rsid w:val="000168A0"/>
    <w:rsid w:val="00017156"/>
    <w:rsid w:val="0001742B"/>
    <w:rsid w:val="000179D9"/>
    <w:rsid w:val="00017A31"/>
    <w:rsid w:val="00017BF6"/>
    <w:rsid w:val="00017C34"/>
    <w:rsid w:val="00017D72"/>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4381"/>
    <w:rsid w:val="0002477A"/>
    <w:rsid w:val="000250E5"/>
    <w:rsid w:val="00025281"/>
    <w:rsid w:val="000258BF"/>
    <w:rsid w:val="000258CC"/>
    <w:rsid w:val="00025946"/>
    <w:rsid w:val="00025AF2"/>
    <w:rsid w:val="00026305"/>
    <w:rsid w:val="0002670C"/>
    <w:rsid w:val="000268F1"/>
    <w:rsid w:val="00026F4A"/>
    <w:rsid w:val="000278EB"/>
    <w:rsid w:val="00027E91"/>
    <w:rsid w:val="0003024F"/>
    <w:rsid w:val="00030895"/>
    <w:rsid w:val="00030A75"/>
    <w:rsid w:val="00030FEC"/>
    <w:rsid w:val="000312DD"/>
    <w:rsid w:val="000313E0"/>
    <w:rsid w:val="00031628"/>
    <w:rsid w:val="00031965"/>
    <w:rsid w:val="00031BB7"/>
    <w:rsid w:val="00031BF9"/>
    <w:rsid w:val="00032191"/>
    <w:rsid w:val="00032A80"/>
    <w:rsid w:val="00032DA2"/>
    <w:rsid w:val="00032F38"/>
    <w:rsid w:val="000339CA"/>
    <w:rsid w:val="00033B05"/>
    <w:rsid w:val="00033D2A"/>
    <w:rsid w:val="00033DDD"/>
    <w:rsid w:val="0003423D"/>
    <w:rsid w:val="00034450"/>
    <w:rsid w:val="00034755"/>
    <w:rsid w:val="00034B13"/>
    <w:rsid w:val="00034D5E"/>
    <w:rsid w:val="000353BA"/>
    <w:rsid w:val="00035930"/>
    <w:rsid w:val="00035C48"/>
    <w:rsid w:val="00035D8E"/>
    <w:rsid w:val="00035E67"/>
    <w:rsid w:val="00035EA0"/>
    <w:rsid w:val="00035F2D"/>
    <w:rsid w:val="00035F8B"/>
    <w:rsid w:val="00035FCB"/>
    <w:rsid w:val="000360C1"/>
    <w:rsid w:val="000364AD"/>
    <w:rsid w:val="0003672D"/>
    <w:rsid w:val="00036879"/>
    <w:rsid w:val="00036E11"/>
    <w:rsid w:val="00036EEC"/>
    <w:rsid w:val="000373FA"/>
    <w:rsid w:val="0003768F"/>
    <w:rsid w:val="0003784F"/>
    <w:rsid w:val="00037861"/>
    <w:rsid w:val="00037DDD"/>
    <w:rsid w:val="000401BC"/>
    <w:rsid w:val="000401DE"/>
    <w:rsid w:val="000403CD"/>
    <w:rsid w:val="000405C7"/>
    <w:rsid w:val="0004081C"/>
    <w:rsid w:val="0004100A"/>
    <w:rsid w:val="000410EF"/>
    <w:rsid w:val="000419A9"/>
    <w:rsid w:val="00041AA5"/>
    <w:rsid w:val="000426EA"/>
    <w:rsid w:val="000429A4"/>
    <w:rsid w:val="00042D41"/>
    <w:rsid w:val="00042E8C"/>
    <w:rsid w:val="000430A2"/>
    <w:rsid w:val="00043EBF"/>
    <w:rsid w:val="00044569"/>
    <w:rsid w:val="00044A73"/>
    <w:rsid w:val="0004510F"/>
    <w:rsid w:val="00045533"/>
    <w:rsid w:val="0004566C"/>
    <w:rsid w:val="000458F6"/>
    <w:rsid w:val="00045976"/>
    <w:rsid w:val="000459F5"/>
    <w:rsid w:val="00046D2C"/>
    <w:rsid w:val="00047449"/>
    <w:rsid w:val="00047628"/>
    <w:rsid w:val="00047F8E"/>
    <w:rsid w:val="0005012C"/>
    <w:rsid w:val="000501BB"/>
    <w:rsid w:val="000501DE"/>
    <w:rsid w:val="00050FB5"/>
    <w:rsid w:val="0005100D"/>
    <w:rsid w:val="000510A0"/>
    <w:rsid w:val="00051203"/>
    <w:rsid w:val="000516B9"/>
    <w:rsid w:val="00051A70"/>
    <w:rsid w:val="00052210"/>
    <w:rsid w:val="000523D3"/>
    <w:rsid w:val="00052BA9"/>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748"/>
    <w:rsid w:val="00064AB4"/>
    <w:rsid w:val="00065168"/>
    <w:rsid w:val="000656FF"/>
    <w:rsid w:val="000657E9"/>
    <w:rsid w:val="00065811"/>
    <w:rsid w:val="00065CCB"/>
    <w:rsid w:val="00065D28"/>
    <w:rsid w:val="00065EC5"/>
    <w:rsid w:val="000660EC"/>
    <w:rsid w:val="000664B6"/>
    <w:rsid w:val="00066565"/>
    <w:rsid w:val="00066F39"/>
    <w:rsid w:val="00066F40"/>
    <w:rsid w:val="00067383"/>
    <w:rsid w:val="000679BF"/>
    <w:rsid w:val="00067CA6"/>
    <w:rsid w:val="00070767"/>
    <w:rsid w:val="000707BB"/>
    <w:rsid w:val="00070B41"/>
    <w:rsid w:val="00070E1C"/>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9DE"/>
    <w:rsid w:val="00076B12"/>
    <w:rsid w:val="00076B2B"/>
    <w:rsid w:val="00076EF4"/>
    <w:rsid w:val="0007712B"/>
    <w:rsid w:val="000773F4"/>
    <w:rsid w:val="000779E7"/>
    <w:rsid w:val="0008026B"/>
    <w:rsid w:val="00080673"/>
    <w:rsid w:val="0008103D"/>
    <w:rsid w:val="00081333"/>
    <w:rsid w:val="0008183C"/>
    <w:rsid w:val="00081C5A"/>
    <w:rsid w:val="00082638"/>
    <w:rsid w:val="00082A9F"/>
    <w:rsid w:val="00082E6A"/>
    <w:rsid w:val="00083320"/>
    <w:rsid w:val="000839C7"/>
    <w:rsid w:val="00083DC9"/>
    <w:rsid w:val="00083EB5"/>
    <w:rsid w:val="00083EC2"/>
    <w:rsid w:val="00084887"/>
    <w:rsid w:val="00084AA3"/>
    <w:rsid w:val="00085741"/>
    <w:rsid w:val="00085A30"/>
    <w:rsid w:val="00085D16"/>
    <w:rsid w:val="00085FEA"/>
    <w:rsid w:val="00086191"/>
    <w:rsid w:val="00086271"/>
    <w:rsid w:val="0008641A"/>
    <w:rsid w:val="000868D7"/>
    <w:rsid w:val="00086BDC"/>
    <w:rsid w:val="00086D25"/>
    <w:rsid w:val="00086D69"/>
    <w:rsid w:val="00087675"/>
    <w:rsid w:val="00090E63"/>
    <w:rsid w:val="00090F1C"/>
    <w:rsid w:val="0009108E"/>
    <w:rsid w:val="000911BE"/>
    <w:rsid w:val="000912DF"/>
    <w:rsid w:val="000914F6"/>
    <w:rsid w:val="0009171F"/>
    <w:rsid w:val="000918B2"/>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839"/>
    <w:rsid w:val="00095F2B"/>
    <w:rsid w:val="000962B5"/>
    <w:rsid w:val="000967A8"/>
    <w:rsid w:val="00096846"/>
    <w:rsid w:val="00096D8E"/>
    <w:rsid w:val="0009720F"/>
    <w:rsid w:val="00097478"/>
    <w:rsid w:val="0009771A"/>
    <w:rsid w:val="00097B8F"/>
    <w:rsid w:val="00097EE8"/>
    <w:rsid w:val="000A00EB"/>
    <w:rsid w:val="000A03AA"/>
    <w:rsid w:val="000A0B46"/>
    <w:rsid w:val="000A1CA8"/>
    <w:rsid w:val="000A1E38"/>
    <w:rsid w:val="000A2F3B"/>
    <w:rsid w:val="000A3014"/>
    <w:rsid w:val="000A341E"/>
    <w:rsid w:val="000A351A"/>
    <w:rsid w:val="000A35C5"/>
    <w:rsid w:val="000A3E05"/>
    <w:rsid w:val="000A4079"/>
    <w:rsid w:val="000A4C88"/>
    <w:rsid w:val="000A52FF"/>
    <w:rsid w:val="000A53A4"/>
    <w:rsid w:val="000A541C"/>
    <w:rsid w:val="000A5514"/>
    <w:rsid w:val="000A5E00"/>
    <w:rsid w:val="000A5F56"/>
    <w:rsid w:val="000A620D"/>
    <w:rsid w:val="000A63CE"/>
    <w:rsid w:val="000A6C7C"/>
    <w:rsid w:val="000A6E3C"/>
    <w:rsid w:val="000A74D4"/>
    <w:rsid w:val="000A7696"/>
    <w:rsid w:val="000A77F9"/>
    <w:rsid w:val="000A79FB"/>
    <w:rsid w:val="000A7D5E"/>
    <w:rsid w:val="000B00A1"/>
    <w:rsid w:val="000B1226"/>
    <w:rsid w:val="000B1CCF"/>
    <w:rsid w:val="000B1DBB"/>
    <w:rsid w:val="000B1DEF"/>
    <w:rsid w:val="000B1FEF"/>
    <w:rsid w:val="000B2079"/>
    <w:rsid w:val="000B2636"/>
    <w:rsid w:val="000B2788"/>
    <w:rsid w:val="000B286A"/>
    <w:rsid w:val="000B2CCF"/>
    <w:rsid w:val="000B3011"/>
    <w:rsid w:val="000B3C04"/>
    <w:rsid w:val="000B3ED5"/>
    <w:rsid w:val="000B413C"/>
    <w:rsid w:val="000B4418"/>
    <w:rsid w:val="000B4B20"/>
    <w:rsid w:val="000B5084"/>
    <w:rsid w:val="000B5C5B"/>
    <w:rsid w:val="000B5C6E"/>
    <w:rsid w:val="000B5D87"/>
    <w:rsid w:val="000B5ED5"/>
    <w:rsid w:val="000B62E0"/>
    <w:rsid w:val="000B65B3"/>
    <w:rsid w:val="000B679B"/>
    <w:rsid w:val="000B67AB"/>
    <w:rsid w:val="000B69FC"/>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0AE"/>
    <w:rsid w:val="000C376B"/>
    <w:rsid w:val="000C3B3D"/>
    <w:rsid w:val="000C3CCF"/>
    <w:rsid w:val="000C3E1D"/>
    <w:rsid w:val="000C3F0A"/>
    <w:rsid w:val="000C487A"/>
    <w:rsid w:val="000C4B88"/>
    <w:rsid w:val="000C4E37"/>
    <w:rsid w:val="000C4FF9"/>
    <w:rsid w:val="000C5211"/>
    <w:rsid w:val="000C54DC"/>
    <w:rsid w:val="000C5715"/>
    <w:rsid w:val="000C596E"/>
    <w:rsid w:val="000C5A7B"/>
    <w:rsid w:val="000C61DD"/>
    <w:rsid w:val="000C6596"/>
    <w:rsid w:val="000C6D74"/>
    <w:rsid w:val="000C740B"/>
    <w:rsid w:val="000C78F1"/>
    <w:rsid w:val="000C7B2E"/>
    <w:rsid w:val="000C7B94"/>
    <w:rsid w:val="000C7C6B"/>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6F30"/>
    <w:rsid w:val="000D73E5"/>
    <w:rsid w:val="000D79EB"/>
    <w:rsid w:val="000D7D91"/>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46B"/>
    <w:rsid w:val="000E4560"/>
    <w:rsid w:val="000E457E"/>
    <w:rsid w:val="000E4649"/>
    <w:rsid w:val="000E4655"/>
    <w:rsid w:val="000E4ECF"/>
    <w:rsid w:val="000E531D"/>
    <w:rsid w:val="000E5DD8"/>
    <w:rsid w:val="000E60BD"/>
    <w:rsid w:val="000E6802"/>
    <w:rsid w:val="000E6E1A"/>
    <w:rsid w:val="000E6EE6"/>
    <w:rsid w:val="000E7334"/>
    <w:rsid w:val="000E7D54"/>
    <w:rsid w:val="000F024D"/>
    <w:rsid w:val="000F0522"/>
    <w:rsid w:val="000F139B"/>
    <w:rsid w:val="000F18A2"/>
    <w:rsid w:val="000F1C6E"/>
    <w:rsid w:val="000F212F"/>
    <w:rsid w:val="000F2232"/>
    <w:rsid w:val="000F23F0"/>
    <w:rsid w:val="000F246A"/>
    <w:rsid w:val="000F2749"/>
    <w:rsid w:val="000F2994"/>
    <w:rsid w:val="000F303D"/>
    <w:rsid w:val="000F30C2"/>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C13"/>
    <w:rsid w:val="00100C44"/>
    <w:rsid w:val="00100CC8"/>
    <w:rsid w:val="0010113D"/>
    <w:rsid w:val="0010175B"/>
    <w:rsid w:val="00101870"/>
    <w:rsid w:val="00101A29"/>
    <w:rsid w:val="00101C87"/>
    <w:rsid w:val="00101DE7"/>
    <w:rsid w:val="00101FBE"/>
    <w:rsid w:val="001020BD"/>
    <w:rsid w:val="001022EC"/>
    <w:rsid w:val="0010234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6D95"/>
    <w:rsid w:val="00107297"/>
    <w:rsid w:val="001072B2"/>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3C02"/>
    <w:rsid w:val="00114BBB"/>
    <w:rsid w:val="00115129"/>
    <w:rsid w:val="0011517C"/>
    <w:rsid w:val="001156FC"/>
    <w:rsid w:val="001157E3"/>
    <w:rsid w:val="00115AD5"/>
    <w:rsid w:val="00115F68"/>
    <w:rsid w:val="00116561"/>
    <w:rsid w:val="00116B99"/>
    <w:rsid w:val="00116D4D"/>
    <w:rsid w:val="00116F5A"/>
    <w:rsid w:val="00116F8E"/>
    <w:rsid w:val="00117382"/>
    <w:rsid w:val="00117D6D"/>
    <w:rsid w:val="00117EFB"/>
    <w:rsid w:val="00120E68"/>
    <w:rsid w:val="001216D7"/>
    <w:rsid w:val="00121AC6"/>
    <w:rsid w:val="00122236"/>
    <w:rsid w:val="00122747"/>
    <w:rsid w:val="00122CFE"/>
    <w:rsid w:val="00122EFA"/>
    <w:rsid w:val="00123AF5"/>
    <w:rsid w:val="00123C56"/>
    <w:rsid w:val="00123F25"/>
    <w:rsid w:val="00124243"/>
    <w:rsid w:val="00124CAF"/>
    <w:rsid w:val="001255A6"/>
    <w:rsid w:val="0012560B"/>
    <w:rsid w:val="00125CC7"/>
    <w:rsid w:val="00125E26"/>
    <w:rsid w:val="001260CC"/>
    <w:rsid w:val="00126623"/>
    <w:rsid w:val="0012674A"/>
    <w:rsid w:val="00126B2C"/>
    <w:rsid w:val="00126C9C"/>
    <w:rsid w:val="00126EA6"/>
    <w:rsid w:val="00126EEE"/>
    <w:rsid w:val="001270BC"/>
    <w:rsid w:val="0012767B"/>
    <w:rsid w:val="00130004"/>
    <w:rsid w:val="00130221"/>
    <w:rsid w:val="0013065D"/>
    <w:rsid w:val="00131171"/>
    <w:rsid w:val="001311BF"/>
    <w:rsid w:val="001314FE"/>
    <w:rsid w:val="00131818"/>
    <w:rsid w:val="00132233"/>
    <w:rsid w:val="0013229B"/>
    <w:rsid w:val="00132619"/>
    <w:rsid w:val="00132C59"/>
    <w:rsid w:val="001334AE"/>
    <w:rsid w:val="0013377E"/>
    <w:rsid w:val="001338A1"/>
    <w:rsid w:val="00133985"/>
    <w:rsid w:val="001339AC"/>
    <w:rsid w:val="00133E4A"/>
    <w:rsid w:val="00133FE3"/>
    <w:rsid w:val="00134230"/>
    <w:rsid w:val="00134299"/>
    <w:rsid w:val="00134486"/>
    <w:rsid w:val="0013465B"/>
    <w:rsid w:val="00134663"/>
    <w:rsid w:val="001348EC"/>
    <w:rsid w:val="00134AEA"/>
    <w:rsid w:val="00135047"/>
    <w:rsid w:val="0013558E"/>
    <w:rsid w:val="001355E1"/>
    <w:rsid w:val="00135FBC"/>
    <w:rsid w:val="0013654B"/>
    <w:rsid w:val="001368E2"/>
    <w:rsid w:val="00136BFF"/>
    <w:rsid w:val="001370DE"/>
    <w:rsid w:val="001373BC"/>
    <w:rsid w:val="001376F7"/>
    <w:rsid w:val="00137B03"/>
    <w:rsid w:val="00137DB7"/>
    <w:rsid w:val="00137E4E"/>
    <w:rsid w:val="00137FBF"/>
    <w:rsid w:val="00140023"/>
    <w:rsid w:val="001404B4"/>
    <w:rsid w:val="00140C94"/>
    <w:rsid w:val="00141DEC"/>
    <w:rsid w:val="00142CB5"/>
    <w:rsid w:val="00142CCD"/>
    <w:rsid w:val="00142CE6"/>
    <w:rsid w:val="00143827"/>
    <w:rsid w:val="001440B4"/>
    <w:rsid w:val="00144455"/>
    <w:rsid w:val="00144866"/>
    <w:rsid w:val="0014491F"/>
    <w:rsid w:val="00145115"/>
    <w:rsid w:val="0014581D"/>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3A4"/>
    <w:rsid w:val="00154807"/>
    <w:rsid w:val="0015540F"/>
    <w:rsid w:val="001560BA"/>
    <w:rsid w:val="001561EB"/>
    <w:rsid w:val="001571E2"/>
    <w:rsid w:val="001577EB"/>
    <w:rsid w:val="001578A8"/>
    <w:rsid w:val="00157F35"/>
    <w:rsid w:val="00160830"/>
    <w:rsid w:val="00160A54"/>
    <w:rsid w:val="00160EFE"/>
    <w:rsid w:val="00161069"/>
    <w:rsid w:val="00161A99"/>
    <w:rsid w:val="00162046"/>
    <w:rsid w:val="001625F1"/>
    <w:rsid w:val="00162649"/>
    <w:rsid w:val="0016298D"/>
    <w:rsid w:val="00162B76"/>
    <w:rsid w:val="0016342F"/>
    <w:rsid w:val="00163896"/>
    <w:rsid w:val="00163ABD"/>
    <w:rsid w:val="00163E47"/>
    <w:rsid w:val="00164316"/>
    <w:rsid w:val="001647A1"/>
    <w:rsid w:val="001648FE"/>
    <w:rsid w:val="00164AE8"/>
    <w:rsid w:val="00164C98"/>
    <w:rsid w:val="001652F2"/>
    <w:rsid w:val="001654A9"/>
    <w:rsid w:val="00165860"/>
    <w:rsid w:val="00165CDE"/>
    <w:rsid w:val="00166004"/>
    <w:rsid w:val="00166108"/>
    <w:rsid w:val="00166576"/>
    <w:rsid w:val="001669BB"/>
    <w:rsid w:val="00166A67"/>
    <w:rsid w:val="001672F6"/>
    <w:rsid w:val="00167EA5"/>
    <w:rsid w:val="0017044D"/>
    <w:rsid w:val="00170868"/>
    <w:rsid w:val="0017192A"/>
    <w:rsid w:val="00171930"/>
    <w:rsid w:val="00171A03"/>
    <w:rsid w:val="001720C8"/>
    <w:rsid w:val="001724FC"/>
    <w:rsid w:val="00172A53"/>
    <w:rsid w:val="00172A57"/>
    <w:rsid w:val="00172AA9"/>
    <w:rsid w:val="001734AE"/>
    <w:rsid w:val="00173AFD"/>
    <w:rsid w:val="001740DF"/>
    <w:rsid w:val="00174314"/>
    <w:rsid w:val="00174351"/>
    <w:rsid w:val="001743CB"/>
    <w:rsid w:val="00174563"/>
    <w:rsid w:val="001747C0"/>
    <w:rsid w:val="00174BCA"/>
    <w:rsid w:val="00174D62"/>
    <w:rsid w:val="00175934"/>
    <w:rsid w:val="00175C6B"/>
    <w:rsid w:val="0017614D"/>
    <w:rsid w:val="001763B9"/>
    <w:rsid w:val="00176700"/>
    <w:rsid w:val="001769D4"/>
    <w:rsid w:val="00176D21"/>
    <w:rsid w:val="001771F7"/>
    <w:rsid w:val="00177899"/>
    <w:rsid w:val="00177A89"/>
    <w:rsid w:val="00180213"/>
    <w:rsid w:val="00180BC5"/>
    <w:rsid w:val="00181017"/>
    <w:rsid w:val="001814C4"/>
    <w:rsid w:val="0018175C"/>
    <w:rsid w:val="00181CC2"/>
    <w:rsid w:val="0018269D"/>
    <w:rsid w:val="00182BE5"/>
    <w:rsid w:val="00182FEC"/>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902A1"/>
    <w:rsid w:val="00190428"/>
    <w:rsid w:val="0019086F"/>
    <w:rsid w:val="001908CC"/>
    <w:rsid w:val="00190BEC"/>
    <w:rsid w:val="00190C8D"/>
    <w:rsid w:val="00190D6F"/>
    <w:rsid w:val="0019163C"/>
    <w:rsid w:val="00191D10"/>
    <w:rsid w:val="00191E76"/>
    <w:rsid w:val="001921FE"/>
    <w:rsid w:val="001928FD"/>
    <w:rsid w:val="00192B96"/>
    <w:rsid w:val="00192EC8"/>
    <w:rsid w:val="00192F45"/>
    <w:rsid w:val="001937D4"/>
    <w:rsid w:val="001937F9"/>
    <w:rsid w:val="00193846"/>
    <w:rsid w:val="00193BA0"/>
    <w:rsid w:val="00194364"/>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E3D"/>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8C2"/>
    <w:rsid w:val="001A6DA3"/>
    <w:rsid w:val="001A71B5"/>
    <w:rsid w:val="001A7540"/>
    <w:rsid w:val="001A7754"/>
    <w:rsid w:val="001A7EE0"/>
    <w:rsid w:val="001B0055"/>
    <w:rsid w:val="001B0169"/>
    <w:rsid w:val="001B046D"/>
    <w:rsid w:val="001B08FF"/>
    <w:rsid w:val="001B0CCF"/>
    <w:rsid w:val="001B0E64"/>
    <w:rsid w:val="001B0FCC"/>
    <w:rsid w:val="001B127E"/>
    <w:rsid w:val="001B175E"/>
    <w:rsid w:val="001B22DE"/>
    <w:rsid w:val="001B29DC"/>
    <w:rsid w:val="001B2C06"/>
    <w:rsid w:val="001B2D0A"/>
    <w:rsid w:val="001B353B"/>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DBD"/>
    <w:rsid w:val="001B70D9"/>
    <w:rsid w:val="001B7970"/>
    <w:rsid w:val="001B7B5E"/>
    <w:rsid w:val="001C0049"/>
    <w:rsid w:val="001C0875"/>
    <w:rsid w:val="001C0A89"/>
    <w:rsid w:val="001C0C34"/>
    <w:rsid w:val="001C0EEA"/>
    <w:rsid w:val="001C13C2"/>
    <w:rsid w:val="001C16A0"/>
    <w:rsid w:val="001C1AF3"/>
    <w:rsid w:val="001C1B89"/>
    <w:rsid w:val="001C1CC6"/>
    <w:rsid w:val="001C1DD8"/>
    <w:rsid w:val="001C2299"/>
    <w:rsid w:val="001C2373"/>
    <w:rsid w:val="001C2A96"/>
    <w:rsid w:val="001C3896"/>
    <w:rsid w:val="001C3D6E"/>
    <w:rsid w:val="001C3E87"/>
    <w:rsid w:val="001C4277"/>
    <w:rsid w:val="001C43DD"/>
    <w:rsid w:val="001C4BB4"/>
    <w:rsid w:val="001C4CF6"/>
    <w:rsid w:val="001C4D67"/>
    <w:rsid w:val="001C4F40"/>
    <w:rsid w:val="001C520E"/>
    <w:rsid w:val="001C59EC"/>
    <w:rsid w:val="001C5CC5"/>
    <w:rsid w:val="001C64DA"/>
    <w:rsid w:val="001C6DA8"/>
    <w:rsid w:val="001C726F"/>
    <w:rsid w:val="001C7606"/>
    <w:rsid w:val="001C79F3"/>
    <w:rsid w:val="001D034C"/>
    <w:rsid w:val="001D0350"/>
    <w:rsid w:val="001D052C"/>
    <w:rsid w:val="001D06F2"/>
    <w:rsid w:val="001D0BC0"/>
    <w:rsid w:val="001D0D9F"/>
    <w:rsid w:val="001D1223"/>
    <w:rsid w:val="001D122E"/>
    <w:rsid w:val="001D15C4"/>
    <w:rsid w:val="001D170A"/>
    <w:rsid w:val="001D1D4F"/>
    <w:rsid w:val="001D1DAA"/>
    <w:rsid w:val="001D1EC1"/>
    <w:rsid w:val="001D3124"/>
    <w:rsid w:val="001D318D"/>
    <w:rsid w:val="001D35AA"/>
    <w:rsid w:val="001D372E"/>
    <w:rsid w:val="001D3749"/>
    <w:rsid w:val="001D3CC0"/>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C74"/>
    <w:rsid w:val="001E4D11"/>
    <w:rsid w:val="001E4EF3"/>
    <w:rsid w:val="001E5878"/>
    <w:rsid w:val="001E5917"/>
    <w:rsid w:val="001E6493"/>
    <w:rsid w:val="001E68AE"/>
    <w:rsid w:val="001E6967"/>
    <w:rsid w:val="001E6E6B"/>
    <w:rsid w:val="001E6FAD"/>
    <w:rsid w:val="001E723F"/>
    <w:rsid w:val="001E7371"/>
    <w:rsid w:val="001E79AA"/>
    <w:rsid w:val="001E7E88"/>
    <w:rsid w:val="001F0384"/>
    <w:rsid w:val="001F099D"/>
    <w:rsid w:val="001F0AF0"/>
    <w:rsid w:val="001F0B75"/>
    <w:rsid w:val="001F100E"/>
    <w:rsid w:val="001F1298"/>
    <w:rsid w:val="001F133A"/>
    <w:rsid w:val="001F1719"/>
    <w:rsid w:val="001F18CE"/>
    <w:rsid w:val="001F1C53"/>
    <w:rsid w:val="001F23AE"/>
    <w:rsid w:val="001F3AED"/>
    <w:rsid w:val="001F4E9F"/>
    <w:rsid w:val="001F5265"/>
    <w:rsid w:val="001F5F51"/>
    <w:rsid w:val="001F64A6"/>
    <w:rsid w:val="001F6A86"/>
    <w:rsid w:val="001F6B2C"/>
    <w:rsid w:val="001F6BC4"/>
    <w:rsid w:val="001F7193"/>
    <w:rsid w:val="001F72DE"/>
    <w:rsid w:val="001F783E"/>
    <w:rsid w:val="001F79AC"/>
    <w:rsid w:val="001F79DF"/>
    <w:rsid w:val="00201146"/>
    <w:rsid w:val="00201224"/>
    <w:rsid w:val="00201370"/>
    <w:rsid w:val="002019E6"/>
    <w:rsid w:val="00201C28"/>
    <w:rsid w:val="00201C89"/>
    <w:rsid w:val="00201ED5"/>
    <w:rsid w:val="002020D5"/>
    <w:rsid w:val="002023D2"/>
    <w:rsid w:val="0020347C"/>
    <w:rsid w:val="002035E5"/>
    <w:rsid w:val="00203901"/>
    <w:rsid w:val="00203AF4"/>
    <w:rsid w:val="00203B13"/>
    <w:rsid w:val="0020425D"/>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767"/>
    <w:rsid w:val="002169C5"/>
    <w:rsid w:val="00216C30"/>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5149"/>
    <w:rsid w:val="002256E7"/>
    <w:rsid w:val="002259EA"/>
    <w:rsid w:val="00226397"/>
    <w:rsid w:val="0022679D"/>
    <w:rsid w:val="002267E4"/>
    <w:rsid w:val="00226951"/>
    <w:rsid w:val="00226CB5"/>
    <w:rsid w:val="00226EBA"/>
    <w:rsid w:val="0022716D"/>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44D1"/>
    <w:rsid w:val="00234998"/>
    <w:rsid w:val="00234C45"/>
    <w:rsid w:val="00234D4B"/>
    <w:rsid w:val="00235237"/>
    <w:rsid w:val="00235280"/>
    <w:rsid w:val="0023557E"/>
    <w:rsid w:val="00235759"/>
    <w:rsid w:val="00235DC0"/>
    <w:rsid w:val="002366BD"/>
    <w:rsid w:val="00236852"/>
    <w:rsid w:val="002369A3"/>
    <w:rsid w:val="00236B0C"/>
    <w:rsid w:val="00237635"/>
    <w:rsid w:val="00237A1E"/>
    <w:rsid w:val="00237B5E"/>
    <w:rsid w:val="00237BA9"/>
    <w:rsid w:val="002409B0"/>
    <w:rsid w:val="00240A1D"/>
    <w:rsid w:val="00240AF9"/>
    <w:rsid w:val="00240EC4"/>
    <w:rsid w:val="002418F9"/>
    <w:rsid w:val="00241B19"/>
    <w:rsid w:val="00241BB5"/>
    <w:rsid w:val="00241D24"/>
    <w:rsid w:val="00242470"/>
    <w:rsid w:val="002425BE"/>
    <w:rsid w:val="002426CB"/>
    <w:rsid w:val="0024287D"/>
    <w:rsid w:val="00242CEE"/>
    <w:rsid w:val="00243428"/>
    <w:rsid w:val="00243506"/>
    <w:rsid w:val="00243964"/>
    <w:rsid w:val="00243B7C"/>
    <w:rsid w:val="00243C9D"/>
    <w:rsid w:val="00243EC4"/>
    <w:rsid w:val="00243EC5"/>
    <w:rsid w:val="002446F9"/>
    <w:rsid w:val="00244FF9"/>
    <w:rsid w:val="00245046"/>
    <w:rsid w:val="002451FA"/>
    <w:rsid w:val="00245339"/>
    <w:rsid w:val="00245C33"/>
    <w:rsid w:val="002460DD"/>
    <w:rsid w:val="002462F1"/>
    <w:rsid w:val="00246F35"/>
    <w:rsid w:val="002471EC"/>
    <w:rsid w:val="0024743D"/>
    <w:rsid w:val="002478FF"/>
    <w:rsid w:val="002501F1"/>
    <w:rsid w:val="002502F9"/>
    <w:rsid w:val="00250634"/>
    <w:rsid w:val="0025082F"/>
    <w:rsid w:val="00250ADF"/>
    <w:rsid w:val="0025101E"/>
    <w:rsid w:val="002516B1"/>
    <w:rsid w:val="00251CAC"/>
    <w:rsid w:val="00251E31"/>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729"/>
    <w:rsid w:val="00261CC1"/>
    <w:rsid w:val="0026247A"/>
    <w:rsid w:val="0026297E"/>
    <w:rsid w:val="00263767"/>
    <w:rsid w:val="00263B3E"/>
    <w:rsid w:val="00263DF0"/>
    <w:rsid w:val="002643BE"/>
    <w:rsid w:val="00264992"/>
    <w:rsid w:val="00264BF5"/>
    <w:rsid w:val="00264F69"/>
    <w:rsid w:val="00265379"/>
    <w:rsid w:val="00265494"/>
    <w:rsid w:val="00265C5F"/>
    <w:rsid w:val="0026606D"/>
    <w:rsid w:val="002660ED"/>
    <w:rsid w:val="0026620E"/>
    <w:rsid w:val="00266315"/>
    <w:rsid w:val="0026661D"/>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D"/>
    <w:rsid w:val="00272A51"/>
    <w:rsid w:val="00272F28"/>
    <w:rsid w:val="0027352A"/>
    <w:rsid w:val="00273759"/>
    <w:rsid w:val="002739C4"/>
    <w:rsid w:val="00273A21"/>
    <w:rsid w:val="002741C2"/>
    <w:rsid w:val="0027461D"/>
    <w:rsid w:val="0027465D"/>
    <w:rsid w:val="00274997"/>
    <w:rsid w:val="002749BA"/>
    <w:rsid w:val="00274A9B"/>
    <w:rsid w:val="00274BA3"/>
    <w:rsid w:val="002750F9"/>
    <w:rsid w:val="00275399"/>
    <w:rsid w:val="00275740"/>
    <w:rsid w:val="002766ED"/>
    <w:rsid w:val="00276BD4"/>
    <w:rsid w:val="00276D87"/>
    <w:rsid w:val="0027709D"/>
    <w:rsid w:val="002775DA"/>
    <w:rsid w:val="002779E9"/>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8"/>
    <w:rsid w:val="00284409"/>
    <w:rsid w:val="00284707"/>
    <w:rsid w:val="00284724"/>
    <w:rsid w:val="00284812"/>
    <w:rsid w:val="00284FA5"/>
    <w:rsid w:val="0028544B"/>
    <w:rsid w:val="00285FDE"/>
    <w:rsid w:val="00286036"/>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79F"/>
    <w:rsid w:val="00293562"/>
    <w:rsid w:val="002936DE"/>
    <w:rsid w:val="002939F0"/>
    <w:rsid w:val="002940D6"/>
    <w:rsid w:val="00294545"/>
    <w:rsid w:val="00294889"/>
    <w:rsid w:val="00294BBD"/>
    <w:rsid w:val="00295181"/>
    <w:rsid w:val="0029529A"/>
    <w:rsid w:val="00295641"/>
    <w:rsid w:val="00295A99"/>
    <w:rsid w:val="00296249"/>
    <w:rsid w:val="002964B0"/>
    <w:rsid w:val="002965DF"/>
    <w:rsid w:val="00296DCF"/>
    <w:rsid w:val="002975BA"/>
    <w:rsid w:val="002978F0"/>
    <w:rsid w:val="00297A54"/>
    <w:rsid w:val="00297ED0"/>
    <w:rsid w:val="002A01CB"/>
    <w:rsid w:val="002A04A4"/>
    <w:rsid w:val="002A07FB"/>
    <w:rsid w:val="002A0B33"/>
    <w:rsid w:val="002A158B"/>
    <w:rsid w:val="002A1687"/>
    <w:rsid w:val="002A18A0"/>
    <w:rsid w:val="002A18E4"/>
    <w:rsid w:val="002A1C98"/>
    <w:rsid w:val="002A264C"/>
    <w:rsid w:val="002A2950"/>
    <w:rsid w:val="002A30C2"/>
    <w:rsid w:val="002A3483"/>
    <w:rsid w:val="002A3AF2"/>
    <w:rsid w:val="002A45F6"/>
    <w:rsid w:val="002A4E24"/>
    <w:rsid w:val="002A5297"/>
    <w:rsid w:val="002A5A73"/>
    <w:rsid w:val="002A6204"/>
    <w:rsid w:val="002A629C"/>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D0E"/>
    <w:rsid w:val="002B0D75"/>
    <w:rsid w:val="002B0E50"/>
    <w:rsid w:val="002B12C4"/>
    <w:rsid w:val="002B12F4"/>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7B9"/>
    <w:rsid w:val="002C0B45"/>
    <w:rsid w:val="002C1997"/>
    <w:rsid w:val="002C1B0D"/>
    <w:rsid w:val="002C207D"/>
    <w:rsid w:val="002C24C8"/>
    <w:rsid w:val="002C3123"/>
    <w:rsid w:val="002C3A5A"/>
    <w:rsid w:val="002C4092"/>
    <w:rsid w:val="002C4620"/>
    <w:rsid w:val="002C473E"/>
    <w:rsid w:val="002C4771"/>
    <w:rsid w:val="002C4ACB"/>
    <w:rsid w:val="002C4E32"/>
    <w:rsid w:val="002C4F3E"/>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2B00"/>
    <w:rsid w:val="002D3066"/>
    <w:rsid w:val="002D3BED"/>
    <w:rsid w:val="002D3D0F"/>
    <w:rsid w:val="002D4433"/>
    <w:rsid w:val="002D4CB3"/>
    <w:rsid w:val="002D4E04"/>
    <w:rsid w:val="002D4F40"/>
    <w:rsid w:val="002D5269"/>
    <w:rsid w:val="002D54A5"/>
    <w:rsid w:val="002D5EBC"/>
    <w:rsid w:val="002D5ED8"/>
    <w:rsid w:val="002D6310"/>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5132"/>
    <w:rsid w:val="002E5576"/>
    <w:rsid w:val="002E5742"/>
    <w:rsid w:val="002E5A20"/>
    <w:rsid w:val="002E5AC5"/>
    <w:rsid w:val="002E6D48"/>
    <w:rsid w:val="002E6E9B"/>
    <w:rsid w:val="002E6FB8"/>
    <w:rsid w:val="002E73FB"/>
    <w:rsid w:val="002E757D"/>
    <w:rsid w:val="002E77F4"/>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406A"/>
    <w:rsid w:val="002F4544"/>
    <w:rsid w:val="002F49DE"/>
    <w:rsid w:val="002F5249"/>
    <w:rsid w:val="002F5A20"/>
    <w:rsid w:val="002F629B"/>
    <w:rsid w:val="002F6550"/>
    <w:rsid w:val="002F65C6"/>
    <w:rsid w:val="002F6658"/>
    <w:rsid w:val="002F66E9"/>
    <w:rsid w:val="002F67DC"/>
    <w:rsid w:val="002F6AD9"/>
    <w:rsid w:val="002F6C56"/>
    <w:rsid w:val="002F70A3"/>
    <w:rsid w:val="002F77A3"/>
    <w:rsid w:val="002F7DE5"/>
    <w:rsid w:val="002F7F30"/>
    <w:rsid w:val="002F7F34"/>
    <w:rsid w:val="002F7F4A"/>
    <w:rsid w:val="003001E5"/>
    <w:rsid w:val="00300B2B"/>
    <w:rsid w:val="00300EA9"/>
    <w:rsid w:val="00301020"/>
    <w:rsid w:val="00301274"/>
    <w:rsid w:val="00301560"/>
    <w:rsid w:val="00301670"/>
    <w:rsid w:val="00301DC7"/>
    <w:rsid w:val="00301EE2"/>
    <w:rsid w:val="003022B5"/>
    <w:rsid w:val="00302435"/>
    <w:rsid w:val="00302446"/>
    <w:rsid w:val="00302831"/>
    <w:rsid w:val="0030297A"/>
    <w:rsid w:val="0030305C"/>
    <w:rsid w:val="00303B2D"/>
    <w:rsid w:val="00304B0A"/>
    <w:rsid w:val="00304FBB"/>
    <w:rsid w:val="0030573E"/>
    <w:rsid w:val="003059FF"/>
    <w:rsid w:val="00305E5E"/>
    <w:rsid w:val="0030604E"/>
    <w:rsid w:val="00306292"/>
    <w:rsid w:val="00306357"/>
    <w:rsid w:val="003069D5"/>
    <w:rsid w:val="00306D87"/>
    <w:rsid w:val="003075E9"/>
    <w:rsid w:val="00307800"/>
    <w:rsid w:val="003103E6"/>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364D"/>
    <w:rsid w:val="00314453"/>
    <w:rsid w:val="003144ED"/>
    <w:rsid w:val="00314A22"/>
    <w:rsid w:val="00314C61"/>
    <w:rsid w:val="003150C0"/>
    <w:rsid w:val="0031510F"/>
    <w:rsid w:val="00315490"/>
    <w:rsid w:val="003156B1"/>
    <w:rsid w:val="00315B07"/>
    <w:rsid w:val="00315D18"/>
    <w:rsid w:val="00315D88"/>
    <w:rsid w:val="00316A38"/>
    <w:rsid w:val="00316BCA"/>
    <w:rsid w:val="00316CFC"/>
    <w:rsid w:val="00316EEF"/>
    <w:rsid w:val="00316FB5"/>
    <w:rsid w:val="00317596"/>
    <w:rsid w:val="003175C3"/>
    <w:rsid w:val="0031793F"/>
    <w:rsid w:val="0031794F"/>
    <w:rsid w:val="00317CB1"/>
    <w:rsid w:val="00317D8F"/>
    <w:rsid w:val="0032069A"/>
    <w:rsid w:val="003208D8"/>
    <w:rsid w:val="00320C0F"/>
    <w:rsid w:val="0032157D"/>
    <w:rsid w:val="003219D3"/>
    <w:rsid w:val="00321A1C"/>
    <w:rsid w:val="00321B44"/>
    <w:rsid w:val="00321DD4"/>
    <w:rsid w:val="00322523"/>
    <w:rsid w:val="0032271A"/>
    <w:rsid w:val="00322BB5"/>
    <w:rsid w:val="003235CB"/>
    <w:rsid w:val="00323F36"/>
    <w:rsid w:val="0032410C"/>
    <w:rsid w:val="00324679"/>
    <w:rsid w:val="00324795"/>
    <w:rsid w:val="00324923"/>
    <w:rsid w:val="00324B7A"/>
    <w:rsid w:val="003252CD"/>
    <w:rsid w:val="00325B0C"/>
    <w:rsid w:val="003265A8"/>
    <w:rsid w:val="00326804"/>
    <w:rsid w:val="003268B8"/>
    <w:rsid w:val="00326D40"/>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F7"/>
    <w:rsid w:val="0034513D"/>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1AC"/>
    <w:rsid w:val="00355740"/>
    <w:rsid w:val="00355CC0"/>
    <w:rsid w:val="00355DA5"/>
    <w:rsid w:val="003563C2"/>
    <w:rsid w:val="003565DD"/>
    <w:rsid w:val="00356850"/>
    <w:rsid w:val="00356CFF"/>
    <w:rsid w:val="00356DAE"/>
    <w:rsid w:val="003573C9"/>
    <w:rsid w:val="00357630"/>
    <w:rsid w:val="00357D5B"/>
    <w:rsid w:val="00360468"/>
    <w:rsid w:val="003604B1"/>
    <w:rsid w:val="00360B06"/>
    <w:rsid w:val="003611E0"/>
    <w:rsid w:val="0036123E"/>
    <w:rsid w:val="003614B0"/>
    <w:rsid w:val="0036156F"/>
    <w:rsid w:val="003628AD"/>
    <w:rsid w:val="00362988"/>
    <w:rsid w:val="003629D7"/>
    <w:rsid w:val="00362B16"/>
    <w:rsid w:val="00362D9D"/>
    <w:rsid w:val="00362F86"/>
    <w:rsid w:val="0036388B"/>
    <w:rsid w:val="00363A4F"/>
    <w:rsid w:val="00364425"/>
    <w:rsid w:val="00364472"/>
    <w:rsid w:val="0036449F"/>
    <w:rsid w:val="0036504F"/>
    <w:rsid w:val="0036522A"/>
    <w:rsid w:val="0036528D"/>
    <w:rsid w:val="00365836"/>
    <w:rsid w:val="00365A93"/>
    <w:rsid w:val="00365C11"/>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8DC"/>
    <w:rsid w:val="0037700A"/>
    <w:rsid w:val="00377BB7"/>
    <w:rsid w:val="00377F0B"/>
    <w:rsid w:val="00377F1E"/>
    <w:rsid w:val="003803A1"/>
    <w:rsid w:val="003806BA"/>
    <w:rsid w:val="00380DD5"/>
    <w:rsid w:val="00380F20"/>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758E"/>
    <w:rsid w:val="003876AF"/>
    <w:rsid w:val="00387D5A"/>
    <w:rsid w:val="003907CE"/>
    <w:rsid w:val="0039093B"/>
    <w:rsid w:val="00390AE8"/>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164"/>
    <w:rsid w:val="00395AAA"/>
    <w:rsid w:val="0039627A"/>
    <w:rsid w:val="003963B6"/>
    <w:rsid w:val="003963E9"/>
    <w:rsid w:val="003965D3"/>
    <w:rsid w:val="00397423"/>
    <w:rsid w:val="00397653"/>
    <w:rsid w:val="0039780D"/>
    <w:rsid w:val="003979E8"/>
    <w:rsid w:val="00397AEC"/>
    <w:rsid w:val="003A0607"/>
    <w:rsid w:val="003A08E5"/>
    <w:rsid w:val="003A1956"/>
    <w:rsid w:val="003A1F2E"/>
    <w:rsid w:val="003A1F4D"/>
    <w:rsid w:val="003A1FAE"/>
    <w:rsid w:val="003A2A86"/>
    <w:rsid w:val="003A341D"/>
    <w:rsid w:val="003A3887"/>
    <w:rsid w:val="003A3AFB"/>
    <w:rsid w:val="003A3C9C"/>
    <w:rsid w:val="003A3FD7"/>
    <w:rsid w:val="003A4C6E"/>
    <w:rsid w:val="003A5505"/>
    <w:rsid w:val="003A5B80"/>
    <w:rsid w:val="003A5D91"/>
    <w:rsid w:val="003A6A9C"/>
    <w:rsid w:val="003A6C18"/>
    <w:rsid w:val="003A7C56"/>
    <w:rsid w:val="003A7DBE"/>
    <w:rsid w:val="003B03C9"/>
    <w:rsid w:val="003B04DE"/>
    <w:rsid w:val="003B0A76"/>
    <w:rsid w:val="003B0BB8"/>
    <w:rsid w:val="003B0C33"/>
    <w:rsid w:val="003B0D8F"/>
    <w:rsid w:val="003B0EA4"/>
    <w:rsid w:val="003B0FC8"/>
    <w:rsid w:val="003B1284"/>
    <w:rsid w:val="003B1759"/>
    <w:rsid w:val="003B178E"/>
    <w:rsid w:val="003B1B69"/>
    <w:rsid w:val="003B1EB3"/>
    <w:rsid w:val="003B22FE"/>
    <w:rsid w:val="003B2480"/>
    <w:rsid w:val="003B2AA1"/>
    <w:rsid w:val="003B2C63"/>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588C"/>
    <w:rsid w:val="003C5F8D"/>
    <w:rsid w:val="003C6A94"/>
    <w:rsid w:val="003C6E0B"/>
    <w:rsid w:val="003C7224"/>
    <w:rsid w:val="003C73B6"/>
    <w:rsid w:val="003D0585"/>
    <w:rsid w:val="003D0970"/>
    <w:rsid w:val="003D0A09"/>
    <w:rsid w:val="003D0B0A"/>
    <w:rsid w:val="003D16F6"/>
    <w:rsid w:val="003D188D"/>
    <w:rsid w:val="003D18BA"/>
    <w:rsid w:val="003D1A27"/>
    <w:rsid w:val="003D1C26"/>
    <w:rsid w:val="003D1F3E"/>
    <w:rsid w:val="003D2633"/>
    <w:rsid w:val="003D26D2"/>
    <w:rsid w:val="003D2E26"/>
    <w:rsid w:val="003D34C0"/>
    <w:rsid w:val="003D3648"/>
    <w:rsid w:val="003D397E"/>
    <w:rsid w:val="003D5200"/>
    <w:rsid w:val="003D579B"/>
    <w:rsid w:val="003D5868"/>
    <w:rsid w:val="003D59D1"/>
    <w:rsid w:val="003D5A65"/>
    <w:rsid w:val="003D5B58"/>
    <w:rsid w:val="003D5BA0"/>
    <w:rsid w:val="003D622E"/>
    <w:rsid w:val="003D69BE"/>
    <w:rsid w:val="003D7409"/>
    <w:rsid w:val="003D7CAA"/>
    <w:rsid w:val="003D7E44"/>
    <w:rsid w:val="003E02A0"/>
    <w:rsid w:val="003E0308"/>
    <w:rsid w:val="003E0833"/>
    <w:rsid w:val="003E0C86"/>
    <w:rsid w:val="003E10EE"/>
    <w:rsid w:val="003E1175"/>
    <w:rsid w:val="003E1459"/>
    <w:rsid w:val="003E176F"/>
    <w:rsid w:val="003E1E5F"/>
    <w:rsid w:val="003E1F3A"/>
    <w:rsid w:val="003E20D0"/>
    <w:rsid w:val="003E21CE"/>
    <w:rsid w:val="003E2554"/>
    <w:rsid w:val="003E297C"/>
    <w:rsid w:val="003E3686"/>
    <w:rsid w:val="003E3EDE"/>
    <w:rsid w:val="003E46AF"/>
    <w:rsid w:val="003E4AC5"/>
    <w:rsid w:val="003E528C"/>
    <w:rsid w:val="003E5766"/>
    <w:rsid w:val="003E57A6"/>
    <w:rsid w:val="003E6258"/>
    <w:rsid w:val="003E663C"/>
    <w:rsid w:val="003E696D"/>
    <w:rsid w:val="003E6B2F"/>
    <w:rsid w:val="003E6C4F"/>
    <w:rsid w:val="003E785E"/>
    <w:rsid w:val="003F00CC"/>
    <w:rsid w:val="003F0187"/>
    <w:rsid w:val="003F069D"/>
    <w:rsid w:val="003F07AE"/>
    <w:rsid w:val="003F0F13"/>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6D1"/>
    <w:rsid w:val="00404D4F"/>
    <w:rsid w:val="00404F12"/>
    <w:rsid w:val="004050AA"/>
    <w:rsid w:val="004052B3"/>
    <w:rsid w:val="00405AAA"/>
    <w:rsid w:val="00405DE2"/>
    <w:rsid w:val="004070DA"/>
    <w:rsid w:val="004073B6"/>
    <w:rsid w:val="00407C5C"/>
    <w:rsid w:val="00407E3D"/>
    <w:rsid w:val="00407ECB"/>
    <w:rsid w:val="00410070"/>
    <w:rsid w:val="0041062E"/>
    <w:rsid w:val="0041076E"/>
    <w:rsid w:val="0041089F"/>
    <w:rsid w:val="00410A22"/>
    <w:rsid w:val="00410B5D"/>
    <w:rsid w:val="0041121B"/>
    <w:rsid w:val="004112CA"/>
    <w:rsid w:val="0041159C"/>
    <w:rsid w:val="004115AE"/>
    <w:rsid w:val="00411B10"/>
    <w:rsid w:val="00412563"/>
    <w:rsid w:val="00412877"/>
    <w:rsid w:val="00412A18"/>
    <w:rsid w:val="00412C66"/>
    <w:rsid w:val="00413524"/>
    <w:rsid w:val="004135AE"/>
    <w:rsid w:val="004135D0"/>
    <w:rsid w:val="00413668"/>
    <w:rsid w:val="00413E01"/>
    <w:rsid w:val="004142A8"/>
    <w:rsid w:val="00414D56"/>
    <w:rsid w:val="00414E38"/>
    <w:rsid w:val="00415DB9"/>
    <w:rsid w:val="00415F7C"/>
    <w:rsid w:val="00416762"/>
    <w:rsid w:val="00416A70"/>
    <w:rsid w:val="00416E67"/>
    <w:rsid w:val="0041715A"/>
    <w:rsid w:val="004202E7"/>
    <w:rsid w:val="0042030F"/>
    <w:rsid w:val="004205AC"/>
    <w:rsid w:val="004214C0"/>
    <w:rsid w:val="004216FE"/>
    <w:rsid w:val="00421D33"/>
    <w:rsid w:val="0042264F"/>
    <w:rsid w:val="004235B8"/>
    <w:rsid w:val="00423837"/>
    <w:rsid w:val="004239E1"/>
    <w:rsid w:val="00423A2A"/>
    <w:rsid w:val="00423ADE"/>
    <w:rsid w:val="0042408A"/>
    <w:rsid w:val="00424329"/>
    <w:rsid w:val="00424E37"/>
    <w:rsid w:val="00425A64"/>
    <w:rsid w:val="00425BCC"/>
    <w:rsid w:val="00425F0B"/>
    <w:rsid w:val="004262C0"/>
    <w:rsid w:val="0042672A"/>
    <w:rsid w:val="004268EB"/>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6C"/>
    <w:rsid w:val="00440B9E"/>
    <w:rsid w:val="00440E10"/>
    <w:rsid w:val="00440E81"/>
    <w:rsid w:val="00440EDC"/>
    <w:rsid w:val="00441337"/>
    <w:rsid w:val="00441812"/>
    <w:rsid w:val="004421A7"/>
    <w:rsid w:val="0044237F"/>
    <w:rsid w:val="00442483"/>
    <w:rsid w:val="00442C6E"/>
    <w:rsid w:val="00442CDB"/>
    <w:rsid w:val="0044312A"/>
    <w:rsid w:val="004432ED"/>
    <w:rsid w:val="0044344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7D3"/>
    <w:rsid w:val="00451C82"/>
    <w:rsid w:val="00452510"/>
    <w:rsid w:val="0045274A"/>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8A5"/>
    <w:rsid w:val="00462729"/>
    <w:rsid w:val="00462FB7"/>
    <w:rsid w:val="00463219"/>
    <w:rsid w:val="0046322E"/>
    <w:rsid w:val="0046333F"/>
    <w:rsid w:val="00463EF9"/>
    <w:rsid w:val="004642C0"/>
    <w:rsid w:val="00464400"/>
    <w:rsid w:val="004646EB"/>
    <w:rsid w:val="00464833"/>
    <w:rsid w:val="00464B24"/>
    <w:rsid w:val="00465098"/>
    <w:rsid w:val="00465134"/>
    <w:rsid w:val="00465DD7"/>
    <w:rsid w:val="00465E01"/>
    <w:rsid w:val="00465FDE"/>
    <w:rsid w:val="004660F8"/>
    <w:rsid w:val="004662DC"/>
    <w:rsid w:val="004664F1"/>
    <w:rsid w:val="004665DD"/>
    <w:rsid w:val="00466741"/>
    <w:rsid w:val="00466956"/>
    <w:rsid w:val="00466DAD"/>
    <w:rsid w:val="00466EC0"/>
    <w:rsid w:val="0046707B"/>
    <w:rsid w:val="004671AB"/>
    <w:rsid w:val="00467C6B"/>
    <w:rsid w:val="00467FCF"/>
    <w:rsid w:val="004700D7"/>
    <w:rsid w:val="0047026A"/>
    <w:rsid w:val="004706A5"/>
    <w:rsid w:val="00471471"/>
    <w:rsid w:val="00471750"/>
    <w:rsid w:val="00471B0A"/>
    <w:rsid w:val="00471CF3"/>
    <w:rsid w:val="0047218A"/>
    <w:rsid w:val="004722D4"/>
    <w:rsid w:val="0047255E"/>
    <w:rsid w:val="004726BB"/>
    <w:rsid w:val="0047271B"/>
    <w:rsid w:val="00472D97"/>
    <w:rsid w:val="00472FA0"/>
    <w:rsid w:val="00472FAA"/>
    <w:rsid w:val="00473026"/>
    <w:rsid w:val="004739BF"/>
    <w:rsid w:val="004740D8"/>
    <w:rsid w:val="004746B5"/>
    <w:rsid w:val="004748BE"/>
    <w:rsid w:val="004748DA"/>
    <w:rsid w:val="00474B34"/>
    <w:rsid w:val="00474BCF"/>
    <w:rsid w:val="00474C3B"/>
    <w:rsid w:val="00474D83"/>
    <w:rsid w:val="004755A7"/>
    <w:rsid w:val="004755DC"/>
    <w:rsid w:val="00475A90"/>
    <w:rsid w:val="0047686B"/>
    <w:rsid w:val="00476903"/>
    <w:rsid w:val="00476983"/>
    <w:rsid w:val="00477D09"/>
    <w:rsid w:val="00477D6E"/>
    <w:rsid w:val="00477F08"/>
    <w:rsid w:val="004801B1"/>
    <w:rsid w:val="00480AF7"/>
    <w:rsid w:val="00480D56"/>
    <w:rsid w:val="0048121F"/>
    <w:rsid w:val="00481452"/>
    <w:rsid w:val="0048178D"/>
    <w:rsid w:val="00481947"/>
    <w:rsid w:val="00481B00"/>
    <w:rsid w:val="00481E7A"/>
    <w:rsid w:val="00481F3B"/>
    <w:rsid w:val="004827AE"/>
    <w:rsid w:val="004828C9"/>
    <w:rsid w:val="00482F0C"/>
    <w:rsid w:val="004832C5"/>
    <w:rsid w:val="004832E5"/>
    <w:rsid w:val="004838EC"/>
    <w:rsid w:val="00483D71"/>
    <w:rsid w:val="004840E9"/>
    <w:rsid w:val="004842C8"/>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D60"/>
    <w:rsid w:val="00487EBA"/>
    <w:rsid w:val="004902A5"/>
    <w:rsid w:val="00490304"/>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7C5"/>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A27"/>
    <w:rsid w:val="004A6DED"/>
    <w:rsid w:val="004A6E71"/>
    <w:rsid w:val="004A71BC"/>
    <w:rsid w:val="004A72CC"/>
    <w:rsid w:val="004A739C"/>
    <w:rsid w:val="004A73ED"/>
    <w:rsid w:val="004A758A"/>
    <w:rsid w:val="004A76A0"/>
    <w:rsid w:val="004A76E4"/>
    <w:rsid w:val="004A77DB"/>
    <w:rsid w:val="004A7946"/>
    <w:rsid w:val="004B0755"/>
    <w:rsid w:val="004B0896"/>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1AF"/>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CA3"/>
    <w:rsid w:val="004C5DFD"/>
    <w:rsid w:val="004C6155"/>
    <w:rsid w:val="004C644C"/>
    <w:rsid w:val="004C6E83"/>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414"/>
    <w:rsid w:val="004D5757"/>
    <w:rsid w:val="004D5819"/>
    <w:rsid w:val="004D585F"/>
    <w:rsid w:val="004D5A97"/>
    <w:rsid w:val="004D6046"/>
    <w:rsid w:val="004D61FA"/>
    <w:rsid w:val="004D6EC1"/>
    <w:rsid w:val="004D6F04"/>
    <w:rsid w:val="004D739B"/>
    <w:rsid w:val="004D7910"/>
    <w:rsid w:val="004E094D"/>
    <w:rsid w:val="004E0BA0"/>
    <w:rsid w:val="004E0CA7"/>
    <w:rsid w:val="004E1021"/>
    <w:rsid w:val="004E112B"/>
    <w:rsid w:val="004E14B0"/>
    <w:rsid w:val="004E1562"/>
    <w:rsid w:val="004E15C9"/>
    <w:rsid w:val="004E1829"/>
    <w:rsid w:val="004E19C9"/>
    <w:rsid w:val="004E1C22"/>
    <w:rsid w:val="004E1DFA"/>
    <w:rsid w:val="004E1F3A"/>
    <w:rsid w:val="004E2153"/>
    <w:rsid w:val="004E43A0"/>
    <w:rsid w:val="004E4558"/>
    <w:rsid w:val="004E4846"/>
    <w:rsid w:val="004E492C"/>
    <w:rsid w:val="004E4C4F"/>
    <w:rsid w:val="004E4D3E"/>
    <w:rsid w:val="004E5002"/>
    <w:rsid w:val="004E51C8"/>
    <w:rsid w:val="004E5830"/>
    <w:rsid w:val="004E5C50"/>
    <w:rsid w:val="004E5D60"/>
    <w:rsid w:val="004E5E7A"/>
    <w:rsid w:val="004E5FD5"/>
    <w:rsid w:val="004E66ED"/>
    <w:rsid w:val="004E67ED"/>
    <w:rsid w:val="004E6815"/>
    <w:rsid w:val="004E6B4D"/>
    <w:rsid w:val="004E7007"/>
    <w:rsid w:val="004E70AA"/>
    <w:rsid w:val="004E7386"/>
    <w:rsid w:val="004E7516"/>
    <w:rsid w:val="004E7EB0"/>
    <w:rsid w:val="004F07D9"/>
    <w:rsid w:val="004F0AC5"/>
    <w:rsid w:val="004F0D23"/>
    <w:rsid w:val="004F103C"/>
    <w:rsid w:val="004F10E7"/>
    <w:rsid w:val="004F1525"/>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9CB"/>
    <w:rsid w:val="004F7A2F"/>
    <w:rsid w:val="004F7E84"/>
    <w:rsid w:val="00500002"/>
    <w:rsid w:val="00500463"/>
    <w:rsid w:val="00500817"/>
    <w:rsid w:val="00500A0E"/>
    <w:rsid w:val="0050197A"/>
    <w:rsid w:val="00501DBB"/>
    <w:rsid w:val="00501F6F"/>
    <w:rsid w:val="005023B0"/>
    <w:rsid w:val="005023E8"/>
    <w:rsid w:val="0050250C"/>
    <w:rsid w:val="00502686"/>
    <w:rsid w:val="00502F45"/>
    <w:rsid w:val="005030CF"/>
    <w:rsid w:val="005033C2"/>
    <w:rsid w:val="0050344B"/>
    <w:rsid w:val="005038F6"/>
    <w:rsid w:val="00503B5F"/>
    <w:rsid w:val="00504156"/>
    <w:rsid w:val="0050460A"/>
    <w:rsid w:val="005047E1"/>
    <w:rsid w:val="00504882"/>
    <w:rsid w:val="00505551"/>
    <w:rsid w:val="0050566D"/>
    <w:rsid w:val="00505A53"/>
    <w:rsid w:val="00505F4C"/>
    <w:rsid w:val="0050609C"/>
    <w:rsid w:val="005060CB"/>
    <w:rsid w:val="0050610B"/>
    <w:rsid w:val="00506307"/>
    <w:rsid w:val="005063B9"/>
    <w:rsid w:val="00506AC0"/>
    <w:rsid w:val="00506D31"/>
    <w:rsid w:val="00506E9C"/>
    <w:rsid w:val="0050711A"/>
    <w:rsid w:val="005072C9"/>
    <w:rsid w:val="00507D19"/>
    <w:rsid w:val="00510395"/>
    <w:rsid w:val="00510894"/>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22E"/>
    <w:rsid w:val="005134D6"/>
    <w:rsid w:val="005137A4"/>
    <w:rsid w:val="00513822"/>
    <w:rsid w:val="00513E16"/>
    <w:rsid w:val="00513F68"/>
    <w:rsid w:val="005142DD"/>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718"/>
    <w:rsid w:val="005257C1"/>
    <w:rsid w:val="00525808"/>
    <w:rsid w:val="00525E77"/>
    <w:rsid w:val="00525F10"/>
    <w:rsid w:val="005263BC"/>
    <w:rsid w:val="0052658B"/>
    <w:rsid w:val="005265EA"/>
    <w:rsid w:val="005266AE"/>
    <w:rsid w:val="00526791"/>
    <w:rsid w:val="00526CEA"/>
    <w:rsid w:val="00527048"/>
    <w:rsid w:val="0052762C"/>
    <w:rsid w:val="00527D14"/>
    <w:rsid w:val="00527DCF"/>
    <w:rsid w:val="00527EB8"/>
    <w:rsid w:val="005303A3"/>
    <w:rsid w:val="0053091D"/>
    <w:rsid w:val="005309B3"/>
    <w:rsid w:val="00530A29"/>
    <w:rsid w:val="00530E7C"/>
    <w:rsid w:val="00531176"/>
    <w:rsid w:val="00531311"/>
    <w:rsid w:val="00531533"/>
    <w:rsid w:val="00531694"/>
    <w:rsid w:val="00531B53"/>
    <w:rsid w:val="00531CD8"/>
    <w:rsid w:val="00531E0C"/>
    <w:rsid w:val="00532043"/>
    <w:rsid w:val="0053251E"/>
    <w:rsid w:val="0053293F"/>
    <w:rsid w:val="00532952"/>
    <w:rsid w:val="00532D4A"/>
    <w:rsid w:val="00532E3F"/>
    <w:rsid w:val="00532E69"/>
    <w:rsid w:val="00533A87"/>
    <w:rsid w:val="005343AC"/>
    <w:rsid w:val="00534B65"/>
    <w:rsid w:val="00534D9A"/>
    <w:rsid w:val="00534DA0"/>
    <w:rsid w:val="00534E42"/>
    <w:rsid w:val="00534E63"/>
    <w:rsid w:val="00535588"/>
    <w:rsid w:val="00535CED"/>
    <w:rsid w:val="00535D79"/>
    <w:rsid w:val="0053617A"/>
    <w:rsid w:val="005364CB"/>
    <w:rsid w:val="00536916"/>
    <w:rsid w:val="00537566"/>
    <w:rsid w:val="00537AF3"/>
    <w:rsid w:val="00537D58"/>
    <w:rsid w:val="00540013"/>
    <w:rsid w:val="0054059F"/>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BE5"/>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4D9E"/>
    <w:rsid w:val="00554F69"/>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5FE"/>
    <w:rsid w:val="00560866"/>
    <w:rsid w:val="00560A05"/>
    <w:rsid w:val="00561599"/>
    <w:rsid w:val="0056194B"/>
    <w:rsid w:val="00561A73"/>
    <w:rsid w:val="0056263D"/>
    <w:rsid w:val="005628FA"/>
    <w:rsid w:val="0056297B"/>
    <w:rsid w:val="00562A3F"/>
    <w:rsid w:val="005633A7"/>
    <w:rsid w:val="00563825"/>
    <w:rsid w:val="00563DC0"/>
    <w:rsid w:val="00563FEC"/>
    <w:rsid w:val="00564419"/>
    <w:rsid w:val="00564A71"/>
    <w:rsid w:val="00564E8E"/>
    <w:rsid w:val="00565027"/>
    <w:rsid w:val="005650C9"/>
    <w:rsid w:val="00565336"/>
    <w:rsid w:val="005658D4"/>
    <w:rsid w:val="005662B2"/>
    <w:rsid w:val="005664AD"/>
    <w:rsid w:val="005668E0"/>
    <w:rsid w:val="00566A8E"/>
    <w:rsid w:val="00566D89"/>
    <w:rsid w:val="00566EDA"/>
    <w:rsid w:val="005674C3"/>
    <w:rsid w:val="00567C72"/>
    <w:rsid w:val="00567DA3"/>
    <w:rsid w:val="005706BA"/>
    <w:rsid w:val="0057083F"/>
    <w:rsid w:val="005709A3"/>
    <w:rsid w:val="00570F1F"/>
    <w:rsid w:val="005713E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56C7"/>
    <w:rsid w:val="00576310"/>
    <w:rsid w:val="005768C1"/>
    <w:rsid w:val="0057732F"/>
    <w:rsid w:val="00577F9F"/>
    <w:rsid w:val="005801BF"/>
    <w:rsid w:val="0058028B"/>
    <w:rsid w:val="005803F7"/>
    <w:rsid w:val="00580E78"/>
    <w:rsid w:val="00581002"/>
    <w:rsid w:val="00581081"/>
    <w:rsid w:val="00581084"/>
    <w:rsid w:val="00581295"/>
    <w:rsid w:val="00581BEB"/>
    <w:rsid w:val="00582373"/>
    <w:rsid w:val="00582B4B"/>
    <w:rsid w:val="005836E4"/>
    <w:rsid w:val="00583EFE"/>
    <w:rsid w:val="00584084"/>
    <w:rsid w:val="005843AD"/>
    <w:rsid w:val="0058486B"/>
    <w:rsid w:val="00584997"/>
    <w:rsid w:val="00584BE7"/>
    <w:rsid w:val="00584CC2"/>
    <w:rsid w:val="00584DEA"/>
    <w:rsid w:val="00585195"/>
    <w:rsid w:val="0058526A"/>
    <w:rsid w:val="00585865"/>
    <w:rsid w:val="00585F10"/>
    <w:rsid w:val="00586097"/>
    <w:rsid w:val="005866D1"/>
    <w:rsid w:val="005868C6"/>
    <w:rsid w:val="00586A3D"/>
    <w:rsid w:val="00586D76"/>
    <w:rsid w:val="005875B2"/>
    <w:rsid w:val="00587EC3"/>
    <w:rsid w:val="00587FEB"/>
    <w:rsid w:val="005903D6"/>
    <w:rsid w:val="005909A9"/>
    <w:rsid w:val="00590AF4"/>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6C41"/>
    <w:rsid w:val="00597060"/>
    <w:rsid w:val="005972D0"/>
    <w:rsid w:val="00597309"/>
    <w:rsid w:val="00597516"/>
    <w:rsid w:val="00597915"/>
    <w:rsid w:val="00597D52"/>
    <w:rsid w:val="00597DC0"/>
    <w:rsid w:val="005A024A"/>
    <w:rsid w:val="005A08DF"/>
    <w:rsid w:val="005A1086"/>
    <w:rsid w:val="005A1E0F"/>
    <w:rsid w:val="005A2168"/>
    <w:rsid w:val="005A2371"/>
    <w:rsid w:val="005A2798"/>
    <w:rsid w:val="005A2D06"/>
    <w:rsid w:val="005A2D42"/>
    <w:rsid w:val="005A2D4A"/>
    <w:rsid w:val="005A2D9F"/>
    <w:rsid w:val="005A3F69"/>
    <w:rsid w:val="005A4378"/>
    <w:rsid w:val="005A4467"/>
    <w:rsid w:val="005A44FB"/>
    <w:rsid w:val="005A4725"/>
    <w:rsid w:val="005A56F0"/>
    <w:rsid w:val="005A5713"/>
    <w:rsid w:val="005A5747"/>
    <w:rsid w:val="005A5977"/>
    <w:rsid w:val="005A643D"/>
    <w:rsid w:val="005A6538"/>
    <w:rsid w:val="005A68F9"/>
    <w:rsid w:val="005A6B65"/>
    <w:rsid w:val="005A6BBC"/>
    <w:rsid w:val="005A6D61"/>
    <w:rsid w:val="005A7019"/>
    <w:rsid w:val="005A7134"/>
    <w:rsid w:val="005A71D0"/>
    <w:rsid w:val="005A7276"/>
    <w:rsid w:val="005A76BA"/>
    <w:rsid w:val="005A7EAA"/>
    <w:rsid w:val="005B0603"/>
    <w:rsid w:val="005B103B"/>
    <w:rsid w:val="005B10F6"/>
    <w:rsid w:val="005B130B"/>
    <w:rsid w:val="005B154F"/>
    <w:rsid w:val="005B1562"/>
    <w:rsid w:val="005B18EA"/>
    <w:rsid w:val="005B1BB7"/>
    <w:rsid w:val="005B26D6"/>
    <w:rsid w:val="005B27FC"/>
    <w:rsid w:val="005B29B5"/>
    <w:rsid w:val="005B2A90"/>
    <w:rsid w:val="005B2E64"/>
    <w:rsid w:val="005B354C"/>
    <w:rsid w:val="005B376B"/>
    <w:rsid w:val="005B389D"/>
    <w:rsid w:val="005B3C03"/>
    <w:rsid w:val="005B3CD5"/>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9E3"/>
    <w:rsid w:val="005C0013"/>
    <w:rsid w:val="005C01EF"/>
    <w:rsid w:val="005C05B5"/>
    <w:rsid w:val="005C06B5"/>
    <w:rsid w:val="005C089D"/>
    <w:rsid w:val="005C11B4"/>
    <w:rsid w:val="005C143D"/>
    <w:rsid w:val="005C1756"/>
    <w:rsid w:val="005C1BCF"/>
    <w:rsid w:val="005C2127"/>
    <w:rsid w:val="005C2309"/>
    <w:rsid w:val="005C23CF"/>
    <w:rsid w:val="005C257E"/>
    <w:rsid w:val="005C2F7E"/>
    <w:rsid w:val="005C34C2"/>
    <w:rsid w:val="005C3B77"/>
    <w:rsid w:val="005C3D6A"/>
    <w:rsid w:val="005C4306"/>
    <w:rsid w:val="005C46B1"/>
    <w:rsid w:val="005C5586"/>
    <w:rsid w:val="005C56DE"/>
    <w:rsid w:val="005C5761"/>
    <w:rsid w:val="005C655F"/>
    <w:rsid w:val="005C665A"/>
    <w:rsid w:val="005C667B"/>
    <w:rsid w:val="005C6885"/>
    <w:rsid w:val="005C6C33"/>
    <w:rsid w:val="005C708F"/>
    <w:rsid w:val="005C766D"/>
    <w:rsid w:val="005C7750"/>
    <w:rsid w:val="005C7BD0"/>
    <w:rsid w:val="005D007D"/>
    <w:rsid w:val="005D0198"/>
    <w:rsid w:val="005D0CEC"/>
    <w:rsid w:val="005D0CFF"/>
    <w:rsid w:val="005D148D"/>
    <w:rsid w:val="005D1828"/>
    <w:rsid w:val="005D206F"/>
    <w:rsid w:val="005D2233"/>
    <w:rsid w:val="005D225C"/>
    <w:rsid w:val="005D2266"/>
    <w:rsid w:val="005D232E"/>
    <w:rsid w:val="005D24E7"/>
    <w:rsid w:val="005D2665"/>
    <w:rsid w:val="005D2D11"/>
    <w:rsid w:val="005D2DDE"/>
    <w:rsid w:val="005D323A"/>
    <w:rsid w:val="005D32CB"/>
    <w:rsid w:val="005D34E7"/>
    <w:rsid w:val="005D3EAB"/>
    <w:rsid w:val="005D452F"/>
    <w:rsid w:val="005D47E7"/>
    <w:rsid w:val="005D4CB8"/>
    <w:rsid w:val="005D4D47"/>
    <w:rsid w:val="005D52B3"/>
    <w:rsid w:val="005D5A8D"/>
    <w:rsid w:val="005D5D7D"/>
    <w:rsid w:val="005D6798"/>
    <w:rsid w:val="005D6990"/>
    <w:rsid w:val="005D6CD1"/>
    <w:rsid w:val="005D7849"/>
    <w:rsid w:val="005E045B"/>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871"/>
    <w:rsid w:val="005E4A87"/>
    <w:rsid w:val="005E4ABB"/>
    <w:rsid w:val="005E4F69"/>
    <w:rsid w:val="005E4FFB"/>
    <w:rsid w:val="005E520B"/>
    <w:rsid w:val="005E53E1"/>
    <w:rsid w:val="005E6551"/>
    <w:rsid w:val="005E7AAA"/>
    <w:rsid w:val="005F0650"/>
    <w:rsid w:val="005F0982"/>
    <w:rsid w:val="005F0A18"/>
    <w:rsid w:val="005F0A88"/>
    <w:rsid w:val="005F0F33"/>
    <w:rsid w:val="005F15B6"/>
    <w:rsid w:val="005F2026"/>
    <w:rsid w:val="005F2729"/>
    <w:rsid w:val="005F2937"/>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700D"/>
    <w:rsid w:val="005F7AA0"/>
    <w:rsid w:val="005F7BC0"/>
    <w:rsid w:val="005F7DAE"/>
    <w:rsid w:val="00600044"/>
    <w:rsid w:val="0060045C"/>
    <w:rsid w:val="00600570"/>
    <w:rsid w:val="006005BC"/>
    <w:rsid w:val="006008E4"/>
    <w:rsid w:val="00600BB1"/>
    <w:rsid w:val="00600CD3"/>
    <w:rsid w:val="006013C6"/>
    <w:rsid w:val="006013E9"/>
    <w:rsid w:val="00601FC5"/>
    <w:rsid w:val="00602445"/>
    <w:rsid w:val="006028EF"/>
    <w:rsid w:val="00602BA3"/>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466"/>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DED"/>
    <w:rsid w:val="00613622"/>
    <w:rsid w:val="00613827"/>
    <w:rsid w:val="00613AFF"/>
    <w:rsid w:val="00614081"/>
    <w:rsid w:val="00614863"/>
    <w:rsid w:val="00614BD9"/>
    <w:rsid w:val="00614D36"/>
    <w:rsid w:val="00614D6C"/>
    <w:rsid w:val="0061517A"/>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D25"/>
    <w:rsid w:val="0062116B"/>
    <w:rsid w:val="0062124A"/>
    <w:rsid w:val="006213E6"/>
    <w:rsid w:val="006218B8"/>
    <w:rsid w:val="00621A66"/>
    <w:rsid w:val="00621E9F"/>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6D5"/>
    <w:rsid w:val="00624827"/>
    <w:rsid w:val="00624B5B"/>
    <w:rsid w:val="00625123"/>
    <w:rsid w:val="00625553"/>
    <w:rsid w:val="00625953"/>
    <w:rsid w:val="00625A27"/>
    <w:rsid w:val="00625DE8"/>
    <w:rsid w:val="00625E4D"/>
    <w:rsid w:val="00625EC8"/>
    <w:rsid w:val="00625F55"/>
    <w:rsid w:val="00626031"/>
    <w:rsid w:val="00626681"/>
    <w:rsid w:val="0062704E"/>
    <w:rsid w:val="0062774D"/>
    <w:rsid w:val="00627DE2"/>
    <w:rsid w:val="00630839"/>
    <w:rsid w:val="00630BCC"/>
    <w:rsid w:val="00630E44"/>
    <w:rsid w:val="00630EFF"/>
    <w:rsid w:val="0063102B"/>
    <w:rsid w:val="0063165E"/>
    <w:rsid w:val="00631766"/>
    <w:rsid w:val="00631A39"/>
    <w:rsid w:val="00631E91"/>
    <w:rsid w:val="006322DA"/>
    <w:rsid w:val="0063266B"/>
    <w:rsid w:val="00632A99"/>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6CE"/>
    <w:rsid w:val="00640D70"/>
    <w:rsid w:val="00640E6B"/>
    <w:rsid w:val="006414B8"/>
    <w:rsid w:val="0064163F"/>
    <w:rsid w:val="00641705"/>
    <w:rsid w:val="006419FE"/>
    <w:rsid w:val="00641A39"/>
    <w:rsid w:val="00641FD7"/>
    <w:rsid w:val="0064248A"/>
    <w:rsid w:val="00642B65"/>
    <w:rsid w:val="00643036"/>
    <w:rsid w:val="006436AA"/>
    <w:rsid w:val="00643889"/>
    <w:rsid w:val="00643DB1"/>
    <w:rsid w:val="00643F65"/>
    <w:rsid w:val="00644083"/>
    <w:rsid w:val="00644138"/>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9"/>
    <w:rsid w:val="00647574"/>
    <w:rsid w:val="00647BDC"/>
    <w:rsid w:val="00647CD7"/>
    <w:rsid w:val="00647F60"/>
    <w:rsid w:val="00650112"/>
    <w:rsid w:val="0065012A"/>
    <w:rsid w:val="006506F8"/>
    <w:rsid w:val="006509F2"/>
    <w:rsid w:val="00650B2D"/>
    <w:rsid w:val="00650EFC"/>
    <w:rsid w:val="00651256"/>
    <w:rsid w:val="006519EA"/>
    <w:rsid w:val="00651C88"/>
    <w:rsid w:val="00651D3C"/>
    <w:rsid w:val="00651DF1"/>
    <w:rsid w:val="00652082"/>
    <w:rsid w:val="0065243D"/>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14"/>
    <w:rsid w:val="0066769C"/>
    <w:rsid w:val="006679B2"/>
    <w:rsid w:val="006704B4"/>
    <w:rsid w:val="006710AC"/>
    <w:rsid w:val="006710CC"/>
    <w:rsid w:val="00671334"/>
    <w:rsid w:val="0067148E"/>
    <w:rsid w:val="0067193F"/>
    <w:rsid w:val="00671977"/>
    <w:rsid w:val="00671B86"/>
    <w:rsid w:val="00671CB2"/>
    <w:rsid w:val="00671ED7"/>
    <w:rsid w:val="006723D7"/>
    <w:rsid w:val="00672479"/>
    <w:rsid w:val="006726B6"/>
    <w:rsid w:val="00672B14"/>
    <w:rsid w:val="00672D4C"/>
    <w:rsid w:val="00672FBB"/>
    <w:rsid w:val="006732C2"/>
    <w:rsid w:val="006734B0"/>
    <w:rsid w:val="006734B3"/>
    <w:rsid w:val="00673C3C"/>
    <w:rsid w:val="00673FAD"/>
    <w:rsid w:val="006740BF"/>
    <w:rsid w:val="006742EE"/>
    <w:rsid w:val="00674F90"/>
    <w:rsid w:val="006756F1"/>
    <w:rsid w:val="00675B28"/>
    <w:rsid w:val="006761A5"/>
    <w:rsid w:val="006766EA"/>
    <w:rsid w:val="00676D78"/>
    <w:rsid w:val="006775AB"/>
    <w:rsid w:val="006777F6"/>
    <w:rsid w:val="00677B1C"/>
    <w:rsid w:val="00680205"/>
    <w:rsid w:val="00680273"/>
    <w:rsid w:val="00680747"/>
    <w:rsid w:val="00680DA1"/>
    <w:rsid w:val="00680E41"/>
    <w:rsid w:val="00681283"/>
    <w:rsid w:val="00681653"/>
    <w:rsid w:val="0068166A"/>
    <w:rsid w:val="00681751"/>
    <w:rsid w:val="00681EE3"/>
    <w:rsid w:val="0068202D"/>
    <w:rsid w:val="006831C1"/>
    <w:rsid w:val="0068368A"/>
    <w:rsid w:val="00684022"/>
    <w:rsid w:val="00684167"/>
    <w:rsid w:val="006842E5"/>
    <w:rsid w:val="00684734"/>
    <w:rsid w:val="0068481F"/>
    <w:rsid w:val="0068494F"/>
    <w:rsid w:val="00684D55"/>
    <w:rsid w:val="00685973"/>
    <w:rsid w:val="00685A4B"/>
    <w:rsid w:val="00685C43"/>
    <w:rsid w:val="00685CA1"/>
    <w:rsid w:val="00685D7D"/>
    <w:rsid w:val="0068635D"/>
    <w:rsid w:val="00686E57"/>
    <w:rsid w:val="00686F13"/>
    <w:rsid w:val="0068755D"/>
    <w:rsid w:val="00687596"/>
    <w:rsid w:val="00687947"/>
    <w:rsid w:val="006879C4"/>
    <w:rsid w:val="0069048A"/>
    <w:rsid w:val="00690DF0"/>
    <w:rsid w:val="00690F8C"/>
    <w:rsid w:val="006915CB"/>
    <w:rsid w:val="00691ADF"/>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431"/>
    <w:rsid w:val="006955FB"/>
    <w:rsid w:val="006956D5"/>
    <w:rsid w:val="006957D5"/>
    <w:rsid w:val="006958C2"/>
    <w:rsid w:val="00695EFF"/>
    <w:rsid w:val="00695F3B"/>
    <w:rsid w:val="00696298"/>
    <w:rsid w:val="006965BA"/>
    <w:rsid w:val="0069694D"/>
    <w:rsid w:val="00697082"/>
    <w:rsid w:val="00697273"/>
    <w:rsid w:val="00697483"/>
    <w:rsid w:val="006978ED"/>
    <w:rsid w:val="006979D2"/>
    <w:rsid w:val="00697B8D"/>
    <w:rsid w:val="00697C21"/>
    <w:rsid w:val="00697FE0"/>
    <w:rsid w:val="006A0055"/>
    <w:rsid w:val="006A0B7F"/>
    <w:rsid w:val="006A1C19"/>
    <w:rsid w:val="006A22FA"/>
    <w:rsid w:val="006A2304"/>
    <w:rsid w:val="006A230B"/>
    <w:rsid w:val="006A2DB8"/>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BA1"/>
    <w:rsid w:val="006A7E8D"/>
    <w:rsid w:val="006B0116"/>
    <w:rsid w:val="006B0689"/>
    <w:rsid w:val="006B0FB4"/>
    <w:rsid w:val="006B1311"/>
    <w:rsid w:val="006B1665"/>
    <w:rsid w:val="006B19B5"/>
    <w:rsid w:val="006B1C72"/>
    <w:rsid w:val="006B21C3"/>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9DA"/>
    <w:rsid w:val="006C4089"/>
    <w:rsid w:val="006C4813"/>
    <w:rsid w:val="006C4B0B"/>
    <w:rsid w:val="006C4EE4"/>
    <w:rsid w:val="006C4F23"/>
    <w:rsid w:val="006C5332"/>
    <w:rsid w:val="006C56F7"/>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208B"/>
    <w:rsid w:val="006D22EF"/>
    <w:rsid w:val="006D28AF"/>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A8F"/>
    <w:rsid w:val="006D7BD8"/>
    <w:rsid w:val="006E0252"/>
    <w:rsid w:val="006E0B5E"/>
    <w:rsid w:val="006E1007"/>
    <w:rsid w:val="006E12F7"/>
    <w:rsid w:val="006E1862"/>
    <w:rsid w:val="006E1ECF"/>
    <w:rsid w:val="006E1FF6"/>
    <w:rsid w:val="006E2260"/>
    <w:rsid w:val="006E2B7D"/>
    <w:rsid w:val="006E3ACE"/>
    <w:rsid w:val="006E3B0B"/>
    <w:rsid w:val="006E4296"/>
    <w:rsid w:val="006E5278"/>
    <w:rsid w:val="006E530F"/>
    <w:rsid w:val="006E544E"/>
    <w:rsid w:val="006E57CB"/>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770"/>
    <w:rsid w:val="006F3849"/>
    <w:rsid w:val="006F3A57"/>
    <w:rsid w:val="006F3ADF"/>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33A"/>
    <w:rsid w:val="0070045E"/>
    <w:rsid w:val="007008C8"/>
    <w:rsid w:val="00700D19"/>
    <w:rsid w:val="00700FB0"/>
    <w:rsid w:val="00701309"/>
    <w:rsid w:val="007019D3"/>
    <w:rsid w:val="00701C64"/>
    <w:rsid w:val="00701E44"/>
    <w:rsid w:val="007021E8"/>
    <w:rsid w:val="00703043"/>
    <w:rsid w:val="00703B5C"/>
    <w:rsid w:val="00703D43"/>
    <w:rsid w:val="007040D1"/>
    <w:rsid w:val="0070418D"/>
    <w:rsid w:val="0070497B"/>
    <w:rsid w:val="00704E0D"/>
    <w:rsid w:val="0070529C"/>
    <w:rsid w:val="00705400"/>
    <w:rsid w:val="00705A22"/>
    <w:rsid w:val="00705F1D"/>
    <w:rsid w:val="007060B5"/>
    <w:rsid w:val="0070611B"/>
    <w:rsid w:val="00706203"/>
    <w:rsid w:val="007066CB"/>
    <w:rsid w:val="00707129"/>
    <w:rsid w:val="00707591"/>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C81"/>
    <w:rsid w:val="00714D0C"/>
    <w:rsid w:val="00715628"/>
    <w:rsid w:val="00715BB5"/>
    <w:rsid w:val="00715F8C"/>
    <w:rsid w:val="007163BB"/>
    <w:rsid w:val="00716BA0"/>
    <w:rsid w:val="00716C92"/>
    <w:rsid w:val="007170E0"/>
    <w:rsid w:val="007172FF"/>
    <w:rsid w:val="00717710"/>
    <w:rsid w:val="00717F58"/>
    <w:rsid w:val="00720A9A"/>
    <w:rsid w:val="00720AD9"/>
    <w:rsid w:val="00720D39"/>
    <w:rsid w:val="00720D6E"/>
    <w:rsid w:val="00721085"/>
    <w:rsid w:val="0072111B"/>
    <w:rsid w:val="0072121B"/>
    <w:rsid w:val="00721988"/>
    <w:rsid w:val="00722142"/>
    <w:rsid w:val="0072289D"/>
    <w:rsid w:val="00722D31"/>
    <w:rsid w:val="00722E09"/>
    <w:rsid w:val="007230FE"/>
    <w:rsid w:val="0072338D"/>
    <w:rsid w:val="007235DD"/>
    <w:rsid w:val="00724109"/>
    <w:rsid w:val="00724112"/>
    <w:rsid w:val="00724409"/>
    <w:rsid w:val="00724440"/>
    <w:rsid w:val="0072453A"/>
    <w:rsid w:val="00724672"/>
    <w:rsid w:val="0072485A"/>
    <w:rsid w:val="00724A08"/>
    <w:rsid w:val="0072540A"/>
    <w:rsid w:val="00725423"/>
    <w:rsid w:val="0072590B"/>
    <w:rsid w:val="00725A3D"/>
    <w:rsid w:val="00725D34"/>
    <w:rsid w:val="00726038"/>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1F48"/>
    <w:rsid w:val="0073246D"/>
    <w:rsid w:val="007324A9"/>
    <w:rsid w:val="00732716"/>
    <w:rsid w:val="0073293E"/>
    <w:rsid w:val="007331A9"/>
    <w:rsid w:val="00733423"/>
    <w:rsid w:val="00733810"/>
    <w:rsid w:val="00733D67"/>
    <w:rsid w:val="007340C7"/>
    <w:rsid w:val="00734238"/>
    <w:rsid w:val="00734498"/>
    <w:rsid w:val="007346F6"/>
    <w:rsid w:val="00734A59"/>
    <w:rsid w:val="0073584B"/>
    <w:rsid w:val="007358DC"/>
    <w:rsid w:val="007359BF"/>
    <w:rsid w:val="00735DED"/>
    <w:rsid w:val="00735F82"/>
    <w:rsid w:val="007363DD"/>
    <w:rsid w:val="00736A29"/>
    <w:rsid w:val="00736BAC"/>
    <w:rsid w:val="00736EB3"/>
    <w:rsid w:val="00736F39"/>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B91"/>
    <w:rsid w:val="00746D8B"/>
    <w:rsid w:val="0074740E"/>
    <w:rsid w:val="00747CDD"/>
    <w:rsid w:val="00747FC8"/>
    <w:rsid w:val="00750717"/>
    <w:rsid w:val="00750A72"/>
    <w:rsid w:val="00750F54"/>
    <w:rsid w:val="00751528"/>
    <w:rsid w:val="00751618"/>
    <w:rsid w:val="007518CB"/>
    <w:rsid w:val="007519CB"/>
    <w:rsid w:val="00752394"/>
    <w:rsid w:val="00752499"/>
    <w:rsid w:val="007525CC"/>
    <w:rsid w:val="00752EA4"/>
    <w:rsid w:val="0075342F"/>
    <w:rsid w:val="00754689"/>
    <w:rsid w:val="00754983"/>
    <w:rsid w:val="00754A69"/>
    <w:rsid w:val="00754D6C"/>
    <w:rsid w:val="00754E5E"/>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29F2"/>
    <w:rsid w:val="007632B2"/>
    <w:rsid w:val="007634B2"/>
    <w:rsid w:val="007637DF"/>
    <w:rsid w:val="00763EB1"/>
    <w:rsid w:val="00763F66"/>
    <w:rsid w:val="00764154"/>
    <w:rsid w:val="0076448E"/>
    <w:rsid w:val="00764804"/>
    <w:rsid w:val="00764907"/>
    <w:rsid w:val="00764CB7"/>
    <w:rsid w:val="00764F43"/>
    <w:rsid w:val="0076515E"/>
    <w:rsid w:val="00765181"/>
    <w:rsid w:val="007652E9"/>
    <w:rsid w:val="007653FA"/>
    <w:rsid w:val="00765437"/>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759"/>
    <w:rsid w:val="007728F1"/>
    <w:rsid w:val="0077297F"/>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A28"/>
    <w:rsid w:val="00777E59"/>
    <w:rsid w:val="00777F11"/>
    <w:rsid w:val="00780223"/>
    <w:rsid w:val="0078028D"/>
    <w:rsid w:val="007802AC"/>
    <w:rsid w:val="007811D0"/>
    <w:rsid w:val="007815CE"/>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87A78"/>
    <w:rsid w:val="0079057E"/>
    <w:rsid w:val="007905BF"/>
    <w:rsid w:val="00790DA9"/>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653"/>
    <w:rsid w:val="00794EDA"/>
    <w:rsid w:val="00795310"/>
    <w:rsid w:val="00795586"/>
    <w:rsid w:val="00795660"/>
    <w:rsid w:val="00795770"/>
    <w:rsid w:val="0079594B"/>
    <w:rsid w:val="00795C5D"/>
    <w:rsid w:val="007965DA"/>
    <w:rsid w:val="0079668F"/>
    <w:rsid w:val="00796708"/>
    <w:rsid w:val="007970E4"/>
    <w:rsid w:val="00797531"/>
    <w:rsid w:val="00797D4B"/>
    <w:rsid w:val="007A0A4D"/>
    <w:rsid w:val="007A0CFD"/>
    <w:rsid w:val="007A0D65"/>
    <w:rsid w:val="007A0EC1"/>
    <w:rsid w:val="007A1ACC"/>
    <w:rsid w:val="007A1E35"/>
    <w:rsid w:val="007A1E96"/>
    <w:rsid w:val="007A2225"/>
    <w:rsid w:val="007A2354"/>
    <w:rsid w:val="007A26AC"/>
    <w:rsid w:val="007A26BA"/>
    <w:rsid w:val="007A2B2A"/>
    <w:rsid w:val="007A2D52"/>
    <w:rsid w:val="007A2F3D"/>
    <w:rsid w:val="007A3714"/>
    <w:rsid w:val="007A3D29"/>
    <w:rsid w:val="007A40AD"/>
    <w:rsid w:val="007A40E3"/>
    <w:rsid w:val="007A4456"/>
    <w:rsid w:val="007A45A3"/>
    <w:rsid w:val="007A4EF1"/>
    <w:rsid w:val="007A5017"/>
    <w:rsid w:val="007A507A"/>
    <w:rsid w:val="007A513F"/>
    <w:rsid w:val="007A52CA"/>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7B7"/>
    <w:rsid w:val="007B5A5F"/>
    <w:rsid w:val="007B62AE"/>
    <w:rsid w:val="007B68CB"/>
    <w:rsid w:val="007B6ACA"/>
    <w:rsid w:val="007B6DF8"/>
    <w:rsid w:val="007B6E0D"/>
    <w:rsid w:val="007B7096"/>
    <w:rsid w:val="007B710E"/>
    <w:rsid w:val="007B7DC8"/>
    <w:rsid w:val="007C01C2"/>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7C7"/>
    <w:rsid w:val="007C49C3"/>
    <w:rsid w:val="007C4FDD"/>
    <w:rsid w:val="007C55E2"/>
    <w:rsid w:val="007C5781"/>
    <w:rsid w:val="007C579D"/>
    <w:rsid w:val="007C5B34"/>
    <w:rsid w:val="007C5D3D"/>
    <w:rsid w:val="007C5DE3"/>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3E"/>
    <w:rsid w:val="007D44FA"/>
    <w:rsid w:val="007D48CA"/>
    <w:rsid w:val="007D4ABB"/>
    <w:rsid w:val="007D4B10"/>
    <w:rsid w:val="007D4D0B"/>
    <w:rsid w:val="007D5AC1"/>
    <w:rsid w:val="007D5DE9"/>
    <w:rsid w:val="007D6192"/>
    <w:rsid w:val="007D68D1"/>
    <w:rsid w:val="007D6B49"/>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5C7"/>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6F97"/>
    <w:rsid w:val="007E74F8"/>
    <w:rsid w:val="007E7AE5"/>
    <w:rsid w:val="007E7D9E"/>
    <w:rsid w:val="007F055B"/>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F9B"/>
    <w:rsid w:val="007F531A"/>
    <w:rsid w:val="007F53EE"/>
    <w:rsid w:val="007F548A"/>
    <w:rsid w:val="007F588D"/>
    <w:rsid w:val="007F58AA"/>
    <w:rsid w:val="007F5A4C"/>
    <w:rsid w:val="007F5B11"/>
    <w:rsid w:val="007F5C32"/>
    <w:rsid w:val="007F63A6"/>
    <w:rsid w:val="007F67A6"/>
    <w:rsid w:val="007F6C41"/>
    <w:rsid w:val="007F6D2C"/>
    <w:rsid w:val="007F6E29"/>
    <w:rsid w:val="007F7324"/>
    <w:rsid w:val="007F7B19"/>
    <w:rsid w:val="007F7BC2"/>
    <w:rsid w:val="00800627"/>
    <w:rsid w:val="00800AB0"/>
    <w:rsid w:val="008011B9"/>
    <w:rsid w:val="008011E0"/>
    <w:rsid w:val="008012FF"/>
    <w:rsid w:val="008014A4"/>
    <w:rsid w:val="00801601"/>
    <w:rsid w:val="00801833"/>
    <w:rsid w:val="00801A02"/>
    <w:rsid w:val="00801D67"/>
    <w:rsid w:val="00801D89"/>
    <w:rsid w:val="0080252F"/>
    <w:rsid w:val="008028B6"/>
    <w:rsid w:val="0080298A"/>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EB3"/>
    <w:rsid w:val="00810FE7"/>
    <w:rsid w:val="008110D9"/>
    <w:rsid w:val="0081119C"/>
    <w:rsid w:val="008120DF"/>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76E"/>
    <w:rsid w:val="00816124"/>
    <w:rsid w:val="008162B3"/>
    <w:rsid w:val="008165D5"/>
    <w:rsid w:val="00816710"/>
    <w:rsid w:val="0081677E"/>
    <w:rsid w:val="008169C0"/>
    <w:rsid w:val="00816B1A"/>
    <w:rsid w:val="0081739D"/>
    <w:rsid w:val="008176F4"/>
    <w:rsid w:val="008177D1"/>
    <w:rsid w:val="00817940"/>
    <w:rsid w:val="00817A68"/>
    <w:rsid w:val="00817F63"/>
    <w:rsid w:val="008207ED"/>
    <w:rsid w:val="00821313"/>
    <w:rsid w:val="00821326"/>
    <w:rsid w:val="00821560"/>
    <w:rsid w:val="00821BC3"/>
    <w:rsid w:val="00822B06"/>
    <w:rsid w:val="00823198"/>
    <w:rsid w:val="00823784"/>
    <w:rsid w:val="00823868"/>
    <w:rsid w:val="00823F1E"/>
    <w:rsid w:val="0082426E"/>
    <w:rsid w:val="00824412"/>
    <w:rsid w:val="0082443B"/>
    <w:rsid w:val="0082456C"/>
    <w:rsid w:val="0082480C"/>
    <w:rsid w:val="00824B36"/>
    <w:rsid w:val="00825476"/>
    <w:rsid w:val="008257D2"/>
    <w:rsid w:val="0082592D"/>
    <w:rsid w:val="00825B08"/>
    <w:rsid w:val="00826650"/>
    <w:rsid w:val="00826DE5"/>
    <w:rsid w:val="008272BB"/>
    <w:rsid w:val="00827742"/>
    <w:rsid w:val="008279A9"/>
    <w:rsid w:val="00827EC1"/>
    <w:rsid w:val="00830600"/>
    <w:rsid w:val="00830638"/>
    <w:rsid w:val="008311C4"/>
    <w:rsid w:val="00831A49"/>
    <w:rsid w:val="00831BCF"/>
    <w:rsid w:val="00831D5C"/>
    <w:rsid w:val="00831DF0"/>
    <w:rsid w:val="00831E7A"/>
    <w:rsid w:val="008337B5"/>
    <w:rsid w:val="008339F3"/>
    <w:rsid w:val="00833A5D"/>
    <w:rsid w:val="00834236"/>
    <w:rsid w:val="008359F2"/>
    <w:rsid w:val="00835BC5"/>
    <w:rsid w:val="00835C0E"/>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993"/>
    <w:rsid w:val="008439C9"/>
    <w:rsid w:val="00843AF8"/>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2D1"/>
    <w:rsid w:val="0085034E"/>
    <w:rsid w:val="00850B25"/>
    <w:rsid w:val="00850C98"/>
    <w:rsid w:val="00850D65"/>
    <w:rsid w:val="00850F2D"/>
    <w:rsid w:val="00851132"/>
    <w:rsid w:val="00851C2E"/>
    <w:rsid w:val="00851D4D"/>
    <w:rsid w:val="00852137"/>
    <w:rsid w:val="0085214D"/>
    <w:rsid w:val="008528CD"/>
    <w:rsid w:val="00852904"/>
    <w:rsid w:val="00853371"/>
    <w:rsid w:val="008533B7"/>
    <w:rsid w:val="00853485"/>
    <w:rsid w:val="00853666"/>
    <w:rsid w:val="00853CFB"/>
    <w:rsid w:val="008540E2"/>
    <w:rsid w:val="008547A1"/>
    <w:rsid w:val="0085534B"/>
    <w:rsid w:val="0085537A"/>
    <w:rsid w:val="008555A9"/>
    <w:rsid w:val="00855DBC"/>
    <w:rsid w:val="00855F82"/>
    <w:rsid w:val="0085605A"/>
    <w:rsid w:val="008565BC"/>
    <w:rsid w:val="00856909"/>
    <w:rsid w:val="00856BF5"/>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D87"/>
    <w:rsid w:val="00862F48"/>
    <w:rsid w:val="0086331D"/>
    <w:rsid w:val="008638BD"/>
    <w:rsid w:val="00863AC1"/>
    <w:rsid w:val="00863CB8"/>
    <w:rsid w:val="00864A42"/>
    <w:rsid w:val="00865007"/>
    <w:rsid w:val="0086506E"/>
    <w:rsid w:val="0086526F"/>
    <w:rsid w:val="008653BB"/>
    <w:rsid w:val="00865B6E"/>
    <w:rsid w:val="00865C92"/>
    <w:rsid w:val="008662BA"/>
    <w:rsid w:val="008665D6"/>
    <w:rsid w:val="00866667"/>
    <w:rsid w:val="00866981"/>
    <w:rsid w:val="00866A7D"/>
    <w:rsid w:val="00866FB2"/>
    <w:rsid w:val="00867010"/>
    <w:rsid w:val="00867121"/>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BB3"/>
    <w:rsid w:val="00872D5A"/>
    <w:rsid w:val="0087345A"/>
    <w:rsid w:val="0087351F"/>
    <w:rsid w:val="0087363C"/>
    <w:rsid w:val="008738E4"/>
    <w:rsid w:val="00873EF2"/>
    <w:rsid w:val="00874096"/>
    <w:rsid w:val="008746E8"/>
    <w:rsid w:val="008748DD"/>
    <w:rsid w:val="00874C95"/>
    <w:rsid w:val="00874DFD"/>
    <w:rsid w:val="00875210"/>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00A"/>
    <w:rsid w:val="0088125A"/>
    <w:rsid w:val="00881418"/>
    <w:rsid w:val="008814EC"/>
    <w:rsid w:val="0088177D"/>
    <w:rsid w:val="008821CC"/>
    <w:rsid w:val="008825D3"/>
    <w:rsid w:val="00882BF0"/>
    <w:rsid w:val="008833DF"/>
    <w:rsid w:val="00883A05"/>
    <w:rsid w:val="0088426B"/>
    <w:rsid w:val="0088460B"/>
    <w:rsid w:val="0088512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4C4"/>
    <w:rsid w:val="008864ED"/>
    <w:rsid w:val="0088653D"/>
    <w:rsid w:val="00886971"/>
    <w:rsid w:val="00886A4E"/>
    <w:rsid w:val="00886C57"/>
    <w:rsid w:val="008871E3"/>
    <w:rsid w:val="00887223"/>
    <w:rsid w:val="008873A7"/>
    <w:rsid w:val="008879AB"/>
    <w:rsid w:val="00887A37"/>
    <w:rsid w:val="00887CCD"/>
    <w:rsid w:val="00887EEB"/>
    <w:rsid w:val="0089003C"/>
    <w:rsid w:val="00890681"/>
    <w:rsid w:val="008909E4"/>
    <w:rsid w:val="00891215"/>
    <w:rsid w:val="00891360"/>
    <w:rsid w:val="00891807"/>
    <w:rsid w:val="00891992"/>
    <w:rsid w:val="00892D54"/>
    <w:rsid w:val="008930B9"/>
    <w:rsid w:val="00893AC9"/>
    <w:rsid w:val="008941DE"/>
    <w:rsid w:val="00894524"/>
    <w:rsid w:val="0089481C"/>
    <w:rsid w:val="00894C98"/>
    <w:rsid w:val="00894D2F"/>
    <w:rsid w:val="00895691"/>
    <w:rsid w:val="00895807"/>
    <w:rsid w:val="00895DF3"/>
    <w:rsid w:val="00896132"/>
    <w:rsid w:val="008964EA"/>
    <w:rsid w:val="008967D1"/>
    <w:rsid w:val="00896907"/>
    <w:rsid w:val="00896E2D"/>
    <w:rsid w:val="008971F8"/>
    <w:rsid w:val="008974CD"/>
    <w:rsid w:val="00897852"/>
    <w:rsid w:val="00897E6E"/>
    <w:rsid w:val="008A03BC"/>
    <w:rsid w:val="008A08F5"/>
    <w:rsid w:val="008A1761"/>
    <w:rsid w:val="008A1964"/>
    <w:rsid w:val="008A1CB0"/>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29D5"/>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8AF"/>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0AE3"/>
    <w:rsid w:val="008D12D5"/>
    <w:rsid w:val="008D196A"/>
    <w:rsid w:val="008D1970"/>
    <w:rsid w:val="008D1D09"/>
    <w:rsid w:val="008D1F6F"/>
    <w:rsid w:val="008D27DE"/>
    <w:rsid w:val="008D3179"/>
    <w:rsid w:val="008D3ADA"/>
    <w:rsid w:val="008D3D2C"/>
    <w:rsid w:val="008D3D4B"/>
    <w:rsid w:val="008D3DF2"/>
    <w:rsid w:val="008D40F6"/>
    <w:rsid w:val="008D4A99"/>
    <w:rsid w:val="008D4B8E"/>
    <w:rsid w:val="008D55A3"/>
    <w:rsid w:val="008D5B11"/>
    <w:rsid w:val="008D5DEC"/>
    <w:rsid w:val="008D5FD4"/>
    <w:rsid w:val="008D61B6"/>
    <w:rsid w:val="008D61EB"/>
    <w:rsid w:val="008D64FA"/>
    <w:rsid w:val="008D6501"/>
    <w:rsid w:val="008D6788"/>
    <w:rsid w:val="008D6BBA"/>
    <w:rsid w:val="008D7386"/>
    <w:rsid w:val="008D76C0"/>
    <w:rsid w:val="008D7784"/>
    <w:rsid w:val="008E0000"/>
    <w:rsid w:val="008E063A"/>
    <w:rsid w:val="008E1385"/>
    <w:rsid w:val="008E15E4"/>
    <w:rsid w:val="008E1744"/>
    <w:rsid w:val="008E183D"/>
    <w:rsid w:val="008E1AFA"/>
    <w:rsid w:val="008E1C53"/>
    <w:rsid w:val="008E23C7"/>
    <w:rsid w:val="008E264E"/>
    <w:rsid w:val="008E28DB"/>
    <w:rsid w:val="008E2947"/>
    <w:rsid w:val="008E2A47"/>
    <w:rsid w:val="008E3A8E"/>
    <w:rsid w:val="008E3C3F"/>
    <w:rsid w:val="008E4210"/>
    <w:rsid w:val="008E441F"/>
    <w:rsid w:val="008E4646"/>
    <w:rsid w:val="008E4870"/>
    <w:rsid w:val="008E4BBA"/>
    <w:rsid w:val="008E4D7E"/>
    <w:rsid w:val="008E519E"/>
    <w:rsid w:val="008E52E6"/>
    <w:rsid w:val="008E58F1"/>
    <w:rsid w:val="008E5ADF"/>
    <w:rsid w:val="008E5DC2"/>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4E1"/>
    <w:rsid w:val="008F16B2"/>
    <w:rsid w:val="008F1A28"/>
    <w:rsid w:val="008F1D9C"/>
    <w:rsid w:val="008F20F1"/>
    <w:rsid w:val="008F280C"/>
    <w:rsid w:val="008F2B23"/>
    <w:rsid w:val="008F2DE8"/>
    <w:rsid w:val="008F307F"/>
    <w:rsid w:val="008F3B21"/>
    <w:rsid w:val="008F3F92"/>
    <w:rsid w:val="008F424A"/>
    <w:rsid w:val="008F4947"/>
    <w:rsid w:val="008F4BC6"/>
    <w:rsid w:val="008F526E"/>
    <w:rsid w:val="008F52AD"/>
    <w:rsid w:val="008F5D23"/>
    <w:rsid w:val="008F60F2"/>
    <w:rsid w:val="008F6555"/>
    <w:rsid w:val="008F6656"/>
    <w:rsid w:val="008F686F"/>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84"/>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358"/>
    <w:rsid w:val="0091081E"/>
    <w:rsid w:val="009116C4"/>
    <w:rsid w:val="00911947"/>
    <w:rsid w:val="0091223F"/>
    <w:rsid w:val="00912EF6"/>
    <w:rsid w:val="00912F2F"/>
    <w:rsid w:val="009130CD"/>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5B4"/>
    <w:rsid w:val="009245EB"/>
    <w:rsid w:val="00924981"/>
    <w:rsid w:val="00924A32"/>
    <w:rsid w:val="00924F92"/>
    <w:rsid w:val="00925222"/>
    <w:rsid w:val="00925619"/>
    <w:rsid w:val="009260AD"/>
    <w:rsid w:val="00926132"/>
    <w:rsid w:val="0092613B"/>
    <w:rsid w:val="00927110"/>
    <w:rsid w:val="009273C7"/>
    <w:rsid w:val="00927749"/>
    <w:rsid w:val="00927C01"/>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E57"/>
    <w:rsid w:val="0093351D"/>
    <w:rsid w:val="009339EB"/>
    <w:rsid w:val="00933B5A"/>
    <w:rsid w:val="00933CAD"/>
    <w:rsid w:val="00934062"/>
    <w:rsid w:val="0093479D"/>
    <w:rsid w:val="00934829"/>
    <w:rsid w:val="00934A2E"/>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DB9"/>
    <w:rsid w:val="00942543"/>
    <w:rsid w:val="00942730"/>
    <w:rsid w:val="0094291F"/>
    <w:rsid w:val="00942BB9"/>
    <w:rsid w:val="00942BBE"/>
    <w:rsid w:val="00942D2B"/>
    <w:rsid w:val="0094363D"/>
    <w:rsid w:val="00943A2E"/>
    <w:rsid w:val="00944110"/>
    <w:rsid w:val="009442CC"/>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1ED2"/>
    <w:rsid w:val="009522F5"/>
    <w:rsid w:val="00952B16"/>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20C"/>
    <w:rsid w:val="00964752"/>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89"/>
    <w:rsid w:val="009711AD"/>
    <w:rsid w:val="00971350"/>
    <w:rsid w:val="009717C0"/>
    <w:rsid w:val="00971B20"/>
    <w:rsid w:val="00971EC9"/>
    <w:rsid w:val="00971F61"/>
    <w:rsid w:val="0097202B"/>
    <w:rsid w:val="009720C7"/>
    <w:rsid w:val="0097216D"/>
    <w:rsid w:val="00972467"/>
    <w:rsid w:val="0097292A"/>
    <w:rsid w:val="00972BF5"/>
    <w:rsid w:val="00972E3F"/>
    <w:rsid w:val="00973D63"/>
    <w:rsid w:val="00974223"/>
    <w:rsid w:val="009743A7"/>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77DA6"/>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6953"/>
    <w:rsid w:val="00986F5A"/>
    <w:rsid w:val="00987172"/>
    <w:rsid w:val="0098734C"/>
    <w:rsid w:val="00987543"/>
    <w:rsid w:val="00987838"/>
    <w:rsid w:val="00987A06"/>
    <w:rsid w:val="00990C1B"/>
    <w:rsid w:val="00990F4F"/>
    <w:rsid w:val="00991A15"/>
    <w:rsid w:val="00991D21"/>
    <w:rsid w:val="00991E93"/>
    <w:rsid w:val="00992158"/>
    <w:rsid w:val="00992499"/>
    <w:rsid w:val="009924E5"/>
    <w:rsid w:val="00992CA8"/>
    <w:rsid w:val="00992F50"/>
    <w:rsid w:val="009935AB"/>
    <w:rsid w:val="00993862"/>
    <w:rsid w:val="00993A64"/>
    <w:rsid w:val="00993ADA"/>
    <w:rsid w:val="00994547"/>
    <w:rsid w:val="00994654"/>
    <w:rsid w:val="009949A7"/>
    <w:rsid w:val="0099500B"/>
    <w:rsid w:val="00995893"/>
    <w:rsid w:val="00995CE3"/>
    <w:rsid w:val="009961E4"/>
    <w:rsid w:val="00996304"/>
    <w:rsid w:val="0099716C"/>
    <w:rsid w:val="00997561"/>
    <w:rsid w:val="009975DC"/>
    <w:rsid w:val="00997D2B"/>
    <w:rsid w:val="00997DD1"/>
    <w:rsid w:val="009A05A3"/>
    <w:rsid w:val="009A0AC1"/>
    <w:rsid w:val="009A0DAB"/>
    <w:rsid w:val="009A1216"/>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50FF"/>
    <w:rsid w:val="009A6110"/>
    <w:rsid w:val="009A657E"/>
    <w:rsid w:val="009A6676"/>
    <w:rsid w:val="009A6DB4"/>
    <w:rsid w:val="009A79E9"/>
    <w:rsid w:val="009B0933"/>
    <w:rsid w:val="009B0B08"/>
    <w:rsid w:val="009B0C53"/>
    <w:rsid w:val="009B0E66"/>
    <w:rsid w:val="009B0F02"/>
    <w:rsid w:val="009B10AA"/>
    <w:rsid w:val="009B12EB"/>
    <w:rsid w:val="009B173F"/>
    <w:rsid w:val="009B26CA"/>
    <w:rsid w:val="009B29B5"/>
    <w:rsid w:val="009B2D98"/>
    <w:rsid w:val="009B2E69"/>
    <w:rsid w:val="009B2FF4"/>
    <w:rsid w:val="009B3306"/>
    <w:rsid w:val="009B39D1"/>
    <w:rsid w:val="009B3AA1"/>
    <w:rsid w:val="009B43D0"/>
    <w:rsid w:val="009B4B61"/>
    <w:rsid w:val="009B5ADE"/>
    <w:rsid w:val="009B5B3F"/>
    <w:rsid w:val="009B63D1"/>
    <w:rsid w:val="009B6736"/>
    <w:rsid w:val="009B695C"/>
    <w:rsid w:val="009B6BD3"/>
    <w:rsid w:val="009B6BDB"/>
    <w:rsid w:val="009B714D"/>
    <w:rsid w:val="009B756A"/>
    <w:rsid w:val="009B7591"/>
    <w:rsid w:val="009B77F2"/>
    <w:rsid w:val="009B7ABF"/>
    <w:rsid w:val="009B7BA7"/>
    <w:rsid w:val="009C08BD"/>
    <w:rsid w:val="009C0BAB"/>
    <w:rsid w:val="009C0BBE"/>
    <w:rsid w:val="009C0F2C"/>
    <w:rsid w:val="009C0F43"/>
    <w:rsid w:val="009C1D69"/>
    <w:rsid w:val="009C1EAD"/>
    <w:rsid w:val="009C223D"/>
    <w:rsid w:val="009C246A"/>
    <w:rsid w:val="009C2625"/>
    <w:rsid w:val="009C281D"/>
    <w:rsid w:val="009C2837"/>
    <w:rsid w:val="009C2FF5"/>
    <w:rsid w:val="009C30E9"/>
    <w:rsid w:val="009C34DD"/>
    <w:rsid w:val="009C3590"/>
    <w:rsid w:val="009C399F"/>
    <w:rsid w:val="009C3B3D"/>
    <w:rsid w:val="009C3CD5"/>
    <w:rsid w:val="009C3DF9"/>
    <w:rsid w:val="009C49BA"/>
    <w:rsid w:val="009C4B28"/>
    <w:rsid w:val="009C514D"/>
    <w:rsid w:val="009C5C87"/>
    <w:rsid w:val="009C5ED3"/>
    <w:rsid w:val="009C6772"/>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321F"/>
    <w:rsid w:val="009D35BC"/>
    <w:rsid w:val="009D3669"/>
    <w:rsid w:val="009D378C"/>
    <w:rsid w:val="009D3926"/>
    <w:rsid w:val="009D4D7B"/>
    <w:rsid w:val="009D5719"/>
    <w:rsid w:val="009D64B3"/>
    <w:rsid w:val="009D6610"/>
    <w:rsid w:val="009D6A07"/>
    <w:rsid w:val="009D6A3A"/>
    <w:rsid w:val="009D6AA8"/>
    <w:rsid w:val="009D6B0E"/>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6CD"/>
    <w:rsid w:val="009E1B89"/>
    <w:rsid w:val="009E24BB"/>
    <w:rsid w:val="009E2B57"/>
    <w:rsid w:val="009E31A2"/>
    <w:rsid w:val="009E32BE"/>
    <w:rsid w:val="009E3373"/>
    <w:rsid w:val="009E348B"/>
    <w:rsid w:val="009E3943"/>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0D5"/>
    <w:rsid w:val="009E6315"/>
    <w:rsid w:val="009E6787"/>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A84"/>
    <w:rsid w:val="009F2DE4"/>
    <w:rsid w:val="009F30FB"/>
    <w:rsid w:val="009F312E"/>
    <w:rsid w:val="009F33C3"/>
    <w:rsid w:val="009F366F"/>
    <w:rsid w:val="009F3AE5"/>
    <w:rsid w:val="009F455B"/>
    <w:rsid w:val="009F4BB0"/>
    <w:rsid w:val="009F4BBA"/>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0F4C"/>
    <w:rsid w:val="00A0128F"/>
    <w:rsid w:val="00A012F4"/>
    <w:rsid w:val="00A01B7B"/>
    <w:rsid w:val="00A02038"/>
    <w:rsid w:val="00A023DE"/>
    <w:rsid w:val="00A02996"/>
    <w:rsid w:val="00A02C1A"/>
    <w:rsid w:val="00A031C0"/>
    <w:rsid w:val="00A033D4"/>
    <w:rsid w:val="00A034F9"/>
    <w:rsid w:val="00A03CF2"/>
    <w:rsid w:val="00A03D61"/>
    <w:rsid w:val="00A043AB"/>
    <w:rsid w:val="00A043FD"/>
    <w:rsid w:val="00A04402"/>
    <w:rsid w:val="00A049AE"/>
    <w:rsid w:val="00A04AB5"/>
    <w:rsid w:val="00A05A87"/>
    <w:rsid w:val="00A06086"/>
    <w:rsid w:val="00A060ED"/>
    <w:rsid w:val="00A064D8"/>
    <w:rsid w:val="00A064D9"/>
    <w:rsid w:val="00A06546"/>
    <w:rsid w:val="00A06AA5"/>
    <w:rsid w:val="00A06EA7"/>
    <w:rsid w:val="00A06F58"/>
    <w:rsid w:val="00A075BA"/>
    <w:rsid w:val="00A07715"/>
    <w:rsid w:val="00A079AA"/>
    <w:rsid w:val="00A07ABC"/>
    <w:rsid w:val="00A07CD2"/>
    <w:rsid w:val="00A10445"/>
    <w:rsid w:val="00A10847"/>
    <w:rsid w:val="00A1193E"/>
    <w:rsid w:val="00A11A8C"/>
    <w:rsid w:val="00A11DA3"/>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8D4"/>
    <w:rsid w:val="00A17908"/>
    <w:rsid w:val="00A17919"/>
    <w:rsid w:val="00A17AA8"/>
    <w:rsid w:val="00A20204"/>
    <w:rsid w:val="00A20290"/>
    <w:rsid w:val="00A2040F"/>
    <w:rsid w:val="00A20F9A"/>
    <w:rsid w:val="00A21102"/>
    <w:rsid w:val="00A216F0"/>
    <w:rsid w:val="00A219EB"/>
    <w:rsid w:val="00A22190"/>
    <w:rsid w:val="00A22430"/>
    <w:rsid w:val="00A22D06"/>
    <w:rsid w:val="00A231C6"/>
    <w:rsid w:val="00A23259"/>
    <w:rsid w:val="00A233EA"/>
    <w:rsid w:val="00A2358E"/>
    <w:rsid w:val="00A2471F"/>
    <w:rsid w:val="00A247ED"/>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AE0"/>
    <w:rsid w:val="00A33DD4"/>
    <w:rsid w:val="00A347FA"/>
    <w:rsid w:val="00A34D96"/>
    <w:rsid w:val="00A34F40"/>
    <w:rsid w:val="00A35202"/>
    <w:rsid w:val="00A35963"/>
    <w:rsid w:val="00A35FC0"/>
    <w:rsid w:val="00A36315"/>
    <w:rsid w:val="00A363B0"/>
    <w:rsid w:val="00A363C6"/>
    <w:rsid w:val="00A36572"/>
    <w:rsid w:val="00A365D9"/>
    <w:rsid w:val="00A36DC1"/>
    <w:rsid w:val="00A370C5"/>
    <w:rsid w:val="00A372E8"/>
    <w:rsid w:val="00A37539"/>
    <w:rsid w:val="00A37748"/>
    <w:rsid w:val="00A37CCD"/>
    <w:rsid w:val="00A40C4F"/>
    <w:rsid w:val="00A4143E"/>
    <w:rsid w:val="00A4187E"/>
    <w:rsid w:val="00A41A89"/>
    <w:rsid w:val="00A428D1"/>
    <w:rsid w:val="00A42956"/>
    <w:rsid w:val="00A42B48"/>
    <w:rsid w:val="00A42E52"/>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B30"/>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4892"/>
    <w:rsid w:val="00A65160"/>
    <w:rsid w:val="00A652C0"/>
    <w:rsid w:val="00A65490"/>
    <w:rsid w:val="00A65CB1"/>
    <w:rsid w:val="00A65F2E"/>
    <w:rsid w:val="00A66435"/>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07D"/>
    <w:rsid w:val="00A775E9"/>
    <w:rsid w:val="00A776BC"/>
    <w:rsid w:val="00A77A1E"/>
    <w:rsid w:val="00A77EB2"/>
    <w:rsid w:val="00A8031F"/>
    <w:rsid w:val="00A804DA"/>
    <w:rsid w:val="00A804FE"/>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C13"/>
    <w:rsid w:val="00A85C63"/>
    <w:rsid w:val="00A85FD5"/>
    <w:rsid w:val="00A86221"/>
    <w:rsid w:val="00A864CE"/>
    <w:rsid w:val="00A8671C"/>
    <w:rsid w:val="00A86EC7"/>
    <w:rsid w:val="00A87003"/>
    <w:rsid w:val="00A87105"/>
    <w:rsid w:val="00A87EDA"/>
    <w:rsid w:val="00A90753"/>
    <w:rsid w:val="00A90A45"/>
    <w:rsid w:val="00A90F36"/>
    <w:rsid w:val="00A91507"/>
    <w:rsid w:val="00A91C99"/>
    <w:rsid w:val="00A921C8"/>
    <w:rsid w:val="00A92885"/>
    <w:rsid w:val="00A92AE2"/>
    <w:rsid w:val="00A92F66"/>
    <w:rsid w:val="00A932CE"/>
    <w:rsid w:val="00A937B9"/>
    <w:rsid w:val="00A93BBF"/>
    <w:rsid w:val="00A93CFA"/>
    <w:rsid w:val="00A93FF2"/>
    <w:rsid w:val="00A9438C"/>
    <w:rsid w:val="00A94C6C"/>
    <w:rsid w:val="00A94DFB"/>
    <w:rsid w:val="00A94FF6"/>
    <w:rsid w:val="00A951DB"/>
    <w:rsid w:val="00A95B4D"/>
    <w:rsid w:val="00A96474"/>
    <w:rsid w:val="00A964ED"/>
    <w:rsid w:val="00A969D1"/>
    <w:rsid w:val="00A9729B"/>
    <w:rsid w:val="00A9792F"/>
    <w:rsid w:val="00A97AB6"/>
    <w:rsid w:val="00A97BE3"/>
    <w:rsid w:val="00A97F8E"/>
    <w:rsid w:val="00AA03BC"/>
    <w:rsid w:val="00AA0905"/>
    <w:rsid w:val="00AA2709"/>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6F15"/>
    <w:rsid w:val="00AA78B9"/>
    <w:rsid w:val="00AA7A07"/>
    <w:rsid w:val="00AA7C6D"/>
    <w:rsid w:val="00AB0583"/>
    <w:rsid w:val="00AB0E2B"/>
    <w:rsid w:val="00AB0EA3"/>
    <w:rsid w:val="00AB104A"/>
    <w:rsid w:val="00AB18D9"/>
    <w:rsid w:val="00AB1BA8"/>
    <w:rsid w:val="00AB1C6B"/>
    <w:rsid w:val="00AB1E50"/>
    <w:rsid w:val="00AB20DE"/>
    <w:rsid w:val="00AB2666"/>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92A"/>
    <w:rsid w:val="00AB6D92"/>
    <w:rsid w:val="00AB75CA"/>
    <w:rsid w:val="00AB767F"/>
    <w:rsid w:val="00AB76CC"/>
    <w:rsid w:val="00AB79A2"/>
    <w:rsid w:val="00AC02EA"/>
    <w:rsid w:val="00AC047B"/>
    <w:rsid w:val="00AC09F0"/>
    <w:rsid w:val="00AC0EAB"/>
    <w:rsid w:val="00AC1616"/>
    <w:rsid w:val="00AC19B3"/>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D0501"/>
    <w:rsid w:val="00AD0BC2"/>
    <w:rsid w:val="00AD0CDE"/>
    <w:rsid w:val="00AD0CED"/>
    <w:rsid w:val="00AD0DD4"/>
    <w:rsid w:val="00AD1595"/>
    <w:rsid w:val="00AD1CF7"/>
    <w:rsid w:val="00AD2D11"/>
    <w:rsid w:val="00AD2FB7"/>
    <w:rsid w:val="00AD2FED"/>
    <w:rsid w:val="00AD380A"/>
    <w:rsid w:val="00AD3D30"/>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1F71"/>
    <w:rsid w:val="00AE20D3"/>
    <w:rsid w:val="00AE22FF"/>
    <w:rsid w:val="00AE2B41"/>
    <w:rsid w:val="00AE2F26"/>
    <w:rsid w:val="00AE309A"/>
    <w:rsid w:val="00AE334F"/>
    <w:rsid w:val="00AE354E"/>
    <w:rsid w:val="00AE3745"/>
    <w:rsid w:val="00AE3859"/>
    <w:rsid w:val="00AE3C29"/>
    <w:rsid w:val="00AE4122"/>
    <w:rsid w:val="00AE4383"/>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22"/>
    <w:rsid w:val="00AE78F4"/>
    <w:rsid w:val="00AE7957"/>
    <w:rsid w:val="00AE7C3A"/>
    <w:rsid w:val="00AE7E12"/>
    <w:rsid w:val="00AE7E1F"/>
    <w:rsid w:val="00AE7EC5"/>
    <w:rsid w:val="00AF0172"/>
    <w:rsid w:val="00AF038D"/>
    <w:rsid w:val="00AF0A5A"/>
    <w:rsid w:val="00AF0B5C"/>
    <w:rsid w:val="00AF101F"/>
    <w:rsid w:val="00AF15D2"/>
    <w:rsid w:val="00AF19B7"/>
    <w:rsid w:val="00AF1D19"/>
    <w:rsid w:val="00AF1E0B"/>
    <w:rsid w:val="00AF24A3"/>
    <w:rsid w:val="00AF33E2"/>
    <w:rsid w:val="00AF3413"/>
    <w:rsid w:val="00AF3475"/>
    <w:rsid w:val="00AF3628"/>
    <w:rsid w:val="00AF3E3A"/>
    <w:rsid w:val="00AF4084"/>
    <w:rsid w:val="00AF48D7"/>
    <w:rsid w:val="00AF48F5"/>
    <w:rsid w:val="00AF4C4E"/>
    <w:rsid w:val="00AF55BC"/>
    <w:rsid w:val="00AF57FF"/>
    <w:rsid w:val="00AF59F2"/>
    <w:rsid w:val="00AF7193"/>
    <w:rsid w:val="00AF7497"/>
    <w:rsid w:val="00AF7582"/>
    <w:rsid w:val="00AF75E3"/>
    <w:rsid w:val="00AF7DED"/>
    <w:rsid w:val="00AF7EDA"/>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5EDF"/>
    <w:rsid w:val="00B06B38"/>
    <w:rsid w:val="00B06BD5"/>
    <w:rsid w:val="00B06F6A"/>
    <w:rsid w:val="00B10500"/>
    <w:rsid w:val="00B106D9"/>
    <w:rsid w:val="00B10ED8"/>
    <w:rsid w:val="00B11651"/>
    <w:rsid w:val="00B11933"/>
    <w:rsid w:val="00B11C22"/>
    <w:rsid w:val="00B11E54"/>
    <w:rsid w:val="00B11E9F"/>
    <w:rsid w:val="00B12933"/>
    <w:rsid w:val="00B12D84"/>
    <w:rsid w:val="00B12FF7"/>
    <w:rsid w:val="00B12FFA"/>
    <w:rsid w:val="00B13EB6"/>
    <w:rsid w:val="00B13F3D"/>
    <w:rsid w:val="00B149F3"/>
    <w:rsid w:val="00B149F8"/>
    <w:rsid w:val="00B15289"/>
    <w:rsid w:val="00B1547A"/>
    <w:rsid w:val="00B1549B"/>
    <w:rsid w:val="00B1577B"/>
    <w:rsid w:val="00B15D39"/>
    <w:rsid w:val="00B15D73"/>
    <w:rsid w:val="00B160EA"/>
    <w:rsid w:val="00B162C1"/>
    <w:rsid w:val="00B16CB7"/>
    <w:rsid w:val="00B1710C"/>
    <w:rsid w:val="00B171A6"/>
    <w:rsid w:val="00B17382"/>
    <w:rsid w:val="00B17CBD"/>
    <w:rsid w:val="00B17DC6"/>
    <w:rsid w:val="00B17E12"/>
    <w:rsid w:val="00B20790"/>
    <w:rsid w:val="00B208D8"/>
    <w:rsid w:val="00B20B9F"/>
    <w:rsid w:val="00B20D78"/>
    <w:rsid w:val="00B20F2E"/>
    <w:rsid w:val="00B2136D"/>
    <w:rsid w:val="00B2187E"/>
    <w:rsid w:val="00B2194D"/>
    <w:rsid w:val="00B21DF9"/>
    <w:rsid w:val="00B21F02"/>
    <w:rsid w:val="00B2283A"/>
    <w:rsid w:val="00B229CC"/>
    <w:rsid w:val="00B234C4"/>
    <w:rsid w:val="00B23540"/>
    <w:rsid w:val="00B237EE"/>
    <w:rsid w:val="00B23BE8"/>
    <w:rsid w:val="00B23D7E"/>
    <w:rsid w:val="00B24559"/>
    <w:rsid w:val="00B24A16"/>
    <w:rsid w:val="00B24C6D"/>
    <w:rsid w:val="00B24DD8"/>
    <w:rsid w:val="00B25416"/>
    <w:rsid w:val="00B2551A"/>
    <w:rsid w:val="00B25B2B"/>
    <w:rsid w:val="00B25B4F"/>
    <w:rsid w:val="00B260AE"/>
    <w:rsid w:val="00B27030"/>
    <w:rsid w:val="00B275A0"/>
    <w:rsid w:val="00B27A68"/>
    <w:rsid w:val="00B27BC5"/>
    <w:rsid w:val="00B3078E"/>
    <w:rsid w:val="00B30AAD"/>
    <w:rsid w:val="00B310D4"/>
    <w:rsid w:val="00B31276"/>
    <w:rsid w:val="00B31885"/>
    <w:rsid w:val="00B323F7"/>
    <w:rsid w:val="00B326AD"/>
    <w:rsid w:val="00B32D6B"/>
    <w:rsid w:val="00B33273"/>
    <w:rsid w:val="00B33700"/>
    <w:rsid w:val="00B33C88"/>
    <w:rsid w:val="00B33EC4"/>
    <w:rsid w:val="00B34444"/>
    <w:rsid w:val="00B34AAC"/>
    <w:rsid w:val="00B34E13"/>
    <w:rsid w:val="00B3506C"/>
    <w:rsid w:val="00B35588"/>
    <w:rsid w:val="00B35BE8"/>
    <w:rsid w:val="00B363D8"/>
    <w:rsid w:val="00B365E4"/>
    <w:rsid w:val="00B36A7B"/>
    <w:rsid w:val="00B36B86"/>
    <w:rsid w:val="00B370E8"/>
    <w:rsid w:val="00B37904"/>
    <w:rsid w:val="00B37BCF"/>
    <w:rsid w:val="00B37C34"/>
    <w:rsid w:val="00B40204"/>
    <w:rsid w:val="00B4064E"/>
    <w:rsid w:val="00B407CD"/>
    <w:rsid w:val="00B40A36"/>
    <w:rsid w:val="00B40AA4"/>
    <w:rsid w:val="00B40EEA"/>
    <w:rsid w:val="00B41347"/>
    <w:rsid w:val="00B41475"/>
    <w:rsid w:val="00B42036"/>
    <w:rsid w:val="00B424D3"/>
    <w:rsid w:val="00B4276C"/>
    <w:rsid w:val="00B429A3"/>
    <w:rsid w:val="00B42DB1"/>
    <w:rsid w:val="00B430E0"/>
    <w:rsid w:val="00B442B0"/>
    <w:rsid w:val="00B443D0"/>
    <w:rsid w:val="00B444BF"/>
    <w:rsid w:val="00B4465B"/>
    <w:rsid w:val="00B4467D"/>
    <w:rsid w:val="00B446BD"/>
    <w:rsid w:val="00B449AD"/>
    <w:rsid w:val="00B44B36"/>
    <w:rsid w:val="00B451D3"/>
    <w:rsid w:val="00B453A2"/>
    <w:rsid w:val="00B456A3"/>
    <w:rsid w:val="00B45A54"/>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5A2"/>
    <w:rsid w:val="00B54EF7"/>
    <w:rsid w:val="00B55069"/>
    <w:rsid w:val="00B5556F"/>
    <w:rsid w:val="00B5562C"/>
    <w:rsid w:val="00B5584A"/>
    <w:rsid w:val="00B55CCC"/>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033"/>
    <w:rsid w:val="00B7047D"/>
    <w:rsid w:val="00B706C8"/>
    <w:rsid w:val="00B70886"/>
    <w:rsid w:val="00B7091D"/>
    <w:rsid w:val="00B70B1A"/>
    <w:rsid w:val="00B71112"/>
    <w:rsid w:val="00B7210F"/>
    <w:rsid w:val="00B72520"/>
    <w:rsid w:val="00B72ABA"/>
    <w:rsid w:val="00B72EA7"/>
    <w:rsid w:val="00B72FAF"/>
    <w:rsid w:val="00B7340E"/>
    <w:rsid w:val="00B73974"/>
    <w:rsid w:val="00B74987"/>
    <w:rsid w:val="00B74DD4"/>
    <w:rsid w:val="00B753E0"/>
    <w:rsid w:val="00B75A5D"/>
    <w:rsid w:val="00B75EF4"/>
    <w:rsid w:val="00B75FB9"/>
    <w:rsid w:val="00B7613C"/>
    <w:rsid w:val="00B76268"/>
    <w:rsid w:val="00B766B9"/>
    <w:rsid w:val="00B768DA"/>
    <w:rsid w:val="00B772C4"/>
    <w:rsid w:val="00B7764E"/>
    <w:rsid w:val="00B77CBB"/>
    <w:rsid w:val="00B77F2F"/>
    <w:rsid w:val="00B8091A"/>
    <w:rsid w:val="00B80AA5"/>
    <w:rsid w:val="00B80E1F"/>
    <w:rsid w:val="00B81937"/>
    <w:rsid w:val="00B81B65"/>
    <w:rsid w:val="00B81C67"/>
    <w:rsid w:val="00B81ED1"/>
    <w:rsid w:val="00B81FA8"/>
    <w:rsid w:val="00B81FD5"/>
    <w:rsid w:val="00B82086"/>
    <w:rsid w:val="00B82350"/>
    <w:rsid w:val="00B82D50"/>
    <w:rsid w:val="00B83369"/>
    <w:rsid w:val="00B834D5"/>
    <w:rsid w:val="00B83AAC"/>
    <w:rsid w:val="00B8412B"/>
    <w:rsid w:val="00B8421F"/>
    <w:rsid w:val="00B842DF"/>
    <w:rsid w:val="00B845F5"/>
    <w:rsid w:val="00B8519A"/>
    <w:rsid w:val="00B85354"/>
    <w:rsid w:val="00B85359"/>
    <w:rsid w:val="00B860FF"/>
    <w:rsid w:val="00B86547"/>
    <w:rsid w:val="00B86570"/>
    <w:rsid w:val="00B867CF"/>
    <w:rsid w:val="00B86885"/>
    <w:rsid w:val="00B86B07"/>
    <w:rsid w:val="00B86E63"/>
    <w:rsid w:val="00B8717B"/>
    <w:rsid w:val="00B87A2B"/>
    <w:rsid w:val="00B87E38"/>
    <w:rsid w:val="00B90393"/>
    <w:rsid w:val="00B9119C"/>
    <w:rsid w:val="00B912B8"/>
    <w:rsid w:val="00B919E5"/>
    <w:rsid w:val="00B91D51"/>
    <w:rsid w:val="00B91E3E"/>
    <w:rsid w:val="00B9252F"/>
    <w:rsid w:val="00B9256A"/>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C41"/>
    <w:rsid w:val="00B9712D"/>
    <w:rsid w:val="00B9797F"/>
    <w:rsid w:val="00B97D07"/>
    <w:rsid w:val="00B97D9A"/>
    <w:rsid w:val="00BA08C9"/>
    <w:rsid w:val="00BA0BFB"/>
    <w:rsid w:val="00BA11F2"/>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BC"/>
    <w:rsid w:val="00BA539D"/>
    <w:rsid w:val="00BA53F3"/>
    <w:rsid w:val="00BA54CB"/>
    <w:rsid w:val="00BA5A1C"/>
    <w:rsid w:val="00BA5B9E"/>
    <w:rsid w:val="00BA60D1"/>
    <w:rsid w:val="00BA61F2"/>
    <w:rsid w:val="00BA6308"/>
    <w:rsid w:val="00BA651B"/>
    <w:rsid w:val="00BA667B"/>
    <w:rsid w:val="00BA72BC"/>
    <w:rsid w:val="00BA7B99"/>
    <w:rsid w:val="00BA7CC6"/>
    <w:rsid w:val="00BB0029"/>
    <w:rsid w:val="00BB09AA"/>
    <w:rsid w:val="00BB0A68"/>
    <w:rsid w:val="00BB0C4F"/>
    <w:rsid w:val="00BB0FEB"/>
    <w:rsid w:val="00BB0FEF"/>
    <w:rsid w:val="00BB1209"/>
    <w:rsid w:val="00BB1301"/>
    <w:rsid w:val="00BB1479"/>
    <w:rsid w:val="00BB15C1"/>
    <w:rsid w:val="00BB192A"/>
    <w:rsid w:val="00BB1CC8"/>
    <w:rsid w:val="00BB2616"/>
    <w:rsid w:val="00BB2CE9"/>
    <w:rsid w:val="00BB2D45"/>
    <w:rsid w:val="00BB2F6A"/>
    <w:rsid w:val="00BB305D"/>
    <w:rsid w:val="00BB3961"/>
    <w:rsid w:val="00BB3E97"/>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06"/>
    <w:rsid w:val="00BC1FF8"/>
    <w:rsid w:val="00BC2405"/>
    <w:rsid w:val="00BC2868"/>
    <w:rsid w:val="00BC2D22"/>
    <w:rsid w:val="00BC2FD9"/>
    <w:rsid w:val="00BC310E"/>
    <w:rsid w:val="00BC3327"/>
    <w:rsid w:val="00BC41F2"/>
    <w:rsid w:val="00BC450E"/>
    <w:rsid w:val="00BC47A6"/>
    <w:rsid w:val="00BC4AE8"/>
    <w:rsid w:val="00BC4B41"/>
    <w:rsid w:val="00BC4C8D"/>
    <w:rsid w:val="00BC55E5"/>
    <w:rsid w:val="00BC58B6"/>
    <w:rsid w:val="00BC59B9"/>
    <w:rsid w:val="00BC5ABE"/>
    <w:rsid w:val="00BC5C7E"/>
    <w:rsid w:val="00BC5E3E"/>
    <w:rsid w:val="00BC6291"/>
    <w:rsid w:val="00BC64A5"/>
    <w:rsid w:val="00BC6640"/>
    <w:rsid w:val="00BC68FB"/>
    <w:rsid w:val="00BC76D7"/>
    <w:rsid w:val="00BC7923"/>
    <w:rsid w:val="00BD08E5"/>
    <w:rsid w:val="00BD11FA"/>
    <w:rsid w:val="00BD1380"/>
    <w:rsid w:val="00BD14F5"/>
    <w:rsid w:val="00BD1DFE"/>
    <w:rsid w:val="00BD257E"/>
    <w:rsid w:val="00BD2833"/>
    <w:rsid w:val="00BD295A"/>
    <w:rsid w:val="00BD2BE6"/>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F86"/>
    <w:rsid w:val="00BE0465"/>
    <w:rsid w:val="00BE05DD"/>
    <w:rsid w:val="00BE1007"/>
    <w:rsid w:val="00BE1482"/>
    <w:rsid w:val="00BE154C"/>
    <w:rsid w:val="00BE2C46"/>
    <w:rsid w:val="00BE3BFC"/>
    <w:rsid w:val="00BE40AB"/>
    <w:rsid w:val="00BE4809"/>
    <w:rsid w:val="00BE48B9"/>
    <w:rsid w:val="00BE4BE9"/>
    <w:rsid w:val="00BE5148"/>
    <w:rsid w:val="00BE5E67"/>
    <w:rsid w:val="00BE6061"/>
    <w:rsid w:val="00BE6B3B"/>
    <w:rsid w:val="00BE787D"/>
    <w:rsid w:val="00BE7935"/>
    <w:rsid w:val="00BE7AC4"/>
    <w:rsid w:val="00BE7B50"/>
    <w:rsid w:val="00BE7C72"/>
    <w:rsid w:val="00BE7E7F"/>
    <w:rsid w:val="00BF1AF4"/>
    <w:rsid w:val="00BF1BBA"/>
    <w:rsid w:val="00BF21CA"/>
    <w:rsid w:val="00BF224A"/>
    <w:rsid w:val="00BF2262"/>
    <w:rsid w:val="00BF34C0"/>
    <w:rsid w:val="00BF4ADF"/>
    <w:rsid w:val="00BF4F7A"/>
    <w:rsid w:val="00BF4FF6"/>
    <w:rsid w:val="00BF51AB"/>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A7B"/>
    <w:rsid w:val="00C01BF1"/>
    <w:rsid w:val="00C01E4A"/>
    <w:rsid w:val="00C021B0"/>
    <w:rsid w:val="00C02301"/>
    <w:rsid w:val="00C02A89"/>
    <w:rsid w:val="00C035BF"/>
    <w:rsid w:val="00C041B8"/>
    <w:rsid w:val="00C0425B"/>
    <w:rsid w:val="00C04261"/>
    <w:rsid w:val="00C04319"/>
    <w:rsid w:val="00C05066"/>
    <w:rsid w:val="00C05258"/>
    <w:rsid w:val="00C05369"/>
    <w:rsid w:val="00C057C4"/>
    <w:rsid w:val="00C059FB"/>
    <w:rsid w:val="00C05ED2"/>
    <w:rsid w:val="00C060DA"/>
    <w:rsid w:val="00C06860"/>
    <w:rsid w:val="00C068B2"/>
    <w:rsid w:val="00C06939"/>
    <w:rsid w:val="00C06B8B"/>
    <w:rsid w:val="00C06FEC"/>
    <w:rsid w:val="00C07206"/>
    <w:rsid w:val="00C07566"/>
    <w:rsid w:val="00C07717"/>
    <w:rsid w:val="00C077C5"/>
    <w:rsid w:val="00C07A94"/>
    <w:rsid w:val="00C07E4C"/>
    <w:rsid w:val="00C07EDF"/>
    <w:rsid w:val="00C1023F"/>
    <w:rsid w:val="00C1042E"/>
    <w:rsid w:val="00C106CC"/>
    <w:rsid w:val="00C1166A"/>
    <w:rsid w:val="00C118D7"/>
    <w:rsid w:val="00C11BBC"/>
    <w:rsid w:val="00C124F7"/>
    <w:rsid w:val="00C127CC"/>
    <w:rsid w:val="00C12C6C"/>
    <w:rsid w:val="00C12E79"/>
    <w:rsid w:val="00C1329F"/>
    <w:rsid w:val="00C132AB"/>
    <w:rsid w:val="00C136DE"/>
    <w:rsid w:val="00C13A3C"/>
    <w:rsid w:val="00C13E58"/>
    <w:rsid w:val="00C13E68"/>
    <w:rsid w:val="00C1411E"/>
    <w:rsid w:val="00C14207"/>
    <w:rsid w:val="00C143AC"/>
    <w:rsid w:val="00C143E2"/>
    <w:rsid w:val="00C14479"/>
    <w:rsid w:val="00C146F0"/>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4FBC"/>
    <w:rsid w:val="00C25260"/>
    <w:rsid w:val="00C253E6"/>
    <w:rsid w:val="00C25475"/>
    <w:rsid w:val="00C2586D"/>
    <w:rsid w:val="00C26980"/>
    <w:rsid w:val="00C26FB5"/>
    <w:rsid w:val="00C278D0"/>
    <w:rsid w:val="00C2799E"/>
    <w:rsid w:val="00C27F01"/>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95D"/>
    <w:rsid w:val="00C33F6B"/>
    <w:rsid w:val="00C33FBE"/>
    <w:rsid w:val="00C34435"/>
    <w:rsid w:val="00C34607"/>
    <w:rsid w:val="00C346D2"/>
    <w:rsid w:val="00C3485A"/>
    <w:rsid w:val="00C34DB1"/>
    <w:rsid w:val="00C34DEE"/>
    <w:rsid w:val="00C35905"/>
    <w:rsid w:val="00C35D05"/>
    <w:rsid w:val="00C35E4C"/>
    <w:rsid w:val="00C36479"/>
    <w:rsid w:val="00C36574"/>
    <w:rsid w:val="00C36796"/>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83A"/>
    <w:rsid w:val="00C46055"/>
    <w:rsid w:val="00C462A2"/>
    <w:rsid w:val="00C4664F"/>
    <w:rsid w:val="00C469EB"/>
    <w:rsid w:val="00C46D85"/>
    <w:rsid w:val="00C46F39"/>
    <w:rsid w:val="00C471D9"/>
    <w:rsid w:val="00C472FB"/>
    <w:rsid w:val="00C474A3"/>
    <w:rsid w:val="00C474C7"/>
    <w:rsid w:val="00C47572"/>
    <w:rsid w:val="00C47782"/>
    <w:rsid w:val="00C47DEC"/>
    <w:rsid w:val="00C502E1"/>
    <w:rsid w:val="00C5076C"/>
    <w:rsid w:val="00C50874"/>
    <w:rsid w:val="00C50BD9"/>
    <w:rsid w:val="00C50F5E"/>
    <w:rsid w:val="00C50FB3"/>
    <w:rsid w:val="00C51530"/>
    <w:rsid w:val="00C517E4"/>
    <w:rsid w:val="00C518A4"/>
    <w:rsid w:val="00C51D21"/>
    <w:rsid w:val="00C52BC1"/>
    <w:rsid w:val="00C52C5A"/>
    <w:rsid w:val="00C533EA"/>
    <w:rsid w:val="00C53420"/>
    <w:rsid w:val="00C5388D"/>
    <w:rsid w:val="00C53E34"/>
    <w:rsid w:val="00C5424B"/>
    <w:rsid w:val="00C542D0"/>
    <w:rsid w:val="00C5469A"/>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2D3"/>
    <w:rsid w:val="00C623C2"/>
    <w:rsid w:val="00C62787"/>
    <w:rsid w:val="00C62987"/>
    <w:rsid w:val="00C630F8"/>
    <w:rsid w:val="00C63B8A"/>
    <w:rsid w:val="00C63C44"/>
    <w:rsid w:val="00C6410E"/>
    <w:rsid w:val="00C641A1"/>
    <w:rsid w:val="00C64FD5"/>
    <w:rsid w:val="00C653B2"/>
    <w:rsid w:val="00C655B9"/>
    <w:rsid w:val="00C65769"/>
    <w:rsid w:val="00C657F0"/>
    <w:rsid w:val="00C65AB3"/>
    <w:rsid w:val="00C65AE5"/>
    <w:rsid w:val="00C660BA"/>
    <w:rsid w:val="00C66116"/>
    <w:rsid w:val="00C664C9"/>
    <w:rsid w:val="00C66670"/>
    <w:rsid w:val="00C667D9"/>
    <w:rsid w:val="00C701D6"/>
    <w:rsid w:val="00C708CC"/>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0B89"/>
    <w:rsid w:val="00C81115"/>
    <w:rsid w:val="00C81228"/>
    <w:rsid w:val="00C818C4"/>
    <w:rsid w:val="00C81A02"/>
    <w:rsid w:val="00C81EA7"/>
    <w:rsid w:val="00C822B2"/>
    <w:rsid w:val="00C825B7"/>
    <w:rsid w:val="00C82C01"/>
    <w:rsid w:val="00C82EEF"/>
    <w:rsid w:val="00C82F1F"/>
    <w:rsid w:val="00C8300C"/>
    <w:rsid w:val="00C83018"/>
    <w:rsid w:val="00C833CA"/>
    <w:rsid w:val="00C83450"/>
    <w:rsid w:val="00C836B8"/>
    <w:rsid w:val="00C84430"/>
    <w:rsid w:val="00C84856"/>
    <w:rsid w:val="00C84882"/>
    <w:rsid w:val="00C8488F"/>
    <w:rsid w:val="00C84C2D"/>
    <w:rsid w:val="00C84CF7"/>
    <w:rsid w:val="00C8521E"/>
    <w:rsid w:val="00C85397"/>
    <w:rsid w:val="00C85596"/>
    <w:rsid w:val="00C855A6"/>
    <w:rsid w:val="00C85C6A"/>
    <w:rsid w:val="00C85CDC"/>
    <w:rsid w:val="00C86561"/>
    <w:rsid w:val="00C86C34"/>
    <w:rsid w:val="00C870C0"/>
    <w:rsid w:val="00C870E8"/>
    <w:rsid w:val="00C8728B"/>
    <w:rsid w:val="00C873D7"/>
    <w:rsid w:val="00C876AA"/>
    <w:rsid w:val="00C87946"/>
    <w:rsid w:val="00C87B77"/>
    <w:rsid w:val="00C9024D"/>
    <w:rsid w:val="00C902E3"/>
    <w:rsid w:val="00C904FD"/>
    <w:rsid w:val="00C9050F"/>
    <w:rsid w:val="00C9076B"/>
    <w:rsid w:val="00C907D6"/>
    <w:rsid w:val="00C90857"/>
    <w:rsid w:val="00C90BAA"/>
    <w:rsid w:val="00C910D2"/>
    <w:rsid w:val="00C91128"/>
    <w:rsid w:val="00C913A5"/>
    <w:rsid w:val="00C9178F"/>
    <w:rsid w:val="00C920B1"/>
    <w:rsid w:val="00C92262"/>
    <w:rsid w:val="00C9289F"/>
    <w:rsid w:val="00C9406D"/>
    <w:rsid w:val="00C94135"/>
    <w:rsid w:val="00C942A9"/>
    <w:rsid w:val="00C945DA"/>
    <w:rsid w:val="00C95715"/>
    <w:rsid w:val="00C960DD"/>
    <w:rsid w:val="00C960E5"/>
    <w:rsid w:val="00C960F2"/>
    <w:rsid w:val="00C96211"/>
    <w:rsid w:val="00C963E5"/>
    <w:rsid w:val="00C9645A"/>
    <w:rsid w:val="00C96936"/>
    <w:rsid w:val="00C96F22"/>
    <w:rsid w:val="00C973E3"/>
    <w:rsid w:val="00C97A46"/>
    <w:rsid w:val="00C97DBC"/>
    <w:rsid w:val="00CA05D4"/>
    <w:rsid w:val="00CA11B9"/>
    <w:rsid w:val="00CA1401"/>
    <w:rsid w:val="00CA310D"/>
    <w:rsid w:val="00CA343D"/>
    <w:rsid w:val="00CA38F0"/>
    <w:rsid w:val="00CA3919"/>
    <w:rsid w:val="00CA3FB1"/>
    <w:rsid w:val="00CA40A3"/>
    <w:rsid w:val="00CA4244"/>
    <w:rsid w:val="00CA4B93"/>
    <w:rsid w:val="00CA4D3B"/>
    <w:rsid w:val="00CA5B55"/>
    <w:rsid w:val="00CA6032"/>
    <w:rsid w:val="00CA6A2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2A"/>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E5"/>
    <w:rsid w:val="00CC2FFB"/>
    <w:rsid w:val="00CC34E0"/>
    <w:rsid w:val="00CC36E4"/>
    <w:rsid w:val="00CC38C8"/>
    <w:rsid w:val="00CC3967"/>
    <w:rsid w:val="00CC3CE9"/>
    <w:rsid w:val="00CC3D3B"/>
    <w:rsid w:val="00CC417D"/>
    <w:rsid w:val="00CC42CA"/>
    <w:rsid w:val="00CC42DA"/>
    <w:rsid w:val="00CC5023"/>
    <w:rsid w:val="00CC5379"/>
    <w:rsid w:val="00CC53CC"/>
    <w:rsid w:val="00CC58BA"/>
    <w:rsid w:val="00CC5DA6"/>
    <w:rsid w:val="00CC5DC9"/>
    <w:rsid w:val="00CC638E"/>
    <w:rsid w:val="00CC6564"/>
    <w:rsid w:val="00CC6F49"/>
    <w:rsid w:val="00CC6F7F"/>
    <w:rsid w:val="00CC7915"/>
    <w:rsid w:val="00CC79FB"/>
    <w:rsid w:val="00CC7C10"/>
    <w:rsid w:val="00CD00E9"/>
    <w:rsid w:val="00CD017D"/>
    <w:rsid w:val="00CD0287"/>
    <w:rsid w:val="00CD030B"/>
    <w:rsid w:val="00CD0641"/>
    <w:rsid w:val="00CD07C1"/>
    <w:rsid w:val="00CD09F8"/>
    <w:rsid w:val="00CD134F"/>
    <w:rsid w:val="00CD14C3"/>
    <w:rsid w:val="00CD1653"/>
    <w:rsid w:val="00CD1696"/>
    <w:rsid w:val="00CD18CB"/>
    <w:rsid w:val="00CD1909"/>
    <w:rsid w:val="00CD199C"/>
    <w:rsid w:val="00CD1E75"/>
    <w:rsid w:val="00CD1EA2"/>
    <w:rsid w:val="00CD2DF7"/>
    <w:rsid w:val="00CD30F6"/>
    <w:rsid w:val="00CD3211"/>
    <w:rsid w:val="00CD399E"/>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36"/>
    <w:rsid w:val="00CD6378"/>
    <w:rsid w:val="00CD7009"/>
    <w:rsid w:val="00CD7223"/>
    <w:rsid w:val="00CD76FD"/>
    <w:rsid w:val="00CD7999"/>
    <w:rsid w:val="00CD7D71"/>
    <w:rsid w:val="00CD7FDD"/>
    <w:rsid w:val="00CE02FE"/>
    <w:rsid w:val="00CE0A68"/>
    <w:rsid w:val="00CE0B07"/>
    <w:rsid w:val="00CE0C1B"/>
    <w:rsid w:val="00CE150D"/>
    <w:rsid w:val="00CE1669"/>
    <w:rsid w:val="00CE1823"/>
    <w:rsid w:val="00CE193F"/>
    <w:rsid w:val="00CE1BE3"/>
    <w:rsid w:val="00CE1FDA"/>
    <w:rsid w:val="00CE2DCE"/>
    <w:rsid w:val="00CE2F3B"/>
    <w:rsid w:val="00CE2F58"/>
    <w:rsid w:val="00CE3CB9"/>
    <w:rsid w:val="00CE3E0F"/>
    <w:rsid w:val="00CE40A2"/>
    <w:rsid w:val="00CE4447"/>
    <w:rsid w:val="00CE4BAF"/>
    <w:rsid w:val="00CE4CB1"/>
    <w:rsid w:val="00CE5479"/>
    <w:rsid w:val="00CE5636"/>
    <w:rsid w:val="00CE5C00"/>
    <w:rsid w:val="00CE606B"/>
    <w:rsid w:val="00CE60D2"/>
    <w:rsid w:val="00CE60EF"/>
    <w:rsid w:val="00CE62CA"/>
    <w:rsid w:val="00CE6E3F"/>
    <w:rsid w:val="00CE734B"/>
    <w:rsid w:val="00CE7AE6"/>
    <w:rsid w:val="00CF00B1"/>
    <w:rsid w:val="00CF05B4"/>
    <w:rsid w:val="00CF05C9"/>
    <w:rsid w:val="00CF0B69"/>
    <w:rsid w:val="00CF0D20"/>
    <w:rsid w:val="00CF0D8A"/>
    <w:rsid w:val="00CF0DC9"/>
    <w:rsid w:val="00CF121C"/>
    <w:rsid w:val="00CF1250"/>
    <w:rsid w:val="00CF1409"/>
    <w:rsid w:val="00CF1446"/>
    <w:rsid w:val="00CF160C"/>
    <w:rsid w:val="00CF289F"/>
    <w:rsid w:val="00CF2B74"/>
    <w:rsid w:val="00CF3451"/>
    <w:rsid w:val="00CF3506"/>
    <w:rsid w:val="00CF3ACC"/>
    <w:rsid w:val="00CF3B0B"/>
    <w:rsid w:val="00CF3DDF"/>
    <w:rsid w:val="00CF3E29"/>
    <w:rsid w:val="00CF3EE6"/>
    <w:rsid w:val="00CF45ED"/>
    <w:rsid w:val="00CF4D12"/>
    <w:rsid w:val="00CF4F58"/>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EC"/>
    <w:rsid w:val="00D05FCF"/>
    <w:rsid w:val="00D06456"/>
    <w:rsid w:val="00D064C0"/>
    <w:rsid w:val="00D068E0"/>
    <w:rsid w:val="00D06945"/>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83B"/>
    <w:rsid w:val="00D20180"/>
    <w:rsid w:val="00D201C2"/>
    <w:rsid w:val="00D202CC"/>
    <w:rsid w:val="00D20932"/>
    <w:rsid w:val="00D209B3"/>
    <w:rsid w:val="00D20B78"/>
    <w:rsid w:val="00D20BF5"/>
    <w:rsid w:val="00D20C8B"/>
    <w:rsid w:val="00D21065"/>
    <w:rsid w:val="00D213AB"/>
    <w:rsid w:val="00D21424"/>
    <w:rsid w:val="00D21739"/>
    <w:rsid w:val="00D21745"/>
    <w:rsid w:val="00D21CA8"/>
    <w:rsid w:val="00D21F84"/>
    <w:rsid w:val="00D220EB"/>
    <w:rsid w:val="00D22B3C"/>
    <w:rsid w:val="00D22FB0"/>
    <w:rsid w:val="00D23131"/>
    <w:rsid w:val="00D232B8"/>
    <w:rsid w:val="00D23300"/>
    <w:rsid w:val="00D23610"/>
    <w:rsid w:val="00D23871"/>
    <w:rsid w:val="00D24236"/>
    <w:rsid w:val="00D2451A"/>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775"/>
    <w:rsid w:val="00D328A5"/>
    <w:rsid w:val="00D32FE0"/>
    <w:rsid w:val="00D33840"/>
    <w:rsid w:val="00D3399D"/>
    <w:rsid w:val="00D33DDE"/>
    <w:rsid w:val="00D340B7"/>
    <w:rsid w:val="00D347DE"/>
    <w:rsid w:val="00D349D5"/>
    <w:rsid w:val="00D34A59"/>
    <w:rsid w:val="00D34E03"/>
    <w:rsid w:val="00D34F5A"/>
    <w:rsid w:val="00D359F3"/>
    <w:rsid w:val="00D36514"/>
    <w:rsid w:val="00D36D1A"/>
    <w:rsid w:val="00D36D25"/>
    <w:rsid w:val="00D371E0"/>
    <w:rsid w:val="00D37278"/>
    <w:rsid w:val="00D375F9"/>
    <w:rsid w:val="00D37E8A"/>
    <w:rsid w:val="00D4080D"/>
    <w:rsid w:val="00D409F6"/>
    <w:rsid w:val="00D40E29"/>
    <w:rsid w:val="00D4118C"/>
    <w:rsid w:val="00D41771"/>
    <w:rsid w:val="00D4208C"/>
    <w:rsid w:val="00D4234C"/>
    <w:rsid w:val="00D4249B"/>
    <w:rsid w:val="00D42B03"/>
    <w:rsid w:val="00D434C8"/>
    <w:rsid w:val="00D4374F"/>
    <w:rsid w:val="00D438B3"/>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AEF"/>
    <w:rsid w:val="00D51DAB"/>
    <w:rsid w:val="00D52E91"/>
    <w:rsid w:val="00D52F43"/>
    <w:rsid w:val="00D53201"/>
    <w:rsid w:val="00D538F9"/>
    <w:rsid w:val="00D53983"/>
    <w:rsid w:val="00D53F25"/>
    <w:rsid w:val="00D54208"/>
    <w:rsid w:val="00D5438A"/>
    <w:rsid w:val="00D54925"/>
    <w:rsid w:val="00D54FE9"/>
    <w:rsid w:val="00D5563F"/>
    <w:rsid w:val="00D55797"/>
    <w:rsid w:val="00D55924"/>
    <w:rsid w:val="00D55CCE"/>
    <w:rsid w:val="00D56042"/>
    <w:rsid w:val="00D5604E"/>
    <w:rsid w:val="00D560B6"/>
    <w:rsid w:val="00D56256"/>
    <w:rsid w:val="00D5653F"/>
    <w:rsid w:val="00D56F89"/>
    <w:rsid w:val="00D5788F"/>
    <w:rsid w:val="00D579BA"/>
    <w:rsid w:val="00D57CC9"/>
    <w:rsid w:val="00D57E26"/>
    <w:rsid w:val="00D57FD6"/>
    <w:rsid w:val="00D6012F"/>
    <w:rsid w:val="00D60A04"/>
    <w:rsid w:val="00D6126E"/>
    <w:rsid w:val="00D61346"/>
    <w:rsid w:val="00D61400"/>
    <w:rsid w:val="00D615EA"/>
    <w:rsid w:val="00D617C2"/>
    <w:rsid w:val="00D61A22"/>
    <w:rsid w:val="00D61CDD"/>
    <w:rsid w:val="00D61D01"/>
    <w:rsid w:val="00D620A1"/>
    <w:rsid w:val="00D6235A"/>
    <w:rsid w:val="00D62467"/>
    <w:rsid w:val="00D62674"/>
    <w:rsid w:val="00D62788"/>
    <w:rsid w:val="00D629E0"/>
    <w:rsid w:val="00D62CF9"/>
    <w:rsid w:val="00D63501"/>
    <w:rsid w:val="00D63675"/>
    <w:rsid w:val="00D64419"/>
    <w:rsid w:val="00D64A78"/>
    <w:rsid w:val="00D654C2"/>
    <w:rsid w:val="00D659F8"/>
    <w:rsid w:val="00D65A3F"/>
    <w:rsid w:val="00D65C7B"/>
    <w:rsid w:val="00D660C4"/>
    <w:rsid w:val="00D664C7"/>
    <w:rsid w:val="00D66744"/>
    <w:rsid w:val="00D66A49"/>
    <w:rsid w:val="00D66ADE"/>
    <w:rsid w:val="00D66C6B"/>
    <w:rsid w:val="00D66F7E"/>
    <w:rsid w:val="00D67B90"/>
    <w:rsid w:val="00D67CDB"/>
    <w:rsid w:val="00D67D25"/>
    <w:rsid w:val="00D67F40"/>
    <w:rsid w:val="00D7007F"/>
    <w:rsid w:val="00D70142"/>
    <w:rsid w:val="00D7028D"/>
    <w:rsid w:val="00D704DE"/>
    <w:rsid w:val="00D70506"/>
    <w:rsid w:val="00D70623"/>
    <w:rsid w:val="00D70939"/>
    <w:rsid w:val="00D70D0C"/>
    <w:rsid w:val="00D7149A"/>
    <w:rsid w:val="00D71B39"/>
    <w:rsid w:val="00D71D21"/>
    <w:rsid w:val="00D71F0E"/>
    <w:rsid w:val="00D71F48"/>
    <w:rsid w:val="00D72027"/>
    <w:rsid w:val="00D7236C"/>
    <w:rsid w:val="00D725EA"/>
    <w:rsid w:val="00D72804"/>
    <w:rsid w:val="00D72AF9"/>
    <w:rsid w:val="00D72C2A"/>
    <w:rsid w:val="00D72E60"/>
    <w:rsid w:val="00D7339C"/>
    <w:rsid w:val="00D73563"/>
    <w:rsid w:val="00D73AE0"/>
    <w:rsid w:val="00D73E26"/>
    <w:rsid w:val="00D73FA3"/>
    <w:rsid w:val="00D742BC"/>
    <w:rsid w:val="00D74BA0"/>
    <w:rsid w:val="00D74D03"/>
    <w:rsid w:val="00D759F2"/>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1E2B"/>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57C"/>
    <w:rsid w:val="00D8681F"/>
    <w:rsid w:val="00D869B2"/>
    <w:rsid w:val="00D86AEF"/>
    <w:rsid w:val="00D86B93"/>
    <w:rsid w:val="00D86F6B"/>
    <w:rsid w:val="00D87866"/>
    <w:rsid w:val="00D87AB4"/>
    <w:rsid w:val="00D906BE"/>
    <w:rsid w:val="00D90941"/>
    <w:rsid w:val="00D91A3C"/>
    <w:rsid w:val="00D9201A"/>
    <w:rsid w:val="00D92093"/>
    <w:rsid w:val="00D92233"/>
    <w:rsid w:val="00D92981"/>
    <w:rsid w:val="00D93234"/>
    <w:rsid w:val="00D93493"/>
    <w:rsid w:val="00D93832"/>
    <w:rsid w:val="00D938F0"/>
    <w:rsid w:val="00D93A1D"/>
    <w:rsid w:val="00D93BA0"/>
    <w:rsid w:val="00D9420E"/>
    <w:rsid w:val="00D9445F"/>
    <w:rsid w:val="00D946B8"/>
    <w:rsid w:val="00D946F7"/>
    <w:rsid w:val="00D947B0"/>
    <w:rsid w:val="00D948A2"/>
    <w:rsid w:val="00D948FF"/>
    <w:rsid w:val="00D9490C"/>
    <w:rsid w:val="00D949B3"/>
    <w:rsid w:val="00D94CCC"/>
    <w:rsid w:val="00D9547F"/>
    <w:rsid w:val="00D95573"/>
    <w:rsid w:val="00D955A8"/>
    <w:rsid w:val="00D95691"/>
    <w:rsid w:val="00D95A52"/>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5B7"/>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6308"/>
    <w:rsid w:val="00DA6FCA"/>
    <w:rsid w:val="00DA7195"/>
    <w:rsid w:val="00DA7380"/>
    <w:rsid w:val="00DA768F"/>
    <w:rsid w:val="00DA7784"/>
    <w:rsid w:val="00DB0009"/>
    <w:rsid w:val="00DB00A2"/>
    <w:rsid w:val="00DB01B4"/>
    <w:rsid w:val="00DB031E"/>
    <w:rsid w:val="00DB0811"/>
    <w:rsid w:val="00DB0B73"/>
    <w:rsid w:val="00DB0EDB"/>
    <w:rsid w:val="00DB1370"/>
    <w:rsid w:val="00DB13A7"/>
    <w:rsid w:val="00DB152E"/>
    <w:rsid w:val="00DB1B8E"/>
    <w:rsid w:val="00DB1E1C"/>
    <w:rsid w:val="00DB240A"/>
    <w:rsid w:val="00DB2481"/>
    <w:rsid w:val="00DB2687"/>
    <w:rsid w:val="00DB2695"/>
    <w:rsid w:val="00DB37FA"/>
    <w:rsid w:val="00DB3A9E"/>
    <w:rsid w:val="00DB3BF0"/>
    <w:rsid w:val="00DB3E41"/>
    <w:rsid w:val="00DB3FCF"/>
    <w:rsid w:val="00DB423A"/>
    <w:rsid w:val="00DB43E1"/>
    <w:rsid w:val="00DB448A"/>
    <w:rsid w:val="00DB4636"/>
    <w:rsid w:val="00DB493E"/>
    <w:rsid w:val="00DB4C40"/>
    <w:rsid w:val="00DB4CDA"/>
    <w:rsid w:val="00DB4CED"/>
    <w:rsid w:val="00DB4D21"/>
    <w:rsid w:val="00DB53C5"/>
    <w:rsid w:val="00DB558C"/>
    <w:rsid w:val="00DB595F"/>
    <w:rsid w:val="00DB5B2F"/>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0F1B"/>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CD8"/>
    <w:rsid w:val="00DC3E44"/>
    <w:rsid w:val="00DC4521"/>
    <w:rsid w:val="00DC458A"/>
    <w:rsid w:val="00DC46FA"/>
    <w:rsid w:val="00DC4B2F"/>
    <w:rsid w:val="00DC4E24"/>
    <w:rsid w:val="00DC4F70"/>
    <w:rsid w:val="00DC517E"/>
    <w:rsid w:val="00DC5187"/>
    <w:rsid w:val="00DC54D5"/>
    <w:rsid w:val="00DC5532"/>
    <w:rsid w:val="00DC5B09"/>
    <w:rsid w:val="00DC5B41"/>
    <w:rsid w:val="00DC6B05"/>
    <w:rsid w:val="00DC7079"/>
    <w:rsid w:val="00DC7906"/>
    <w:rsid w:val="00DC792E"/>
    <w:rsid w:val="00DC7948"/>
    <w:rsid w:val="00DC7AA4"/>
    <w:rsid w:val="00DC7C5B"/>
    <w:rsid w:val="00DC7C88"/>
    <w:rsid w:val="00DC7E43"/>
    <w:rsid w:val="00DD0918"/>
    <w:rsid w:val="00DD0EEF"/>
    <w:rsid w:val="00DD10CD"/>
    <w:rsid w:val="00DD1352"/>
    <w:rsid w:val="00DD15DA"/>
    <w:rsid w:val="00DD1EE3"/>
    <w:rsid w:val="00DD2235"/>
    <w:rsid w:val="00DD22CC"/>
    <w:rsid w:val="00DD255E"/>
    <w:rsid w:val="00DD2C0F"/>
    <w:rsid w:val="00DD3007"/>
    <w:rsid w:val="00DD3039"/>
    <w:rsid w:val="00DD316B"/>
    <w:rsid w:val="00DD35AF"/>
    <w:rsid w:val="00DD365B"/>
    <w:rsid w:val="00DD3A4D"/>
    <w:rsid w:val="00DD3CFE"/>
    <w:rsid w:val="00DD3FEE"/>
    <w:rsid w:val="00DD4911"/>
    <w:rsid w:val="00DD4BA9"/>
    <w:rsid w:val="00DD4FD8"/>
    <w:rsid w:val="00DD5592"/>
    <w:rsid w:val="00DD5714"/>
    <w:rsid w:val="00DD5C5B"/>
    <w:rsid w:val="00DD5CB6"/>
    <w:rsid w:val="00DD6056"/>
    <w:rsid w:val="00DD6301"/>
    <w:rsid w:val="00DD63D8"/>
    <w:rsid w:val="00DD647C"/>
    <w:rsid w:val="00DD67EC"/>
    <w:rsid w:val="00DD69A6"/>
    <w:rsid w:val="00DD6B9B"/>
    <w:rsid w:val="00DD6D4F"/>
    <w:rsid w:val="00DD6D59"/>
    <w:rsid w:val="00DD6F35"/>
    <w:rsid w:val="00DD70F3"/>
    <w:rsid w:val="00DE0045"/>
    <w:rsid w:val="00DE008C"/>
    <w:rsid w:val="00DE0248"/>
    <w:rsid w:val="00DE03AD"/>
    <w:rsid w:val="00DE0558"/>
    <w:rsid w:val="00DE0CDA"/>
    <w:rsid w:val="00DE13FA"/>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DEB"/>
    <w:rsid w:val="00DE4E51"/>
    <w:rsid w:val="00DE52C2"/>
    <w:rsid w:val="00DE5856"/>
    <w:rsid w:val="00DE58DC"/>
    <w:rsid w:val="00DE5E33"/>
    <w:rsid w:val="00DE5FC9"/>
    <w:rsid w:val="00DE6B12"/>
    <w:rsid w:val="00DE6D8A"/>
    <w:rsid w:val="00DE7483"/>
    <w:rsid w:val="00DE7486"/>
    <w:rsid w:val="00DE756E"/>
    <w:rsid w:val="00DE7765"/>
    <w:rsid w:val="00DE7771"/>
    <w:rsid w:val="00DE77E6"/>
    <w:rsid w:val="00DE798A"/>
    <w:rsid w:val="00DE7E17"/>
    <w:rsid w:val="00DE7EA9"/>
    <w:rsid w:val="00DE7F21"/>
    <w:rsid w:val="00DE7FC6"/>
    <w:rsid w:val="00DF006A"/>
    <w:rsid w:val="00DF06BE"/>
    <w:rsid w:val="00DF074B"/>
    <w:rsid w:val="00DF07EB"/>
    <w:rsid w:val="00DF08DB"/>
    <w:rsid w:val="00DF09D0"/>
    <w:rsid w:val="00DF0D21"/>
    <w:rsid w:val="00DF0F15"/>
    <w:rsid w:val="00DF11DD"/>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A51"/>
    <w:rsid w:val="00DF4E1B"/>
    <w:rsid w:val="00DF4E3D"/>
    <w:rsid w:val="00DF4EEC"/>
    <w:rsid w:val="00DF4F4D"/>
    <w:rsid w:val="00DF563E"/>
    <w:rsid w:val="00DF5AF0"/>
    <w:rsid w:val="00DF5F7E"/>
    <w:rsid w:val="00DF6263"/>
    <w:rsid w:val="00DF6C49"/>
    <w:rsid w:val="00DF6C9C"/>
    <w:rsid w:val="00DF72A5"/>
    <w:rsid w:val="00DF7301"/>
    <w:rsid w:val="00DF79B1"/>
    <w:rsid w:val="00E00078"/>
    <w:rsid w:val="00E003BE"/>
    <w:rsid w:val="00E00A15"/>
    <w:rsid w:val="00E01271"/>
    <w:rsid w:val="00E0128D"/>
    <w:rsid w:val="00E0167B"/>
    <w:rsid w:val="00E0174C"/>
    <w:rsid w:val="00E018FC"/>
    <w:rsid w:val="00E01C12"/>
    <w:rsid w:val="00E01D2A"/>
    <w:rsid w:val="00E01D87"/>
    <w:rsid w:val="00E01E9F"/>
    <w:rsid w:val="00E01F86"/>
    <w:rsid w:val="00E02058"/>
    <w:rsid w:val="00E020A8"/>
    <w:rsid w:val="00E0247A"/>
    <w:rsid w:val="00E024F4"/>
    <w:rsid w:val="00E0293A"/>
    <w:rsid w:val="00E029B8"/>
    <w:rsid w:val="00E02CB4"/>
    <w:rsid w:val="00E02D57"/>
    <w:rsid w:val="00E02E51"/>
    <w:rsid w:val="00E03470"/>
    <w:rsid w:val="00E0349E"/>
    <w:rsid w:val="00E037CE"/>
    <w:rsid w:val="00E0389C"/>
    <w:rsid w:val="00E03BE2"/>
    <w:rsid w:val="00E03EE0"/>
    <w:rsid w:val="00E0428D"/>
    <w:rsid w:val="00E042C5"/>
    <w:rsid w:val="00E044EC"/>
    <w:rsid w:val="00E045E2"/>
    <w:rsid w:val="00E046F6"/>
    <w:rsid w:val="00E04D15"/>
    <w:rsid w:val="00E058B1"/>
    <w:rsid w:val="00E05995"/>
    <w:rsid w:val="00E05E1A"/>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A8"/>
    <w:rsid w:val="00E11D41"/>
    <w:rsid w:val="00E11D63"/>
    <w:rsid w:val="00E13A26"/>
    <w:rsid w:val="00E13C81"/>
    <w:rsid w:val="00E14365"/>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17BF7"/>
    <w:rsid w:val="00E205AA"/>
    <w:rsid w:val="00E20AAB"/>
    <w:rsid w:val="00E20AB6"/>
    <w:rsid w:val="00E20B8E"/>
    <w:rsid w:val="00E20E79"/>
    <w:rsid w:val="00E20EAB"/>
    <w:rsid w:val="00E21079"/>
    <w:rsid w:val="00E21759"/>
    <w:rsid w:val="00E21B5F"/>
    <w:rsid w:val="00E22373"/>
    <w:rsid w:val="00E22FC8"/>
    <w:rsid w:val="00E230A0"/>
    <w:rsid w:val="00E232D7"/>
    <w:rsid w:val="00E2345D"/>
    <w:rsid w:val="00E235B7"/>
    <w:rsid w:val="00E23DD4"/>
    <w:rsid w:val="00E23E1D"/>
    <w:rsid w:val="00E23E1F"/>
    <w:rsid w:val="00E241F5"/>
    <w:rsid w:val="00E24A05"/>
    <w:rsid w:val="00E2518B"/>
    <w:rsid w:val="00E25CC4"/>
    <w:rsid w:val="00E25D2B"/>
    <w:rsid w:val="00E25D40"/>
    <w:rsid w:val="00E26010"/>
    <w:rsid w:val="00E2603F"/>
    <w:rsid w:val="00E26116"/>
    <w:rsid w:val="00E26307"/>
    <w:rsid w:val="00E2683D"/>
    <w:rsid w:val="00E2689B"/>
    <w:rsid w:val="00E269AF"/>
    <w:rsid w:val="00E2726E"/>
    <w:rsid w:val="00E2782B"/>
    <w:rsid w:val="00E27AE1"/>
    <w:rsid w:val="00E27D16"/>
    <w:rsid w:val="00E27D8C"/>
    <w:rsid w:val="00E27F71"/>
    <w:rsid w:val="00E30644"/>
    <w:rsid w:val="00E308CB"/>
    <w:rsid w:val="00E31143"/>
    <w:rsid w:val="00E31658"/>
    <w:rsid w:val="00E3192C"/>
    <w:rsid w:val="00E31A95"/>
    <w:rsid w:val="00E32227"/>
    <w:rsid w:val="00E3264D"/>
    <w:rsid w:val="00E327F2"/>
    <w:rsid w:val="00E32D8D"/>
    <w:rsid w:val="00E336B6"/>
    <w:rsid w:val="00E33775"/>
    <w:rsid w:val="00E33A23"/>
    <w:rsid w:val="00E344C7"/>
    <w:rsid w:val="00E345F8"/>
    <w:rsid w:val="00E346FA"/>
    <w:rsid w:val="00E34ABC"/>
    <w:rsid w:val="00E34C7F"/>
    <w:rsid w:val="00E34D08"/>
    <w:rsid w:val="00E3508B"/>
    <w:rsid w:val="00E3552F"/>
    <w:rsid w:val="00E3566A"/>
    <w:rsid w:val="00E35A52"/>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98F"/>
    <w:rsid w:val="00E50F05"/>
    <w:rsid w:val="00E51711"/>
    <w:rsid w:val="00E518DB"/>
    <w:rsid w:val="00E527B7"/>
    <w:rsid w:val="00E527C9"/>
    <w:rsid w:val="00E52A9E"/>
    <w:rsid w:val="00E52E13"/>
    <w:rsid w:val="00E52F4E"/>
    <w:rsid w:val="00E53097"/>
    <w:rsid w:val="00E5409C"/>
    <w:rsid w:val="00E54445"/>
    <w:rsid w:val="00E54838"/>
    <w:rsid w:val="00E54A47"/>
    <w:rsid w:val="00E553AA"/>
    <w:rsid w:val="00E55B96"/>
    <w:rsid w:val="00E55E7F"/>
    <w:rsid w:val="00E56EDC"/>
    <w:rsid w:val="00E573F9"/>
    <w:rsid w:val="00E57714"/>
    <w:rsid w:val="00E57AC7"/>
    <w:rsid w:val="00E57B25"/>
    <w:rsid w:val="00E57EEE"/>
    <w:rsid w:val="00E60843"/>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495"/>
    <w:rsid w:val="00E637C0"/>
    <w:rsid w:val="00E63D60"/>
    <w:rsid w:val="00E63E2E"/>
    <w:rsid w:val="00E645E0"/>
    <w:rsid w:val="00E64C33"/>
    <w:rsid w:val="00E64F73"/>
    <w:rsid w:val="00E657AB"/>
    <w:rsid w:val="00E660DE"/>
    <w:rsid w:val="00E66839"/>
    <w:rsid w:val="00E6685C"/>
    <w:rsid w:val="00E6732A"/>
    <w:rsid w:val="00E67ABE"/>
    <w:rsid w:val="00E67B9A"/>
    <w:rsid w:val="00E707F5"/>
    <w:rsid w:val="00E7128F"/>
    <w:rsid w:val="00E71D15"/>
    <w:rsid w:val="00E72270"/>
    <w:rsid w:val="00E7245F"/>
    <w:rsid w:val="00E725A5"/>
    <w:rsid w:val="00E727B5"/>
    <w:rsid w:val="00E729B1"/>
    <w:rsid w:val="00E72B47"/>
    <w:rsid w:val="00E72E0D"/>
    <w:rsid w:val="00E737EF"/>
    <w:rsid w:val="00E73D4F"/>
    <w:rsid w:val="00E73D60"/>
    <w:rsid w:val="00E74097"/>
    <w:rsid w:val="00E74C3B"/>
    <w:rsid w:val="00E74DFC"/>
    <w:rsid w:val="00E74E47"/>
    <w:rsid w:val="00E74FB8"/>
    <w:rsid w:val="00E758A5"/>
    <w:rsid w:val="00E758B1"/>
    <w:rsid w:val="00E75D6E"/>
    <w:rsid w:val="00E75DED"/>
    <w:rsid w:val="00E75E36"/>
    <w:rsid w:val="00E75F22"/>
    <w:rsid w:val="00E75F71"/>
    <w:rsid w:val="00E75FE3"/>
    <w:rsid w:val="00E76467"/>
    <w:rsid w:val="00E76759"/>
    <w:rsid w:val="00E7680E"/>
    <w:rsid w:val="00E76ACF"/>
    <w:rsid w:val="00E76C23"/>
    <w:rsid w:val="00E76E85"/>
    <w:rsid w:val="00E77048"/>
    <w:rsid w:val="00E7705F"/>
    <w:rsid w:val="00E77102"/>
    <w:rsid w:val="00E772FD"/>
    <w:rsid w:val="00E7783C"/>
    <w:rsid w:val="00E77963"/>
    <w:rsid w:val="00E77B9D"/>
    <w:rsid w:val="00E77F51"/>
    <w:rsid w:val="00E77FC7"/>
    <w:rsid w:val="00E80191"/>
    <w:rsid w:val="00E80998"/>
    <w:rsid w:val="00E80DEE"/>
    <w:rsid w:val="00E818A2"/>
    <w:rsid w:val="00E81B0C"/>
    <w:rsid w:val="00E8202E"/>
    <w:rsid w:val="00E82043"/>
    <w:rsid w:val="00E82BA7"/>
    <w:rsid w:val="00E82E1F"/>
    <w:rsid w:val="00E82F35"/>
    <w:rsid w:val="00E82F7B"/>
    <w:rsid w:val="00E83192"/>
    <w:rsid w:val="00E83212"/>
    <w:rsid w:val="00E8328F"/>
    <w:rsid w:val="00E83720"/>
    <w:rsid w:val="00E839F3"/>
    <w:rsid w:val="00E845A0"/>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49B"/>
    <w:rsid w:val="00E87987"/>
    <w:rsid w:val="00E87E30"/>
    <w:rsid w:val="00E87F8A"/>
    <w:rsid w:val="00E87FCD"/>
    <w:rsid w:val="00E903A8"/>
    <w:rsid w:val="00E90B6F"/>
    <w:rsid w:val="00E911C0"/>
    <w:rsid w:val="00E9122F"/>
    <w:rsid w:val="00E918E6"/>
    <w:rsid w:val="00E91C58"/>
    <w:rsid w:val="00E924EC"/>
    <w:rsid w:val="00E9250C"/>
    <w:rsid w:val="00E9297C"/>
    <w:rsid w:val="00E92994"/>
    <w:rsid w:val="00E92C77"/>
    <w:rsid w:val="00E92C99"/>
    <w:rsid w:val="00E9301C"/>
    <w:rsid w:val="00E93D36"/>
    <w:rsid w:val="00E940DB"/>
    <w:rsid w:val="00E94310"/>
    <w:rsid w:val="00E94659"/>
    <w:rsid w:val="00E94A6A"/>
    <w:rsid w:val="00E9529C"/>
    <w:rsid w:val="00E957F8"/>
    <w:rsid w:val="00E95B5A"/>
    <w:rsid w:val="00E95BEC"/>
    <w:rsid w:val="00E96231"/>
    <w:rsid w:val="00E968E3"/>
    <w:rsid w:val="00E96997"/>
    <w:rsid w:val="00E96B5F"/>
    <w:rsid w:val="00E96FFE"/>
    <w:rsid w:val="00E97660"/>
    <w:rsid w:val="00E977CB"/>
    <w:rsid w:val="00E97B57"/>
    <w:rsid w:val="00E97D3C"/>
    <w:rsid w:val="00EA03CF"/>
    <w:rsid w:val="00EA0505"/>
    <w:rsid w:val="00EA08C9"/>
    <w:rsid w:val="00EA1051"/>
    <w:rsid w:val="00EA1512"/>
    <w:rsid w:val="00EA1872"/>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BB4"/>
    <w:rsid w:val="00EB202D"/>
    <w:rsid w:val="00EB2C4E"/>
    <w:rsid w:val="00EB2C70"/>
    <w:rsid w:val="00EB2F70"/>
    <w:rsid w:val="00EB30BF"/>
    <w:rsid w:val="00EB32C0"/>
    <w:rsid w:val="00EB47A7"/>
    <w:rsid w:val="00EB47E3"/>
    <w:rsid w:val="00EB47F0"/>
    <w:rsid w:val="00EB5080"/>
    <w:rsid w:val="00EB5850"/>
    <w:rsid w:val="00EB599B"/>
    <w:rsid w:val="00EB6474"/>
    <w:rsid w:val="00EB6747"/>
    <w:rsid w:val="00EB721B"/>
    <w:rsid w:val="00EB73A7"/>
    <w:rsid w:val="00EB7516"/>
    <w:rsid w:val="00EB753F"/>
    <w:rsid w:val="00EB7966"/>
    <w:rsid w:val="00EB79F8"/>
    <w:rsid w:val="00EC0038"/>
    <w:rsid w:val="00EC0567"/>
    <w:rsid w:val="00EC06EB"/>
    <w:rsid w:val="00EC0BC9"/>
    <w:rsid w:val="00EC0D48"/>
    <w:rsid w:val="00EC0E0A"/>
    <w:rsid w:val="00EC1110"/>
    <w:rsid w:val="00EC1575"/>
    <w:rsid w:val="00EC18BB"/>
    <w:rsid w:val="00EC1948"/>
    <w:rsid w:val="00EC1AAA"/>
    <w:rsid w:val="00EC1BDB"/>
    <w:rsid w:val="00EC26D0"/>
    <w:rsid w:val="00EC2729"/>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F54"/>
    <w:rsid w:val="00EC6542"/>
    <w:rsid w:val="00EC6C08"/>
    <w:rsid w:val="00EC714A"/>
    <w:rsid w:val="00EC7750"/>
    <w:rsid w:val="00EC79EA"/>
    <w:rsid w:val="00ED018F"/>
    <w:rsid w:val="00ED04B3"/>
    <w:rsid w:val="00ED0AD2"/>
    <w:rsid w:val="00ED0E48"/>
    <w:rsid w:val="00ED16DD"/>
    <w:rsid w:val="00ED20D3"/>
    <w:rsid w:val="00ED20E2"/>
    <w:rsid w:val="00ED21E1"/>
    <w:rsid w:val="00ED22A3"/>
    <w:rsid w:val="00ED2F02"/>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74B"/>
    <w:rsid w:val="00EE1D5F"/>
    <w:rsid w:val="00EE1DC3"/>
    <w:rsid w:val="00EE21F2"/>
    <w:rsid w:val="00EE2692"/>
    <w:rsid w:val="00EE35C6"/>
    <w:rsid w:val="00EE3632"/>
    <w:rsid w:val="00EE368C"/>
    <w:rsid w:val="00EE3C25"/>
    <w:rsid w:val="00EE41D9"/>
    <w:rsid w:val="00EE4673"/>
    <w:rsid w:val="00EE5755"/>
    <w:rsid w:val="00EE5A39"/>
    <w:rsid w:val="00EE614D"/>
    <w:rsid w:val="00EE6710"/>
    <w:rsid w:val="00EE75DB"/>
    <w:rsid w:val="00EE7A74"/>
    <w:rsid w:val="00EE7C1C"/>
    <w:rsid w:val="00EE7CFB"/>
    <w:rsid w:val="00EF0141"/>
    <w:rsid w:val="00EF0187"/>
    <w:rsid w:val="00EF0456"/>
    <w:rsid w:val="00EF06D1"/>
    <w:rsid w:val="00EF07B1"/>
    <w:rsid w:val="00EF0BB6"/>
    <w:rsid w:val="00EF0DA4"/>
    <w:rsid w:val="00EF10E9"/>
    <w:rsid w:val="00EF1559"/>
    <w:rsid w:val="00EF18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3B4"/>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032"/>
    <w:rsid w:val="00F042F3"/>
    <w:rsid w:val="00F0438C"/>
    <w:rsid w:val="00F04703"/>
    <w:rsid w:val="00F04BA9"/>
    <w:rsid w:val="00F04E82"/>
    <w:rsid w:val="00F0537E"/>
    <w:rsid w:val="00F05543"/>
    <w:rsid w:val="00F057E1"/>
    <w:rsid w:val="00F05831"/>
    <w:rsid w:val="00F05A99"/>
    <w:rsid w:val="00F05CCD"/>
    <w:rsid w:val="00F062B3"/>
    <w:rsid w:val="00F064A2"/>
    <w:rsid w:val="00F06744"/>
    <w:rsid w:val="00F06D7D"/>
    <w:rsid w:val="00F072E0"/>
    <w:rsid w:val="00F07433"/>
    <w:rsid w:val="00F0769E"/>
    <w:rsid w:val="00F10F9E"/>
    <w:rsid w:val="00F11011"/>
    <w:rsid w:val="00F11081"/>
    <w:rsid w:val="00F1112F"/>
    <w:rsid w:val="00F111E2"/>
    <w:rsid w:val="00F11392"/>
    <w:rsid w:val="00F11794"/>
    <w:rsid w:val="00F117B0"/>
    <w:rsid w:val="00F11D3B"/>
    <w:rsid w:val="00F11ECE"/>
    <w:rsid w:val="00F1200B"/>
    <w:rsid w:val="00F123C8"/>
    <w:rsid w:val="00F12C97"/>
    <w:rsid w:val="00F12E78"/>
    <w:rsid w:val="00F14603"/>
    <w:rsid w:val="00F14635"/>
    <w:rsid w:val="00F149D8"/>
    <w:rsid w:val="00F15330"/>
    <w:rsid w:val="00F154C8"/>
    <w:rsid w:val="00F1574D"/>
    <w:rsid w:val="00F1587F"/>
    <w:rsid w:val="00F15F98"/>
    <w:rsid w:val="00F160CF"/>
    <w:rsid w:val="00F163B1"/>
    <w:rsid w:val="00F16407"/>
    <w:rsid w:val="00F169F2"/>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09"/>
    <w:rsid w:val="00F24374"/>
    <w:rsid w:val="00F24A17"/>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75"/>
    <w:rsid w:val="00F320C3"/>
    <w:rsid w:val="00F32219"/>
    <w:rsid w:val="00F3260D"/>
    <w:rsid w:val="00F3279F"/>
    <w:rsid w:val="00F328C4"/>
    <w:rsid w:val="00F3297B"/>
    <w:rsid w:val="00F32C94"/>
    <w:rsid w:val="00F32E74"/>
    <w:rsid w:val="00F3364C"/>
    <w:rsid w:val="00F33EFE"/>
    <w:rsid w:val="00F3461A"/>
    <w:rsid w:val="00F34CE7"/>
    <w:rsid w:val="00F35093"/>
    <w:rsid w:val="00F355E8"/>
    <w:rsid w:val="00F3585E"/>
    <w:rsid w:val="00F35A90"/>
    <w:rsid w:val="00F35FD3"/>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4F6D"/>
    <w:rsid w:val="00F4501D"/>
    <w:rsid w:val="00F45622"/>
    <w:rsid w:val="00F45A5B"/>
    <w:rsid w:val="00F45AD4"/>
    <w:rsid w:val="00F45E4E"/>
    <w:rsid w:val="00F45F37"/>
    <w:rsid w:val="00F4683F"/>
    <w:rsid w:val="00F46D44"/>
    <w:rsid w:val="00F46DD8"/>
    <w:rsid w:val="00F479F7"/>
    <w:rsid w:val="00F47BA0"/>
    <w:rsid w:val="00F47C4B"/>
    <w:rsid w:val="00F50368"/>
    <w:rsid w:val="00F50371"/>
    <w:rsid w:val="00F509DC"/>
    <w:rsid w:val="00F51188"/>
    <w:rsid w:val="00F51B70"/>
    <w:rsid w:val="00F51DAE"/>
    <w:rsid w:val="00F51E78"/>
    <w:rsid w:val="00F5272D"/>
    <w:rsid w:val="00F53321"/>
    <w:rsid w:val="00F53403"/>
    <w:rsid w:val="00F5340A"/>
    <w:rsid w:val="00F536C7"/>
    <w:rsid w:val="00F5396A"/>
    <w:rsid w:val="00F53DA3"/>
    <w:rsid w:val="00F53DCC"/>
    <w:rsid w:val="00F53EDB"/>
    <w:rsid w:val="00F54016"/>
    <w:rsid w:val="00F5490C"/>
    <w:rsid w:val="00F54B5F"/>
    <w:rsid w:val="00F54CAB"/>
    <w:rsid w:val="00F54DC1"/>
    <w:rsid w:val="00F5525B"/>
    <w:rsid w:val="00F55322"/>
    <w:rsid w:val="00F55361"/>
    <w:rsid w:val="00F55412"/>
    <w:rsid w:val="00F5549F"/>
    <w:rsid w:val="00F55A5C"/>
    <w:rsid w:val="00F55AE6"/>
    <w:rsid w:val="00F55B9E"/>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71E"/>
    <w:rsid w:val="00F637A0"/>
    <w:rsid w:val="00F63B54"/>
    <w:rsid w:val="00F63BF0"/>
    <w:rsid w:val="00F64222"/>
    <w:rsid w:val="00F642C8"/>
    <w:rsid w:val="00F64B5B"/>
    <w:rsid w:val="00F64E25"/>
    <w:rsid w:val="00F652D5"/>
    <w:rsid w:val="00F653CC"/>
    <w:rsid w:val="00F655D0"/>
    <w:rsid w:val="00F65691"/>
    <w:rsid w:val="00F6622A"/>
    <w:rsid w:val="00F66251"/>
    <w:rsid w:val="00F66590"/>
    <w:rsid w:val="00F6687B"/>
    <w:rsid w:val="00F66FE3"/>
    <w:rsid w:val="00F675C3"/>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53E"/>
    <w:rsid w:val="00F74CA4"/>
    <w:rsid w:val="00F754FA"/>
    <w:rsid w:val="00F75672"/>
    <w:rsid w:val="00F757D9"/>
    <w:rsid w:val="00F75B66"/>
    <w:rsid w:val="00F75DF4"/>
    <w:rsid w:val="00F7605B"/>
    <w:rsid w:val="00F76104"/>
    <w:rsid w:val="00F76668"/>
    <w:rsid w:val="00F76974"/>
    <w:rsid w:val="00F76E1D"/>
    <w:rsid w:val="00F76FDD"/>
    <w:rsid w:val="00F7733B"/>
    <w:rsid w:val="00F77654"/>
    <w:rsid w:val="00F77746"/>
    <w:rsid w:val="00F77B23"/>
    <w:rsid w:val="00F80C37"/>
    <w:rsid w:val="00F81256"/>
    <w:rsid w:val="00F81462"/>
    <w:rsid w:val="00F81475"/>
    <w:rsid w:val="00F8147B"/>
    <w:rsid w:val="00F81563"/>
    <w:rsid w:val="00F81ADC"/>
    <w:rsid w:val="00F81D85"/>
    <w:rsid w:val="00F8201E"/>
    <w:rsid w:val="00F82430"/>
    <w:rsid w:val="00F82506"/>
    <w:rsid w:val="00F82763"/>
    <w:rsid w:val="00F827E5"/>
    <w:rsid w:val="00F82E4A"/>
    <w:rsid w:val="00F8385D"/>
    <w:rsid w:val="00F8426F"/>
    <w:rsid w:val="00F84412"/>
    <w:rsid w:val="00F849F7"/>
    <w:rsid w:val="00F84F4F"/>
    <w:rsid w:val="00F851AF"/>
    <w:rsid w:val="00F8534F"/>
    <w:rsid w:val="00F8553E"/>
    <w:rsid w:val="00F85F20"/>
    <w:rsid w:val="00F862B7"/>
    <w:rsid w:val="00F86AA6"/>
    <w:rsid w:val="00F86BD2"/>
    <w:rsid w:val="00F870FD"/>
    <w:rsid w:val="00F872A3"/>
    <w:rsid w:val="00F8753E"/>
    <w:rsid w:val="00F87960"/>
    <w:rsid w:val="00F87CE2"/>
    <w:rsid w:val="00F90162"/>
    <w:rsid w:val="00F90D93"/>
    <w:rsid w:val="00F91842"/>
    <w:rsid w:val="00F91B11"/>
    <w:rsid w:val="00F91D50"/>
    <w:rsid w:val="00F92573"/>
    <w:rsid w:val="00F926B6"/>
    <w:rsid w:val="00F932A9"/>
    <w:rsid w:val="00F937FA"/>
    <w:rsid w:val="00F93A1C"/>
    <w:rsid w:val="00F93EDC"/>
    <w:rsid w:val="00F93FFC"/>
    <w:rsid w:val="00F94127"/>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72B"/>
    <w:rsid w:val="00FA37E5"/>
    <w:rsid w:val="00FA3B22"/>
    <w:rsid w:val="00FA44F4"/>
    <w:rsid w:val="00FA45B2"/>
    <w:rsid w:val="00FA5167"/>
    <w:rsid w:val="00FA5762"/>
    <w:rsid w:val="00FA5BCB"/>
    <w:rsid w:val="00FA62E1"/>
    <w:rsid w:val="00FA6AC6"/>
    <w:rsid w:val="00FA6D4B"/>
    <w:rsid w:val="00FA6EE7"/>
    <w:rsid w:val="00FA6EF2"/>
    <w:rsid w:val="00FA72D0"/>
    <w:rsid w:val="00FA7451"/>
    <w:rsid w:val="00FA796D"/>
    <w:rsid w:val="00FB0457"/>
    <w:rsid w:val="00FB09F4"/>
    <w:rsid w:val="00FB0C59"/>
    <w:rsid w:val="00FB0DAF"/>
    <w:rsid w:val="00FB12FA"/>
    <w:rsid w:val="00FB135C"/>
    <w:rsid w:val="00FB1F66"/>
    <w:rsid w:val="00FB2175"/>
    <w:rsid w:val="00FB22E2"/>
    <w:rsid w:val="00FB2A92"/>
    <w:rsid w:val="00FB2C42"/>
    <w:rsid w:val="00FB2F77"/>
    <w:rsid w:val="00FB329B"/>
    <w:rsid w:val="00FB407A"/>
    <w:rsid w:val="00FB42D0"/>
    <w:rsid w:val="00FB448E"/>
    <w:rsid w:val="00FB4575"/>
    <w:rsid w:val="00FB45A9"/>
    <w:rsid w:val="00FB4753"/>
    <w:rsid w:val="00FB4CF3"/>
    <w:rsid w:val="00FB4EFF"/>
    <w:rsid w:val="00FB55F6"/>
    <w:rsid w:val="00FB5937"/>
    <w:rsid w:val="00FB5BD9"/>
    <w:rsid w:val="00FB5ED4"/>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D0B"/>
    <w:rsid w:val="00FC3FAB"/>
    <w:rsid w:val="00FC4C6B"/>
    <w:rsid w:val="00FC4EEF"/>
    <w:rsid w:val="00FC585C"/>
    <w:rsid w:val="00FC5A1D"/>
    <w:rsid w:val="00FC5EEA"/>
    <w:rsid w:val="00FC5FC3"/>
    <w:rsid w:val="00FC6175"/>
    <w:rsid w:val="00FC62C7"/>
    <w:rsid w:val="00FC6851"/>
    <w:rsid w:val="00FC6896"/>
    <w:rsid w:val="00FC6C23"/>
    <w:rsid w:val="00FC6D10"/>
    <w:rsid w:val="00FC71FA"/>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108B"/>
    <w:rsid w:val="00FE1183"/>
    <w:rsid w:val="00FE1502"/>
    <w:rsid w:val="00FE1643"/>
    <w:rsid w:val="00FE1665"/>
    <w:rsid w:val="00FE1D1C"/>
    <w:rsid w:val="00FE1EA1"/>
    <w:rsid w:val="00FE200B"/>
    <w:rsid w:val="00FE20D5"/>
    <w:rsid w:val="00FE243B"/>
    <w:rsid w:val="00FE2A9D"/>
    <w:rsid w:val="00FE2B06"/>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E5B"/>
    <w:rsid w:val="00FE728C"/>
    <w:rsid w:val="00FE72C8"/>
    <w:rsid w:val="00FE72E8"/>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EE8"/>
    <w:rsid w:val="00FF517C"/>
    <w:rsid w:val="00FF53C3"/>
    <w:rsid w:val="00FF5A92"/>
    <w:rsid w:val="00FF6044"/>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oleObject" Target="file:///\\romulus\ECD_PRO$\JEFG\2013\March\NAFF\JEFG%20report\Charts%20and%20Tables\DAT%20-%20Cons%20chart%20Mar%20JEFG.xlsx!Sheet1!%5bDAT%20-%20Cons%20chart%20Mar%20JEFG.xlsx%5dSheet1%20Chart%202" TargetMode="External"/><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file:///\\romulus\ECD_PRO$\JEFG\2013\March\NAFF\JEFG%20report\Charts%20and%20Tables\Main%20Summary%20Tables_March.xlsm!JEFG!R9C2:R56C9" TargetMode="External"/><Relationship Id="rId34" Type="http://schemas.openxmlformats.org/officeDocument/2006/relationships/oleObject" Target="file:///\\romulus\ECD_PRO$\JEFG\2013\March\NAFF\JEFG%20report\Charts%20and%20Tables\DAT%20-%20Charts%20for%20JEFG%20report%20%20-%20BG.xlsx!Data!%5bDAT%20-%20Charts%20for%20JEFG%20report%20%20-%20BG.xlsx%5dData%20Chart%201" TargetMode="External"/><Relationship Id="rId42"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file:///\\romulus\ECD_PRO$\JEFG\2013\March\NAFF\JEFG%20report\Charts%20and%20Tables\Main%20Summary%20Tables_March.xlsm!JEFG%20(small)!R8C2:R26C18" TargetMode="Externa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file:///\\romulus\ECD_PRO$\JEFG\2013\March\NAFF\JEFG%20report\Charts%20and%20Tables\DAT%20-%20LM%20-%20inflation%20charts.xlsx!Headline%20&amp;%20underlying!%5bDAT%20-%20LM%20-%20inflation%20charts.xlsx%5dHeadline%20&amp;%20underlying%20Chart%205"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7.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oleObject" Target="file:///\\romulus\ECD_PRO$\JEFG\2013\March\NAFF\JEFG%20report\Charts%20and%20Tables\DAT%20-%20BOP%20-%20TOTchart.xlsx!Sheet1!%5bDAT%20-%20BOP%20-%20TOTchart.xlsx%5dSheet1%20Chart%203" TargetMode="External"/><Relationship Id="rId37" Type="http://schemas.openxmlformats.org/officeDocument/2006/relationships/image" Target="media/image11.emf"/><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oleObject" Target="file:///\\romulus\ECD_PRO$\JEFG\2013\March\NAFF\JEFG%20report\Charts%20and%20Tables\DAT%20-%20BI%20-%20EC%20forecasts.xlsx!EC%20volume!%5bDAT%20-%20BI%20-%20EC%20forecasts.xlsx%5dEC%20volume%20Chart%203" TargetMode="External"/><Relationship Id="rId36" Type="http://schemas.openxmlformats.org/officeDocument/2006/relationships/oleObject" Target="file:///\\romulus\ECD_PRO$\JEFG\2013\March\NAFF\JEFG%20report\Charts%20and%20Tables\Employment%20growth%20tty.xlsx!Sheet1!%5bEmployment%20growth%20tty.xlsx%5dSheet1%20Chart%204" TargetMode="External"/><Relationship Id="rId10" Type="http://schemas.openxmlformats.org/officeDocument/2006/relationships/header" Target="header1.xml"/><Relationship Id="rId19" Type="http://schemas.openxmlformats.org/officeDocument/2006/relationships/oleObject" Target="file:///\\romulus\ECD_PRO$\JEFG\2013\March\NAFF\JEFG%20report\NAFF%20-%20Decomposition%20of%20Nominal%20GDP.xlsx!Data!%5bNAFF%20-%20Decomposition%20of%20Nominal%20GDP.xlsx%5dData%20Chart%203" TargetMode="External"/><Relationship Id="rId31" Type="http://schemas.openxmlformats.org/officeDocument/2006/relationships/image" Target="media/image8.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image" Target="media/image6.emf"/><Relationship Id="rId30" Type="http://schemas.openxmlformats.org/officeDocument/2006/relationships/oleObject" Target="file:///\\romulus\ECD_PRO$\JEFG\2013\March\NAFF\JEFG%20report\Charts%20and%20Tables\DAT%20-%20NAFF%20-%20Export%20volumes.xlsx!Sheet1!%5bDAT%20-%20NAFF%20-%20Export%20volumes.xlsx%5dSheet1%20Chart%201" TargetMode="External"/><Relationship Id="rId35" Type="http://schemas.openxmlformats.org/officeDocument/2006/relationships/image" Target="media/image10.emf"/><Relationship Id="rId43"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2EF75B-E638-4C0A-89DC-49991A6F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5192</Words>
  <Characters>30241</Characters>
  <Application>Microsoft Office Word</Application>
  <DocSecurity>0</DocSecurity>
  <Lines>252</Lines>
  <Paragraphs>70</Paragraphs>
  <ScaleCrop>false</ScaleCrop>
  <Manager/>
  <Company/>
  <LinksUpToDate>false</LinksUpToDate>
  <CharactersWithSpaces>35363</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2016-08-16T01:24:00Z</dcterms:created>
  <dcterms:modified xsi:type="dcterms:W3CDTF">2016-08-16T01:24:00Z</dcterms:modified>
</cp:coreProperties>
</file>