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65" w:rsidRPr="00620D25" w:rsidRDefault="00ED10A7" w:rsidP="00FB2175">
      <w:pPr>
        <w:pStyle w:val="Title"/>
        <w:jc w:val="both"/>
        <w:rPr>
          <w:b/>
          <w:color w:val="auto"/>
        </w:rPr>
      </w:pPr>
      <w:bookmarkStart w:id="0" w:name="_GoBack"/>
      <w:bookmarkEnd w:id="0"/>
      <w:r>
        <w:rPr>
          <w:rFonts w:cs="Tahoma"/>
          <w:noProof/>
          <w:color w:val="0000FF"/>
          <w:sz w:val="60"/>
          <w:szCs w:val="60"/>
          <w:lang w:eastAsia="en-AU"/>
        </w:rPr>
        <w:drawing>
          <wp:anchor distT="0" distB="0" distL="114300" distR="114300" simplePos="0" relativeHeight="251659264" behindDoc="0" locked="0" layoutInCell="1" allowOverlap="1" wp14:anchorId="15DBF10C" wp14:editId="31BB0D2C">
            <wp:simplePos x="0" y="0"/>
            <wp:positionH relativeFrom="column">
              <wp:posOffset>-419418</wp:posOffset>
            </wp:positionH>
            <wp:positionV relativeFrom="paragraph">
              <wp:posOffset>-468947</wp:posOffset>
            </wp:positionV>
            <wp:extent cx="1363915" cy="866775"/>
            <wp:effectExtent l="0" t="0" r="825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4914" cy="867410"/>
                    </a:xfrm>
                    <a:prstGeom prst="rect">
                      <a:avLst/>
                    </a:prstGeom>
                    <a:noFill/>
                  </pic:spPr>
                </pic:pic>
              </a:graphicData>
            </a:graphic>
            <wp14:sizeRelH relativeFrom="page">
              <wp14:pctWidth>0</wp14:pctWidth>
            </wp14:sizeRelH>
            <wp14:sizeRelV relativeFrom="page">
              <wp14:pctHeight>0</wp14:pctHeight>
            </wp14:sizeRelV>
          </wp:anchor>
        </w:drawing>
      </w:r>
      <w:r>
        <w:rPr>
          <w:rFonts w:cs="Tahoma"/>
          <w:noProof/>
          <w:color w:val="0000FF"/>
          <w:sz w:val="60"/>
          <w:szCs w:val="60"/>
          <w:lang w:eastAsia="en-AU"/>
        </w:rPr>
        <mc:AlternateContent>
          <mc:Choice Requires="wps">
            <w:drawing>
              <wp:anchor distT="0" distB="0" distL="114300" distR="114300" simplePos="0" relativeHeight="251660288" behindDoc="1" locked="0" layoutInCell="1" allowOverlap="1" wp14:anchorId="6FF52ED4" wp14:editId="2C127B68">
                <wp:simplePos x="0" y="0"/>
                <wp:positionH relativeFrom="column">
                  <wp:posOffset>-443230</wp:posOffset>
                </wp:positionH>
                <wp:positionV relativeFrom="paragraph">
                  <wp:posOffset>-683260</wp:posOffset>
                </wp:positionV>
                <wp:extent cx="1400175" cy="9334500"/>
                <wp:effectExtent l="0" t="0" r="9525" b="0"/>
                <wp:wrapNone/>
                <wp:docPr id="38" name="Rectangle 38"/>
                <wp:cNvGraphicFramePr/>
                <a:graphic xmlns:a="http://schemas.openxmlformats.org/drawingml/2006/main">
                  <a:graphicData uri="http://schemas.microsoft.com/office/word/2010/wordprocessingShape">
                    <wps:wsp>
                      <wps:cNvSpPr/>
                      <wps:spPr>
                        <a:xfrm>
                          <a:off x="0" y="0"/>
                          <a:ext cx="1400175" cy="9334500"/>
                        </a:xfrm>
                        <a:prstGeom prst="rect">
                          <a:avLst/>
                        </a:prstGeom>
                        <a:gradFill flip="none" rotWithShape="1">
                          <a:gsLst>
                            <a:gs pos="40000">
                              <a:srgbClr val="0000FF"/>
                            </a:gs>
                            <a:gs pos="0">
                              <a:sysClr val="windowText" lastClr="000000">
                                <a:lumMod val="75000"/>
                                <a:lumOff val="25000"/>
                              </a:sysClr>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8" o:spid="_x0000_s1026" style="position:absolute;margin-left:-34.9pt;margin-top:-53.8pt;width:110.25pt;height:7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" fillcolor="#404040" stroked="f" strokeweight="2pt">
                <v:fill color2="blue" rotate="t" angle="180" colors="0 #404040;26214f blue" focus="100%" type="gradient"/>
              </v:rect>
            </w:pict>
          </mc:Fallback>
        </mc:AlternateContent>
      </w:r>
    </w:p>
    <w:p w:rsidR="00E03CF2" w:rsidRPr="00965416" w:rsidRDefault="00E03CF2" w:rsidP="00E03CF2">
      <w:pPr>
        <w:spacing w:line="600" w:lineRule="exact"/>
        <w:jc w:val="left"/>
        <w:rPr>
          <w:rFonts w:ascii="Tahoma" w:hAnsi="Tahoma" w:cs="Tahoma"/>
          <w:color w:val="0000FF"/>
          <w:sz w:val="60"/>
          <w:szCs w:val="60"/>
          <w14:textOutline w14:w="9525" w14:cap="rnd" w14:cmpd="sng" w14:algn="ctr">
            <w14:noFill/>
            <w14:prstDash w14:val="solid"/>
            <w14:bevel/>
          </w14:textOutline>
        </w:rPr>
      </w:pPr>
    </w:p>
    <w:p w:rsidR="00E03CF2" w:rsidRPr="00965416" w:rsidRDefault="00E03CF2" w:rsidP="00E03CF2">
      <w:pPr>
        <w:spacing w:line="600" w:lineRule="exact"/>
        <w:jc w:val="left"/>
        <w:rPr>
          <w:rFonts w:ascii="Tahoma" w:hAnsi="Tahoma" w:cs="Tahoma"/>
          <w:color w:val="0000FF"/>
          <w:sz w:val="60"/>
          <w:szCs w:val="60"/>
          <w14:textOutline w14:w="9525" w14:cap="rnd" w14:cmpd="sng" w14:algn="ctr">
            <w14:noFill/>
            <w14:prstDash w14:val="solid"/>
            <w14:bevel/>
          </w14:textOutline>
        </w:rPr>
      </w:pPr>
    </w:p>
    <w:p w:rsidR="00A83694" w:rsidRDefault="00A83694" w:rsidP="00ED10A7">
      <w:pPr>
        <w:spacing w:line="600" w:lineRule="exact"/>
        <w:ind w:left="2127"/>
        <w:jc w:val="left"/>
        <w:rPr>
          <w:rFonts w:ascii="Tahoma" w:hAnsi="Tahoma" w:cs="Tahoma"/>
          <w:color w:val="0000FF"/>
          <w:sz w:val="60"/>
          <w:szCs w:val="60"/>
          <w14:textOutline w14:w="9525" w14:cap="rnd" w14:cmpd="sng" w14:algn="ctr">
            <w14:noFill/>
            <w14:prstDash w14:val="solid"/>
            <w14:bevel/>
          </w14:textOutline>
        </w:rPr>
      </w:pPr>
    </w:p>
    <w:p w:rsidR="00A83694" w:rsidRDefault="00A83694" w:rsidP="00ED10A7">
      <w:pPr>
        <w:spacing w:line="600" w:lineRule="exact"/>
        <w:ind w:left="2127"/>
        <w:jc w:val="left"/>
        <w:rPr>
          <w:rFonts w:ascii="Tahoma" w:hAnsi="Tahoma" w:cs="Tahoma"/>
          <w:color w:val="0000FF"/>
          <w:sz w:val="60"/>
          <w:szCs w:val="60"/>
          <w14:textOutline w14:w="9525" w14:cap="rnd" w14:cmpd="sng" w14:algn="ctr">
            <w14:noFill/>
            <w14:prstDash w14:val="solid"/>
            <w14:bevel/>
          </w14:textOutline>
        </w:rPr>
      </w:pPr>
    </w:p>
    <w:p w:rsidR="00E03CF2" w:rsidRPr="00965416" w:rsidRDefault="00597A15" w:rsidP="00597A15">
      <w:pPr>
        <w:spacing w:line="600" w:lineRule="exact"/>
        <w:ind w:left="2127"/>
        <w:jc w:val="left"/>
        <w:rPr>
          <w:rFonts w:ascii="Tahoma" w:hAnsi="Tahoma" w:cs="Tahoma"/>
          <w:color w:val="0000FF"/>
          <w:sz w:val="60"/>
          <w:szCs w:val="60"/>
          <w14:textOutline w14:w="9525" w14:cap="rnd" w14:cmpd="sng" w14:algn="ctr">
            <w14:noFill/>
            <w14:prstDash w14:val="solid"/>
            <w14:bevel/>
          </w14:textOutline>
        </w:rPr>
      </w:pPr>
      <w:r>
        <w:rPr>
          <w:rFonts w:ascii="Tahoma" w:hAnsi="Tahoma" w:cs="Tahoma"/>
          <w:color w:val="0000FF"/>
          <w:sz w:val="60"/>
          <w:szCs w:val="60"/>
          <w14:textOutline w14:w="9525" w14:cap="rnd" w14:cmpd="sng" w14:algn="ctr">
            <w14:noFill/>
            <w14:prstDash w14:val="solid"/>
            <w14:bevel/>
          </w14:textOutline>
        </w:rPr>
        <w:t xml:space="preserve">DECEMBER 2013 MEETING OF THE </w:t>
      </w:r>
      <w:r>
        <w:rPr>
          <w:rFonts w:ascii="Tahoma" w:hAnsi="Tahoma" w:cs="Tahoma"/>
          <w:color w:val="0000FF"/>
          <w:sz w:val="60"/>
          <w:szCs w:val="60"/>
          <w14:textOutline w14:w="9525" w14:cap="rnd" w14:cmpd="sng" w14:algn="ctr">
            <w14:noFill/>
            <w14:prstDash w14:val="solid"/>
            <w14:bevel/>
          </w14:textOutline>
        </w:rPr>
        <w:br/>
      </w:r>
      <w:r w:rsidR="00E03CF2" w:rsidRPr="00965416">
        <w:rPr>
          <w:rFonts w:ascii="Tahoma" w:hAnsi="Tahoma" w:cs="Tahoma"/>
          <w:color w:val="0000FF"/>
          <w:sz w:val="60"/>
          <w:szCs w:val="60"/>
          <w14:textOutline w14:w="9525" w14:cap="rnd" w14:cmpd="sng" w14:algn="ctr">
            <w14:noFill/>
            <w14:prstDash w14:val="solid"/>
            <w14:bevel/>
          </w14:textOutline>
        </w:rPr>
        <w:t>JOINT E</w:t>
      </w:r>
      <w:r>
        <w:rPr>
          <w:rFonts w:ascii="Tahoma" w:hAnsi="Tahoma" w:cs="Tahoma"/>
          <w:color w:val="0000FF"/>
          <w:sz w:val="60"/>
          <w:szCs w:val="60"/>
          <w14:textOutline w14:w="9525" w14:cap="rnd" w14:cmpd="sng" w14:algn="ctr">
            <w14:noFill/>
            <w14:prstDash w14:val="solid"/>
            <w14:bevel/>
          </w14:textOutline>
        </w:rPr>
        <w:t>CONOMIC FORECASTING GROUP</w:t>
      </w:r>
    </w:p>
    <w:p w:rsidR="00E03CF2" w:rsidRPr="00965416" w:rsidRDefault="00E03CF2" w:rsidP="00ED10A7">
      <w:pPr>
        <w:ind w:left="2127"/>
        <w:jc w:val="right"/>
        <w:rPr>
          <w:rFonts w:asciiTheme="minorHAnsi" w:hAnsiTheme="minorHAnsi" w:cs="Arial"/>
          <w:b/>
          <w:color w:val="0000FF"/>
          <w:sz w:val="22"/>
          <w:szCs w:val="22"/>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965416" w:rsidRPr="00965416" w:rsidRDefault="00F66A9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r>
        <w:rPr>
          <w:rFonts w:asciiTheme="minorHAnsi" w:hAnsiTheme="minorHAnsi" w:cs="Arial"/>
          <w:color w:val="0000FF"/>
          <w:sz w:val="40"/>
          <w:szCs w:val="40"/>
          <w14:textOutline w14:w="9525" w14:cap="rnd" w14:cmpd="sng" w14:algn="ctr">
            <w14:noFill/>
            <w14:prstDash w14:val="solid"/>
            <w14:bevel/>
          </w14:textOutline>
        </w:rPr>
        <w:t>E</w:t>
      </w:r>
      <w:r w:rsidR="00965416" w:rsidRPr="00965416">
        <w:rPr>
          <w:rFonts w:asciiTheme="minorHAnsi" w:hAnsiTheme="minorHAnsi" w:cs="Arial"/>
          <w:color w:val="0000FF"/>
          <w:sz w:val="40"/>
          <w:szCs w:val="40"/>
          <w14:textOutline w14:w="9525" w14:cap="rnd" w14:cmpd="sng" w14:algn="ctr">
            <w14:noFill/>
            <w14:prstDash w14:val="solid"/>
            <w14:bevel/>
          </w14:textOutline>
        </w:rPr>
        <w:t xml:space="preserve">CONOMIC OUTLOOK FOR </w:t>
      </w:r>
      <w:r w:rsidR="00965416">
        <w:rPr>
          <w:rFonts w:asciiTheme="minorHAnsi" w:hAnsiTheme="minorHAnsi" w:cs="Arial"/>
          <w:color w:val="0000FF"/>
          <w:sz w:val="40"/>
          <w:szCs w:val="40"/>
          <w14:textOutline w14:w="9525" w14:cap="rnd" w14:cmpd="sng" w14:algn="ctr">
            <w14:noFill/>
            <w14:prstDash w14:val="solid"/>
            <w14:bevel/>
          </w14:textOutline>
        </w:rPr>
        <w:br/>
      </w:r>
      <w:r w:rsidR="00965416" w:rsidRPr="00965416">
        <w:rPr>
          <w:rFonts w:asciiTheme="minorHAnsi" w:hAnsiTheme="minorHAnsi" w:cs="Arial"/>
          <w:color w:val="0000FF"/>
          <w:sz w:val="40"/>
          <w:szCs w:val="40"/>
          <w14:textOutline w14:w="9525" w14:cap="rnd" w14:cmpd="sng" w14:algn="ctr">
            <w14:noFill/>
            <w14:prstDash w14:val="solid"/>
            <w14:bevel/>
          </w14:textOutline>
        </w:rPr>
        <w:t>2013-14</w:t>
      </w:r>
      <w:r w:rsidR="00241E81">
        <w:rPr>
          <w:rFonts w:asciiTheme="minorHAnsi" w:hAnsiTheme="minorHAnsi" w:cs="Arial"/>
          <w:color w:val="0000FF"/>
          <w:sz w:val="40"/>
          <w:szCs w:val="40"/>
          <w14:textOutline w14:w="9525" w14:cap="rnd" w14:cmpd="sng" w14:algn="ctr">
            <w14:noFill/>
            <w14:prstDash w14:val="solid"/>
            <w14:bevel/>
          </w14:textOutline>
        </w:rPr>
        <w:t>,</w:t>
      </w:r>
      <w:r w:rsidR="00965416" w:rsidRPr="00965416">
        <w:rPr>
          <w:rFonts w:asciiTheme="minorHAnsi" w:hAnsiTheme="minorHAnsi" w:cs="Arial"/>
          <w:color w:val="0000FF"/>
          <w:sz w:val="40"/>
          <w:szCs w:val="40"/>
          <w14:textOutline w14:w="9525" w14:cap="rnd" w14:cmpd="sng" w14:algn="ctr">
            <w14:noFill/>
            <w14:prstDash w14:val="solid"/>
            <w14:bevel/>
          </w14:textOutline>
        </w:rPr>
        <w:t xml:space="preserve"> 2014-15</w:t>
      </w:r>
      <w:r w:rsidR="00241E81">
        <w:rPr>
          <w:rFonts w:asciiTheme="minorHAnsi" w:hAnsiTheme="minorHAnsi" w:cs="Arial"/>
          <w:color w:val="0000FF"/>
          <w:sz w:val="40"/>
          <w:szCs w:val="40"/>
          <w14:textOutline w14:w="9525" w14:cap="rnd" w14:cmpd="sng" w14:algn="ctr">
            <w14:noFill/>
            <w14:prstDash w14:val="solid"/>
            <w14:bevel/>
          </w14:textOutline>
        </w:rPr>
        <w:t xml:space="preserve"> AND 2015-16</w:t>
      </w:r>
    </w:p>
    <w:p w:rsidR="00965416" w:rsidRPr="00965416" w:rsidRDefault="00597A15"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r>
        <w:rPr>
          <w:rFonts w:asciiTheme="minorHAnsi" w:hAnsiTheme="minorHAnsi" w:cs="Arial"/>
          <w:color w:val="0000FF"/>
          <w:sz w:val="40"/>
          <w:szCs w:val="40"/>
          <w14:textOutline w14:w="9525" w14:cap="rnd" w14:cmpd="sng" w14:algn="ctr">
            <w14:noFill/>
            <w14:prstDash w14:val="solid"/>
            <w14:bevel/>
          </w14:textOutline>
        </w:rPr>
        <w:t>FEBRUARY</w:t>
      </w:r>
      <w:r w:rsidR="008763B0">
        <w:rPr>
          <w:rFonts w:asciiTheme="minorHAnsi" w:hAnsiTheme="minorHAnsi" w:cs="Arial"/>
          <w:color w:val="0000FF"/>
          <w:sz w:val="40"/>
          <w:szCs w:val="40"/>
          <w14:textOutline w14:w="9525" w14:cap="rnd" w14:cmpd="sng" w14:algn="ctr">
            <w14:noFill/>
            <w14:prstDash w14:val="solid"/>
            <w14:bevel/>
          </w14:textOutline>
        </w:rPr>
        <w:t xml:space="preserve"> 2014</w:t>
      </w: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0000FF"/>
          <w:sz w:val="40"/>
          <w:szCs w:val="40"/>
          <w14:textOutline w14:w="9525" w14:cap="rnd" w14:cmpd="sng" w14:algn="ctr">
            <w14:noFill/>
            <w14:prstDash w14:val="solid"/>
            <w14:bevel/>
          </w14:textOutline>
        </w:rPr>
      </w:pPr>
    </w:p>
    <w:p w:rsidR="00E03CF2" w:rsidRPr="00965416" w:rsidRDefault="00E03CF2" w:rsidP="00ED10A7">
      <w:pPr>
        <w:spacing w:line="400" w:lineRule="exact"/>
        <w:ind w:left="2127"/>
        <w:jc w:val="left"/>
        <w:rPr>
          <w:rFonts w:asciiTheme="minorHAnsi" w:hAnsiTheme="minorHAnsi" w:cs="Arial"/>
          <w:color w:val="404040" w:themeColor="text1" w:themeTint="BF"/>
          <w:sz w:val="28"/>
          <w:szCs w:val="28"/>
          <w14:textOutline w14:w="9525" w14:cap="rnd" w14:cmpd="sng" w14:algn="ctr">
            <w14:noFill/>
            <w14:prstDash w14:val="solid"/>
            <w14:bevel/>
          </w14:textOutline>
        </w:rPr>
      </w:pPr>
      <w:r w:rsidRPr="00965416">
        <w:rPr>
          <w:rFonts w:asciiTheme="minorHAnsi" w:hAnsiTheme="minorHAnsi" w:cs="Arial"/>
          <w:color w:val="404040" w:themeColor="text1" w:themeTint="BF"/>
          <w:sz w:val="28"/>
          <w:szCs w:val="28"/>
          <w14:textOutline w14:w="9525" w14:cap="rnd" w14:cmpd="sng" w14:algn="ctr">
            <w14:noFill/>
            <w14:prstDash w14:val="solid"/>
            <w14:bevel/>
          </w14:textOutline>
        </w:rPr>
        <w:t xml:space="preserve">This report incorporates domestic and international data </w:t>
      </w:r>
      <w:r w:rsidRPr="00965416">
        <w:rPr>
          <w:rFonts w:asciiTheme="minorHAnsi" w:hAnsiTheme="minorHAnsi" w:cs="Arial"/>
          <w:color w:val="404040" w:themeColor="text1" w:themeTint="BF"/>
          <w:sz w:val="28"/>
          <w:szCs w:val="28"/>
          <w14:textOutline w14:w="9525" w14:cap="rnd" w14:cmpd="sng" w14:algn="ctr">
            <w14:noFill/>
            <w14:prstDash w14:val="solid"/>
            <w14:bevel/>
          </w14:textOutline>
        </w:rPr>
        <w:br/>
        <w:t xml:space="preserve">released up to </w:t>
      </w:r>
      <w:r w:rsidR="00692042">
        <w:rPr>
          <w:rFonts w:asciiTheme="minorHAnsi" w:hAnsiTheme="minorHAnsi" w:cs="Arial"/>
          <w:color w:val="404040" w:themeColor="text1" w:themeTint="BF"/>
          <w:sz w:val="28"/>
          <w:szCs w:val="28"/>
          <w14:textOutline w14:w="9525" w14:cap="rnd" w14:cmpd="sng" w14:algn="ctr">
            <w14:noFill/>
            <w14:prstDash w14:val="solid"/>
            <w14:bevel/>
          </w14:textOutline>
        </w:rPr>
        <w:t>21</w:t>
      </w:r>
      <w:r w:rsidR="00F77D74">
        <w:rPr>
          <w:rFonts w:asciiTheme="minorHAnsi" w:hAnsiTheme="minorHAnsi" w:cs="Arial"/>
          <w:color w:val="404040" w:themeColor="text1" w:themeTint="BF"/>
          <w:sz w:val="28"/>
          <w:szCs w:val="28"/>
          <w14:textOutline w14:w="9525" w14:cap="rnd" w14:cmpd="sng" w14:algn="ctr">
            <w14:noFill/>
            <w14:prstDash w14:val="solid"/>
            <w14:bevel/>
          </w14:textOutline>
        </w:rPr>
        <w:t xml:space="preserve"> February</w:t>
      </w:r>
      <w:r w:rsidRPr="00965416">
        <w:rPr>
          <w:rFonts w:asciiTheme="minorHAnsi" w:hAnsiTheme="minorHAnsi" w:cs="Arial"/>
          <w:color w:val="404040" w:themeColor="text1" w:themeTint="BF"/>
          <w:sz w:val="28"/>
          <w:szCs w:val="28"/>
          <w14:textOutline w14:w="9525" w14:cap="rnd" w14:cmpd="sng" w14:algn="ctr">
            <w14:noFill/>
            <w14:prstDash w14:val="solid"/>
            <w14:bevel/>
          </w14:textOutline>
        </w:rPr>
        <w:t xml:space="preserve"> 201</w:t>
      </w:r>
      <w:r w:rsidR="009218E6">
        <w:rPr>
          <w:rFonts w:asciiTheme="minorHAnsi" w:hAnsiTheme="minorHAnsi" w:cs="Arial"/>
          <w:color w:val="404040" w:themeColor="text1" w:themeTint="BF"/>
          <w:sz w:val="28"/>
          <w:szCs w:val="28"/>
          <w14:textOutline w14:w="9525" w14:cap="rnd" w14:cmpd="sng" w14:algn="ctr">
            <w14:noFill/>
            <w14:prstDash w14:val="solid"/>
            <w14:bevel/>
          </w14:textOutline>
        </w:rPr>
        <w:t>4</w:t>
      </w:r>
      <w:r w:rsidRPr="00965416">
        <w:rPr>
          <w:rFonts w:asciiTheme="minorHAnsi" w:hAnsiTheme="minorHAnsi" w:cs="Arial"/>
          <w:color w:val="404040" w:themeColor="text1" w:themeTint="BF"/>
          <w:sz w:val="28"/>
          <w:szCs w:val="28"/>
          <w14:textOutline w14:w="9525" w14:cap="rnd" w14:cmpd="sng" w14:algn="ctr">
            <w14:noFill/>
            <w14:prstDash w14:val="solid"/>
            <w14:bevel/>
          </w14:textOutline>
        </w:rPr>
        <w:t>.</w:t>
      </w:r>
    </w:p>
    <w:p w:rsidR="00E03CF2" w:rsidRPr="00E03CF2" w:rsidRDefault="00E03CF2" w:rsidP="00E03CF2">
      <w:pPr>
        <w:rPr>
          <w:highlight w:val="yellow"/>
        </w:rPr>
        <w:sectPr w:rsidR="00E03CF2" w:rsidRPr="00E03CF2" w:rsidSect="00965416">
          <w:headerReference w:type="even" r:id="rId10"/>
          <w:headerReference w:type="default" r:id="rId11"/>
          <w:footerReference w:type="even" r:id="rId12"/>
          <w:footerReference w:type="default" r:id="rId13"/>
          <w:headerReference w:type="first" r:id="rId14"/>
          <w:footerReference w:type="first" r:id="rId15"/>
          <w:pgSz w:w="11907" w:h="16840" w:code="9"/>
          <w:pgMar w:top="1961" w:right="1418" w:bottom="1276" w:left="1418" w:header="567" w:footer="567" w:gutter="0"/>
          <w:cols w:space="720"/>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242"/>
      </w:tblGrid>
      <w:tr w:rsidR="00851710" w:rsidRPr="00587BCC" w:rsidTr="00851710">
        <w:tc>
          <w:tcPr>
            <w:tcW w:w="9242" w:type="dxa"/>
            <w:shd w:val="pct10" w:color="auto" w:fill="auto"/>
          </w:tcPr>
          <w:p w:rsidR="00BF0B62" w:rsidRDefault="00851710" w:rsidP="00ED1B1E">
            <w:pPr>
              <w:pStyle w:val="IntenseQuote"/>
              <w:spacing w:before="120" w:after="0" w:line="260" w:lineRule="exact"/>
              <w:ind w:left="0"/>
            </w:pPr>
            <w:bookmarkStart w:id="1" w:name="_Toc336420544"/>
            <w:bookmarkStart w:id="2" w:name="_Toc361746136"/>
            <w:bookmarkStart w:id="3" w:name="_Toc90977883"/>
            <w:bookmarkStart w:id="4" w:name="_Toc185498655"/>
            <w:r w:rsidRPr="00926CCD">
              <w:rPr>
                <w:i w:val="0"/>
                <w:color w:val="0000FF"/>
                <w:sz w:val="28"/>
                <w:szCs w:val="28"/>
              </w:rPr>
              <w:lastRenderedPageBreak/>
              <w:t>EXECUTIVE SUMMARY</w:t>
            </w:r>
          </w:p>
          <w:p w:rsidR="00DA6112" w:rsidRDefault="00DA6112" w:rsidP="00945F73">
            <w:pPr>
              <w:pStyle w:val="Bullet"/>
              <w:numPr>
                <w:ilvl w:val="0"/>
                <w:numId w:val="0"/>
              </w:numPr>
              <w:spacing w:before="120" w:after="180"/>
              <w:rPr>
                <w:rFonts w:asciiTheme="minorHAnsi" w:hAnsiTheme="minorHAnsi"/>
                <w:i/>
              </w:rPr>
            </w:pPr>
            <w:r>
              <w:rPr>
                <w:rFonts w:asciiTheme="minorHAnsi" w:hAnsiTheme="minorHAnsi"/>
                <w:i/>
              </w:rPr>
              <w:t xml:space="preserve">In MYEFO, the </w:t>
            </w:r>
            <w:r w:rsidR="00634A40">
              <w:rPr>
                <w:rFonts w:asciiTheme="minorHAnsi" w:hAnsiTheme="minorHAnsi"/>
                <w:i/>
              </w:rPr>
              <w:t xml:space="preserve">Australian </w:t>
            </w:r>
            <w:r>
              <w:rPr>
                <w:rFonts w:asciiTheme="minorHAnsi" w:hAnsiTheme="minorHAnsi"/>
                <w:i/>
              </w:rPr>
              <w:t>economy was forecast to continue growing at a below-trend rate in</w:t>
            </w:r>
            <w:r w:rsidR="00597A15">
              <w:rPr>
                <w:rFonts w:asciiTheme="minorHAnsi" w:hAnsiTheme="minorHAnsi"/>
                <w:i/>
              </w:rPr>
              <w:t xml:space="preserve"> 2</w:t>
            </w:r>
            <w:r>
              <w:rPr>
                <w:rFonts w:asciiTheme="minorHAnsi" w:hAnsiTheme="minorHAnsi"/>
                <w:i/>
              </w:rPr>
              <w:t xml:space="preserve">013-14 and 2014-15, as the economy transitions slowly to non-resources drivers of growth. </w:t>
            </w:r>
          </w:p>
          <w:p w:rsidR="00DA6112" w:rsidRDefault="00DA6112" w:rsidP="00945F73">
            <w:pPr>
              <w:pStyle w:val="Bullet"/>
              <w:numPr>
                <w:ilvl w:val="0"/>
                <w:numId w:val="0"/>
              </w:numPr>
              <w:spacing w:before="120" w:after="180"/>
              <w:rPr>
                <w:rFonts w:asciiTheme="minorHAnsi" w:hAnsiTheme="minorHAnsi"/>
                <w:i/>
              </w:rPr>
            </w:pPr>
            <w:r>
              <w:rPr>
                <w:rFonts w:asciiTheme="minorHAnsi" w:hAnsiTheme="minorHAnsi"/>
                <w:i/>
              </w:rPr>
              <w:t xml:space="preserve">The </w:t>
            </w:r>
            <w:r w:rsidR="00AD0387">
              <w:rPr>
                <w:rFonts w:asciiTheme="minorHAnsi" w:hAnsiTheme="minorHAnsi"/>
                <w:i/>
              </w:rPr>
              <w:t xml:space="preserve">limited </w:t>
            </w:r>
            <w:r>
              <w:rPr>
                <w:rFonts w:asciiTheme="minorHAnsi" w:hAnsiTheme="minorHAnsi"/>
                <w:i/>
              </w:rPr>
              <w:t xml:space="preserve">economic data </w:t>
            </w:r>
            <w:r w:rsidR="008A75A0">
              <w:rPr>
                <w:rFonts w:asciiTheme="minorHAnsi" w:hAnsiTheme="minorHAnsi"/>
                <w:i/>
              </w:rPr>
              <w:t>released si</w:t>
            </w:r>
            <w:r w:rsidR="00597A15">
              <w:rPr>
                <w:rFonts w:asciiTheme="minorHAnsi" w:hAnsiTheme="minorHAnsi"/>
                <w:i/>
              </w:rPr>
              <w:t>nce MYEFO suggest</w:t>
            </w:r>
            <w:r>
              <w:rPr>
                <w:rFonts w:asciiTheme="minorHAnsi" w:hAnsiTheme="minorHAnsi"/>
                <w:i/>
              </w:rPr>
              <w:t xml:space="preserve"> that the transition remains patchy. While business conditions and retail sales have improved, conditions in the labour market remain weak</w:t>
            </w:r>
            <w:r w:rsidR="00634A40">
              <w:rPr>
                <w:rFonts w:asciiTheme="minorHAnsi" w:hAnsiTheme="minorHAnsi"/>
                <w:i/>
              </w:rPr>
              <w:t>.</w:t>
            </w:r>
          </w:p>
          <w:p w:rsidR="00634A40" w:rsidRDefault="00B471BB" w:rsidP="00945F73">
            <w:pPr>
              <w:pStyle w:val="Bullet"/>
              <w:numPr>
                <w:ilvl w:val="0"/>
                <w:numId w:val="0"/>
              </w:numPr>
              <w:spacing w:before="120" w:after="180"/>
              <w:rPr>
                <w:rFonts w:asciiTheme="minorHAnsi" w:hAnsiTheme="minorHAnsi"/>
                <w:i/>
              </w:rPr>
            </w:pPr>
            <w:r>
              <w:rPr>
                <w:rFonts w:asciiTheme="minorHAnsi" w:hAnsiTheme="minorHAnsi"/>
                <w:i/>
              </w:rPr>
              <w:t>However, w</w:t>
            </w:r>
            <w:r w:rsidR="00634A40">
              <w:rPr>
                <w:rFonts w:asciiTheme="minorHAnsi" w:hAnsiTheme="minorHAnsi"/>
                <w:i/>
              </w:rPr>
              <w:t>ith MYEFO published after the release of the September quarter National Accounts, the outlook for 2013-14 and 2014-15 will not</w:t>
            </w:r>
            <w:r w:rsidR="00597A15">
              <w:rPr>
                <w:rFonts w:asciiTheme="minorHAnsi" w:hAnsiTheme="minorHAnsi"/>
                <w:i/>
              </w:rPr>
              <w:t xml:space="preserve"> be reassessed in detail until after</w:t>
            </w:r>
            <w:r w:rsidR="00634A40">
              <w:rPr>
                <w:rFonts w:asciiTheme="minorHAnsi" w:hAnsiTheme="minorHAnsi"/>
                <w:i/>
              </w:rPr>
              <w:t xml:space="preserve"> the December quarter National Accounts</w:t>
            </w:r>
            <w:r w:rsidR="00597A15">
              <w:rPr>
                <w:rFonts w:asciiTheme="minorHAnsi" w:hAnsiTheme="minorHAnsi"/>
                <w:i/>
              </w:rPr>
              <w:t xml:space="preserve"> released on 5 March</w:t>
            </w:r>
            <w:r w:rsidR="00634A40">
              <w:rPr>
                <w:rFonts w:asciiTheme="minorHAnsi" w:hAnsiTheme="minorHAnsi"/>
                <w:i/>
              </w:rPr>
              <w:t xml:space="preserve">. </w:t>
            </w:r>
          </w:p>
          <w:p w:rsidR="00634A40" w:rsidRDefault="00634A40" w:rsidP="00945F73">
            <w:pPr>
              <w:pStyle w:val="Bullet"/>
              <w:numPr>
                <w:ilvl w:val="0"/>
                <w:numId w:val="0"/>
              </w:numPr>
              <w:spacing w:after="180"/>
              <w:rPr>
                <w:rFonts w:asciiTheme="minorHAnsi" w:hAnsiTheme="minorHAnsi"/>
                <w:i/>
              </w:rPr>
            </w:pPr>
            <w:r>
              <w:rPr>
                <w:rFonts w:asciiTheme="minorHAnsi" w:hAnsiTheme="minorHAnsi"/>
                <w:i/>
              </w:rPr>
              <w:t>This report is instead focu</w:t>
            </w:r>
            <w:r w:rsidR="00AA44B4">
              <w:rPr>
                <w:rFonts w:asciiTheme="minorHAnsi" w:hAnsiTheme="minorHAnsi"/>
                <w:i/>
              </w:rPr>
              <w:t>sed on the outlook for 2015-16, which, f</w:t>
            </w:r>
            <w:r>
              <w:rPr>
                <w:rFonts w:asciiTheme="minorHAnsi" w:hAnsiTheme="minorHAnsi"/>
                <w:i/>
              </w:rPr>
              <w:t xml:space="preserve">or the first time, is now a detailed forecast year </w:t>
            </w:r>
            <w:r w:rsidR="00597A15">
              <w:rPr>
                <w:rFonts w:asciiTheme="minorHAnsi" w:hAnsiTheme="minorHAnsi"/>
                <w:i/>
              </w:rPr>
              <w:t>rather than</w:t>
            </w:r>
            <w:r>
              <w:rPr>
                <w:rFonts w:asciiTheme="minorHAnsi" w:hAnsiTheme="minorHAnsi"/>
                <w:i/>
              </w:rPr>
              <w:t xml:space="preserve"> a projection year based on medium-term trends. </w:t>
            </w:r>
          </w:p>
          <w:p w:rsidR="00FE29F2" w:rsidRDefault="00FE29F2" w:rsidP="00945F73">
            <w:pPr>
              <w:pStyle w:val="Bullet"/>
              <w:numPr>
                <w:ilvl w:val="0"/>
                <w:numId w:val="0"/>
              </w:numPr>
              <w:spacing w:after="180"/>
              <w:rPr>
                <w:rFonts w:asciiTheme="minorHAnsi" w:hAnsiTheme="minorHAnsi"/>
                <w:i/>
              </w:rPr>
            </w:pPr>
            <w:r w:rsidRPr="00FE29F2">
              <w:rPr>
                <w:rFonts w:asciiTheme="minorHAnsi" w:hAnsiTheme="minorHAnsi"/>
                <w:i/>
              </w:rPr>
              <w:t xml:space="preserve">While resources investment is expected to fall sharply in 2015-16, activity in the non-resources sectors is forecast to grow at its strongest pace since the global financial crisis and </w:t>
            </w:r>
            <w:r w:rsidR="00131214">
              <w:rPr>
                <w:rFonts w:asciiTheme="minorHAnsi" w:hAnsiTheme="minorHAnsi"/>
                <w:i/>
              </w:rPr>
              <w:t xml:space="preserve">new </w:t>
            </w:r>
            <w:r w:rsidRPr="00FE29F2">
              <w:rPr>
                <w:rFonts w:asciiTheme="minorHAnsi" w:hAnsiTheme="minorHAnsi"/>
                <w:i/>
              </w:rPr>
              <w:t xml:space="preserve">LNG exports are forecast to come online, helping </w:t>
            </w:r>
            <w:r w:rsidR="00BF0B62">
              <w:rPr>
                <w:rFonts w:asciiTheme="minorHAnsi" w:hAnsiTheme="minorHAnsi"/>
                <w:i/>
              </w:rPr>
              <w:t xml:space="preserve">to </w:t>
            </w:r>
            <w:r w:rsidRPr="00FE29F2">
              <w:rPr>
                <w:rFonts w:asciiTheme="minorHAnsi" w:hAnsiTheme="minorHAnsi"/>
                <w:i/>
              </w:rPr>
              <w:t xml:space="preserve">drive overall growth. Real GDP is forecast to grow at 3 per cent in 2015-16. </w:t>
            </w:r>
          </w:p>
          <w:p w:rsidR="001E7CC7" w:rsidRDefault="001E7CC7" w:rsidP="00945F73">
            <w:pPr>
              <w:pStyle w:val="Bullet"/>
              <w:numPr>
                <w:ilvl w:val="0"/>
                <w:numId w:val="0"/>
              </w:numPr>
              <w:spacing w:after="180"/>
              <w:rPr>
                <w:rFonts w:asciiTheme="minorHAnsi" w:hAnsiTheme="minorHAnsi"/>
                <w:i/>
              </w:rPr>
            </w:pPr>
            <w:r>
              <w:rPr>
                <w:rFonts w:asciiTheme="minorHAnsi" w:hAnsiTheme="minorHAnsi"/>
                <w:i/>
              </w:rPr>
              <w:t xml:space="preserve">With growth </w:t>
            </w:r>
            <w:r w:rsidR="00FE29F2">
              <w:rPr>
                <w:rFonts w:asciiTheme="minorHAnsi" w:hAnsiTheme="minorHAnsi"/>
                <w:i/>
              </w:rPr>
              <w:t xml:space="preserve">returning </w:t>
            </w:r>
            <w:r w:rsidR="002F7844">
              <w:rPr>
                <w:rFonts w:asciiTheme="minorHAnsi" w:hAnsiTheme="minorHAnsi"/>
                <w:i/>
              </w:rPr>
              <w:t xml:space="preserve">to </w:t>
            </w:r>
            <w:r w:rsidR="00FE29F2">
              <w:rPr>
                <w:rFonts w:asciiTheme="minorHAnsi" w:hAnsiTheme="minorHAnsi"/>
                <w:i/>
              </w:rPr>
              <w:t>trend</w:t>
            </w:r>
            <w:r>
              <w:rPr>
                <w:rFonts w:asciiTheme="minorHAnsi" w:hAnsiTheme="minorHAnsi"/>
                <w:i/>
              </w:rPr>
              <w:t xml:space="preserve">, employment growth is expected to </w:t>
            </w:r>
            <w:r w:rsidR="00FE29F2">
              <w:rPr>
                <w:rFonts w:asciiTheme="minorHAnsi" w:hAnsiTheme="minorHAnsi"/>
                <w:i/>
              </w:rPr>
              <w:t xml:space="preserve">improve but only sufficiently to </w:t>
            </w:r>
            <w:r w:rsidR="0020128B">
              <w:rPr>
                <w:rFonts w:asciiTheme="minorHAnsi" w:hAnsiTheme="minorHAnsi"/>
                <w:i/>
              </w:rPr>
              <w:t>stabilise t</w:t>
            </w:r>
            <w:r>
              <w:rPr>
                <w:rFonts w:asciiTheme="minorHAnsi" w:hAnsiTheme="minorHAnsi"/>
                <w:i/>
              </w:rPr>
              <w:t>he unemployment rate</w:t>
            </w:r>
            <w:r w:rsidR="0020128B">
              <w:rPr>
                <w:rFonts w:asciiTheme="minorHAnsi" w:hAnsiTheme="minorHAnsi"/>
                <w:i/>
              </w:rPr>
              <w:t xml:space="preserve"> at</w:t>
            </w:r>
            <w:r>
              <w:rPr>
                <w:rFonts w:asciiTheme="minorHAnsi" w:hAnsiTheme="minorHAnsi"/>
                <w:i/>
              </w:rPr>
              <w:t xml:space="preserve"> 6¼ per cent through 2015-16.</w:t>
            </w:r>
          </w:p>
          <w:p w:rsidR="0020128B" w:rsidRPr="00F66A92" w:rsidRDefault="0020128B" w:rsidP="00945F73">
            <w:pPr>
              <w:pStyle w:val="Bullet"/>
              <w:numPr>
                <w:ilvl w:val="0"/>
                <w:numId w:val="0"/>
              </w:numPr>
              <w:spacing w:after="180"/>
              <w:rPr>
                <w:rFonts w:asciiTheme="minorHAnsi" w:hAnsiTheme="minorHAnsi"/>
                <w:i/>
                <w:szCs w:val="20"/>
              </w:rPr>
            </w:pPr>
            <w:r w:rsidRPr="00F66A92">
              <w:rPr>
                <w:rFonts w:asciiTheme="minorHAnsi" w:hAnsiTheme="minorHAnsi"/>
                <w:i/>
                <w:szCs w:val="20"/>
              </w:rPr>
              <w:t xml:space="preserve">Nominal GDP </w:t>
            </w:r>
            <w:r w:rsidR="009273FA">
              <w:rPr>
                <w:rFonts w:asciiTheme="minorHAnsi" w:hAnsiTheme="minorHAnsi"/>
                <w:i/>
                <w:szCs w:val="20"/>
              </w:rPr>
              <w:t>is forecast</w:t>
            </w:r>
            <w:r>
              <w:rPr>
                <w:rFonts w:asciiTheme="minorHAnsi" w:hAnsiTheme="minorHAnsi"/>
                <w:i/>
                <w:szCs w:val="20"/>
              </w:rPr>
              <w:t xml:space="preserve"> to</w:t>
            </w:r>
            <w:r w:rsidR="009273FA">
              <w:rPr>
                <w:rFonts w:asciiTheme="minorHAnsi" w:hAnsiTheme="minorHAnsi"/>
                <w:i/>
                <w:szCs w:val="20"/>
              </w:rPr>
              <w:t xml:space="preserve"> grow</w:t>
            </w:r>
            <w:r>
              <w:rPr>
                <w:rFonts w:asciiTheme="minorHAnsi" w:hAnsiTheme="minorHAnsi"/>
                <w:i/>
                <w:szCs w:val="20"/>
              </w:rPr>
              <w:t xml:space="preserve"> </w:t>
            </w:r>
            <w:r w:rsidR="009E2FEC">
              <w:rPr>
                <w:rFonts w:asciiTheme="minorHAnsi" w:hAnsiTheme="minorHAnsi"/>
                <w:i/>
                <w:szCs w:val="20"/>
              </w:rPr>
              <w:t xml:space="preserve">at </w:t>
            </w:r>
            <w:r>
              <w:rPr>
                <w:rFonts w:asciiTheme="minorHAnsi" w:hAnsiTheme="minorHAnsi"/>
                <w:i/>
                <w:szCs w:val="20"/>
              </w:rPr>
              <w:t>4¼ per cent</w:t>
            </w:r>
            <w:r w:rsidRPr="00F66A92">
              <w:rPr>
                <w:rFonts w:asciiTheme="minorHAnsi" w:hAnsiTheme="minorHAnsi"/>
                <w:i/>
                <w:szCs w:val="20"/>
              </w:rPr>
              <w:t xml:space="preserve"> in 201</w:t>
            </w:r>
            <w:r>
              <w:rPr>
                <w:rFonts w:asciiTheme="minorHAnsi" w:hAnsiTheme="minorHAnsi"/>
                <w:i/>
                <w:szCs w:val="20"/>
              </w:rPr>
              <w:t>5</w:t>
            </w:r>
            <w:r w:rsidRPr="00F66A92">
              <w:rPr>
                <w:rFonts w:asciiTheme="minorHAnsi" w:hAnsiTheme="minorHAnsi"/>
                <w:i/>
                <w:szCs w:val="20"/>
              </w:rPr>
              <w:t>-1</w:t>
            </w:r>
            <w:r>
              <w:rPr>
                <w:rFonts w:asciiTheme="minorHAnsi" w:hAnsiTheme="minorHAnsi"/>
                <w:i/>
                <w:szCs w:val="20"/>
              </w:rPr>
              <w:t>6</w:t>
            </w:r>
            <w:r w:rsidRPr="00F66A92">
              <w:rPr>
                <w:rFonts w:asciiTheme="minorHAnsi" w:hAnsiTheme="minorHAnsi"/>
                <w:i/>
                <w:szCs w:val="20"/>
              </w:rPr>
              <w:t xml:space="preserve">. </w:t>
            </w:r>
            <w:r w:rsidR="006A410E">
              <w:rPr>
                <w:rFonts w:asciiTheme="minorHAnsi" w:hAnsiTheme="minorHAnsi"/>
                <w:i/>
                <w:szCs w:val="20"/>
              </w:rPr>
              <w:t>W</w:t>
            </w:r>
            <w:r w:rsidRPr="00F66A92">
              <w:rPr>
                <w:rFonts w:asciiTheme="minorHAnsi" w:hAnsiTheme="minorHAnsi"/>
                <w:i/>
                <w:szCs w:val="20"/>
              </w:rPr>
              <w:t>age growth</w:t>
            </w:r>
            <w:r w:rsidR="006A410E">
              <w:rPr>
                <w:rFonts w:asciiTheme="minorHAnsi" w:hAnsiTheme="minorHAnsi"/>
                <w:i/>
                <w:szCs w:val="20"/>
              </w:rPr>
              <w:t xml:space="preserve"> is expected to remain modest, helping limit growth in domestic prices. The trend decline in</w:t>
            </w:r>
            <w:r w:rsidRPr="00F66A92">
              <w:rPr>
                <w:rFonts w:asciiTheme="minorHAnsi" w:hAnsiTheme="minorHAnsi"/>
                <w:i/>
                <w:szCs w:val="20"/>
              </w:rPr>
              <w:t xml:space="preserve"> commodity prices</w:t>
            </w:r>
            <w:r w:rsidR="006A410E">
              <w:rPr>
                <w:rFonts w:asciiTheme="minorHAnsi" w:hAnsiTheme="minorHAnsi"/>
                <w:i/>
                <w:szCs w:val="20"/>
              </w:rPr>
              <w:t xml:space="preserve"> is also </w:t>
            </w:r>
            <w:r w:rsidRPr="00F66A92">
              <w:rPr>
                <w:rFonts w:asciiTheme="minorHAnsi" w:hAnsiTheme="minorHAnsi"/>
                <w:i/>
                <w:szCs w:val="20"/>
              </w:rPr>
              <w:t>expected to</w:t>
            </w:r>
            <w:r>
              <w:rPr>
                <w:rFonts w:asciiTheme="minorHAnsi" w:hAnsiTheme="minorHAnsi"/>
                <w:i/>
                <w:szCs w:val="20"/>
              </w:rPr>
              <w:t xml:space="preserve"> continue</w:t>
            </w:r>
            <w:r w:rsidRPr="00F66A92">
              <w:rPr>
                <w:rFonts w:asciiTheme="minorHAnsi" w:hAnsiTheme="minorHAnsi"/>
                <w:i/>
                <w:szCs w:val="20"/>
              </w:rPr>
              <w:t>.</w:t>
            </w:r>
          </w:p>
          <w:p w:rsidR="008A75A0" w:rsidRDefault="00F66A92" w:rsidP="00945F73">
            <w:pPr>
              <w:pStyle w:val="Bullet"/>
              <w:numPr>
                <w:ilvl w:val="0"/>
                <w:numId w:val="0"/>
              </w:numPr>
              <w:spacing w:after="180"/>
              <w:rPr>
                <w:rFonts w:asciiTheme="minorHAnsi" w:hAnsiTheme="minorHAnsi"/>
                <w:i/>
                <w:szCs w:val="20"/>
              </w:rPr>
            </w:pPr>
            <w:r w:rsidRPr="00F66A92">
              <w:rPr>
                <w:rFonts w:asciiTheme="minorHAnsi" w:hAnsiTheme="minorHAnsi"/>
                <w:i/>
                <w:szCs w:val="20"/>
              </w:rPr>
              <w:t>The significant risks to the outlook</w:t>
            </w:r>
            <w:r w:rsidR="0020128B">
              <w:rPr>
                <w:rFonts w:asciiTheme="minorHAnsi" w:hAnsiTheme="minorHAnsi"/>
                <w:i/>
                <w:szCs w:val="20"/>
              </w:rPr>
              <w:t xml:space="preserve"> outlined in MYEFO remain, </w:t>
            </w:r>
            <w:r w:rsidRPr="00F66A92">
              <w:rPr>
                <w:rFonts w:asciiTheme="minorHAnsi" w:hAnsiTheme="minorHAnsi"/>
                <w:i/>
                <w:szCs w:val="20"/>
              </w:rPr>
              <w:t>including the possibility that the transition to broader-based growth will continue to disappoint</w:t>
            </w:r>
            <w:r w:rsidR="0020128B">
              <w:rPr>
                <w:rFonts w:asciiTheme="minorHAnsi" w:hAnsiTheme="minorHAnsi"/>
                <w:i/>
                <w:szCs w:val="20"/>
              </w:rPr>
              <w:t xml:space="preserve">, particularly </w:t>
            </w:r>
            <w:r w:rsidR="008A75A0">
              <w:rPr>
                <w:rFonts w:asciiTheme="minorHAnsi" w:hAnsiTheme="minorHAnsi"/>
                <w:i/>
                <w:szCs w:val="20"/>
              </w:rPr>
              <w:t>if current labour market weakness persists.</w:t>
            </w:r>
          </w:p>
          <w:p w:rsidR="00F66A92" w:rsidRPr="00F66A92" w:rsidRDefault="008A75A0" w:rsidP="00945F73">
            <w:pPr>
              <w:pStyle w:val="Bullet"/>
              <w:numPr>
                <w:ilvl w:val="0"/>
                <w:numId w:val="0"/>
              </w:numPr>
              <w:spacing w:after="180"/>
              <w:rPr>
                <w:rFonts w:asciiTheme="minorHAnsi" w:hAnsiTheme="minorHAnsi"/>
                <w:i/>
                <w:szCs w:val="20"/>
              </w:rPr>
            </w:pPr>
            <w:r>
              <w:rPr>
                <w:rFonts w:asciiTheme="minorHAnsi" w:hAnsiTheme="minorHAnsi"/>
                <w:i/>
                <w:szCs w:val="20"/>
              </w:rPr>
              <w:t>The outlook for 2015-16 is particularly uncertain</w:t>
            </w:r>
            <w:r w:rsidR="00A65D80">
              <w:rPr>
                <w:rFonts w:asciiTheme="minorHAnsi" w:hAnsiTheme="minorHAnsi"/>
                <w:i/>
                <w:szCs w:val="20"/>
              </w:rPr>
              <w:t>,</w:t>
            </w:r>
            <w:r>
              <w:rPr>
                <w:rFonts w:asciiTheme="minorHAnsi" w:hAnsiTheme="minorHAnsi"/>
                <w:i/>
                <w:szCs w:val="20"/>
              </w:rPr>
              <w:t xml:space="preserve"> with the potential for a sharp decline in resources investment,</w:t>
            </w:r>
            <w:r w:rsidR="00A65D80">
              <w:rPr>
                <w:rFonts w:asciiTheme="minorHAnsi" w:hAnsiTheme="minorHAnsi"/>
                <w:i/>
                <w:szCs w:val="20"/>
              </w:rPr>
              <w:t xml:space="preserve"> and further falls in the terms of trade</w:t>
            </w:r>
            <w:r>
              <w:rPr>
                <w:rFonts w:asciiTheme="minorHAnsi" w:hAnsiTheme="minorHAnsi"/>
                <w:i/>
                <w:szCs w:val="20"/>
              </w:rPr>
              <w:t xml:space="preserve">, to </w:t>
            </w:r>
            <w:r w:rsidR="00EE25F3">
              <w:rPr>
                <w:rFonts w:asciiTheme="minorHAnsi" w:hAnsiTheme="minorHAnsi"/>
                <w:i/>
                <w:szCs w:val="20"/>
              </w:rPr>
              <w:t>constrain the forecast recovery elsewhere</w:t>
            </w:r>
            <w:r w:rsidR="00A65D80">
              <w:rPr>
                <w:rFonts w:asciiTheme="minorHAnsi" w:hAnsiTheme="minorHAnsi"/>
                <w:i/>
                <w:szCs w:val="20"/>
              </w:rPr>
              <w:t>.</w:t>
            </w:r>
            <w:r>
              <w:rPr>
                <w:rFonts w:asciiTheme="minorHAnsi" w:hAnsiTheme="minorHAnsi"/>
                <w:i/>
                <w:szCs w:val="20"/>
              </w:rPr>
              <w:t xml:space="preserve"> </w:t>
            </w:r>
          </w:p>
          <w:p w:rsidR="006A410E" w:rsidRDefault="00747F3B" w:rsidP="00945F73">
            <w:pPr>
              <w:pStyle w:val="Bullet"/>
              <w:numPr>
                <w:ilvl w:val="0"/>
                <w:numId w:val="0"/>
              </w:numPr>
              <w:spacing w:after="180"/>
              <w:rPr>
                <w:rFonts w:asciiTheme="minorHAnsi" w:hAnsiTheme="minorHAnsi"/>
                <w:i/>
                <w:szCs w:val="20"/>
              </w:rPr>
            </w:pPr>
            <w:r>
              <w:rPr>
                <w:rFonts w:asciiTheme="minorHAnsi" w:hAnsiTheme="minorHAnsi"/>
                <w:i/>
                <w:szCs w:val="20"/>
              </w:rPr>
              <w:t>Still</w:t>
            </w:r>
            <w:r w:rsidR="00957F44">
              <w:rPr>
                <w:rFonts w:asciiTheme="minorHAnsi" w:hAnsiTheme="minorHAnsi"/>
                <w:i/>
                <w:szCs w:val="20"/>
              </w:rPr>
              <w:t>,</w:t>
            </w:r>
            <w:r>
              <w:rPr>
                <w:rFonts w:asciiTheme="minorHAnsi" w:hAnsiTheme="minorHAnsi"/>
                <w:i/>
                <w:szCs w:val="20"/>
              </w:rPr>
              <w:t xml:space="preserve"> </w:t>
            </w:r>
            <w:r w:rsidR="0020128B">
              <w:rPr>
                <w:rFonts w:asciiTheme="minorHAnsi" w:hAnsiTheme="minorHAnsi"/>
                <w:i/>
                <w:szCs w:val="20"/>
              </w:rPr>
              <w:t>the</w:t>
            </w:r>
            <w:r w:rsidR="006A410E">
              <w:rPr>
                <w:rFonts w:asciiTheme="minorHAnsi" w:hAnsiTheme="minorHAnsi"/>
                <w:i/>
                <w:szCs w:val="20"/>
              </w:rPr>
              <w:t>re are</w:t>
            </w:r>
            <w:r w:rsidR="0020128B">
              <w:rPr>
                <w:rFonts w:asciiTheme="minorHAnsi" w:hAnsiTheme="minorHAnsi"/>
                <w:i/>
                <w:szCs w:val="20"/>
              </w:rPr>
              <w:t xml:space="preserve"> </w:t>
            </w:r>
            <w:r w:rsidR="00DC54B5">
              <w:rPr>
                <w:rFonts w:asciiTheme="minorHAnsi" w:hAnsiTheme="minorHAnsi"/>
                <w:i/>
                <w:szCs w:val="20"/>
              </w:rPr>
              <w:t xml:space="preserve">tentative </w:t>
            </w:r>
            <w:r w:rsidR="0020128B">
              <w:rPr>
                <w:rFonts w:asciiTheme="minorHAnsi" w:hAnsiTheme="minorHAnsi"/>
                <w:i/>
                <w:szCs w:val="20"/>
              </w:rPr>
              <w:t xml:space="preserve">signs </w:t>
            </w:r>
            <w:r w:rsidR="006A410E">
              <w:rPr>
                <w:rFonts w:asciiTheme="minorHAnsi" w:hAnsiTheme="minorHAnsi"/>
                <w:i/>
                <w:szCs w:val="20"/>
              </w:rPr>
              <w:t xml:space="preserve">that </w:t>
            </w:r>
            <w:r w:rsidR="00DC54B5">
              <w:rPr>
                <w:rFonts w:asciiTheme="minorHAnsi" w:hAnsiTheme="minorHAnsi"/>
                <w:i/>
                <w:szCs w:val="20"/>
              </w:rPr>
              <w:t>interest-rate sensitive sectors</w:t>
            </w:r>
            <w:r w:rsidR="006A410E">
              <w:rPr>
                <w:rFonts w:asciiTheme="minorHAnsi" w:hAnsiTheme="minorHAnsi"/>
                <w:i/>
                <w:szCs w:val="20"/>
              </w:rPr>
              <w:t xml:space="preserve"> </w:t>
            </w:r>
            <w:r w:rsidR="000B2B48">
              <w:rPr>
                <w:rFonts w:asciiTheme="minorHAnsi" w:hAnsiTheme="minorHAnsi"/>
                <w:i/>
                <w:szCs w:val="20"/>
              </w:rPr>
              <w:t>are</w:t>
            </w:r>
            <w:r w:rsidR="006A410E">
              <w:rPr>
                <w:rFonts w:asciiTheme="minorHAnsi" w:hAnsiTheme="minorHAnsi"/>
                <w:i/>
                <w:szCs w:val="20"/>
              </w:rPr>
              <w:t xml:space="preserve"> responding to low interest rate</w:t>
            </w:r>
            <w:r w:rsidR="00A65D80">
              <w:rPr>
                <w:rFonts w:asciiTheme="minorHAnsi" w:hAnsiTheme="minorHAnsi"/>
                <w:i/>
                <w:szCs w:val="20"/>
              </w:rPr>
              <w:t xml:space="preserve">s. </w:t>
            </w:r>
            <w:r w:rsidR="006A410E">
              <w:rPr>
                <w:rFonts w:asciiTheme="minorHAnsi" w:hAnsiTheme="minorHAnsi"/>
                <w:i/>
                <w:szCs w:val="20"/>
              </w:rPr>
              <w:t>Should these signs gather pace</w:t>
            </w:r>
            <w:r w:rsidR="003B3236">
              <w:rPr>
                <w:rFonts w:asciiTheme="minorHAnsi" w:hAnsiTheme="minorHAnsi"/>
                <w:i/>
                <w:szCs w:val="20"/>
              </w:rPr>
              <w:t xml:space="preserve"> more rapidly</w:t>
            </w:r>
            <w:r w:rsidR="006A410E">
              <w:rPr>
                <w:rFonts w:asciiTheme="minorHAnsi" w:hAnsiTheme="minorHAnsi"/>
                <w:i/>
                <w:szCs w:val="20"/>
              </w:rPr>
              <w:t>, leading to better conditions in the labour market and improve</w:t>
            </w:r>
            <w:r w:rsidR="008C5E8F">
              <w:rPr>
                <w:rFonts w:asciiTheme="minorHAnsi" w:hAnsiTheme="minorHAnsi"/>
                <w:i/>
                <w:szCs w:val="20"/>
              </w:rPr>
              <w:t>d</w:t>
            </w:r>
            <w:r w:rsidR="006A410E">
              <w:rPr>
                <w:rFonts w:asciiTheme="minorHAnsi" w:hAnsiTheme="minorHAnsi"/>
                <w:i/>
                <w:szCs w:val="20"/>
              </w:rPr>
              <w:t xml:space="preserve"> consumer confidence,</w:t>
            </w:r>
            <w:r w:rsidR="006A410E" w:rsidRPr="006A410E">
              <w:rPr>
                <w:rFonts w:asciiTheme="minorHAnsi" w:hAnsiTheme="minorHAnsi"/>
                <w:i/>
                <w:szCs w:val="20"/>
              </w:rPr>
              <w:t xml:space="preserve"> this could result in a quicker rebound in activity than currently </w:t>
            </w:r>
            <w:proofErr w:type="gramStart"/>
            <w:r w:rsidR="006A410E" w:rsidRPr="006A410E">
              <w:rPr>
                <w:rFonts w:asciiTheme="minorHAnsi" w:hAnsiTheme="minorHAnsi"/>
                <w:i/>
                <w:szCs w:val="20"/>
              </w:rPr>
              <w:t>f</w:t>
            </w:r>
            <w:r w:rsidR="00C76A3B">
              <w:rPr>
                <w:rFonts w:asciiTheme="minorHAnsi" w:hAnsiTheme="minorHAnsi"/>
                <w:i/>
                <w:szCs w:val="20"/>
              </w:rPr>
              <w:t>o</w:t>
            </w:r>
            <w:r w:rsidR="00FB1D72">
              <w:rPr>
                <w:rFonts w:asciiTheme="minorHAnsi" w:hAnsiTheme="minorHAnsi"/>
                <w:i/>
                <w:szCs w:val="20"/>
              </w:rPr>
              <w:t>recast.</w:t>
            </w:r>
            <w:proofErr w:type="gramEnd"/>
          </w:p>
          <w:p w:rsidR="009E2FEC" w:rsidRDefault="00747F3B" w:rsidP="00945F73">
            <w:pPr>
              <w:pStyle w:val="Bullet"/>
              <w:numPr>
                <w:ilvl w:val="0"/>
                <w:numId w:val="0"/>
              </w:numPr>
              <w:spacing w:after="180"/>
              <w:rPr>
                <w:rFonts w:asciiTheme="minorHAnsi" w:hAnsiTheme="minorHAnsi"/>
                <w:i/>
                <w:szCs w:val="20"/>
              </w:rPr>
            </w:pPr>
            <w:r>
              <w:rPr>
                <w:rFonts w:asciiTheme="minorHAnsi" w:hAnsiTheme="minorHAnsi"/>
                <w:i/>
                <w:szCs w:val="20"/>
              </w:rPr>
              <w:t xml:space="preserve">With these </w:t>
            </w:r>
            <w:r w:rsidR="00A66887">
              <w:rPr>
                <w:rFonts w:asciiTheme="minorHAnsi" w:hAnsiTheme="minorHAnsi"/>
                <w:i/>
                <w:szCs w:val="20"/>
              </w:rPr>
              <w:t xml:space="preserve">contrasting </w:t>
            </w:r>
            <w:r>
              <w:rPr>
                <w:rFonts w:asciiTheme="minorHAnsi" w:hAnsiTheme="minorHAnsi"/>
                <w:i/>
                <w:szCs w:val="20"/>
              </w:rPr>
              <w:t>risks, there</w:t>
            </w:r>
            <w:r w:rsidR="009E2FEC">
              <w:rPr>
                <w:rFonts w:asciiTheme="minorHAnsi" w:hAnsiTheme="minorHAnsi"/>
                <w:i/>
                <w:szCs w:val="20"/>
              </w:rPr>
              <w:t xml:space="preserve"> is a significant diver</w:t>
            </w:r>
            <w:r>
              <w:rPr>
                <w:rFonts w:asciiTheme="minorHAnsi" w:hAnsiTheme="minorHAnsi"/>
                <w:i/>
                <w:szCs w:val="20"/>
              </w:rPr>
              <w:t>gence of views amongst committee members and private sector forecasters on the timing and pace of recovery in the non-resources sectors.</w:t>
            </w:r>
          </w:p>
          <w:p w:rsidR="00666B16" w:rsidRPr="004D74AF" w:rsidRDefault="00666B16" w:rsidP="00945F73">
            <w:pPr>
              <w:pStyle w:val="Bullet"/>
              <w:numPr>
                <w:ilvl w:val="0"/>
                <w:numId w:val="0"/>
              </w:numPr>
              <w:spacing w:after="180"/>
              <w:rPr>
                <w:rFonts w:asciiTheme="minorHAnsi" w:hAnsiTheme="minorHAnsi"/>
                <w:i/>
                <w:szCs w:val="20"/>
              </w:rPr>
            </w:pPr>
            <w:r>
              <w:rPr>
                <w:rFonts w:asciiTheme="minorHAnsi" w:hAnsiTheme="minorHAnsi"/>
                <w:i/>
                <w:szCs w:val="20"/>
              </w:rPr>
              <w:t xml:space="preserve">Internationally, the outlook for </w:t>
            </w:r>
            <w:r w:rsidRPr="00666B16">
              <w:rPr>
                <w:rFonts w:asciiTheme="minorHAnsi" w:hAnsiTheme="minorHAnsi"/>
                <w:i/>
                <w:szCs w:val="20"/>
              </w:rPr>
              <w:t>global growth appear</w:t>
            </w:r>
            <w:r>
              <w:rPr>
                <w:rFonts w:asciiTheme="minorHAnsi" w:hAnsiTheme="minorHAnsi"/>
                <w:i/>
                <w:szCs w:val="20"/>
              </w:rPr>
              <w:t>s</w:t>
            </w:r>
            <w:r w:rsidRPr="00666B16">
              <w:rPr>
                <w:rFonts w:asciiTheme="minorHAnsi" w:hAnsiTheme="minorHAnsi"/>
                <w:i/>
                <w:szCs w:val="20"/>
              </w:rPr>
              <w:t xml:space="preserve"> to be improving</w:t>
            </w:r>
            <w:r>
              <w:rPr>
                <w:rFonts w:asciiTheme="minorHAnsi" w:hAnsiTheme="minorHAnsi"/>
                <w:i/>
                <w:szCs w:val="20"/>
              </w:rPr>
              <w:t>,</w:t>
            </w:r>
            <w:r w:rsidRPr="00666B16">
              <w:rPr>
                <w:rFonts w:asciiTheme="minorHAnsi" w:hAnsiTheme="minorHAnsi"/>
                <w:i/>
                <w:szCs w:val="20"/>
              </w:rPr>
              <w:t xml:space="preserve"> in what has been a very slow recovery, with sentiment improving in recent months.</w:t>
            </w:r>
            <w:r>
              <w:rPr>
                <w:rFonts w:asciiTheme="minorHAnsi" w:hAnsiTheme="minorHAnsi"/>
                <w:i/>
                <w:szCs w:val="20"/>
              </w:rPr>
              <w:t xml:space="preserve"> </w:t>
            </w:r>
            <w:r w:rsidR="00957F44">
              <w:rPr>
                <w:rFonts w:asciiTheme="minorHAnsi" w:hAnsiTheme="minorHAnsi"/>
                <w:i/>
                <w:szCs w:val="20"/>
              </w:rPr>
              <w:t>While</w:t>
            </w:r>
            <w:r w:rsidR="00982338">
              <w:rPr>
                <w:rFonts w:asciiTheme="minorHAnsi" w:hAnsiTheme="minorHAnsi"/>
                <w:i/>
                <w:szCs w:val="20"/>
              </w:rPr>
              <w:t xml:space="preserve"> forecasts have not been reassessed since MYEFO, </w:t>
            </w:r>
            <w:r>
              <w:rPr>
                <w:rFonts w:asciiTheme="minorHAnsi" w:hAnsiTheme="minorHAnsi"/>
                <w:i/>
                <w:szCs w:val="20"/>
              </w:rPr>
              <w:t>growth</w:t>
            </w:r>
            <w:r w:rsidR="00982338">
              <w:rPr>
                <w:rFonts w:asciiTheme="minorHAnsi" w:hAnsiTheme="minorHAnsi"/>
                <w:i/>
                <w:szCs w:val="20"/>
              </w:rPr>
              <w:t xml:space="preserve"> </w:t>
            </w:r>
            <w:r w:rsidR="00957F44">
              <w:rPr>
                <w:rFonts w:asciiTheme="minorHAnsi" w:hAnsiTheme="minorHAnsi"/>
                <w:i/>
                <w:szCs w:val="20"/>
              </w:rPr>
              <w:t xml:space="preserve">is </w:t>
            </w:r>
            <w:r w:rsidR="00982338">
              <w:rPr>
                <w:rFonts w:asciiTheme="minorHAnsi" w:hAnsiTheme="minorHAnsi"/>
                <w:i/>
                <w:szCs w:val="20"/>
              </w:rPr>
              <w:t>still</w:t>
            </w:r>
            <w:r>
              <w:rPr>
                <w:rFonts w:asciiTheme="minorHAnsi" w:hAnsiTheme="minorHAnsi"/>
                <w:i/>
                <w:szCs w:val="20"/>
              </w:rPr>
              <w:t xml:space="preserve"> expected to remain subdued</w:t>
            </w:r>
            <w:r w:rsidR="002F42F8">
              <w:rPr>
                <w:rFonts w:asciiTheme="minorHAnsi" w:hAnsiTheme="minorHAnsi"/>
                <w:i/>
                <w:szCs w:val="20"/>
              </w:rPr>
              <w:t>.</w:t>
            </w:r>
            <w:r>
              <w:t xml:space="preserve"> </w:t>
            </w:r>
            <w:r w:rsidRPr="00666B16">
              <w:rPr>
                <w:rFonts w:asciiTheme="minorHAnsi" w:hAnsiTheme="minorHAnsi"/>
                <w:i/>
                <w:szCs w:val="20"/>
              </w:rPr>
              <w:t>Activity in Japan and the United States has strengthened and the euro area is in a tentative and wea</w:t>
            </w:r>
            <w:r w:rsidR="00982338">
              <w:rPr>
                <w:rFonts w:asciiTheme="minorHAnsi" w:hAnsiTheme="minorHAnsi"/>
                <w:i/>
                <w:szCs w:val="20"/>
              </w:rPr>
              <w:t xml:space="preserve">k recovery, but growth in </w:t>
            </w:r>
            <w:r w:rsidRPr="00666B16">
              <w:rPr>
                <w:rFonts w:asciiTheme="minorHAnsi" w:hAnsiTheme="minorHAnsi"/>
                <w:i/>
                <w:szCs w:val="20"/>
              </w:rPr>
              <w:t>emerging economies</w:t>
            </w:r>
            <w:r w:rsidR="00982338">
              <w:rPr>
                <w:rFonts w:asciiTheme="minorHAnsi" w:hAnsiTheme="minorHAnsi"/>
                <w:i/>
                <w:szCs w:val="20"/>
              </w:rPr>
              <w:t xml:space="preserve"> as a whole</w:t>
            </w:r>
            <w:r w:rsidRPr="00666B16">
              <w:rPr>
                <w:rFonts w:asciiTheme="minorHAnsi" w:hAnsiTheme="minorHAnsi"/>
                <w:i/>
                <w:szCs w:val="20"/>
              </w:rPr>
              <w:t xml:space="preserve"> has moderated.</w:t>
            </w:r>
            <w:r w:rsidR="002F42F8">
              <w:rPr>
                <w:rFonts w:asciiTheme="minorHAnsi" w:hAnsiTheme="minorHAnsi"/>
                <w:i/>
                <w:szCs w:val="20"/>
              </w:rPr>
              <w:t xml:space="preserve"> </w:t>
            </w:r>
            <w:r w:rsidR="00982338">
              <w:rPr>
                <w:rFonts w:asciiTheme="minorHAnsi" w:hAnsiTheme="minorHAnsi"/>
                <w:i/>
                <w:szCs w:val="20"/>
              </w:rPr>
              <w:t>D</w:t>
            </w:r>
            <w:r w:rsidRPr="00666B16">
              <w:rPr>
                <w:rFonts w:asciiTheme="minorHAnsi" w:hAnsiTheme="minorHAnsi"/>
                <w:i/>
                <w:szCs w:val="20"/>
              </w:rPr>
              <w:t xml:space="preserve">ownside </w:t>
            </w:r>
            <w:r>
              <w:rPr>
                <w:rFonts w:asciiTheme="minorHAnsi" w:hAnsiTheme="minorHAnsi"/>
                <w:i/>
                <w:szCs w:val="20"/>
              </w:rPr>
              <w:t>risks, both new</w:t>
            </w:r>
            <w:r w:rsidR="002F42F8">
              <w:rPr>
                <w:rFonts w:asciiTheme="minorHAnsi" w:hAnsiTheme="minorHAnsi"/>
                <w:i/>
                <w:szCs w:val="20"/>
              </w:rPr>
              <w:t xml:space="preserve"> and old</w:t>
            </w:r>
            <w:r w:rsidR="00597A15">
              <w:rPr>
                <w:rFonts w:asciiTheme="minorHAnsi" w:hAnsiTheme="minorHAnsi"/>
                <w:i/>
                <w:szCs w:val="20"/>
              </w:rPr>
              <w:t>,</w:t>
            </w:r>
            <w:r w:rsidR="002F42F8">
              <w:rPr>
                <w:rFonts w:asciiTheme="minorHAnsi" w:hAnsiTheme="minorHAnsi"/>
                <w:i/>
                <w:szCs w:val="20"/>
              </w:rPr>
              <w:t xml:space="preserve"> </w:t>
            </w:r>
            <w:r w:rsidR="00982338">
              <w:rPr>
                <w:rFonts w:asciiTheme="minorHAnsi" w:hAnsiTheme="minorHAnsi"/>
                <w:i/>
                <w:szCs w:val="20"/>
              </w:rPr>
              <w:t>remain</w:t>
            </w:r>
            <w:r w:rsidR="002F42F8">
              <w:rPr>
                <w:rFonts w:asciiTheme="minorHAnsi" w:hAnsiTheme="minorHAnsi"/>
                <w:i/>
                <w:szCs w:val="20"/>
              </w:rPr>
              <w:t>,</w:t>
            </w:r>
            <w:r w:rsidR="00597A15">
              <w:rPr>
                <w:rFonts w:asciiTheme="minorHAnsi" w:hAnsiTheme="minorHAnsi"/>
                <w:i/>
                <w:szCs w:val="20"/>
              </w:rPr>
              <w:t xml:space="preserve"> </w:t>
            </w:r>
            <w:r w:rsidR="00982338">
              <w:rPr>
                <w:rFonts w:asciiTheme="minorHAnsi" w:hAnsiTheme="minorHAnsi"/>
                <w:i/>
                <w:szCs w:val="20"/>
              </w:rPr>
              <w:t xml:space="preserve">with </w:t>
            </w:r>
            <w:r w:rsidR="00982338" w:rsidRPr="00982338">
              <w:rPr>
                <w:rFonts w:asciiTheme="minorHAnsi" w:hAnsiTheme="minorHAnsi"/>
                <w:i/>
                <w:szCs w:val="20"/>
              </w:rPr>
              <w:t>de</w:t>
            </w:r>
            <w:r w:rsidR="00982338">
              <w:rPr>
                <w:rFonts w:asciiTheme="minorHAnsi" w:hAnsiTheme="minorHAnsi"/>
                <w:i/>
                <w:szCs w:val="20"/>
              </w:rPr>
              <w:t xml:space="preserve">velopments in US monetary policy continuing to be </w:t>
            </w:r>
            <w:r w:rsidR="003B3236">
              <w:rPr>
                <w:rFonts w:asciiTheme="minorHAnsi" w:hAnsiTheme="minorHAnsi"/>
                <w:i/>
                <w:szCs w:val="20"/>
              </w:rPr>
              <w:t xml:space="preserve">a </w:t>
            </w:r>
            <w:r w:rsidR="00982338">
              <w:rPr>
                <w:rFonts w:asciiTheme="minorHAnsi" w:hAnsiTheme="minorHAnsi"/>
                <w:i/>
                <w:szCs w:val="20"/>
              </w:rPr>
              <w:t>key</w:t>
            </w:r>
            <w:r w:rsidR="003B3236">
              <w:rPr>
                <w:rFonts w:asciiTheme="minorHAnsi" w:hAnsiTheme="minorHAnsi"/>
                <w:i/>
                <w:szCs w:val="20"/>
              </w:rPr>
              <w:t xml:space="preserve"> factor</w:t>
            </w:r>
            <w:r w:rsidR="00982338">
              <w:rPr>
                <w:rFonts w:asciiTheme="minorHAnsi" w:hAnsiTheme="minorHAnsi"/>
                <w:i/>
                <w:szCs w:val="20"/>
              </w:rPr>
              <w:t>.</w:t>
            </w:r>
            <w:r>
              <w:rPr>
                <w:rFonts w:asciiTheme="minorHAnsi" w:hAnsiTheme="minorHAnsi"/>
                <w:i/>
                <w:szCs w:val="20"/>
              </w:rPr>
              <w:t xml:space="preserve"> </w:t>
            </w:r>
          </w:p>
          <w:p w:rsidR="00E2081F" w:rsidRPr="00587BCC" w:rsidRDefault="00E2081F" w:rsidP="00982338">
            <w:pPr>
              <w:spacing w:after="40" w:line="276" w:lineRule="auto"/>
              <w:jc w:val="left"/>
              <w:rPr>
                <w:rFonts w:asciiTheme="minorHAnsi" w:hAnsiTheme="minorHAnsi" w:cstheme="minorBidi"/>
                <w:i/>
              </w:rPr>
            </w:pPr>
            <w:r w:rsidRPr="00587BCC">
              <w:rPr>
                <w:rFonts w:asciiTheme="minorHAnsi" w:hAnsiTheme="minorHAnsi" w:cs="Tahoma"/>
                <w:b/>
                <w:kern w:val="2"/>
              </w:rPr>
              <w:t xml:space="preserve">Table 1: Key </w:t>
            </w:r>
            <w:r w:rsidR="00E71FBE" w:rsidRPr="00587BCC">
              <w:rPr>
                <w:rFonts w:asciiTheme="minorHAnsi" w:hAnsiTheme="minorHAnsi" w:cs="Tahoma"/>
                <w:b/>
                <w:kern w:val="2"/>
              </w:rPr>
              <w:t>d</w:t>
            </w:r>
            <w:r w:rsidRPr="00587BCC">
              <w:rPr>
                <w:rFonts w:asciiTheme="minorHAnsi" w:hAnsiTheme="minorHAnsi" w:cs="Tahoma"/>
                <w:b/>
                <w:kern w:val="2"/>
              </w:rPr>
              <w:t>omestic</w:t>
            </w:r>
            <w:r w:rsidR="00F5083C" w:rsidRPr="00587BCC">
              <w:rPr>
                <w:rFonts w:asciiTheme="minorHAnsi" w:hAnsiTheme="minorHAnsi" w:cs="Tahoma"/>
                <w:b/>
                <w:kern w:val="2"/>
              </w:rPr>
              <w:t xml:space="preserve"> and </w:t>
            </w:r>
            <w:r w:rsidR="00E71FBE" w:rsidRPr="00587BCC">
              <w:rPr>
                <w:rFonts w:asciiTheme="minorHAnsi" w:hAnsiTheme="minorHAnsi" w:cs="Tahoma"/>
                <w:b/>
                <w:kern w:val="2"/>
              </w:rPr>
              <w:t>i</w:t>
            </w:r>
            <w:r w:rsidR="00F5083C" w:rsidRPr="00587BCC">
              <w:rPr>
                <w:rFonts w:asciiTheme="minorHAnsi" w:hAnsiTheme="minorHAnsi" w:cs="Tahoma"/>
                <w:b/>
                <w:kern w:val="2"/>
              </w:rPr>
              <w:t>nternational</w:t>
            </w:r>
            <w:r w:rsidR="00E71FBE" w:rsidRPr="00587BCC">
              <w:rPr>
                <w:rFonts w:asciiTheme="minorHAnsi" w:hAnsiTheme="minorHAnsi" w:cs="Tahoma"/>
                <w:b/>
                <w:kern w:val="2"/>
              </w:rPr>
              <w:t xml:space="preserve"> f</w:t>
            </w:r>
            <w:r w:rsidRPr="00587BCC">
              <w:rPr>
                <w:rFonts w:asciiTheme="minorHAnsi" w:hAnsiTheme="minorHAnsi" w:cs="Tahoma"/>
                <w:b/>
                <w:kern w:val="2"/>
              </w:rPr>
              <w:t>orecasts</w:t>
            </w:r>
            <w:r w:rsidRPr="00587BCC">
              <w:rPr>
                <w:rFonts w:asciiTheme="minorHAnsi" w:hAnsiTheme="minorHAnsi" w:cs="Tahoma"/>
                <w:b/>
                <w:kern w:val="2"/>
                <w:vertAlign w:val="superscript"/>
              </w:rPr>
              <w:t>(a)</w:t>
            </w:r>
          </w:p>
          <w:p w:rsidR="00B05208" w:rsidRPr="00FC7708" w:rsidRDefault="000B7B33" w:rsidP="00B05208">
            <w:pPr>
              <w:pStyle w:val="ChartandTableFootnoteAlpha"/>
              <w:keepNext/>
              <w:keepLines/>
              <w:tabs>
                <w:tab w:val="clear" w:pos="283"/>
              </w:tabs>
              <w:spacing w:line="240" w:lineRule="auto"/>
              <w:ind w:left="0" w:firstLine="0"/>
              <w:jc w:val="left"/>
              <w:rPr>
                <w:rFonts w:asciiTheme="minorHAnsi" w:hAnsiTheme="minorHAnsi"/>
                <w:kern w:val="2"/>
                <w:sz w:val="4"/>
                <w:szCs w:val="4"/>
              </w:rPr>
            </w:pPr>
            <w:r>
              <w:rPr>
                <w:rFonts w:asciiTheme="minorHAnsi" w:hAnsiTheme="minorHAnsi"/>
                <w:noProof/>
                <w:kern w:val="2"/>
                <w:sz w:val="4"/>
                <w:szCs w:val="4"/>
                <w:lang w:eastAsia="en-AU"/>
              </w:rPr>
              <w:drawing>
                <wp:inline distT="0" distB="0" distL="0" distR="0" wp14:anchorId="2C23777B" wp14:editId="67AB616E">
                  <wp:extent cx="5543550" cy="1962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3550" cy="1962150"/>
                          </a:xfrm>
                          <a:prstGeom prst="rect">
                            <a:avLst/>
                          </a:prstGeom>
                          <a:noFill/>
                          <a:ln>
                            <a:noFill/>
                          </a:ln>
                        </pic:spPr>
                      </pic:pic>
                    </a:graphicData>
                  </a:graphic>
                </wp:inline>
              </w:drawing>
            </w:r>
          </w:p>
          <w:p w:rsidR="00F043B9" w:rsidRPr="00587BCC" w:rsidRDefault="00F043B9" w:rsidP="00B05208">
            <w:pPr>
              <w:pStyle w:val="ChartandTableFootnoteAlpha"/>
              <w:keepNext/>
              <w:keepLines/>
              <w:tabs>
                <w:tab w:val="clear" w:pos="283"/>
              </w:tabs>
              <w:spacing w:line="240" w:lineRule="auto"/>
              <w:ind w:left="0" w:firstLine="0"/>
              <w:jc w:val="left"/>
              <w:rPr>
                <w:rFonts w:asciiTheme="minorHAnsi" w:hAnsiTheme="minorHAnsi"/>
                <w:kern w:val="2"/>
              </w:rPr>
            </w:pPr>
            <w:r w:rsidRPr="00587BCC">
              <w:rPr>
                <w:rFonts w:asciiTheme="minorHAnsi" w:hAnsiTheme="minorHAnsi"/>
                <w:kern w:val="2"/>
              </w:rPr>
              <w:t>Note: Text in blue indicates a forecast upgrade, while red text indicates a forecast downgrade.</w:t>
            </w:r>
            <w:r w:rsidR="006209D7">
              <w:rPr>
                <w:rFonts w:asciiTheme="minorHAnsi" w:hAnsiTheme="minorHAnsi"/>
                <w:kern w:val="2"/>
              </w:rPr>
              <w:t xml:space="preserve"> Forecasts for the domestic economy are based on the assumption of a </w:t>
            </w:r>
            <w:r w:rsidR="006209D7" w:rsidRPr="006209D7">
              <w:rPr>
                <w:rFonts w:asciiTheme="minorHAnsi" w:hAnsiTheme="minorHAnsi"/>
                <w:kern w:val="2"/>
              </w:rPr>
              <w:t>trade weighted index of around 7</w:t>
            </w:r>
            <w:r w:rsidR="002E6624">
              <w:rPr>
                <w:rFonts w:asciiTheme="minorHAnsi" w:hAnsiTheme="minorHAnsi"/>
                <w:kern w:val="2"/>
              </w:rPr>
              <w:t>0</w:t>
            </w:r>
            <w:r w:rsidR="006209D7" w:rsidRPr="006209D7">
              <w:rPr>
                <w:rFonts w:asciiTheme="minorHAnsi" w:hAnsiTheme="minorHAnsi"/>
                <w:kern w:val="2"/>
              </w:rPr>
              <w:t xml:space="preserve"> and $US exchange rate of around 9</w:t>
            </w:r>
            <w:r w:rsidR="00982338">
              <w:rPr>
                <w:rFonts w:asciiTheme="minorHAnsi" w:hAnsiTheme="minorHAnsi"/>
                <w:kern w:val="2"/>
              </w:rPr>
              <w:t>1</w:t>
            </w:r>
            <w:r w:rsidR="006209D7" w:rsidRPr="006209D7">
              <w:rPr>
                <w:rFonts w:asciiTheme="minorHAnsi" w:hAnsiTheme="minorHAnsi"/>
                <w:kern w:val="2"/>
              </w:rPr>
              <w:t xml:space="preserve"> US cents</w:t>
            </w:r>
            <w:r w:rsidR="006209D7">
              <w:rPr>
                <w:rFonts w:asciiTheme="minorHAnsi" w:hAnsiTheme="minorHAnsi"/>
                <w:kern w:val="2"/>
              </w:rPr>
              <w:t>.</w:t>
            </w:r>
          </w:p>
          <w:p w:rsidR="00E2081F" w:rsidRPr="00587BCC" w:rsidRDefault="00E2081F" w:rsidP="00E2081F">
            <w:pPr>
              <w:pStyle w:val="ChartandTableFootnoteAlpha"/>
              <w:keepNext/>
              <w:keepLines/>
              <w:tabs>
                <w:tab w:val="clear" w:pos="283"/>
              </w:tabs>
              <w:spacing w:line="240" w:lineRule="auto"/>
              <w:ind w:left="0" w:firstLine="0"/>
              <w:jc w:val="left"/>
              <w:rPr>
                <w:rFonts w:asciiTheme="minorHAnsi" w:hAnsiTheme="minorHAnsi"/>
                <w:kern w:val="2"/>
                <w:szCs w:val="16"/>
              </w:rPr>
            </w:pPr>
            <w:r w:rsidRPr="00587BCC">
              <w:rPr>
                <w:rFonts w:asciiTheme="minorHAnsi" w:hAnsiTheme="minorHAnsi"/>
                <w:kern w:val="2"/>
              </w:rPr>
              <w:t>(a) Real GDP, nominal GDP</w:t>
            </w:r>
            <w:r w:rsidR="00E02C53" w:rsidRPr="00587BCC">
              <w:rPr>
                <w:rFonts w:asciiTheme="minorHAnsi" w:hAnsiTheme="minorHAnsi"/>
                <w:kern w:val="2"/>
              </w:rPr>
              <w:t>,</w:t>
            </w:r>
            <w:r w:rsidRPr="00587BCC">
              <w:rPr>
                <w:rFonts w:asciiTheme="minorHAnsi" w:hAnsiTheme="minorHAnsi"/>
                <w:kern w:val="2"/>
              </w:rPr>
              <w:t xml:space="preserve"> the terms of trade</w:t>
            </w:r>
            <w:r w:rsidR="00E02C53" w:rsidRPr="00587BCC">
              <w:rPr>
                <w:rFonts w:asciiTheme="minorHAnsi" w:hAnsiTheme="minorHAnsi"/>
                <w:kern w:val="2"/>
              </w:rPr>
              <w:t xml:space="preserve">, </w:t>
            </w:r>
            <w:r w:rsidR="00F5083C" w:rsidRPr="00587BCC">
              <w:rPr>
                <w:rFonts w:asciiTheme="minorHAnsi" w:hAnsiTheme="minorHAnsi"/>
                <w:kern w:val="2"/>
              </w:rPr>
              <w:t>w</w:t>
            </w:r>
            <w:r w:rsidR="00E02C53" w:rsidRPr="00587BCC">
              <w:rPr>
                <w:rFonts w:asciiTheme="minorHAnsi" w:hAnsiTheme="minorHAnsi"/>
                <w:kern w:val="2"/>
              </w:rPr>
              <w:t xml:space="preserve">orld GDP, </w:t>
            </w:r>
            <w:r w:rsidR="00F5083C" w:rsidRPr="00587BCC">
              <w:rPr>
                <w:rFonts w:asciiTheme="minorHAnsi" w:hAnsiTheme="minorHAnsi"/>
                <w:kern w:val="2"/>
              </w:rPr>
              <w:t>m</w:t>
            </w:r>
            <w:r w:rsidR="00E02C53" w:rsidRPr="00587BCC">
              <w:rPr>
                <w:rFonts w:asciiTheme="minorHAnsi" w:hAnsiTheme="minorHAnsi"/>
                <w:kern w:val="2"/>
              </w:rPr>
              <w:t xml:space="preserve">ajor trading partner </w:t>
            </w:r>
            <w:r w:rsidR="00F5083C" w:rsidRPr="00587BCC">
              <w:rPr>
                <w:rFonts w:asciiTheme="minorHAnsi" w:hAnsiTheme="minorHAnsi"/>
                <w:kern w:val="2"/>
              </w:rPr>
              <w:t>GDP, China and United States</w:t>
            </w:r>
            <w:r w:rsidRPr="00587BCC">
              <w:rPr>
                <w:rFonts w:asciiTheme="minorHAnsi" w:hAnsiTheme="minorHAnsi"/>
                <w:kern w:val="2"/>
              </w:rPr>
              <w:t xml:space="preserve"> are year-average growth. </w:t>
            </w:r>
            <w:r w:rsidR="00E02C53" w:rsidRPr="00587BCC">
              <w:rPr>
                <w:rFonts w:asciiTheme="minorHAnsi" w:hAnsiTheme="minorHAnsi"/>
                <w:kern w:val="2"/>
              </w:rPr>
              <w:t>U</w:t>
            </w:r>
            <w:r w:rsidRPr="00587BCC">
              <w:rPr>
                <w:rFonts w:asciiTheme="minorHAnsi" w:hAnsiTheme="minorHAnsi"/>
                <w:kern w:val="2"/>
              </w:rPr>
              <w:t xml:space="preserve">nderlying inflation and the </w:t>
            </w:r>
            <w:r w:rsidRPr="00587BCC">
              <w:rPr>
                <w:rFonts w:asciiTheme="minorHAnsi" w:hAnsiTheme="minorHAnsi"/>
                <w:kern w:val="2"/>
                <w:szCs w:val="16"/>
              </w:rPr>
              <w:t>WPI are through-the-year growth to the June quarter. The unemployment rate is the rate for the June quarter.</w:t>
            </w:r>
          </w:p>
          <w:p w:rsidR="00F043B9" w:rsidRPr="00587BCC" w:rsidRDefault="00F043B9" w:rsidP="00E2081F">
            <w:pPr>
              <w:pStyle w:val="ChartandTableFootnoteAlpha"/>
              <w:keepNext/>
              <w:keepLines/>
              <w:tabs>
                <w:tab w:val="clear" w:pos="283"/>
              </w:tabs>
              <w:spacing w:line="240" w:lineRule="auto"/>
              <w:ind w:left="0" w:firstLine="0"/>
              <w:jc w:val="left"/>
              <w:rPr>
                <w:rFonts w:asciiTheme="minorHAnsi" w:hAnsiTheme="minorHAnsi"/>
                <w:kern w:val="2"/>
                <w:szCs w:val="16"/>
              </w:rPr>
            </w:pPr>
            <w:r w:rsidRPr="00587BCC">
              <w:rPr>
                <w:rFonts w:asciiTheme="minorHAnsi" w:hAnsiTheme="minorHAnsi"/>
                <w:kern w:val="2"/>
                <w:szCs w:val="16"/>
              </w:rPr>
              <w:t>(b) International GDP figures are calendar year average growth for 201</w:t>
            </w:r>
            <w:r w:rsidR="00982338">
              <w:rPr>
                <w:rFonts w:asciiTheme="minorHAnsi" w:hAnsiTheme="minorHAnsi"/>
                <w:kern w:val="2"/>
                <w:szCs w:val="16"/>
              </w:rPr>
              <w:t>3</w:t>
            </w:r>
            <w:r w:rsidRPr="00587BCC">
              <w:rPr>
                <w:rFonts w:asciiTheme="minorHAnsi" w:hAnsiTheme="minorHAnsi"/>
                <w:kern w:val="2"/>
                <w:szCs w:val="16"/>
              </w:rPr>
              <w:t>, 201</w:t>
            </w:r>
            <w:r w:rsidR="00982338">
              <w:rPr>
                <w:rFonts w:asciiTheme="minorHAnsi" w:hAnsiTheme="minorHAnsi"/>
                <w:kern w:val="2"/>
                <w:szCs w:val="16"/>
              </w:rPr>
              <w:t>4</w:t>
            </w:r>
            <w:r w:rsidRPr="00587BCC">
              <w:rPr>
                <w:rFonts w:asciiTheme="minorHAnsi" w:hAnsiTheme="minorHAnsi"/>
                <w:kern w:val="2"/>
                <w:szCs w:val="16"/>
              </w:rPr>
              <w:t xml:space="preserve"> and 201</w:t>
            </w:r>
            <w:r w:rsidR="00982338">
              <w:rPr>
                <w:rFonts w:asciiTheme="minorHAnsi" w:hAnsiTheme="minorHAnsi"/>
                <w:kern w:val="2"/>
                <w:szCs w:val="16"/>
              </w:rPr>
              <w:t>5</w:t>
            </w:r>
            <w:r w:rsidRPr="00587BCC">
              <w:rPr>
                <w:rFonts w:asciiTheme="minorHAnsi" w:hAnsiTheme="minorHAnsi"/>
                <w:kern w:val="2"/>
                <w:szCs w:val="16"/>
              </w:rPr>
              <w:t>.</w:t>
            </w:r>
          </w:p>
          <w:p w:rsidR="00926CCD" w:rsidRPr="00587BCC" w:rsidRDefault="00E2081F" w:rsidP="009E2FEC">
            <w:pPr>
              <w:spacing w:after="0" w:line="240" w:lineRule="auto"/>
              <w:rPr>
                <w:rFonts w:asciiTheme="minorHAnsi" w:hAnsiTheme="minorHAnsi"/>
              </w:rPr>
            </w:pPr>
            <w:r w:rsidRPr="00587BCC">
              <w:rPr>
                <w:rFonts w:asciiTheme="minorHAnsi" w:hAnsiTheme="minorHAnsi" w:cs="Arial"/>
                <w:kern w:val="2"/>
                <w:sz w:val="16"/>
              </w:rPr>
              <w:lastRenderedPageBreak/>
              <w:t xml:space="preserve">Source:  ABS cat. </w:t>
            </w:r>
            <w:proofErr w:type="gramStart"/>
            <w:r w:rsidR="00E71FBE" w:rsidRPr="00587BCC">
              <w:rPr>
                <w:rFonts w:asciiTheme="minorHAnsi" w:hAnsiTheme="minorHAnsi" w:cs="Arial"/>
                <w:kern w:val="2"/>
                <w:sz w:val="16"/>
              </w:rPr>
              <w:t>n</w:t>
            </w:r>
            <w:r w:rsidRPr="00587BCC">
              <w:rPr>
                <w:rFonts w:asciiTheme="minorHAnsi" w:hAnsiTheme="minorHAnsi" w:cs="Arial"/>
                <w:kern w:val="2"/>
                <w:sz w:val="16"/>
              </w:rPr>
              <w:t>o</w:t>
            </w:r>
            <w:proofErr w:type="gramEnd"/>
            <w:r w:rsidRPr="00587BCC">
              <w:rPr>
                <w:rFonts w:asciiTheme="minorHAnsi" w:hAnsiTheme="minorHAnsi" w:cs="Arial"/>
                <w:kern w:val="2"/>
                <w:sz w:val="16"/>
              </w:rPr>
              <w:t>. 5206.0, 5302.0, 6202.0, 6345.0, 6401.0 and Treasury.</w:t>
            </w:r>
          </w:p>
        </w:tc>
      </w:tr>
    </w:tbl>
    <w:p w:rsidR="00851710" w:rsidRPr="00587BCC" w:rsidRDefault="00851710" w:rsidP="00851710">
      <w:pPr>
        <w:pStyle w:val="Heading3"/>
        <w:rPr>
          <w:rFonts w:asciiTheme="minorHAnsi" w:hAnsiTheme="minorHAnsi"/>
        </w:rPr>
        <w:sectPr w:rsidR="00851710" w:rsidRPr="00587BCC" w:rsidSect="00D71E0E">
          <w:footerReference w:type="default" r:id="rId17"/>
          <w:headerReference w:type="first" r:id="rId18"/>
          <w:pgSz w:w="11906" w:h="16838"/>
          <w:pgMar w:top="454" w:right="1440" w:bottom="454" w:left="1440" w:header="340" w:footer="709" w:gutter="0"/>
          <w:cols w:space="708"/>
          <w:titlePg/>
          <w:docGrid w:linePitch="360"/>
        </w:sectPr>
      </w:pPr>
    </w:p>
    <w:p w:rsidR="00F0788A" w:rsidRPr="00755AF7" w:rsidRDefault="00851710" w:rsidP="00F0788A">
      <w:pPr>
        <w:pStyle w:val="IntenseQuote"/>
        <w:ind w:left="0"/>
        <w:rPr>
          <w:i w:val="0"/>
          <w:color w:val="0000FF"/>
          <w:sz w:val="28"/>
          <w:szCs w:val="24"/>
        </w:rPr>
      </w:pPr>
      <w:r w:rsidRPr="00755AF7">
        <w:rPr>
          <w:i w:val="0"/>
          <w:color w:val="0000FF"/>
          <w:sz w:val="28"/>
          <w:szCs w:val="24"/>
        </w:rPr>
        <w:lastRenderedPageBreak/>
        <w:t xml:space="preserve">Outlook for the </w:t>
      </w:r>
      <w:r w:rsidR="003268F4" w:rsidRPr="00755AF7">
        <w:rPr>
          <w:i w:val="0"/>
          <w:color w:val="0000FF"/>
          <w:sz w:val="28"/>
          <w:szCs w:val="24"/>
        </w:rPr>
        <w:t xml:space="preserve">Domestic </w:t>
      </w:r>
      <w:r w:rsidR="00E71FBE" w:rsidRPr="00755AF7">
        <w:rPr>
          <w:i w:val="0"/>
          <w:color w:val="0000FF"/>
          <w:sz w:val="28"/>
          <w:szCs w:val="24"/>
        </w:rPr>
        <w:t>E</w:t>
      </w:r>
      <w:r w:rsidRPr="00755AF7">
        <w:rPr>
          <w:i w:val="0"/>
          <w:color w:val="0000FF"/>
          <w:sz w:val="28"/>
          <w:szCs w:val="24"/>
        </w:rPr>
        <w:t>conomy</w:t>
      </w:r>
    </w:p>
    <w:p w:rsidR="00F0788A" w:rsidRPr="00587BCC" w:rsidRDefault="00F0788A" w:rsidP="00FB1B2F">
      <w:pPr>
        <w:pStyle w:val="Bullet"/>
        <w:numPr>
          <w:ilvl w:val="0"/>
          <w:numId w:val="0"/>
        </w:numPr>
        <w:spacing w:line="240" w:lineRule="auto"/>
        <w:jc w:val="left"/>
        <w:rPr>
          <w:rFonts w:asciiTheme="minorHAnsi" w:hAnsiTheme="minorHAnsi"/>
          <w:b/>
          <w:color w:val="003399"/>
          <w:sz w:val="24"/>
        </w:rPr>
        <w:sectPr w:rsidR="00F0788A" w:rsidRPr="00587BCC" w:rsidSect="00F0788A">
          <w:headerReference w:type="default" r:id="rId19"/>
          <w:footerReference w:type="even" r:id="rId20"/>
          <w:footerReference w:type="default" r:id="rId21"/>
          <w:pgSz w:w="11907" w:h="16840" w:code="9"/>
          <w:pgMar w:top="1418" w:right="1100" w:bottom="1418" w:left="1100" w:header="567" w:footer="709" w:gutter="0"/>
          <w:cols w:space="709"/>
          <w:docGrid w:linePitch="272"/>
        </w:sectPr>
      </w:pPr>
    </w:p>
    <w:p w:rsidR="00FB1D72" w:rsidRDefault="00FB1D72" w:rsidP="004D73FC">
      <w:pPr>
        <w:pStyle w:val="Bullet"/>
        <w:numPr>
          <w:ilvl w:val="0"/>
          <w:numId w:val="0"/>
        </w:numPr>
        <w:spacing w:after="200" w:line="240" w:lineRule="auto"/>
        <w:rPr>
          <w:rFonts w:asciiTheme="minorHAnsi" w:hAnsiTheme="minorHAnsi"/>
          <w:b/>
          <w:color w:val="0000FF"/>
          <w:sz w:val="24"/>
        </w:rPr>
      </w:pPr>
      <w:r>
        <w:rPr>
          <w:rFonts w:asciiTheme="minorHAnsi" w:hAnsiTheme="minorHAnsi"/>
          <w:b/>
          <w:color w:val="0000FF"/>
          <w:sz w:val="24"/>
        </w:rPr>
        <w:lastRenderedPageBreak/>
        <w:t>Economic outlook for 2013-14 and 2014-15 has not been reassessed since MYEFO</w:t>
      </w:r>
      <w:r w:rsidR="00CC32E5">
        <w:rPr>
          <w:rFonts w:asciiTheme="minorHAnsi" w:hAnsiTheme="minorHAnsi"/>
          <w:b/>
          <w:color w:val="0000FF"/>
          <w:sz w:val="24"/>
        </w:rPr>
        <w:t xml:space="preserve"> except to include actual outcomes</w:t>
      </w:r>
    </w:p>
    <w:p w:rsidR="00FB1D72" w:rsidRDefault="00B1725E" w:rsidP="004D73FC">
      <w:pPr>
        <w:pStyle w:val="Bullet"/>
        <w:numPr>
          <w:ilvl w:val="0"/>
          <w:numId w:val="0"/>
        </w:numPr>
        <w:spacing w:after="200"/>
        <w:rPr>
          <w:rFonts w:asciiTheme="minorHAnsi" w:eastAsiaTheme="minorEastAsia" w:hAnsiTheme="minorHAnsi"/>
          <w:szCs w:val="20"/>
          <w:lang w:eastAsia="ja-JP"/>
        </w:rPr>
      </w:pPr>
      <w:r>
        <w:rPr>
          <w:rFonts w:asciiTheme="minorHAnsi" w:eastAsiaTheme="minorEastAsia" w:hAnsiTheme="minorHAnsi"/>
          <w:szCs w:val="20"/>
          <w:lang w:eastAsia="ja-JP"/>
        </w:rPr>
        <w:t>In MYEFO, the economy was</w:t>
      </w:r>
      <w:r w:rsidR="00FB1D72" w:rsidRPr="00F33530">
        <w:rPr>
          <w:rFonts w:asciiTheme="minorHAnsi" w:eastAsiaTheme="minorEastAsia" w:hAnsiTheme="minorHAnsi"/>
          <w:szCs w:val="20"/>
          <w:lang w:eastAsia="ja-JP"/>
        </w:rPr>
        <w:t xml:space="preserve"> forecast to</w:t>
      </w:r>
      <w:r w:rsidR="00FB1D72">
        <w:rPr>
          <w:rFonts w:asciiTheme="minorHAnsi" w:eastAsiaTheme="minorEastAsia" w:hAnsiTheme="minorHAnsi"/>
          <w:szCs w:val="20"/>
          <w:lang w:eastAsia="ja-JP"/>
        </w:rPr>
        <w:t xml:space="preserve"> grow below trend at</w:t>
      </w:r>
      <w:r w:rsidR="00FB1D72" w:rsidRPr="00F33530">
        <w:rPr>
          <w:rFonts w:asciiTheme="minorHAnsi" w:eastAsiaTheme="minorEastAsia" w:hAnsiTheme="minorHAnsi"/>
          <w:szCs w:val="20"/>
          <w:lang w:eastAsia="ja-JP"/>
        </w:rPr>
        <w:t xml:space="preserve"> 2½</w:t>
      </w:r>
      <w:r w:rsidR="00FB1D72">
        <w:rPr>
          <w:rFonts w:asciiTheme="minorHAnsi" w:eastAsiaTheme="minorEastAsia" w:hAnsiTheme="minorHAnsi"/>
          <w:szCs w:val="20"/>
          <w:lang w:eastAsia="ja-JP"/>
        </w:rPr>
        <w:t> </w:t>
      </w:r>
      <w:r w:rsidR="00FB1D72" w:rsidRPr="00F33530">
        <w:rPr>
          <w:rFonts w:asciiTheme="minorHAnsi" w:eastAsiaTheme="minorEastAsia" w:hAnsiTheme="minorHAnsi"/>
          <w:szCs w:val="20"/>
          <w:lang w:eastAsia="ja-JP"/>
        </w:rPr>
        <w:t>per</w:t>
      </w:r>
      <w:r w:rsidR="00FB1D72">
        <w:rPr>
          <w:rFonts w:asciiTheme="minorHAnsi" w:eastAsiaTheme="minorEastAsia" w:hAnsiTheme="minorHAnsi"/>
          <w:szCs w:val="20"/>
          <w:lang w:eastAsia="ja-JP"/>
        </w:rPr>
        <w:t xml:space="preserve"> </w:t>
      </w:r>
      <w:r w:rsidR="00FB1D72" w:rsidRPr="00F33530">
        <w:rPr>
          <w:rFonts w:asciiTheme="minorHAnsi" w:eastAsiaTheme="minorEastAsia" w:hAnsiTheme="minorHAnsi"/>
          <w:szCs w:val="20"/>
          <w:lang w:eastAsia="ja-JP"/>
        </w:rPr>
        <w:t>cent in</w:t>
      </w:r>
      <w:r w:rsidR="00FB1D72">
        <w:rPr>
          <w:rFonts w:asciiTheme="minorHAnsi" w:eastAsiaTheme="minorEastAsia" w:hAnsiTheme="minorHAnsi"/>
          <w:szCs w:val="20"/>
          <w:lang w:eastAsia="ja-JP"/>
        </w:rPr>
        <w:t xml:space="preserve"> </w:t>
      </w:r>
      <w:r w:rsidR="00DC54B5">
        <w:rPr>
          <w:rFonts w:asciiTheme="minorHAnsi" w:eastAsiaTheme="minorEastAsia" w:hAnsiTheme="minorHAnsi"/>
          <w:szCs w:val="20"/>
          <w:lang w:eastAsia="ja-JP"/>
        </w:rPr>
        <w:t xml:space="preserve">both </w:t>
      </w:r>
      <w:r w:rsidR="00FB1D72" w:rsidRPr="00F33530">
        <w:rPr>
          <w:rFonts w:asciiTheme="minorHAnsi" w:eastAsiaTheme="minorEastAsia" w:hAnsiTheme="minorHAnsi"/>
          <w:szCs w:val="20"/>
          <w:lang w:eastAsia="ja-JP"/>
        </w:rPr>
        <w:t>2013-14</w:t>
      </w:r>
      <w:r w:rsidR="00FB1D72">
        <w:rPr>
          <w:rFonts w:asciiTheme="minorHAnsi" w:eastAsiaTheme="minorEastAsia" w:hAnsiTheme="minorHAnsi"/>
          <w:szCs w:val="20"/>
          <w:lang w:eastAsia="ja-JP"/>
        </w:rPr>
        <w:t xml:space="preserve"> and </w:t>
      </w:r>
      <w:r>
        <w:rPr>
          <w:rFonts w:asciiTheme="minorHAnsi" w:eastAsiaTheme="minorEastAsia" w:hAnsiTheme="minorHAnsi"/>
          <w:szCs w:val="20"/>
          <w:lang w:eastAsia="ja-JP"/>
        </w:rPr>
        <w:br/>
      </w:r>
      <w:r w:rsidR="00FB1D72">
        <w:rPr>
          <w:rFonts w:asciiTheme="minorHAnsi" w:eastAsiaTheme="minorEastAsia" w:hAnsiTheme="minorHAnsi"/>
          <w:szCs w:val="20"/>
          <w:lang w:eastAsia="ja-JP"/>
        </w:rPr>
        <w:t>2014-15</w:t>
      </w:r>
      <w:r w:rsidR="00DC54B5">
        <w:rPr>
          <w:rFonts w:asciiTheme="minorHAnsi" w:eastAsiaTheme="minorEastAsia" w:hAnsiTheme="minorHAnsi"/>
          <w:szCs w:val="20"/>
          <w:lang w:eastAsia="ja-JP"/>
        </w:rPr>
        <w:t>, with</w:t>
      </w:r>
      <w:r w:rsidR="00FB1D72">
        <w:rPr>
          <w:rFonts w:asciiTheme="minorHAnsi" w:eastAsiaTheme="minorEastAsia" w:hAnsiTheme="minorHAnsi"/>
          <w:szCs w:val="20"/>
          <w:lang w:eastAsia="ja-JP"/>
        </w:rPr>
        <w:t xml:space="preserve"> the unemployment rate drift</w:t>
      </w:r>
      <w:r w:rsidR="00DC54B5">
        <w:rPr>
          <w:rFonts w:asciiTheme="minorHAnsi" w:eastAsiaTheme="minorEastAsia" w:hAnsiTheme="minorHAnsi"/>
          <w:szCs w:val="20"/>
          <w:lang w:eastAsia="ja-JP"/>
        </w:rPr>
        <w:t>ing</w:t>
      </w:r>
      <w:r w:rsidR="00FB1D72">
        <w:rPr>
          <w:rFonts w:asciiTheme="minorHAnsi" w:eastAsiaTheme="minorEastAsia" w:hAnsiTheme="minorHAnsi"/>
          <w:szCs w:val="20"/>
          <w:lang w:eastAsia="ja-JP"/>
        </w:rPr>
        <w:t xml:space="preserve"> higher to 6¼</w:t>
      </w:r>
      <w:r>
        <w:rPr>
          <w:rFonts w:asciiTheme="minorHAnsi" w:eastAsiaTheme="minorEastAsia" w:hAnsiTheme="minorHAnsi"/>
          <w:szCs w:val="20"/>
          <w:lang w:eastAsia="ja-JP"/>
        </w:rPr>
        <w:t xml:space="preserve"> </w:t>
      </w:r>
      <w:r w:rsidR="00FB1D72">
        <w:rPr>
          <w:rFonts w:asciiTheme="minorHAnsi" w:eastAsiaTheme="minorEastAsia" w:hAnsiTheme="minorHAnsi"/>
          <w:szCs w:val="20"/>
          <w:lang w:eastAsia="ja-JP"/>
        </w:rPr>
        <w:t>per cent by June 2015</w:t>
      </w:r>
      <w:r w:rsidR="004D73FC">
        <w:rPr>
          <w:rFonts w:asciiTheme="minorHAnsi" w:eastAsiaTheme="minorEastAsia" w:hAnsiTheme="minorHAnsi"/>
          <w:szCs w:val="20"/>
          <w:lang w:eastAsia="ja-JP"/>
        </w:rPr>
        <w:t xml:space="preserve"> (Chart </w:t>
      </w:r>
      <w:r w:rsidR="003D16F3">
        <w:rPr>
          <w:rFonts w:asciiTheme="minorHAnsi" w:eastAsiaTheme="minorEastAsia" w:hAnsiTheme="minorHAnsi"/>
          <w:szCs w:val="20"/>
          <w:lang w:eastAsia="ja-JP"/>
        </w:rPr>
        <w:t>1</w:t>
      </w:r>
      <w:r w:rsidR="004D73FC">
        <w:rPr>
          <w:rFonts w:asciiTheme="minorHAnsi" w:eastAsiaTheme="minorEastAsia" w:hAnsiTheme="minorHAnsi"/>
          <w:szCs w:val="20"/>
          <w:lang w:eastAsia="ja-JP"/>
        </w:rPr>
        <w:t>)</w:t>
      </w:r>
      <w:r w:rsidR="00FB1D72">
        <w:rPr>
          <w:rFonts w:asciiTheme="minorHAnsi" w:eastAsiaTheme="minorEastAsia" w:hAnsiTheme="minorHAnsi"/>
          <w:szCs w:val="20"/>
          <w:lang w:eastAsia="ja-JP"/>
        </w:rPr>
        <w:t xml:space="preserve">. </w:t>
      </w:r>
      <w:r w:rsidR="00CC32E5">
        <w:rPr>
          <w:rFonts w:asciiTheme="minorHAnsi" w:eastAsiaTheme="minorEastAsia" w:hAnsiTheme="minorHAnsi"/>
          <w:szCs w:val="20"/>
          <w:lang w:eastAsia="ja-JP"/>
        </w:rPr>
        <w:t xml:space="preserve">Since MYEFO, the ABS December quarter </w:t>
      </w:r>
      <w:r w:rsidR="001F1878">
        <w:rPr>
          <w:rFonts w:asciiTheme="minorHAnsi" w:eastAsiaTheme="minorEastAsia" w:hAnsiTheme="minorHAnsi"/>
          <w:szCs w:val="20"/>
          <w:lang w:eastAsia="ja-JP"/>
        </w:rPr>
        <w:t>Consumer P</w:t>
      </w:r>
      <w:r w:rsidR="00CC32E5">
        <w:rPr>
          <w:rFonts w:asciiTheme="minorHAnsi" w:eastAsiaTheme="minorEastAsia" w:hAnsiTheme="minorHAnsi"/>
          <w:szCs w:val="20"/>
          <w:lang w:eastAsia="ja-JP"/>
        </w:rPr>
        <w:t>r</w:t>
      </w:r>
      <w:r w:rsidR="001F1878">
        <w:rPr>
          <w:rFonts w:asciiTheme="minorHAnsi" w:eastAsiaTheme="minorEastAsia" w:hAnsiTheme="minorHAnsi"/>
          <w:szCs w:val="20"/>
          <w:lang w:eastAsia="ja-JP"/>
        </w:rPr>
        <w:t>ice Index, January L</w:t>
      </w:r>
      <w:r w:rsidR="00CC32E5">
        <w:rPr>
          <w:rFonts w:asciiTheme="minorHAnsi" w:eastAsiaTheme="minorEastAsia" w:hAnsiTheme="minorHAnsi"/>
          <w:szCs w:val="20"/>
          <w:lang w:eastAsia="ja-JP"/>
        </w:rPr>
        <w:t xml:space="preserve">abour </w:t>
      </w:r>
      <w:r w:rsidR="001F1878">
        <w:rPr>
          <w:rFonts w:asciiTheme="minorHAnsi" w:eastAsiaTheme="minorEastAsia" w:hAnsiTheme="minorHAnsi"/>
          <w:szCs w:val="20"/>
          <w:lang w:eastAsia="ja-JP"/>
        </w:rPr>
        <w:t>F</w:t>
      </w:r>
      <w:r w:rsidR="00CC32E5">
        <w:rPr>
          <w:rFonts w:asciiTheme="minorHAnsi" w:eastAsiaTheme="minorEastAsia" w:hAnsiTheme="minorHAnsi"/>
          <w:szCs w:val="20"/>
          <w:lang w:eastAsia="ja-JP"/>
        </w:rPr>
        <w:t xml:space="preserve">orce and latest ABARES </w:t>
      </w:r>
      <w:r w:rsidR="002D70B7">
        <w:rPr>
          <w:rFonts w:asciiTheme="minorHAnsi" w:eastAsiaTheme="minorEastAsia" w:hAnsiTheme="minorHAnsi"/>
          <w:i/>
          <w:szCs w:val="20"/>
          <w:lang w:eastAsia="ja-JP"/>
        </w:rPr>
        <w:t xml:space="preserve">Agricultural Commodities </w:t>
      </w:r>
      <w:r w:rsidR="00CC32E5">
        <w:rPr>
          <w:rFonts w:asciiTheme="minorHAnsi" w:eastAsiaTheme="minorEastAsia" w:hAnsiTheme="minorHAnsi"/>
          <w:szCs w:val="20"/>
          <w:lang w:eastAsia="ja-JP"/>
        </w:rPr>
        <w:t xml:space="preserve">and BREE </w:t>
      </w:r>
      <w:r w:rsidR="001F1878" w:rsidRPr="001F1878">
        <w:rPr>
          <w:rFonts w:asciiTheme="minorHAnsi" w:eastAsiaTheme="minorEastAsia" w:hAnsiTheme="minorHAnsi"/>
          <w:i/>
          <w:szCs w:val="20"/>
          <w:lang w:eastAsia="ja-JP"/>
        </w:rPr>
        <w:t>Resources and Energy Quarterly</w:t>
      </w:r>
      <w:r w:rsidR="001F1878">
        <w:rPr>
          <w:rFonts w:asciiTheme="minorHAnsi" w:eastAsiaTheme="minorEastAsia" w:hAnsiTheme="minorHAnsi"/>
          <w:szCs w:val="20"/>
          <w:lang w:eastAsia="ja-JP"/>
        </w:rPr>
        <w:t xml:space="preserve"> </w:t>
      </w:r>
      <w:r w:rsidR="00CC32E5">
        <w:rPr>
          <w:rFonts w:asciiTheme="minorHAnsi" w:eastAsiaTheme="minorEastAsia" w:hAnsiTheme="minorHAnsi"/>
          <w:szCs w:val="20"/>
          <w:lang w:eastAsia="ja-JP"/>
        </w:rPr>
        <w:t>have been incorporated into the forecasts.</w:t>
      </w:r>
    </w:p>
    <w:p w:rsidR="004D73FC" w:rsidRPr="00587BCC" w:rsidRDefault="004D73FC" w:rsidP="004D73FC">
      <w:pPr>
        <w:keepNext/>
        <w:spacing w:after="0"/>
        <w:jc w:val="center"/>
        <w:rPr>
          <w:rFonts w:asciiTheme="minorHAnsi" w:hAnsiTheme="minorHAnsi"/>
          <w:b/>
        </w:rPr>
      </w:pPr>
      <w:r w:rsidRPr="00587BCC">
        <w:rPr>
          <w:rFonts w:asciiTheme="minorHAnsi" w:hAnsiTheme="minorHAnsi"/>
          <w:b/>
        </w:rPr>
        <w:t xml:space="preserve">Chart </w:t>
      </w:r>
      <w:r w:rsidR="003D16F3">
        <w:rPr>
          <w:rFonts w:asciiTheme="minorHAnsi" w:hAnsiTheme="minorHAnsi"/>
          <w:b/>
        </w:rPr>
        <w:t>1</w:t>
      </w:r>
      <w:r w:rsidRPr="00587BCC">
        <w:rPr>
          <w:rFonts w:asciiTheme="minorHAnsi" w:hAnsiTheme="minorHAnsi"/>
          <w:b/>
        </w:rPr>
        <w:t>: Real GDP forecasts</w:t>
      </w:r>
    </w:p>
    <w:p w:rsidR="00DC54B5" w:rsidRDefault="00AE2424" w:rsidP="00DC54B5">
      <w:pPr>
        <w:pStyle w:val="ChartGraphic0"/>
        <w:jc w:val="left"/>
        <w:rPr>
          <w:rFonts w:asciiTheme="minorHAnsi" w:hAnsiTheme="minorHAnsi"/>
          <w:color w:val="auto"/>
          <w:kern w:val="2"/>
          <w:sz w:val="16"/>
        </w:rPr>
      </w:pPr>
      <w:r>
        <w:rPr>
          <w:rFonts w:asciiTheme="minorHAnsi" w:hAnsiTheme="minorHAnsi"/>
        </w:rPr>
        <w:object w:dxaOrig="4516" w:dyaOrig="4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225.75pt" o:ole="">
            <v:imagedata r:id="rId22" o:title=""/>
          </v:shape>
          <o:OLEObject Type="Link" ProgID="Excel.Sheet.12" ShapeID="_x0000_i1025" DrawAspect="Content" r:id="rId23" UpdateMode="Always">
            <o:LinkType>EnhancedMetaFile</o:LinkType>
            <o:LockedField>false</o:LockedField>
          </o:OLEObject>
        </w:object>
      </w:r>
      <w:r w:rsidR="00DC54B5">
        <w:rPr>
          <w:rFonts w:asciiTheme="minorHAnsi" w:hAnsiTheme="minorHAnsi"/>
          <w:color w:val="auto"/>
          <w:kern w:val="2"/>
          <w:sz w:val="16"/>
        </w:rPr>
        <w:t>Note: At MYEFO, 2015-16 was a projection year based on medium term trends</w:t>
      </w:r>
      <w:r w:rsidR="002E6624">
        <w:rPr>
          <w:rFonts w:asciiTheme="minorHAnsi" w:hAnsiTheme="minorHAnsi"/>
          <w:color w:val="auto"/>
          <w:kern w:val="2"/>
          <w:sz w:val="16"/>
        </w:rPr>
        <w:t>.</w:t>
      </w:r>
    </w:p>
    <w:p w:rsidR="00DC54B5" w:rsidRPr="004D73FC" w:rsidRDefault="00DC54B5" w:rsidP="00DC54B5">
      <w:pPr>
        <w:pStyle w:val="ChartGraphic0"/>
        <w:spacing w:after="240"/>
        <w:jc w:val="left"/>
        <w:rPr>
          <w:rFonts w:asciiTheme="minorHAnsi" w:hAnsiTheme="minorHAnsi"/>
          <w:color w:val="auto"/>
          <w:kern w:val="2"/>
          <w:sz w:val="16"/>
        </w:rPr>
      </w:pPr>
      <w:r>
        <w:rPr>
          <w:rFonts w:asciiTheme="minorHAnsi" w:hAnsiTheme="minorHAnsi"/>
          <w:color w:val="auto"/>
          <w:kern w:val="2"/>
          <w:sz w:val="16"/>
        </w:rPr>
        <w:t>S</w:t>
      </w:r>
      <w:r w:rsidRPr="00587BCC">
        <w:rPr>
          <w:rFonts w:asciiTheme="minorHAnsi" w:hAnsiTheme="minorHAnsi"/>
          <w:color w:val="auto"/>
          <w:kern w:val="2"/>
          <w:sz w:val="16"/>
        </w:rPr>
        <w:t xml:space="preserve">ource:  ABS cat. </w:t>
      </w:r>
      <w:proofErr w:type="gramStart"/>
      <w:r w:rsidRPr="00587BCC">
        <w:rPr>
          <w:rFonts w:asciiTheme="minorHAnsi" w:hAnsiTheme="minorHAnsi"/>
          <w:color w:val="auto"/>
          <w:kern w:val="2"/>
          <w:sz w:val="16"/>
        </w:rPr>
        <w:t>no</w:t>
      </w:r>
      <w:proofErr w:type="gramEnd"/>
      <w:r w:rsidRPr="00587BCC">
        <w:rPr>
          <w:rFonts w:asciiTheme="minorHAnsi" w:hAnsiTheme="minorHAnsi"/>
          <w:color w:val="auto"/>
          <w:kern w:val="2"/>
          <w:sz w:val="16"/>
        </w:rPr>
        <w:t>. 5206.0 and Treasury.</w:t>
      </w:r>
    </w:p>
    <w:p w:rsidR="002E6753" w:rsidRDefault="001049CB" w:rsidP="004D73FC">
      <w:pPr>
        <w:pStyle w:val="Bullet"/>
        <w:numPr>
          <w:ilvl w:val="0"/>
          <w:numId w:val="0"/>
        </w:numPr>
        <w:spacing w:after="200" w:line="240" w:lineRule="auto"/>
        <w:rPr>
          <w:rFonts w:asciiTheme="minorHAnsi" w:hAnsiTheme="minorHAnsi"/>
          <w:b/>
          <w:color w:val="0000FF"/>
          <w:sz w:val="24"/>
        </w:rPr>
      </w:pPr>
      <w:r>
        <w:rPr>
          <w:rFonts w:asciiTheme="minorHAnsi" w:hAnsiTheme="minorHAnsi"/>
          <w:b/>
          <w:color w:val="0000FF"/>
          <w:sz w:val="24"/>
        </w:rPr>
        <w:t>E</w:t>
      </w:r>
      <w:r w:rsidR="002E6753">
        <w:rPr>
          <w:rFonts w:asciiTheme="minorHAnsi" w:hAnsiTheme="minorHAnsi"/>
          <w:b/>
          <w:color w:val="0000FF"/>
          <w:sz w:val="24"/>
        </w:rPr>
        <w:t xml:space="preserve">conomic </w:t>
      </w:r>
      <w:r w:rsidR="007D1A0B">
        <w:rPr>
          <w:rFonts w:asciiTheme="minorHAnsi" w:hAnsiTheme="minorHAnsi"/>
          <w:b/>
          <w:color w:val="0000FF"/>
          <w:sz w:val="24"/>
        </w:rPr>
        <w:t>developments</w:t>
      </w:r>
      <w:r w:rsidR="002E6753">
        <w:rPr>
          <w:rFonts w:asciiTheme="minorHAnsi" w:hAnsiTheme="minorHAnsi"/>
          <w:b/>
          <w:color w:val="0000FF"/>
          <w:sz w:val="24"/>
        </w:rPr>
        <w:t xml:space="preserve"> since MYEFO ha</w:t>
      </w:r>
      <w:r w:rsidR="007D1A0B">
        <w:rPr>
          <w:rFonts w:asciiTheme="minorHAnsi" w:hAnsiTheme="minorHAnsi"/>
          <w:b/>
          <w:color w:val="0000FF"/>
          <w:sz w:val="24"/>
        </w:rPr>
        <w:t>ve</w:t>
      </w:r>
      <w:r w:rsidR="002E6753">
        <w:rPr>
          <w:rFonts w:asciiTheme="minorHAnsi" w:hAnsiTheme="minorHAnsi"/>
          <w:b/>
          <w:color w:val="0000FF"/>
          <w:sz w:val="24"/>
        </w:rPr>
        <w:t xml:space="preserve"> been mixed</w:t>
      </w:r>
    </w:p>
    <w:p w:rsidR="006E4FD6" w:rsidRDefault="00BB3833" w:rsidP="004D73FC">
      <w:pPr>
        <w:pStyle w:val="Bullet"/>
        <w:numPr>
          <w:ilvl w:val="0"/>
          <w:numId w:val="0"/>
        </w:numPr>
        <w:spacing w:after="200"/>
        <w:rPr>
          <w:rFonts w:asciiTheme="minorHAnsi" w:eastAsiaTheme="minorEastAsia" w:hAnsiTheme="minorHAnsi"/>
          <w:szCs w:val="20"/>
          <w:lang w:eastAsia="ja-JP"/>
        </w:rPr>
      </w:pPr>
      <w:r>
        <w:rPr>
          <w:rFonts w:asciiTheme="minorHAnsi" w:eastAsiaTheme="minorEastAsia" w:hAnsiTheme="minorHAnsi"/>
          <w:szCs w:val="20"/>
          <w:lang w:eastAsia="ja-JP"/>
        </w:rPr>
        <w:t>E</w:t>
      </w:r>
      <w:r w:rsidR="006E4FD6">
        <w:rPr>
          <w:rFonts w:asciiTheme="minorHAnsi" w:eastAsiaTheme="minorEastAsia" w:hAnsiTheme="minorHAnsi"/>
          <w:szCs w:val="20"/>
          <w:lang w:eastAsia="ja-JP"/>
        </w:rPr>
        <w:t>conomic data</w:t>
      </w:r>
      <w:r w:rsidR="007D1A0B">
        <w:rPr>
          <w:rFonts w:asciiTheme="minorHAnsi" w:eastAsiaTheme="minorEastAsia" w:hAnsiTheme="minorHAnsi"/>
          <w:szCs w:val="20"/>
          <w:lang w:eastAsia="ja-JP"/>
        </w:rPr>
        <w:t xml:space="preserve"> releases</w:t>
      </w:r>
      <w:r w:rsidR="006E4FD6">
        <w:rPr>
          <w:rFonts w:asciiTheme="minorHAnsi" w:eastAsiaTheme="minorEastAsia" w:hAnsiTheme="minorHAnsi"/>
          <w:szCs w:val="20"/>
          <w:lang w:eastAsia="ja-JP"/>
        </w:rPr>
        <w:t xml:space="preserve"> since MYEFO</w:t>
      </w:r>
      <w:r w:rsidR="007D1A0B">
        <w:rPr>
          <w:rFonts w:asciiTheme="minorHAnsi" w:eastAsiaTheme="minorEastAsia" w:hAnsiTheme="minorHAnsi"/>
          <w:szCs w:val="20"/>
          <w:lang w:eastAsia="ja-JP"/>
        </w:rPr>
        <w:t xml:space="preserve"> </w:t>
      </w:r>
      <w:r w:rsidR="001049CB">
        <w:rPr>
          <w:rFonts w:asciiTheme="minorHAnsi" w:eastAsiaTheme="minorEastAsia" w:hAnsiTheme="minorHAnsi"/>
          <w:szCs w:val="20"/>
          <w:lang w:eastAsia="ja-JP"/>
        </w:rPr>
        <w:t>have</w:t>
      </w:r>
      <w:r w:rsidR="007D1A0B">
        <w:rPr>
          <w:rFonts w:asciiTheme="minorHAnsi" w:eastAsiaTheme="minorEastAsia" w:hAnsiTheme="minorHAnsi"/>
          <w:szCs w:val="20"/>
          <w:lang w:eastAsia="ja-JP"/>
        </w:rPr>
        <w:t xml:space="preserve"> provided </w:t>
      </w:r>
      <w:r w:rsidR="0089212C">
        <w:rPr>
          <w:rFonts w:asciiTheme="minorHAnsi" w:eastAsiaTheme="minorEastAsia" w:hAnsiTheme="minorHAnsi"/>
          <w:szCs w:val="20"/>
          <w:lang w:eastAsia="ja-JP"/>
        </w:rPr>
        <w:t xml:space="preserve">a </w:t>
      </w:r>
      <w:r w:rsidR="007D1A0B">
        <w:rPr>
          <w:rFonts w:asciiTheme="minorHAnsi" w:eastAsiaTheme="minorEastAsia" w:hAnsiTheme="minorHAnsi"/>
          <w:szCs w:val="20"/>
          <w:lang w:eastAsia="ja-JP"/>
        </w:rPr>
        <w:t xml:space="preserve">mixed </w:t>
      </w:r>
      <w:r w:rsidR="0089212C">
        <w:rPr>
          <w:rFonts w:asciiTheme="minorHAnsi" w:eastAsiaTheme="minorEastAsia" w:hAnsiTheme="minorHAnsi"/>
          <w:szCs w:val="20"/>
          <w:lang w:eastAsia="ja-JP"/>
        </w:rPr>
        <w:t>picture</w:t>
      </w:r>
      <w:r w:rsidR="007D1A0B">
        <w:rPr>
          <w:rFonts w:asciiTheme="minorHAnsi" w:eastAsiaTheme="minorEastAsia" w:hAnsiTheme="minorHAnsi"/>
          <w:szCs w:val="20"/>
          <w:lang w:eastAsia="ja-JP"/>
        </w:rPr>
        <w:t xml:space="preserve"> about</w:t>
      </w:r>
      <w:r w:rsidR="006E4FD6">
        <w:rPr>
          <w:rFonts w:asciiTheme="minorHAnsi" w:eastAsiaTheme="minorEastAsia" w:hAnsiTheme="minorHAnsi"/>
          <w:szCs w:val="20"/>
          <w:lang w:eastAsia="ja-JP"/>
        </w:rPr>
        <w:t xml:space="preserve"> how th</w:t>
      </w:r>
      <w:r>
        <w:rPr>
          <w:rFonts w:asciiTheme="minorHAnsi" w:eastAsiaTheme="minorEastAsia" w:hAnsiTheme="minorHAnsi"/>
          <w:szCs w:val="20"/>
          <w:lang w:eastAsia="ja-JP"/>
        </w:rPr>
        <w:t>e</w:t>
      </w:r>
      <w:r w:rsidR="006E4FD6">
        <w:rPr>
          <w:rFonts w:asciiTheme="minorHAnsi" w:eastAsiaTheme="minorEastAsia" w:hAnsiTheme="minorHAnsi"/>
          <w:szCs w:val="20"/>
          <w:lang w:eastAsia="ja-JP"/>
        </w:rPr>
        <w:t xml:space="preserve"> transition</w:t>
      </w:r>
      <w:r>
        <w:rPr>
          <w:rFonts w:asciiTheme="minorHAnsi" w:eastAsiaTheme="minorEastAsia" w:hAnsiTheme="minorHAnsi"/>
          <w:szCs w:val="20"/>
          <w:lang w:eastAsia="ja-JP"/>
        </w:rPr>
        <w:t xml:space="preserve"> to </w:t>
      </w:r>
      <w:r w:rsidR="00CD3D09">
        <w:rPr>
          <w:rFonts w:asciiTheme="minorHAnsi" w:eastAsiaTheme="minorEastAsia" w:hAnsiTheme="minorHAnsi"/>
          <w:szCs w:val="20"/>
          <w:lang w:eastAsia="ja-JP"/>
        </w:rPr>
        <w:br/>
      </w:r>
      <w:r>
        <w:rPr>
          <w:rFonts w:asciiTheme="minorHAnsi" w:eastAsiaTheme="minorEastAsia" w:hAnsiTheme="minorHAnsi"/>
          <w:szCs w:val="20"/>
          <w:lang w:eastAsia="ja-JP"/>
        </w:rPr>
        <w:t>non-resources drivers of growth has been</w:t>
      </w:r>
      <w:r w:rsidR="006E4FD6">
        <w:rPr>
          <w:rFonts w:asciiTheme="minorHAnsi" w:eastAsiaTheme="minorEastAsia" w:hAnsiTheme="minorHAnsi"/>
          <w:szCs w:val="20"/>
          <w:lang w:eastAsia="ja-JP"/>
        </w:rPr>
        <w:t xml:space="preserve"> unfolding. </w:t>
      </w:r>
    </w:p>
    <w:p w:rsidR="0089212C" w:rsidRDefault="0089212C" w:rsidP="004D73FC">
      <w:pPr>
        <w:pStyle w:val="Bullet"/>
        <w:numPr>
          <w:ilvl w:val="0"/>
          <w:numId w:val="0"/>
        </w:numPr>
        <w:spacing w:after="200"/>
        <w:rPr>
          <w:rFonts w:asciiTheme="minorHAnsi" w:eastAsiaTheme="minorEastAsia" w:hAnsiTheme="minorHAnsi"/>
          <w:szCs w:val="20"/>
          <w:lang w:eastAsia="ja-JP"/>
        </w:rPr>
      </w:pPr>
      <w:r>
        <w:rPr>
          <w:rFonts w:asciiTheme="minorHAnsi" w:eastAsiaTheme="minorEastAsia" w:hAnsiTheme="minorHAnsi"/>
          <w:szCs w:val="20"/>
          <w:lang w:eastAsia="ja-JP"/>
        </w:rPr>
        <w:t xml:space="preserve">Survey measures of business </w:t>
      </w:r>
      <w:r w:rsidR="00096463">
        <w:rPr>
          <w:rFonts w:asciiTheme="minorHAnsi" w:eastAsiaTheme="minorEastAsia" w:hAnsiTheme="minorHAnsi"/>
          <w:szCs w:val="20"/>
          <w:lang w:eastAsia="ja-JP"/>
        </w:rPr>
        <w:t xml:space="preserve">conditions and </w:t>
      </w:r>
      <w:r>
        <w:rPr>
          <w:rFonts w:asciiTheme="minorHAnsi" w:eastAsiaTheme="minorEastAsia" w:hAnsiTheme="minorHAnsi"/>
          <w:szCs w:val="20"/>
          <w:lang w:eastAsia="ja-JP"/>
        </w:rPr>
        <w:t xml:space="preserve">confidence have improved and buoyant conditions in the </w:t>
      </w:r>
      <w:r w:rsidR="00090497">
        <w:rPr>
          <w:rFonts w:asciiTheme="minorHAnsi" w:eastAsiaTheme="minorEastAsia" w:hAnsiTheme="minorHAnsi"/>
          <w:szCs w:val="20"/>
          <w:lang w:eastAsia="ja-JP"/>
        </w:rPr>
        <w:t xml:space="preserve">established </w:t>
      </w:r>
      <w:r>
        <w:rPr>
          <w:rFonts w:asciiTheme="minorHAnsi" w:eastAsiaTheme="minorEastAsia" w:hAnsiTheme="minorHAnsi"/>
          <w:szCs w:val="20"/>
          <w:lang w:eastAsia="ja-JP"/>
        </w:rPr>
        <w:t xml:space="preserve">housing </w:t>
      </w:r>
      <w:r w:rsidR="00EE3801">
        <w:rPr>
          <w:rFonts w:asciiTheme="minorHAnsi" w:eastAsiaTheme="minorEastAsia" w:hAnsiTheme="minorHAnsi"/>
          <w:szCs w:val="20"/>
          <w:lang w:eastAsia="ja-JP"/>
        </w:rPr>
        <w:t>market have continued into the New Year</w:t>
      </w:r>
      <w:r>
        <w:rPr>
          <w:rFonts w:asciiTheme="minorHAnsi" w:eastAsiaTheme="minorEastAsia" w:hAnsiTheme="minorHAnsi"/>
          <w:szCs w:val="20"/>
          <w:lang w:eastAsia="ja-JP"/>
        </w:rPr>
        <w:t xml:space="preserve">. Retail sales in the </w:t>
      </w:r>
      <w:r w:rsidR="000B2B48">
        <w:rPr>
          <w:rFonts w:asciiTheme="minorHAnsi" w:eastAsiaTheme="minorEastAsia" w:hAnsiTheme="minorHAnsi"/>
          <w:szCs w:val="20"/>
          <w:lang w:eastAsia="ja-JP"/>
        </w:rPr>
        <w:t>lead up to Christmas</w:t>
      </w:r>
      <w:r>
        <w:rPr>
          <w:rFonts w:asciiTheme="minorHAnsi" w:eastAsiaTheme="minorEastAsia" w:hAnsiTheme="minorHAnsi"/>
          <w:szCs w:val="20"/>
          <w:lang w:eastAsia="ja-JP"/>
        </w:rPr>
        <w:t xml:space="preserve"> also appear to have been solid, with feedback from business liaison </w:t>
      </w:r>
      <w:r w:rsidR="00E620B1">
        <w:rPr>
          <w:rFonts w:asciiTheme="minorHAnsi" w:eastAsiaTheme="minorEastAsia" w:hAnsiTheme="minorHAnsi"/>
          <w:szCs w:val="20"/>
          <w:lang w:eastAsia="ja-JP"/>
        </w:rPr>
        <w:t xml:space="preserve">mixed as to whether </w:t>
      </w:r>
      <w:r>
        <w:rPr>
          <w:rFonts w:asciiTheme="minorHAnsi" w:eastAsiaTheme="minorEastAsia" w:hAnsiTheme="minorHAnsi"/>
          <w:szCs w:val="20"/>
          <w:lang w:eastAsia="ja-JP"/>
        </w:rPr>
        <w:t>this</w:t>
      </w:r>
      <w:r w:rsidR="00EA7F20">
        <w:rPr>
          <w:rFonts w:asciiTheme="minorHAnsi" w:eastAsiaTheme="minorEastAsia" w:hAnsiTheme="minorHAnsi"/>
          <w:szCs w:val="20"/>
          <w:lang w:eastAsia="ja-JP"/>
        </w:rPr>
        <w:t xml:space="preserve"> </w:t>
      </w:r>
      <w:r w:rsidR="00EA7F20" w:rsidRPr="00CB658D">
        <w:rPr>
          <w:rFonts w:asciiTheme="minorHAnsi" w:eastAsiaTheme="minorEastAsia" w:hAnsiTheme="minorHAnsi"/>
          <w:szCs w:val="20"/>
          <w:lang w:eastAsia="ja-JP"/>
        </w:rPr>
        <w:t>strength</w:t>
      </w:r>
      <w:r w:rsidR="002E6624">
        <w:rPr>
          <w:rFonts w:asciiTheme="minorHAnsi" w:eastAsiaTheme="minorEastAsia" w:hAnsiTheme="minorHAnsi"/>
          <w:szCs w:val="20"/>
          <w:lang w:eastAsia="ja-JP"/>
        </w:rPr>
        <w:t xml:space="preserve"> </w:t>
      </w:r>
      <w:r w:rsidRPr="00CB658D">
        <w:rPr>
          <w:rFonts w:asciiTheme="minorHAnsi" w:eastAsiaTheme="minorEastAsia" w:hAnsiTheme="minorHAnsi"/>
          <w:szCs w:val="20"/>
          <w:lang w:eastAsia="ja-JP"/>
        </w:rPr>
        <w:t xml:space="preserve">continued into </w:t>
      </w:r>
      <w:r w:rsidR="00E620B1">
        <w:rPr>
          <w:rFonts w:asciiTheme="minorHAnsi" w:eastAsiaTheme="minorEastAsia" w:hAnsiTheme="minorHAnsi"/>
          <w:szCs w:val="20"/>
          <w:lang w:eastAsia="ja-JP"/>
        </w:rPr>
        <w:t>2014</w:t>
      </w:r>
      <w:r>
        <w:rPr>
          <w:rFonts w:asciiTheme="minorHAnsi" w:eastAsiaTheme="minorEastAsia" w:hAnsiTheme="minorHAnsi"/>
          <w:szCs w:val="20"/>
          <w:lang w:eastAsia="ja-JP"/>
        </w:rPr>
        <w:t xml:space="preserve">. </w:t>
      </w:r>
    </w:p>
    <w:p w:rsidR="00090497" w:rsidRDefault="009069BA" w:rsidP="004D73FC">
      <w:pPr>
        <w:pStyle w:val="Bullet"/>
        <w:numPr>
          <w:ilvl w:val="0"/>
          <w:numId w:val="0"/>
        </w:numPr>
        <w:spacing w:after="200"/>
        <w:rPr>
          <w:rFonts w:asciiTheme="minorHAnsi" w:eastAsiaTheme="minorEastAsia" w:hAnsiTheme="minorHAnsi"/>
          <w:szCs w:val="20"/>
          <w:lang w:eastAsia="ja-JP"/>
        </w:rPr>
      </w:pPr>
      <w:r>
        <w:rPr>
          <w:rFonts w:asciiTheme="minorHAnsi" w:eastAsiaTheme="minorEastAsia" w:hAnsiTheme="minorHAnsi"/>
          <w:szCs w:val="20"/>
          <w:lang w:eastAsia="ja-JP"/>
        </w:rPr>
        <w:lastRenderedPageBreak/>
        <w:t>Offsetting this, labour market</w:t>
      </w:r>
      <w:r w:rsidR="00090497">
        <w:rPr>
          <w:rFonts w:asciiTheme="minorHAnsi" w:eastAsiaTheme="minorEastAsia" w:hAnsiTheme="minorHAnsi"/>
          <w:szCs w:val="20"/>
          <w:lang w:eastAsia="ja-JP"/>
        </w:rPr>
        <w:t xml:space="preserve"> outcomes have </w:t>
      </w:r>
      <w:r w:rsidR="002815F3">
        <w:rPr>
          <w:rFonts w:asciiTheme="minorHAnsi" w:eastAsiaTheme="minorEastAsia" w:hAnsiTheme="minorHAnsi"/>
          <w:szCs w:val="20"/>
          <w:lang w:eastAsia="ja-JP"/>
        </w:rPr>
        <w:t>remained</w:t>
      </w:r>
      <w:r w:rsidR="00D46226">
        <w:rPr>
          <w:rFonts w:asciiTheme="minorHAnsi" w:eastAsiaTheme="minorEastAsia" w:hAnsiTheme="minorHAnsi"/>
          <w:szCs w:val="20"/>
          <w:lang w:eastAsia="ja-JP"/>
        </w:rPr>
        <w:t xml:space="preserve"> </w:t>
      </w:r>
      <w:r w:rsidR="00090497">
        <w:rPr>
          <w:rFonts w:asciiTheme="minorHAnsi" w:eastAsiaTheme="minorEastAsia" w:hAnsiTheme="minorHAnsi"/>
          <w:szCs w:val="20"/>
          <w:lang w:eastAsia="ja-JP"/>
        </w:rPr>
        <w:t>weak</w:t>
      </w:r>
      <w:r>
        <w:rPr>
          <w:rFonts w:asciiTheme="minorHAnsi" w:eastAsiaTheme="minorEastAsia" w:hAnsiTheme="minorHAnsi"/>
          <w:szCs w:val="20"/>
          <w:lang w:eastAsia="ja-JP"/>
        </w:rPr>
        <w:t xml:space="preserve"> </w:t>
      </w:r>
      <w:r w:rsidR="00B1725E">
        <w:rPr>
          <w:rFonts w:asciiTheme="minorHAnsi" w:eastAsiaTheme="minorEastAsia" w:hAnsiTheme="minorHAnsi"/>
          <w:szCs w:val="20"/>
          <w:lang w:eastAsia="ja-JP"/>
        </w:rPr>
        <w:t xml:space="preserve">and the unemployment rate, at </w:t>
      </w:r>
      <w:r w:rsidR="00621221">
        <w:rPr>
          <w:rFonts w:asciiTheme="minorHAnsi" w:eastAsiaTheme="minorEastAsia" w:hAnsiTheme="minorHAnsi"/>
          <w:szCs w:val="20"/>
          <w:lang w:eastAsia="ja-JP"/>
        </w:rPr>
        <w:br/>
      </w:r>
      <w:r w:rsidR="00B1725E">
        <w:rPr>
          <w:rFonts w:asciiTheme="minorHAnsi" w:eastAsiaTheme="minorEastAsia" w:hAnsiTheme="minorHAnsi"/>
          <w:szCs w:val="20"/>
          <w:lang w:eastAsia="ja-JP"/>
        </w:rPr>
        <w:t>6.0</w:t>
      </w:r>
      <w:r w:rsidR="00621221">
        <w:rPr>
          <w:rFonts w:asciiTheme="minorHAnsi" w:eastAsiaTheme="minorEastAsia" w:hAnsiTheme="minorHAnsi"/>
          <w:szCs w:val="20"/>
          <w:lang w:eastAsia="ja-JP"/>
        </w:rPr>
        <w:t xml:space="preserve"> </w:t>
      </w:r>
      <w:r w:rsidR="00B1725E">
        <w:rPr>
          <w:rFonts w:asciiTheme="minorHAnsi" w:eastAsiaTheme="minorEastAsia" w:hAnsiTheme="minorHAnsi"/>
          <w:szCs w:val="20"/>
          <w:lang w:eastAsia="ja-JP"/>
        </w:rPr>
        <w:t>per</w:t>
      </w:r>
      <w:r w:rsidR="00621221">
        <w:rPr>
          <w:rFonts w:asciiTheme="minorHAnsi" w:eastAsiaTheme="minorEastAsia" w:hAnsiTheme="minorHAnsi"/>
          <w:szCs w:val="20"/>
          <w:lang w:eastAsia="ja-JP"/>
        </w:rPr>
        <w:t xml:space="preserve"> </w:t>
      </w:r>
      <w:r w:rsidR="00B1725E">
        <w:rPr>
          <w:rFonts w:asciiTheme="minorHAnsi" w:eastAsiaTheme="minorEastAsia" w:hAnsiTheme="minorHAnsi"/>
          <w:szCs w:val="20"/>
          <w:lang w:eastAsia="ja-JP"/>
        </w:rPr>
        <w:t>cent</w:t>
      </w:r>
      <w:r w:rsidR="00EE3801">
        <w:rPr>
          <w:rFonts w:asciiTheme="minorHAnsi" w:eastAsiaTheme="minorEastAsia" w:hAnsiTheme="minorHAnsi"/>
          <w:szCs w:val="20"/>
          <w:lang w:eastAsia="ja-JP"/>
        </w:rPr>
        <w:t xml:space="preserve"> in January</w:t>
      </w:r>
      <w:r w:rsidR="00B1725E">
        <w:rPr>
          <w:rFonts w:asciiTheme="minorHAnsi" w:eastAsiaTheme="minorEastAsia" w:hAnsiTheme="minorHAnsi"/>
          <w:szCs w:val="20"/>
          <w:lang w:eastAsia="ja-JP"/>
        </w:rPr>
        <w:t xml:space="preserve">, has risen to its highest level </w:t>
      </w:r>
      <w:r w:rsidR="001049CB">
        <w:rPr>
          <w:rFonts w:asciiTheme="minorHAnsi" w:eastAsiaTheme="minorEastAsia" w:hAnsiTheme="minorHAnsi"/>
          <w:szCs w:val="20"/>
          <w:lang w:eastAsia="ja-JP"/>
        </w:rPr>
        <w:t>in over a decade</w:t>
      </w:r>
      <w:r w:rsidR="00B1725E">
        <w:rPr>
          <w:rFonts w:asciiTheme="minorHAnsi" w:eastAsiaTheme="minorEastAsia" w:hAnsiTheme="minorHAnsi"/>
          <w:szCs w:val="20"/>
          <w:lang w:eastAsia="ja-JP"/>
        </w:rPr>
        <w:t xml:space="preserve">. </w:t>
      </w:r>
      <w:r w:rsidR="00EE3801">
        <w:rPr>
          <w:rFonts w:asciiTheme="minorHAnsi" w:eastAsiaTheme="minorEastAsia" w:hAnsiTheme="minorHAnsi"/>
          <w:szCs w:val="20"/>
          <w:lang w:eastAsia="ja-JP"/>
        </w:rPr>
        <w:t xml:space="preserve">Wage growth in the December quarter also slowed to its </w:t>
      </w:r>
      <w:r w:rsidR="00EB5B8B">
        <w:rPr>
          <w:rFonts w:asciiTheme="minorHAnsi" w:eastAsiaTheme="minorEastAsia" w:hAnsiTheme="minorHAnsi"/>
          <w:szCs w:val="20"/>
          <w:lang w:eastAsia="ja-JP"/>
        </w:rPr>
        <w:t xml:space="preserve">lowest </w:t>
      </w:r>
      <w:r w:rsidR="00EE3801">
        <w:rPr>
          <w:rFonts w:asciiTheme="minorHAnsi" w:eastAsiaTheme="minorEastAsia" w:hAnsiTheme="minorHAnsi"/>
          <w:szCs w:val="20"/>
          <w:lang w:eastAsia="ja-JP"/>
        </w:rPr>
        <w:t xml:space="preserve">rate since the late 1990s. </w:t>
      </w:r>
      <w:r w:rsidR="00B1725E">
        <w:rPr>
          <w:rFonts w:asciiTheme="minorHAnsi" w:eastAsiaTheme="minorEastAsia" w:hAnsiTheme="minorHAnsi"/>
          <w:szCs w:val="20"/>
          <w:lang w:eastAsia="ja-JP"/>
        </w:rPr>
        <w:t>The weakness in the labour market is clearly weighing on consumer confidence</w:t>
      </w:r>
      <w:r w:rsidR="001E2A5E">
        <w:rPr>
          <w:rFonts w:asciiTheme="minorHAnsi" w:eastAsiaTheme="minorEastAsia" w:hAnsiTheme="minorHAnsi"/>
          <w:szCs w:val="20"/>
          <w:lang w:eastAsia="ja-JP"/>
        </w:rPr>
        <w:t>,</w:t>
      </w:r>
      <w:r w:rsidR="00B1725E">
        <w:rPr>
          <w:rFonts w:asciiTheme="minorHAnsi" w:eastAsiaTheme="minorEastAsia" w:hAnsiTheme="minorHAnsi"/>
          <w:szCs w:val="20"/>
          <w:lang w:eastAsia="ja-JP"/>
        </w:rPr>
        <w:t xml:space="preserve"> which </w:t>
      </w:r>
      <w:r w:rsidR="001E2A5E">
        <w:rPr>
          <w:rFonts w:asciiTheme="minorHAnsi" w:eastAsiaTheme="minorEastAsia" w:hAnsiTheme="minorHAnsi"/>
          <w:szCs w:val="20"/>
          <w:lang w:eastAsia="ja-JP"/>
        </w:rPr>
        <w:t>is back below historical averages</w:t>
      </w:r>
      <w:r w:rsidR="00B1725E">
        <w:rPr>
          <w:rFonts w:asciiTheme="minorHAnsi" w:eastAsiaTheme="minorEastAsia" w:hAnsiTheme="minorHAnsi"/>
          <w:szCs w:val="20"/>
          <w:lang w:eastAsia="ja-JP"/>
        </w:rPr>
        <w:t>. This raises doubts around whether household expenditure will continue to gather</w:t>
      </w:r>
      <w:r w:rsidR="001E2A5E">
        <w:rPr>
          <w:rFonts w:asciiTheme="minorHAnsi" w:eastAsiaTheme="minorEastAsia" w:hAnsiTheme="minorHAnsi"/>
          <w:szCs w:val="20"/>
          <w:lang w:eastAsia="ja-JP"/>
        </w:rPr>
        <w:t xml:space="preserve"> the necessary</w:t>
      </w:r>
      <w:r w:rsidR="00B1725E">
        <w:rPr>
          <w:rFonts w:asciiTheme="minorHAnsi" w:eastAsiaTheme="minorEastAsia" w:hAnsiTheme="minorHAnsi"/>
          <w:szCs w:val="20"/>
          <w:lang w:eastAsia="ja-JP"/>
        </w:rPr>
        <w:t xml:space="preserve"> pace to help </w:t>
      </w:r>
      <w:r w:rsidR="001E2A5E">
        <w:rPr>
          <w:rFonts w:asciiTheme="minorHAnsi" w:eastAsiaTheme="minorEastAsia" w:hAnsiTheme="minorHAnsi"/>
          <w:szCs w:val="20"/>
          <w:lang w:eastAsia="ja-JP"/>
        </w:rPr>
        <w:t>re</w:t>
      </w:r>
      <w:r w:rsidR="00B1725E">
        <w:rPr>
          <w:rFonts w:asciiTheme="minorHAnsi" w:eastAsiaTheme="minorEastAsia" w:hAnsiTheme="minorHAnsi"/>
          <w:szCs w:val="20"/>
          <w:lang w:eastAsia="ja-JP"/>
        </w:rPr>
        <w:t>balance growth</w:t>
      </w:r>
      <w:r w:rsidR="006D0CCD">
        <w:rPr>
          <w:rFonts w:asciiTheme="minorHAnsi" w:eastAsiaTheme="minorEastAsia" w:hAnsiTheme="minorHAnsi"/>
          <w:szCs w:val="20"/>
          <w:lang w:eastAsia="ja-JP"/>
        </w:rPr>
        <w:t xml:space="preserve"> in the economy</w:t>
      </w:r>
      <w:r w:rsidR="00B1725E">
        <w:rPr>
          <w:rFonts w:asciiTheme="minorHAnsi" w:eastAsiaTheme="minorEastAsia" w:hAnsiTheme="minorHAnsi"/>
          <w:szCs w:val="20"/>
          <w:lang w:eastAsia="ja-JP"/>
        </w:rPr>
        <w:t xml:space="preserve">. </w:t>
      </w:r>
      <w:r w:rsidR="00EB5B8B">
        <w:rPr>
          <w:rFonts w:asciiTheme="minorHAnsi" w:eastAsiaTheme="minorEastAsia" w:hAnsiTheme="minorHAnsi"/>
          <w:szCs w:val="20"/>
          <w:lang w:eastAsia="ja-JP"/>
        </w:rPr>
        <w:t>Commodity prices have also continued to decline</w:t>
      </w:r>
      <w:r w:rsidR="00E620B1">
        <w:rPr>
          <w:rFonts w:asciiTheme="minorHAnsi" w:eastAsiaTheme="minorEastAsia" w:hAnsiTheme="minorHAnsi"/>
          <w:szCs w:val="20"/>
          <w:lang w:eastAsia="ja-JP"/>
        </w:rPr>
        <w:t xml:space="preserve">, by a little more than expected at </w:t>
      </w:r>
      <w:r w:rsidR="00EB5B8B">
        <w:rPr>
          <w:rFonts w:asciiTheme="minorHAnsi" w:eastAsiaTheme="minorEastAsia" w:hAnsiTheme="minorHAnsi"/>
          <w:szCs w:val="20"/>
          <w:lang w:eastAsia="ja-JP"/>
        </w:rPr>
        <w:t>MYEFO.</w:t>
      </w:r>
    </w:p>
    <w:p w:rsidR="00B1725E" w:rsidRDefault="001049CB" w:rsidP="004D73FC">
      <w:pPr>
        <w:pStyle w:val="Bullet"/>
        <w:numPr>
          <w:ilvl w:val="0"/>
          <w:numId w:val="0"/>
        </w:numPr>
        <w:spacing w:after="200"/>
        <w:rPr>
          <w:rFonts w:asciiTheme="minorHAnsi" w:eastAsiaTheme="minorEastAsia" w:hAnsiTheme="minorHAnsi"/>
          <w:szCs w:val="20"/>
          <w:lang w:eastAsia="ja-JP"/>
        </w:rPr>
      </w:pPr>
      <w:r>
        <w:rPr>
          <w:rFonts w:asciiTheme="minorHAnsi" w:eastAsiaTheme="minorEastAsia" w:hAnsiTheme="minorHAnsi"/>
          <w:szCs w:val="20"/>
          <w:lang w:eastAsia="ja-JP"/>
        </w:rPr>
        <w:t>These developments, along w</w:t>
      </w:r>
      <w:r w:rsidR="00B1725E">
        <w:rPr>
          <w:rFonts w:asciiTheme="minorHAnsi" w:eastAsiaTheme="minorEastAsia" w:hAnsiTheme="minorHAnsi"/>
          <w:szCs w:val="20"/>
          <w:lang w:eastAsia="ja-JP"/>
        </w:rPr>
        <w:t>ith</w:t>
      </w:r>
      <w:r>
        <w:rPr>
          <w:rFonts w:asciiTheme="minorHAnsi" w:eastAsiaTheme="minorEastAsia" w:hAnsiTheme="minorHAnsi"/>
          <w:szCs w:val="20"/>
          <w:lang w:eastAsia="ja-JP"/>
        </w:rPr>
        <w:t xml:space="preserve"> the release of critical </w:t>
      </w:r>
      <w:r w:rsidR="00B1725E">
        <w:rPr>
          <w:rFonts w:asciiTheme="minorHAnsi" w:eastAsiaTheme="minorEastAsia" w:hAnsiTheme="minorHAnsi"/>
          <w:szCs w:val="20"/>
          <w:lang w:eastAsia="ja-JP"/>
        </w:rPr>
        <w:t>data</w:t>
      </w:r>
      <w:r w:rsidR="001E2A5E">
        <w:rPr>
          <w:rFonts w:asciiTheme="minorHAnsi" w:eastAsiaTheme="minorEastAsia" w:hAnsiTheme="minorHAnsi"/>
          <w:szCs w:val="20"/>
          <w:lang w:eastAsia="ja-JP"/>
        </w:rPr>
        <w:t>,</w:t>
      </w:r>
      <w:r w:rsidR="00B1725E">
        <w:rPr>
          <w:rFonts w:asciiTheme="minorHAnsi" w:eastAsiaTheme="minorEastAsia" w:hAnsiTheme="minorHAnsi"/>
          <w:szCs w:val="20"/>
          <w:lang w:eastAsia="ja-JP"/>
        </w:rPr>
        <w:t xml:space="preserve"> including the</w:t>
      </w:r>
      <w:r w:rsidR="002E6624">
        <w:rPr>
          <w:rFonts w:asciiTheme="minorHAnsi" w:eastAsiaTheme="minorEastAsia" w:hAnsiTheme="minorHAnsi"/>
          <w:szCs w:val="20"/>
          <w:lang w:eastAsia="ja-JP"/>
        </w:rPr>
        <w:t xml:space="preserve"> ABS December quarter Capital Expenditure Survey and</w:t>
      </w:r>
      <w:r w:rsidR="00B1725E">
        <w:rPr>
          <w:rFonts w:asciiTheme="minorHAnsi" w:eastAsiaTheme="minorEastAsia" w:hAnsiTheme="minorHAnsi"/>
          <w:szCs w:val="20"/>
          <w:lang w:eastAsia="ja-JP"/>
        </w:rPr>
        <w:t xml:space="preserve"> National Accounts</w:t>
      </w:r>
      <w:r>
        <w:rPr>
          <w:rFonts w:asciiTheme="minorHAnsi" w:eastAsiaTheme="minorEastAsia" w:hAnsiTheme="minorHAnsi"/>
          <w:szCs w:val="20"/>
          <w:lang w:eastAsia="ja-JP"/>
        </w:rPr>
        <w:t>, over coming weeks will be taken into account during the upcoming March forecasting round.</w:t>
      </w:r>
    </w:p>
    <w:p w:rsidR="00FB1B2F" w:rsidRPr="00755AF7" w:rsidRDefault="00131214" w:rsidP="004D73FC">
      <w:pPr>
        <w:pStyle w:val="Bullet"/>
        <w:numPr>
          <w:ilvl w:val="0"/>
          <w:numId w:val="0"/>
        </w:numPr>
        <w:spacing w:after="200" w:line="240" w:lineRule="auto"/>
        <w:rPr>
          <w:rFonts w:asciiTheme="minorHAnsi" w:hAnsiTheme="minorHAnsi"/>
          <w:b/>
          <w:color w:val="0000FF"/>
          <w:sz w:val="24"/>
        </w:rPr>
      </w:pPr>
      <w:r>
        <w:rPr>
          <w:rFonts w:asciiTheme="minorHAnsi" w:hAnsiTheme="minorHAnsi"/>
          <w:b/>
          <w:color w:val="0000FF"/>
          <w:sz w:val="24"/>
        </w:rPr>
        <w:t>G</w:t>
      </w:r>
      <w:r w:rsidR="00A12A19" w:rsidRPr="00755AF7">
        <w:rPr>
          <w:rFonts w:asciiTheme="minorHAnsi" w:hAnsiTheme="minorHAnsi"/>
          <w:b/>
          <w:color w:val="0000FF"/>
          <w:sz w:val="24"/>
        </w:rPr>
        <w:t xml:space="preserve">rowth is </w:t>
      </w:r>
      <w:r w:rsidR="000B2B48">
        <w:rPr>
          <w:rFonts w:asciiTheme="minorHAnsi" w:hAnsiTheme="minorHAnsi"/>
          <w:b/>
          <w:color w:val="0000FF"/>
          <w:sz w:val="24"/>
        </w:rPr>
        <w:t>forecast</w:t>
      </w:r>
      <w:r w:rsidR="00A12A19" w:rsidRPr="00755AF7">
        <w:rPr>
          <w:rFonts w:asciiTheme="minorHAnsi" w:hAnsiTheme="minorHAnsi"/>
          <w:b/>
          <w:color w:val="0000FF"/>
          <w:sz w:val="24"/>
        </w:rPr>
        <w:t xml:space="preserve"> to </w:t>
      </w:r>
      <w:r>
        <w:rPr>
          <w:rFonts w:asciiTheme="minorHAnsi" w:hAnsiTheme="minorHAnsi"/>
          <w:b/>
          <w:color w:val="0000FF"/>
          <w:sz w:val="24"/>
        </w:rPr>
        <w:t xml:space="preserve">improve in </w:t>
      </w:r>
      <w:r w:rsidR="00A12A19" w:rsidRPr="00755AF7">
        <w:rPr>
          <w:rFonts w:asciiTheme="minorHAnsi" w:hAnsiTheme="minorHAnsi"/>
          <w:b/>
          <w:color w:val="0000FF"/>
          <w:sz w:val="24"/>
        </w:rPr>
        <w:t>201</w:t>
      </w:r>
      <w:r w:rsidR="009218E6">
        <w:rPr>
          <w:rFonts w:asciiTheme="minorHAnsi" w:hAnsiTheme="minorHAnsi"/>
          <w:b/>
          <w:color w:val="0000FF"/>
          <w:sz w:val="24"/>
        </w:rPr>
        <w:t>5</w:t>
      </w:r>
      <w:r w:rsidR="00A12A19" w:rsidRPr="00755AF7">
        <w:rPr>
          <w:rFonts w:asciiTheme="minorHAnsi" w:hAnsiTheme="minorHAnsi"/>
          <w:b/>
          <w:color w:val="0000FF"/>
          <w:sz w:val="24"/>
        </w:rPr>
        <w:t>-1</w:t>
      </w:r>
      <w:r w:rsidR="009218E6">
        <w:rPr>
          <w:rFonts w:asciiTheme="minorHAnsi" w:hAnsiTheme="minorHAnsi"/>
          <w:b/>
          <w:color w:val="0000FF"/>
          <w:sz w:val="24"/>
        </w:rPr>
        <w:t>6</w:t>
      </w:r>
      <w:r w:rsidR="00E6403D">
        <w:rPr>
          <w:rFonts w:asciiTheme="minorHAnsi" w:hAnsiTheme="minorHAnsi"/>
          <w:b/>
          <w:color w:val="0000FF"/>
          <w:sz w:val="24"/>
        </w:rPr>
        <w:t>…</w:t>
      </w:r>
    </w:p>
    <w:p w:rsidR="00CA3283" w:rsidRDefault="00621221" w:rsidP="004D73FC">
      <w:pPr>
        <w:pStyle w:val="Bullet"/>
        <w:numPr>
          <w:ilvl w:val="0"/>
          <w:numId w:val="0"/>
        </w:numPr>
        <w:spacing w:after="200"/>
        <w:rPr>
          <w:rFonts w:asciiTheme="minorHAnsi" w:eastAsiaTheme="minorEastAsia" w:hAnsiTheme="minorHAnsi"/>
          <w:szCs w:val="20"/>
          <w:lang w:eastAsia="ja-JP"/>
        </w:rPr>
      </w:pPr>
      <w:r w:rsidRPr="00621221">
        <w:rPr>
          <w:rFonts w:asciiTheme="minorHAnsi" w:eastAsiaTheme="minorEastAsia" w:hAnsiTheme="minorHAnsi"/>
          <w:szCs w:val="20"/>
          <w:lang w:eastAsia="ja-JP"/>
        </w:rPr>
        <w:t>For the first time, 2015-16 is now a detailed forecast year</w:t>
      </w:r>
      <w:r>
        <w:rPr>
          <w:rFonts w:asciiTheme="minorHAnsi" w:eastAsiaTheme="minorEastAsia" w:hAnsiTheme="minorHAnsi"/>
          <w:szCs w:val="20"/>
          <w:lang w:eastAsia="ja-JP"/>
        </w:rPr>
        <w:t xml:space="preserve">. </w:t>
      </w:r>
      <w:r w:rsidR="00A7256F">
        <w:rPr>
          <w:rFonts w:asciiTheme="minorHAnsi" w:eastAsiaTheme="minorEastAsia" w:hAnsiTheme="minorHAnsi"/>
          <w:szCs w:val="20"/>
          <w:lang w:eastAsia="ja-JP"/>
        </w:rPr>
        <w:t xml:space="preserve">Real GDP growth is </w:t>
      </w:r>
      <w:r>
        <w:rPr>
          <w:rFonts w:asciiTheme="minorHAnsi" w:eastAsiaTheme="minorEastAsia" w:hAnsiTheme="minorHAnsi"/>
          <w:szCs w:val="20"/>
          <w:lang w:eastAsia="ja-JP"/>
        </w:rPr>
        <w:t>forecast</w:t>
      </w:r>
      <w:r w:rsidR="00A7256F">
        <w:rPr>
          <w:rFonts w:asciiTheme="minorHAnsi" w:eastAsiaTheme="minorEastAsia" w:hAnsiTheme="minorHAnsi"/>
          <w:szCs w:val="20"/>
          <w:lang w:eastAsia="ja-JP"/>
        </w:rPr>
        <w:t xml:space="preserve"> to pick up </w:t>
      </w:r>
      <w:r w:rsidR="00FE29F2">
        <w:rPr>
          <w:rFonts w:asciiTheme="minorHAnsi" w:eastAsiaTheme="minorEastAsia" w:hAnsiTheme="minorHAnsi"/>
          <w:szCs w:val="20"/>
          <w:lang w:eastAsia="ja-JP"/>
        </w:rPr>
        <w:t>to</w:t>
      </w:r>
      <w:r w:rsidR="00A7256F" w:rsidRPr="00F33530">
        <w:rPr>
          <w:rFonts w:asciiTheme="minorHAnsi" w:eastAsiaTheme="minorEastAsia" w:hAnsiTheme="minorHAnsi"/>
          <w:szCs w:val="20"/>
          <w:lang w:eastAsia="ja-JP"/>
        </w:rPr>
        <w:t xml:space="preserve"> </w:t>
      </w:r>
      <w:r w:rsidR="00FE29F2">
        <w:rPr>
          <w:rFonts w:asciiTheme="minorHAnsi" w:eastAsiaTheme="minorEastAsia" w:hAnsiTheme="minorHAnsi"/>
          <w:szCs w:val="20"/>
          <w:lang w:eastAsia="ja-JP"/>
        </w:rPr>
        <w:t>3</w:t>
      </w:r>
      <w:r w:rsidR="00A7256F">
        <w:rPr>
          <w:rFonts w:asciiTheme="minorHAnsi" w:eastAsiaTheme="minorEastAsia" w:hAnsiTheme="minorHAnsi"/>
          <w:szCs w:val="20"/>
          <w:lang w:eastAsia="ja-JP"/>
        </w:rPr>
        <w:t> </w:t>
      </w:r>
      <w:r w:rsidR="00A7256F" w:rsidRPr="00F33530">
        <w:rPr>
          <w:rFonts w:asciiTheme="minorHAnsi" w:eastAsiaTheme="minorEastAsia" w:hAnsiTheme="minorHAnsi"/>
          <w:szCs w:val="20"/>
          <w:lang w:eastAsia="ja-JP"/>
        </w:rPr>
        <w:t>per cent</w:t>
      </w:r>
      <w:r w:rsidR="00A7256F">
        <w:rPr>
          <w:rFonts w:asciiTheme="minorHAnsi" w:eastAsiaTheme="minorEastAsia" w:hAnsiTheme="minorHAnsi"/>
          <w:szCs w:val="20"/>
          <w:lang w:eastAsia="ja-JP"/>
        </w:rPr>
        <w:t xml:space="preserve"> in</w:t>
      </w:r>
      <w:r w:rsidR="001D51B6">
        <w:rPr>
          <w:rFonts w:asciiTheme="minorHAnsi" w:eastAsiaTheme="minorEastAsia" w:hAnsiTheme="minorHAnsi"/>
          <w:szCs w:val="20"/>
          <w:lang w:eastAsia="ja-JP"/>
        </w:rPr>
        <w:t xml:space="preserve"> 2015-16</w:t>
      </w:r>
      <w:r w:rsidR="00243028">
        <w:rPr>
          <w:rFonts w:asciiTheme="minorHAnsi" w:eastAsiaTheme="minorEastAsia" w:hAnsiTheme="minorHAnsi"/>
          <w:szCs w:val="20"/>
          <w:lang w:eastAsia="ja-JP"/>
        </w:rPr>
        <w:t xml:space="preserve"> (Chart </w:t>
      </w:r>
      <w:r w:rsidR="003D16F3">
        <w:rPr>
          <w:rFonts w:asciiTheme="minorHAnsi" w:eastAsiaTheme="minorEastAsia" w:hAnsiTheme="minorHAnsi"/>
          <w:szCs w:val="20"/>
          <w:lang w:eastAsia="ja-JP"/>
        </w:rPr>
        <w:t>1</w:t>
      </w:r>
      <w:r w:rsidR="00243028">
        <w:rPr>
          <w:rFonts w:asciiTheme="minorHAnsi" w:eastAsiaTheme="minorEastAsia" w:hAnsiTheme="minorHAnsi"/>
          <w:szCs w:val="20"/>
          <w:lang w:eastAsia="ja-JP"/>
        </w:rPr>
        <w:t>)</w:t>
      </w:r>
      <w:r w:rsidR="001D51B6">
        <w:rPr>
          <w:rFonts w:asciiTheme="minorHAnsi" w:eastAsiaTheme="minorEastAsia" w:hAnsiTheme="minorHAnsi"/>
          <w:szCs w:val="20"/>
          <w:lang w:eastAsia="ja-JP"/>
        </w:rPr>
        <w:t>.</w:t>
      </w:r>
      <w:r w:rsidR="00D47116">
        <w:rPr>
          <w:rFonts w:asciiTheme="minorHAnsi" w:eastAsiaTheme="minorEastAsia" w:hAnsiTheme="minorHAnsi"/>
          <w:szCs w:val="20"/>
          <w:lang w:eastAsia="ja-JP"/>
        </w:rPr>
        <w:t xml:space="preserve"> </w:t>
      </w:r>
      <w:r w:rsidR="001D51B6">
        <w:rPr>
          <w:rFonts w:asciiTheme="minorHAnsi" w:eastAsiaTheme="minorEastAsia" w:hAnsiTheme="minorHAnsi"/>
          <w:szCs w:val="20"/>
          <w:lang w:eastAsia="ja-JP"/>
        </w:rPr>
        <w:t>While</w:t>
      </w:r>
      <w:r w:rsidR="00FE29F2" w:rsidRPr="00FE29F2">
        <w:rPr>
          <w:rFonts w:asciiTheme="minorHAnsi" w:eastAsiaTheme="minorEastAsia" w:hAnsiTheme="minorHAnsi"/>
          <w:szCs w:val="20"/>
          <w:lang w:eastAsia="ja-JP"/>
        </w:rPr>
        <w:t xml:space="preserve"> </w:t>
      </w:r>
      <w:r w:rsidR="00FE29F2">
        <w:rPr>
          <w:rFonts w:asciiTheme="minorHAnsi" w:eastAsiaTheme="minorEastAsia" w:hAnsiTheme="minorHAnsi"/>
          <w:szCs w:val="20"/>
          <w:lang w:eastAsia="ja-JP"/>
        </w:rPr>
        <w:t xml:space="preserve">resources investment is expected to experience its sharpest decline in </w:t>
      </w:r>
      <w:r w:rsidR="00FE29F2">
        <w:rPr>
          <w:rFonts w:asciiTheme="minorHAnsi" w:eastAsiaTheme="minorEastAsia" w:hAnsiTheme="minorHAnsi"/>
          <w:szCs w:val="20"/>
          <w:lang w:eastAsia="ja-JP"/>
        </w:rPr>
        <w:br/>
        <w:t xml:space="preserve">2015-16 (Chart 2 and 4), </w:t>
      </w:r>
      <w:r>
        <w:rPr>
          <w:rFonts w:asciiTheme="minorHAnsi" w:eastAsiaTheme="minorEastAsia" w:hAnsiTheme="minorHAnsi"/>
          <w:szCs w:val="20"/>
          <w:lang w:eastAsia="ja-JP"/>
        </w:rPr>
        <w:t>expanding activity in the</w:t>
      </w:r>
      <w:r w:rsidR="006D0CCD">
        <w:rPr>
          <w:rFonts w:asciiTheme="minorHAnsi" w:eastAsiaTheme="minorEastAsia" w:hAnsiTheme="minorHAnsi"/>
          <w:szCs w:val="20"/>
          <w:lang w:eastAsia="ja-JP"/>
        </w:rPr>
        <w:t xml:space="preserve"> </w:t>
      </w:r>
      <w:r w:rsidR="00597A15">
        <w:rPr>
          <w:rFonts w:asciiTheme="minorHAnsi" w:eastAsiaTheme="minorEastAsia" w:hAnsiTheme="minorHAnsi"/>
          <w:szCs w:val="20"/>
          <w:lang w:eastAsia="ja-JP"/>
        </w:rPr>
        <w:br/>
      </w:r>
      <w:r w:rsidR="009218E6">
        <w:rPr>
          <w:rFonts w:asciiTheme="minorHAnsi" w:eastAsiaTheme="minorEastAsia" w:hAnsiTheme="minorHAnsi"/>
          <w:szCs w:val="20"/>
          <w:lang w:eastAsia="ja-JP"/>
        </w:rPr>
        <w:t xml:space="preserve">non-resources </w:t>
      </w:r>
      <w:r w:rsidR="00120719">
        <w:rPr>
          <w:rFonts w:asciiTheme="minorHAnsi" w:eastAsiaTheme="minorEastAsia" w:hAnsiTheme="minorHAnsi"/>
          <w:szCs w:val="20"/>
          <w:lang w:eastAsia="ja-JP"/>
        </w:rPr>
        <w:t xml:space="preserve">sectors </w:t>
      </w:r>
      <w:r>
        <w:rPr>
          <w:rFonts w:asciiTheme="minorHAnsi" w:eastAsiaTheme="minorEastAsia" w:hAnsiTheme="minorHAnsi"/>
          <w:szCs w:val="20"/>
          <w:lang w:eastAsia="ja-JP"/>
        </w:rPr>
        <w:t>is</w:t>
      </w:r>
      <w:r w:rsidR="00FE29F2">
        <w:rPr>
          <w:rFonts w:asciiTheme="minorHAnsi" w:eastAsiaTheme="minorEastAsia" w:hAnsiTheme="minorHAnsi"/>
          <w:szCs w:val="20"/>
          <w:lang w:eastAsia="ja-JP"/>
        </w:rPr>
        <w:t xml:space="preserve"> expected to help</w:t>
      </w:r>
      <w:r w:rsidR="001D51B6">
        <w:rPr>
          <w:rFonts w:asciiTheme="minorHAnsi" w:eastAsiaTheme="minorEastAsia" w:hAnsiTheme="minorHAnsi"/>
          <w:szCs w:val="20"/>
          <w:lang w:eastAsia="ja-JP"/>
        </w:rPr>
        <w:t xml:space="preserve"> drive growth higher</w:t>
      </w:r>
      <w:r w:rsidR="00EB5B8B">
        <w:rPr>
          <w:rFonts w:asciiTheme="minorHAnsi" w:eastAsiaTheme="minorEastAsia" w:hAnsiTheme="minorHAnsi"/>
          <w:szCs w:val="20"/>
          <w:lang w:eastAsia="ja-JP"/>
        </w:rPr>
        <w:t xml:space="preserve"> (Chart 2</w:t>
      </w:r>
      <w:r w:rsidR="00BE48CD">
        <w:rPr>
          <w:rFonts w:asciiTheme="minorHAnsi" w:eastAsiaTheme="minorEastAsia" w:hAnsiTheme="minorHAnsi"/>
          <w:szCs w:val="20"/>
          <w:lang w:eastAsia="ja-JP"/>
        </w:rPr>
        <w:t xml:space="preserve"> and 3</w:t>
      </w:r>
      <w:r w:rsidR="00EB5B8B">
        <w:rPr>
          <w:rFonts w:asciiTheme="minorHAnsi" w:eastAsiaTheme="minorEastAsia" w:hAnsiTheme="minorHAnsi"/>
          <w:szCs w:val="20"/>
          <w:lang w:eastAsia="ja-JP"/>
        </w:rPr>
        <w:t>)</w:t>
      </w:r>
      <w:r w:rsidR="00FE29F2">
        <w:rPr>
          <w:rFonts w:asciiTheme="minorHAnsi" w:eastAsiaTheme="minorEastAsia" w:hAnsiTheme="minorHAnsi"/>
          <w:szCs w:val="20"/>
          <w:lang w:eastAsia="ja-JP"/>
        </w:rPr>
        <w:t>.</w:t>
      </w:r>
    </w:p>
    <w:p w:rsidR="00EB5B8B" w:rsidRPr="00587BCC" w:rsidRDefault="00EB5B8B" w:rsidP="00EB5B8B">
      <w:pPr>
        <w:keepNext/>
        <w:autoSpaceDE w:val="0"/>
        <w:autoSpaceDN w:val="0"/>
        <w:spacing w:after="0"/>
        <w:ind w:firstLine="567"/>
        <w:jc w:val="center"/>
        <w:rPr>
          <w:rFonts w:asciiTheme="minorHAnsi" w:hAnsiTheme="minorHAnsi"/>
          <w:b/>
        </w:rPr>
      </w:pPr>
      <w:r w:rsidRPr="00587BCC">
        <w:rPr>
          <w:rFonts w:asciiTheme="minorHAnsi" w:hAnsiTheme="minorHAnsi"/>
          <w:b/>
        </w:rPr>
        <w:t xml:space="preserve">Chart </w:t>
      </w:r>
      <w:r>
        <w:rPr>
          <w:rFonts w:asciiTheme="minorHAnsi" w:hAnsiTheme="minorHAnsi"/>
          <w:b/>
        </w:rPr>
        <w:t>2: Contributions to real GDP growth</w:t>
      </w:r>
    </w:p>
    <w:p w:rsidR="00EB5B8B" w:rsidRDefault="003B3813" w:rsidP="00EB5B8B">
      <w:pPr>
        <w:pStyle w:val="ChartGraphic0"/>
        <w:jc w:val="left"/>
        <w:rPr>
          <w:rFonts w:asciiTheme="minorHAnsi" w:hAnsiTheme="minorHAnsi"/>
        </w:rPr>
      </w:pPr>
      <w:r>
        <w:rPr>
          <w:rFonts w:asciiTheme="minorHAnsi" w:hAnsiTheme="minorHAnsi"/>
        </w:rPr>
        <w:object w:dxaOrig="4516" w:dyaOrig="4515">
          <v:shape id="_x0000_i1026" type="#_x0000_t75" style="width:225.75pt;height:225.75pt" o:ole="">
            <v:imagedata r:id="rId24" o:title=""/>
          </v:shape>
          <o:OLEObject Type="Link" ProgID="Excel.Sheet.12" ShapeID="_x0000_i1026" DrawAspect="Content" r:id="rId25" UpdateMode="Always">
            <o:LinkType>EnhancedMetaFile</o:LinkType>
            <o:LockedField>false</o:LockedField>
          </o:OLEObject>
        </w:object>
      </w:r>
      <w:r w:rsidR="00EB5B8B" w:rsidRPr="00BE7D5D">
        <w:rPr>
          <w:rFonts w:asciiTheme="minorHAnsi" w:hAnsiTheme="minorHAnsi"/>
          <w:color w:val="auto"/>
          <w:kern w:val="2"/>
          <w:sz w:val="16"/>
        </w:rPr>
        <w:t xml:space="preserve">Note: Assumes </w:t>
      </w:r>
      <w:r w:rsidR="00EB5B8B">
        <w:rPr>
          <w:rFonts w:asciiTheme="minorHAnsi" w:hAnsiTheme="minorHAnsi"/>
          <w:color w:val="auto"/>
          <w:kern w:val="2"/>
          <w:sz w:val="16"/>
        </w:rPr>
        <w:t>resources</w:t>
      </w:r>
      <w:r w:rsidR="00EB5B8B" w:rsidRPr="00BE7D5D">
        <w:rPr>
          <w:rFonts w:asciiTheme="minorHAnsi" w:hAnsiTheme="minorHAnsi"/>
          <w:color w:val="auto"/>
          <w:kern w:val="2"/>
          <w:sz w:val="16"/>
        </w:rPr>
        <w:t xml:space="preserve"> investment has an import share of 50</w:t>
      </w:r>
      <w:r w:rsidR="00EB5B8B">
        <w:rPr>
          <w:rFonts w:asciiTheme="minorHAnsi" w:hAnsiTheme="minorHAnsi"/>
          <w:color w:val="auto"/>
          <w:kern w:val="2"/>
          <w:sz w:val="16"/>
        </w:rPr>
        <w:t> </w:t>
      </w:r>
      <w:r w:rsidR="00EB5B8B" w:rsidRPr="00BE7D5D">
        <w:rPr>
          <w:rFonts w:asciiTheme="minorHAnsi" w:hAnsiTheme="minorHAnsi"/>
          <w:color w:val="auto"/>
          <w:kern w:val="2"/>
          <w:sz w:val="16"/>
        </w:rPr>
        <w:t>per cent.</w:t>
      </w:r>
    </w:p>
    <w:p w:rsidR="00EB5B8B" w:rsidRPr="00587BCC" w:rsidRDefault="00EB5B8B" w:rsidP="00EB5B8B">
      <w:pPr>
        <w:pStyle w:val="ChartGraphic0"/>
        <w:spacing w:after="240"/>
        <w:jc w:val="left"/>
        <w:rPr>
          <w:rFonts w:asciiTheme="minorHAnsi" w:eastAsiaTheme="minorEastAsia" w:hAnsiTheme="minorHAnsi"/>
          <w:kern w:val="2"/>
          <w:szCs w:val="20"/>
          <w:lang w:eastAsia="ja-JP"/>
        </w:rPr>
      </w:pPr>
      <w:r w:rsidRPr="00587BCC">
        <w:rPr>
          <w:rFonts w:asciiTheme="minorHAnsi" w:hAnsiTheme="minorHAnsi"/>
          <w:color w:val="auto"/>
          <w:kern w:val="2"/>
          <w:sz w:val="16"/>
        </w:rPr>
        <w:t xml:space="preserve">Source: ABS cat. </w:t>
      </w:r>
      <w:proofErr w:type="gramStart"/>
      <w:r w:rsidRPr="00587BCC">
        <w:rPr>
          <w:rFonts w:asciiTheme="minorHAnsi" w:hAnsiTheme="minorHAnsi"/>
          <w:color w:val="auto"/>
          <w:kern w:val="2"/>
          <w:sz w:val="16"/>
        </w:rPr>
        <w:t>no</w:t>
      </w:r>
      <w:proofErr w:type="gramEnd"/>
      <w:r w:rsidRPr="00587BCC">
        <w:rPr>
          <w:rFonts w:asciiTheme="minorHAnsi" w:hAnsiTheme="minorHAnsi"/>
          <w:color w:val="auto"/>
          <w:kern w:val="2"/>
          <w:sz w:val="16"/>
        </w:rPr>
        <w:t xml:space="preserve">. </w:t>
      </w:r>
      <w:r w:rsidR="00794AB6">
        <w:rPr>
          <w:rFonts w:asciiTheme="minorHAnsi" w:hAnsiTheme="minorHAnsi"/>
          <w:color w:val="auto"/>
          <w:kern w:val="2"/>
          <w:sz w:val="16"/>
        </w:rPr>
        <w:t xml:space="preserve">5204.0, </w:t>
      </w:r>
      <w:r w:rsidRPr="00587BCC">
        <w:rPr>
          <w:rFonts w:asciiTheme="minorHAnsi" w:hAnsiTheme="minorHAnsi"/>
          <w:color w:val="auto"/>
          <w:kern w:val="2"/>
          <w:sz w:val="16"/>
        </w:rPr>
        <w:t>5206.0</w:t>
      </w:r>
      <w:r w:rsidR="00794AB6">
        <w:rPr>
          <w:rFonts w:asciiTheme="minorHAnsi" w:hAnsiTheme="minorHAnsi"/>
          <w:color w:val="auto"/>
          <w:kern w:val="2"/>
          <w:sz w:val="16"/>
        </w:rPr>
        <w:t>, 5302.0</w:t>
      </w:r>
      <w:r w:rsidRPr="00587BCC">
        <w:rPr>
          <w:rFonts w:asciiTheme="minorHAnsi" w:hAnsiTheme="minorHAnsi"/>
          <w:color w:val="auto"/>
          <w:kern w:val="2"/>
          <w:sz w:val="16"/>
        </w:rPr>
        <w:t xml:space="preserve"> </w:t>
      </w:r>
      <w:r w:rsidR="00794AB6">
        <w:rPr>
          <w:rFonts w:asciiTheme="minorHAnsi" w:hAnsiTheme="minorHAnsi"/>
          <w:color w:val="auto"/>
          <w:kern w:val="2"/>
          <w:sz w:val="16"/>
        </w:rPr>
        <w:t xml:space="preserve">BREE </w:t>
      </w:r>
      <w:r w:rsidRPr="00587BCC">
        <w:rPr>
          <w:rFonts w:asciiTheme="minorHAnsi" w:hAnsiTheme="minorHAnsi"/>
          <w:color w:val="auto"/>
          <w:kern w:val="2"/>
          <w:sz w:val="16"/>
        </w:rPr>
        <w:t>and Treasury.</w:t>
      </w:r>
    </w:p>
    <w:p w:rsidR="004D73FC" w:rsidRDefault="00160B0E" w:rsidP="00160B0E">
      <w:pPr>
        <w:keepNext/>
        <w:spacing w:after="0"/>
        <w:jc w:val="center"/>
        <w:rPr>
          <w:rFonts w:asciiTheme="minorHAnsi" w:hAnsiTheme="minorHAnsi"/>
          <w:b/>
        </w:rPr>
      </w:pPr>
      <w:r w:rsidRPr="00587BCC">
        <w:rPr>
          <w:rFonts w:asciiTheme="minorHAnsi" w:hAnsiTheme="minorHAnsi"/>
          <w:b/>
        </w:rPr>
        <w:lastRenderedPageBreak/>
        <w:t xml:space="preserve">Chart </w:t>
      </w:r>
      <w:r w:rsidR="00EB5B8B">
        <w:rPr>
          <w:rFonts w:asciiTheme="minorHAnsi" w:hAnsiTheme="minorHAnsi"/>
          <w:b/>
        </w:rPr>
        <w:t>3</w:t>
      </w:r>
      <w:r w:rsidRPr="00587BCC">
        <w:rPr>
          <w:rFonts w:asciiTheme="minorHAnsi" w:hAnsiTheme="minorHAnsi"/>
          <w:b/>
        </w:rPr>
        <w:t xml:space="preserve">: </w:t>
      </w:r>
      <w:r w:rsidR="004D73FC">
        <w:rPr>
          <w:rFonts w:asciiTheme="minorHAnsi" w:hAnsiTheme="minorHAnsi"/>
          <w:b/>
        </w:rPr>
        <w:t xml:space="preserve">Non-resources sectors </w:t>
      </w:r>
    </w:p>
    <w:p w:rsidR="00160B0E" w:rsidRPr="00587BCC" w:rsidRDefault="004D73FC" w:rsidP="00160B0E">
      <w:pPr>
        <w:keepNext/>
        <w:spacing w:after="0"/>
        <w:jc w:val="center"/>
        <w:rPr>
          <w:rFonts w:asciiTheme="minorHAnsi" w:hAnsiTheme="minorHAnsi"/>
          <w:b/>
        </w:rPr>
      </w:pPr>
      <w:r>
        <w:rPr>
          <w:rFonts w:asciiTheme="minorHAnsi" w:hAnsiTheme="minorHAnsi"/>
          <w:b/>
        </w:rPr>
        <w:t>(</w:t>
      </w:r>
      <w:proofErr w:type="gramStart"/>
      <w:r>
        <w:rPr>
          <w:rFonts w:asciiTheme="minorHAnsi" w:hAnsiTheme="minorHAnsi"/>
          <w:b/>
        </w:rPr>
        <w:t>contribution</w:t>
      </w:r>
      <w:proofErr w:type="gramEnd"/>
      <w:r>
        <w:rPr>
          <w:rFonts w:asciiTheme="minorHAnsi" w:hAnsiTheme="minorHAnsi"/>
          <w:b/>
        </w:rPr>
        <w:t xml:space="preserve"> to </w:t>
      </w:r>
      <w:r w:rsidR="003D59EC">
        <w:rPr>
          <w:rFonts w:asciiTheme="minorHAnsi" w:hAnsiTheme="minorHAnsi"/>
          <w:b/>
        </w:rPr>
        <w:t xml:space="preserve">total real GDP </w:t>
      </w:r>
      <w:r>
        <w:rPr>
          <w:rFonts w:asciiTheme="minorHAnsi" w:hAnsiTheme="minorHAnsi"/>
          <w:b/>
        </w:rPr>
        <w:t>growth)</w:t>
      </w:r>
    </w:p>
    <w:p w:rsidR="004D73FC" w:rsidRDefault="00794AB6" w:rsidP="004D73FC">
      <w:pPr>
        <w:pStyle w:val="ChartGraphic0"/>
        <w:jc w:val="left"/>
        <w:rPr>
          <w:rFonts w:asciiTheme="minorHAnsi" w:hAnsiTheme="minorHAnsi"/>
          <w:color w:val="auto"/>
          <w:kern w:val="2"/>
          <w:sz w:val="16"/>
        </w:rPr>
      </w:pPr>
      <w:r>
        <w:rPr>
          <w:rFonts w:asciiTheme="minorHAnsi" w:hAnsiTheme="minorHAnsi"/>
          <w:noProof/>
          <w:color w:val="auto"/>
          <w:kern w:val="2"/>
          <w:sz w:val="16"/>
          <w:lang w:eastAsia="en-AU"/>
        </w:rPr>
        <w:object w:dxaOrig="4530" w:dyaOrig="4515">
          <v:shape id="_x0000_i1027" type="#_x0000_t75" style="width:226.5pt;height:225.75pt" o:ole="">
            <v:imagedata r:id="rId26" o:title=""/>
          </v:shape>
          <o:OLEObject Type="Link" ProgID="Excel.Sheet.12" ShapeID="_x0000_i1027" DrawAspect="Content" r:id="rId27" UpdateMode="Always">
            <o:LinkType>EnhancedMetaFile</o:LinkType>
            <o:LockedField>false</o:LockedField>
          </o:OLEObject>
        </w:object>
      </w:r>
      <w:r w:rsidR="004D73FC">
        <w:rPr>
          <w:rFonts w:asciiTheme="minorHAnsi" w:hAnsiTheme="minorHAnsi"/>
          <w:color w:val="auto"/>
          <w:kern w:val="2"/>
          <w:sz w:val="16"/>
        </w:rPr>
        <w:t xml:space="preserve">Note: </w:t>
      </w:r>
      <w:r w:rsidRPr="00794AB6">
        <w:rPr>
          <w:rFonts w:asciiTheme="minorHAnsi" w:hAnsiTheme="minorHAnsi"/>
          <w:color w:val="auto"/>
          <w:kern w:val="2"/>
          <w:sz w:val="16"/>
        </w:rPr>
        <w:t>The non-resources sectors contribution to growth is calculated by subtracting the resources sector’s contribution from total GDP growth.</w:t>
      </w:r>
    </w:p>
    <w:p w:rsidR="004D73FC" w:rsidRPr="004D73FC" w:rsidRDefault="004D73FC" w:rsidP="004D73FC">
      <w:pPr>
        <w:pStyle w:val="ChartGraphic0"/>
        <w:spacing w:after="240"/>
        <w:jc w:val="left"/>
        <w:rPr>
          <w:rFonts w:asciiTheme="minorHAnsi" w:hAnsiTheme="minorHAnsi"/>
          <w:color w:val="auto"/>
          <w:kern w:val="2"/>
          <w:sz w:val="16"/>
        </w:rPr>
      </w:pPr>
      <w:r>
        <w:rPr>
          <w:rFonts w:asciiTheme="minorHAnsi" w:hAnsiTheme="minorHAnsi"/>
          <w:color w:val="auto"/>
          <w:kern w:val="2"/>
          <w:sz w:val="16"/>
        </w:rPr>
        <w:t>S</w:t>
      </w:r>
      <w:r w:rsidR="00160B0E" w:rsidRPr="00587BCC">
        <w:rPr>
          <w:rFonts w:asciiTheme="minorHAnsi" w:hAnsiTheme="minorHAnsi"/>
          <w:color w:val="auto"/>
          <w:kern w:val="2"/>
          <w:sz w:val="16"/>
        </w:rPr>
        <w:t xml:space="preserve">ource:  ABS cat. </w:t>
      </w:r>
      <w:proofErr w:type="gramStart"/>
      <w:r w:rsidR="00160B0E" w:rsidRPr="00587BCC">
        <w:rPr>
          <w:rFonts w:asciiTheme="minorHAnsi" w:hAnsiTheme="minorHAnsi"/>
          <w:color w:val="auto"/>
          <w:kern w:val="2"/>
          <w:sz w:val="16"/>
        </w:rPr>
        <w:t>no</w:t>
      </w:r>
      <w:proofErr w:type="gramEnd"/>
      <w:r w:rsidR="00160B0E" w:rsidRPr="00587BCC">
        <w:rPr>
          <w:rFonts w:asciiTheme="minorHAnsi" w:hAnsiTheme="minorHAnsi"/>
          <w:color w:val="auto"/>
          <w:kern w:val="2"/>
          <w:sz w:val="16"/>
        </w:rPr>
        <w:t>. 520</w:t>
      </w:r>
      <w:r w:rsidR="00794AB6">
        <w:rPr>
          <w:rFonts w:asciiTheme="minorHAnsi" w:hAnsiTheme="minorHAnsi"/>
          <w:color w:val="auto"/>
          <w:kern w:val="2"/>
          <w:sz w:val="16"/>
        </w:rPr>
        <w:t>4</w:t>
      </w:r>
      <w:r w:rsidR="00160B0E" w:rsidRPr="00587BCC">
        <w:rPr>
          <w:rFonts w:asciiTheme="minorHAnsi" w:hAnsiTheme="minorHAnsi"/>
          <w:color w:val="auto"/>
          <w:kern w:val="2"/>
          <w:sz w:val="16"/>
        </w:rPr>
        <w:t>.0</w:t>
      </w:r>
      <w:r w:rsidR="00794AB6">
        <w:rPr>
          <w:rFonts w:asciiTheme="minorHAnsi" w:hAnsiTheme="minorHAnsi"/>
          <w:color w:val="auto"/>
          <w:kern w:val="2"/>
          <w:sz w:val="16"/>
        </w:rPr>
        <w:t>, 5206.0, 5302.0, BREE</w:t>
      </w:r>
      <w:r w:rsidR="00160B0E" w:rsidRPr="00587BCC">
        <w:rPr>
          <w:rFonts w:asciiTheme="minorHAnsi" w:hAnsiTheme="minorHAnsi"/>
          <w:color w:val="auto"/>
          <w:kern w:val="2"/>
          <w:sz w:val="16"/>
        </w:rPr>
        <w:t xml:space="preserve"> and Treasury.</w:t>
      </w:r>
    </w:p>
    <w:p w:rsidR="00BE48CD" w:rsidRDefault="00BE48CD" w:rsidP="00181FB1">
      <w:pPr>
        <w:pStyle w:val="Bullet"/>
        <w:numPr>
          <w:ilvl w:val="0"/>
          <w:numId w:val="0"/>
        </w:numPr>
        <w:spacing w:line="240" w:lineRule="auto"/>
        <w:rPr>
          <w:rFonts w:asciiTheme="minorHAnsi" w:eastAsiaTheme="minorEastAsia" w:hAnsiTheme="minorHAnsi"/>
          <w:szCs w:val="20"/>
          <w:lang w:eastAsia="ja-JP"/>
        </w:rPr>
      </w:pPr>
      <w:r w:rsidRPr="00F33530">
        <w:rPr>
          <w:rFonts w:asciiTheme="minorHAnsi" w:eastAsiaTheme="minorEastAsia" w:hAnsiTheme="minorHAnsi"/>
          <w:szCs w:val="20"/>
          <w:lang w:eastAsia="ja-JP"/>
        </w:rPr>
        <w:t>The forecasts</w:t>
      </w:r>
      <w:r>
        <w:rPr>
          <w:rFonts w:asciiTheme="minorHAnsi" w:eastAsiaTheme="minorEastAsia" w:hAnsiTheme="minorHAnsi"/>
          <w:szCs w:val="20"/>
          <w:lang w:eastAsia="ja-JP"/>
        </w:rPr>
        <w:t xml:space="preserve"> for real GDP growth in </w:t>
      </w:r>
      <w:r w:rsidR="005E0958">
        <w:rPr>
          <w:rFonts w:asciiTheme="minorHAnsi" w:eastAsiaTheme="minorEastAsia" w:hAnsiTheme="minorHAnsi"/>
          <w:szCs w:val="20"/>
          <w:lang w:eastAsia="ja-JP"/>
        </w:rPr>
        <w:t xml:space="preserve">calendar year </w:t>
      </w:r>
      <w:r>
        <w:rPr>
          <w:rFonts w:asciiTheme="minorHAnsi" w:eastAsiaTheme="minorEastAsia" w:hAnsiTheme="minorHAnsi"/>
          <w:szCs w:val="20"/>
          <w:lang w:eastAsia="ja-JP"/>
        </w:rPr>
        <w:t>2015</w:t>
      </w:r>
      <w:r w:rsidRPr="00F33530">
        <w:rPr>
          <w:rFonts w:asciiTheme="minorHAnsi" w:eastAsiaTheme="minorEastAsia" w:hAnsiTheme="minorHAnsi"/>
          <w:szCs w:val="20"/>
          <w:lang w:eastAsia="ja-JP"/>
        </w:rPr>
        <w:t xml:space="preserve"> are broadly consistent with </w:t>
      </w:r>
      <w:r w:rsidR="005E0958">
        <w:rPr>
          <w:rFonts w:asciiTheme="minorHAnsi" w:eastAsiaTheme="minorEastAsia" w:hAnsiTheme="minorHAnsi"/>
          <w:szCs w:val="20"/>
          <w:lang w:eastAsia="ja-JP"/>
        </w:rPr>
        <w:t>private sector forecasters</w:t>
      </w:r>
      <w:r w:rsidRPr="00F33530">
        <w:rPr>
          <w:rFonts w:asciiTheme="minorHAnsi" w:eastAsiaTheme="minorEastAsia" w:hAnsiTheme="minorHAnsi"/>
          <w:szCs w:val="20"/>
          <w:lang w:eastAsia="ja-JP"/>
        </w:rPr>
        <w:t xml:space="preserve"> </w:t>
      </w:r>
      <w:r w:rsidR="005E0958">
        <w:rPr>
          <w:rFonts w:asciiTheme="minorHAnsi" w:eastAsiaTheme="minorEastAsia" w:hAnsiTheme="minorHAnsi"/>
          <w:szCs w:val="20"/>
          <w:lang w:eastAsia="ja-JP"/>
        </w:rPr>
        <w:t>and the</w:t>
      </w:r>
      <w:r>
        <w:rPr>
          <w:rFonts w:asciiTheme="minorHAnsi" w:eastAsiaTheme="minorEastAsia" w:hAnsiTheme="minorHAnsi"/>
          <w:szCs w:val="20"/>
          <w:lang w:eastAsia="ja-JP"/>
        </w:rPr>
        <w:t xml:space="preserve"> RBA’s February Statement o</w:t>
      </w:r>
      <w:r w:rsidR="00E8319D">
        <w:rPr>
          <w:rFonts w:asciiTheme="minorHAnsi" w:eastAsiaTheme="minorEastAsia" w:hAnsiTheme="minorHAnsi"/>
          <w:szCs w:val="20"/>
          <w:lang w:eastAsia="ja-JP"/>
        </w:rPr>
        <w:t>n</w:t>
      </w:r>
      <w:r>
        <w:rPr>
          <w:rFonts w:asciiTheme="minorHAnsi" w:eastAsiaTheme="minorEastAsia" w:hAnsiTheme="minorHAnsi"/>
          <w:szCs w:val="20"/>
          <w:lang w:eastAsia="ja-JP"/>
        </w:rPr>
        <w:t xml:space="preserve"> Monetary Policy (see Appendix B</w:t>
      </w:r>
      <w:r w:rsidRPr="00F33530">
        <w:rPr>
          <w:rFonts w:asciiTheme="minorHAnsi" w:eastAsiaTheme="minorEastAsia" w:hAnsiTheme="minorHAnsi"/>
          <w:szCs w:val="20"/>
          <w:lang w:eastAsia="ja-JP"/>
        </w:rPr>
        <w:t>).</w:t>
      </w:r>
      <w:r w:rsidR="005E0958">
        <w:rPr>
          <w:rFonts w:asciiTheme="minorHAnsi" w:eastAsiaTheme="minorEastAsia" w:hAnsiTheme="minorHAnsi"/>
          <w:szCs w:val="20"/>
          <w:lang w:eastAsia="ja-JP"/>
        </w:rPr>
        <w:t xml:space="preserve"> However, forecast real GDP growth for 2015-16 is below the RBA’s latest forecasts which are based on a lower exchange rate assumption</w:t>
      </w:r>
      <w:r w:rsidR="00E8319D">
        <w:rPr>
          <w:rStyle w:val="FootnoteReference"/>
          <w:rFonts w:eastAsiaTheme="minorEastAsia"/>
          <w:szCs w:val="20"/>
          <w:lang w:eastAsia="ja-JP"/>
        </w:rPr>
        <w:footnoteReference w:id="1"/>
      </w:r>
      <w:r w:rsidR="005E0958">
        <w:rPr>
          <w:rFonts w:asciiTheme="minorHAnsi" w:eastAsiaTheme="minorEastAsia" w:hAnsiTheme="minorHAnsi"/>
          <w:szCs w:val="20"/>
          <w:lang w:eastAsia="ja-JP"/>
        </w:rPr>
        <w:t>.</w:t>
      </w:r>
      <w:r w:rsidRPr="00587BCC">
        <w:rPr>
          <w:rFonts w:asciiTheme="minorHAnsi" w:eastAsiaTheme="minorEastAsia" w:hAnsiTheme="minorHAnsi"/>
          <w:lang w:eastAsia="ja-JP"/>
        </w:rPr>
        <w:t xml:space="preserve"> </w:t>
      </w:r>
      <w:r>
        <w:rPr>
          <w:rFonts w:asciiTheme="minorHAnsi" w:eastAsiaTheme="minorEastAsia" w:hAnsiTheme="minorHAnsi"/>
          <w:lang w:eastAsia="ja-JP"/>
        </w:rPr>
        <w:t>The</w:t>
      </w:r>
      <w:r w:rsidR="005E0958">
        <w:rPr>
          <w:rFonts w:asciiTheme="minorHAnsi" w:eastAsiaTheme="minorEastAsia" w:hAnsiTheme="minorHAnsi"/>
          <w:lang w:eastAsia="ja-JP"/>
        </w:rPr>
        <w:t xml:space="preserve">re is a </w:t>
      </w:r>
      <w:r>
        <w:rPr>
          <w:rFonts w:asciiTheme="minorHAnsi" w:eastAsiaTheme="minorEastAsia" w:hAnsiTheme="minorHAnsi"/>
          <w:lang w:eastAsia="ja-JP"/>
        </w:rPr>
        <w:t>wide</w:t>
      </w:r>
      <w:r w:rsidR="005E0958">
        <w:rPr>
          <w:rFonts w:asciiTheme="minorHAnsi" w:eastAsiaTheme="minorEastAsia" w:hAnsiTheme="minorHAnsi"/>
          <w:lang w:eastAsia="ja-JP"/>
        </w:rPr>
        <w:t xml:space="preserve"> forecast </w:t>
      </w:r>
      <w:r>
        <w:rPr>
          <w:rFonts w:asciiTheme="minorHAnsi" w:eastAsiaTheme="minorEastAsia" w:hAnsiTheme="minorHAnsi"/>
          <w:lang w:eastAsia="ja-JP"/>
        </w:rPr>
        <w:t xml:space="preserve">range </w:t>
      </w:r>
      <w:r w:rsidR="005E0958">
        <w:rPr>
          <w:rFonts w:asciiTheme="minorHAnsi" w:eastAsiaTheme="minorEastAsia" w:hAnsiTheme="minorHAnsi"/>
          <w:lang w:eastAsia="ja-JP"/>
        </w:rPr>
        <w:t xml:space="preserve">in 2015 </w:t>
      </w:r>
      <w:r>
        <w:rPr>
          <w:rFonts w:asciiTheme="minorHAnsi" w:eastAsiaTheme="minorEastAsia" w:hAnsiTheme="minorHAnsi"/>
          <w:lang w:eastAsia="ja-JP"/>
        </w:rPr>
        <w:t>reflect</w:t>
      </w:r>
      <w:r w:rsidR="005E0958">
        <w:rPr>
          <w:rFonts w:asciiTheme="minorHAnsi" w:eastAsiaTheme="minorEastAsia" w:hAnsiTheme="minorHAnsi"/>
          <w:lang w:eastAsia="ja-JP"/>
        </w:rPr>
        <w:t>ing</w:t>
      </w:r>
      <w:r>
        <w:rPr>
          <w:rFonts w:asciiTheme="minorHAnsi" w:eastAsiaTheme="minorEastAsia" w:hAnsiTheme="minorHAnsi"/>
          <w:lang w:eastAsia="ja-JP"/>
        </w:rPr>
        <w:t xml:space="preserve"> the considerable uncertainty around the timing and pace of recovery in the </w:t>
      </w:r>
      <w:r w:rsidR="005E0958">
        <w:rPr>
          <w:rFonts w:asciiTheme="minorHAnsi" w:eastAsiaTheme="minorEastAsia" w:hAnsiTheme="minorHAnsi"/>
          <w:lang w:eastAsia="ja-JP"/>
        </w:rPr>
        <w:br/>
      </w:r>
      <w:r>
        <w:rPr>
          <w:rFonts w:asciiTheme="minorHAnsi" w:eastAsiaTheme="minorEastAsia" w:hAnsiTheme="minorHAnsi"/>
          <w:lang w:eastAsia="ja-JP"/>
        </w:rPr>
        <w:t xml:space="preserve">non-resources sectors. </w:t>
      </w:r>
      <w:r>
        <w:rPr>
          <w:rFonts w:asciiTheme="minorHAnsi" w:eastAsiaTheme="minorEastAsia" w:hAnsiTheme="minorHAnsi"/>
          <w:szCs w:val="20"/>
          <w:lang w:eastAsia="ja-JP"/>
        </w:rPr>
        <w:t>For estimates of the uncertainty around the forecasts please refer to Appendix A.</w:t>
      </w:r>
    </w:p>
    <w:p w:rsidR="009B2504" w:rsidRPr="00755AF7" w:rsidRDefault="00E6403D" w:rsidP="00181FB1">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w:t>
      </w:r>
      <w:r w:rsidR="00131214">
        <w:rPr>
          <w:rFonts w:asciiTheme="minorHAnsi" w:hAnsiTheme="minorHAnsi"/>
          <w:b/>
          <w:color w:val="0000FF"/>
          <w:sz w:val="24"/>
        </w:rPr>
        <w:t>despite</w:t>
      </w:r>
      <w:r>
        <w:rPr>
          <w:rFonts w:asciiTheme="minorHAnsi" w:hAnsiTheme="minorHAnsi"/>
          <w:b/>
          <w:color w:val="0000FF"/>
          <w:sz w:val="24"/>
        </w:rPr>
        <w:t xml:space="preserve"> r</w:t>
      </w:r>
      <w:r w:rsidR="00E96A58" w:rsidRPr="00755AF7">
        <w:rPr>
          <w:rFonts w:asciiTheme="minorHAnsi" w:hAnsiTheme="minorHAnsi"/>
          <w:b/>
          <w:color w:val="0000FF"/>
          <w:sz w:val="24"/>
        </w:rPr>
        <w:t>esource</w:t>
      </w:r>
      <w:r w:rsidR="00E06122" w:rsidRPr="00755AF7">
        <w:rPr>
          <w:rFonts w:asciiTheme="minorHAnsi" w:hAnsiTheme="minorHAnsi"/>
          <w:b/>
          <w:color w:val="0000FF"/>
          <w:sz w:val="24"/>
        </w:rPr>
        <w:t>s</w:t>
      </w:r>
      <w:r w:rsidR="00E96A58" w:rsidRPr="00755AF7">
        <w:rPr>
          <w:rFonts w:asciiTheme="minorHAnsi" w:hAnsiTheme="minorHAnsi"/>
          <w:b/>
          <w:color w:val="0000FF"/>
          <w:sz w:val="24"/>
        </w:rPr>
        <w:t xml:space="preserve"> investment </w:t>
      </w:r>
      <w:r w:rsidR="009069BA">
        <w:rPr>
          <w:rFonts w:asciiTheme="minorHAnsi" w:hAnsiTheme="minorHAnsi"/>
          <w:b/>
          <w:color w:val="0000FF"/>
          <w:sz w:val="24"/>
        </w:rPr>
        <w:t>fall</w:t>
      </w:r>
      <w:r w:rsidR="00131214">
        <w:rPr>
          <w:rFonts w:asciiTheme="minorHAnsi" w:hAnsiTheme="minorHAnsi"/>
          <w:b/>
          <w:color w:val="0000FF"/>
          <w:sz w:val="24"/>
        </w:rPr>
        <w:t>ing</w:t>
      </w:r>
      <w:r w:rsidR="009069BA">
        <w:rPr>
          <w:rFonts w:asciiTheme="minorHAnsi" w:hAnsiTheme="minorHAnsi"/>
          <w:b/>
          <w:color w:val="0000FF"/>
          <w:sz w:val="24"/>
        </w:rPr>
        <w:t xml:space="preserve"> sharply</w:t>
      </w:r>
    </w:p>
    <w:p w:rsidR="00C36629" w:rsidRDefault="00CA3283" w:rsidP="000765B4">
      <w:pPr>
        <w:pStyle w:val="Bullet"/>
        <w:numPr>
          <w:ilvl w:val="0"/>
          <w:numId w:val="0"/>
        </w:numPr>
        <w:rPr>
          <w:rFonts w:asciiTheme="minorHAnsi" w:hAnsiTheme="minorHAnsi"/>
          <w:szCs w:val="20"/>
        </w:rPr>
      </w:pPr>
      <w:r>
        <w:rPr>
          <w:rFonts w:asciiTheme="minorHAnsi" w:hAnsiTheme="minorHAnsi"/>
          <w:szCs w:val="20"/>
        </w:rPr>
        <w:t xml:space="preserve">A number of </w:t>
      </w:r>
      <w:r w:rsidR="00F66A92" w:rsidRPr="00F33530">
        <w:rPr>
          <w:rFonts w:asciiTheme="minorHAnsi" w:hAnsiTheme="minorHAnsi"/>
          <w:szCs w:val="20"/>
        </w:rPr>
        <w:t>LNG projects currently</w:t>
      </w:r>
      <w:r w:rsidR="009A0A19">
        <w:rPr>
          <w:rFonts w:asciiTheme="minorHAnsi" w:hAnsiTheme="minorHAnsi"/>
          <w:szCs w:val="20"/>
        </w:rPr>
        <w:t xml:space="preserve"> </w:t>
      </w:r>
      <w:r>
        <w:rPr>
          <w:rFonts w:asciiTheme="minorHAnsi" w:hAnsiTheme="minorHAnsi"/>
          <w:szCs w:val="20"/>
        </w:rPr>
        <w:t>underpinning</w:t>
      </w:r>
      <w:r w:rsidR="009A0A19">
        <w:rPr>
          <w:rFonts w:asciiTheme="minorHAnsi" w:hAnsiTheme="minorHAnsi"/>
          <w:szCs w:val="20"/>
        </w:rPr>
        <w:t xml:space="preserve"> investment activity are </w:t>
      </w:r>
      <w:r w:rsidR="008C6EC6">
        <w:rPr>
          <w:rFonts w:asciiTheme="minorHAnsi" w:hAnsiTheme="minorHAnsi"/>
          <w:szCs w:val="20"/>
        </w:rPr>
        <w:t>scheduled</w:t>
      </w:r>
      <w:r w:rsidR="009A0A19">
        <w:rPr>
          <w:rFonts w:asciiTheme="minorHAnsi" w:hAnsiTheme="minorHAnsi"/>
          <w:szCs w:val="20"/>
        </w:rPr>
        <w:t xml:space="preserve"> to complete construction in 2015-16. </w:t>
      </w:r>
      <w:r w:rsidR="00A45EE4">
        <w:rPr>
          <w:rFonts w:asciiTheme="minorHAnsi" w:hAnsiTheme="minorHAnsi"/>
          <w:szCs w:val="20"/>
        </w:rPr>
        <w:t>With a limited</w:t>
      </w:r>
      <w:r>
        <w:rPr>
          <w:rFonts w:asciiTheme="minorHAnsi" w:hAnsiTheme="minorHAnsi"/>
          <w:szCs w:val="20"/>
        </w:rPr>
        <w:t xml:space="preserve"> </w:t>
      </w:r>
      <w:r w:rsidR="009A0A19">
        <w:rPr>
          <w:rFonts w:asciiTheme="minorHAnsi" w:hAnsiTheme="minorHAnsi"/>
          <w:szCs w:val="20"/>
        </w:rPr>
        <w:t xml:space="preserve">pipeline of </w:t>
      </w:r>
      <w:r>
        <w:rPr>
          <w:rFonts w:asciiTheme="minorHAnsi" w:hAnsiTheme="minorHAnsi"/>
          <w:szCs w:val="20"/>
        </w:rPr>
        <w:t>new</w:t>
      </w:r>
      <w:r w:rsidR="000B2B48">
        <w:rPr>
          <w:rFonts w:asciiTheme="minorHAnsi" w:hAnsiTheme="minorHAnsi"/>
          <w:szCs w:val="20"/>
        </w:rPr>
        <w:t xml:space="preserve"> resources</w:t>
      </w:r>
      <w:r>
        <w:rPr>
          <w:rFonts w:asciiTheme="minorHAnsi" w:hAnsiTheme="minorHAnsi"/>
          <w:szCs w:val="20"/>
        </w:rPr>
        <w:t xml:space="preserve"> </w:t>
      </w:r>
      <w:r w:rsidR="009A0A19">
        <w:rPr>
          <w:rFonts w:asciiTheme="minorHAnsi" w:hAnsiTheme="minorHAnsi"/>
          <w:szCs w:val="20"/>
        </w:rPr>
        <w:t>projects</w:t>
      </w:r>
      <w:r>
        <w:rPr>
          <w:rFonts w:asciiTheme="minorHAnsi" w:hAnsiTheme="minorHAnsi"/>
          <w:szCs w:val="20"/>
        </w:rPr>
        <w:t xml:space="preserve"> </w:t>
      </w:r>
      <w:r w:rsidR="00C36629">
        <w:rPr>
          <w:rFonts w:asciiTheme="minorHAnsi" w:hAnsiTheme="minorHAnsi"/>
          <w:szCs w:val="20"/>
        </w:rPr>
        <w:t>to replace them, resources investment is expect</w:t>
      </w:r>
      <w:r w:rsidR="00095F4D">
        <w:rPr>
          <w:rFonts w:asciiTheme="minorHAnsi" w:hAnsiTheme="minorHAnsi"/>
          <w:szCs w:val="20"/>
        </w:rPr>
        <w:t>ed</w:t>
      </w:r>
      <w:r w:rsidR="00C36629">
        <w:rPr>
          <w:rFonts w:asciiTheme="minorHAnsi" w:hAnsiTheme="minorHAnsi"/>
          <w:szCs w:val="20"/>
        </w:rPr>
        <w:t xml:space="preserve"> to fall by over a third</w:t>
      </w:r>
      <w:r w:rsidR="00095F4D">
        <w:rPr>
          <w:rFonts w:asciiTheme="minorHAnsi" w:hAnsiTheme="minorHAnsi"/>
          <w:szCs w:val="20"/>
        </w:rPr>
        <w:t xml:space="preserve"> in </w:t>
      </w:r>
      <w:r w:rsidR="00597A15">
        <w:rPr>
          <w:rFonts w:asciiTheme="minorHAnsi" w:hAnsiTheme="minorHAnsi"/>
          <w:szCs w:val="20"/>
        </w:rPr>
        <w:br/>
      </w:r>
      <w:r w:rsidR="00095F4D">
        <w:rPr>
          <w:rFonts w:asciiTheme="minorHAnsi" w:hAnsiTheme="minorHAnsi"/>
          <w:szCs w:val="20"/>
        </w:rPr>
        <w:t>2015-16</w:t>
      </w:r>
      <w:r w:rsidR="00243028">
        <w:rPr>
          <w:rFonts w:asciiTheme="minorHAnsi" w:hAnsiTheme="minorHAnsi"/>
          <w:szCs w:val="20"/>
        </w:rPr>
        <w:t xml:space="preserve"> (Chart </w:t>
      </w:r>
      <w:r w:rsidR="00BE48CD">
        <w:rPr>
          <w:rFonts w:asciiTheme="minorHAnsi" w:hAnsiTheme="minorHAnsi"/>
          <w:szCs w:val="20"/>
        </w:rPr>
        <w:t>4</w:t>
      </w:r>
      <w:r w:rsidR="00243028">
        <w:rPr>
          <w:rFonts w:asciiTheme="minorHAnsi" w:hAnsiTheme="minorHAnsi"/>
          <w:szCs w:val="20"/>
        </w:rPr>
        <w:t>)</w:t>
      </w:r>
      <w:r w:rsidR="00C36629">
        <w:rPr>
          <w:rFonts w:asciiTheme="minorHAnsi" w:hAnsiTheme="minorHAnsi"/>
          <w:szCs w:val="20"/>
        </w:rPr>
        <w:t>.</w:t>
      </w:r>
      <w:r w:rsidR="00DD6213">
        <w:rPr>
          <w:rFonts w:asciiTheme="minorHAnsi" w:hAnsiTheme="minorHAnsi"/>
          <w:szCs w:val="20"/>
        </w:rPr>
        <w:t xml:space="preserve"> </w:t>
      </w:r>
      <w:r w:rsidR="00465784">
        <w:rPr>
          <w:rFonts w:asciiTheme="minorHAnsi" w:hAnsiTheme="minorHAnsi"/>
          <w:szCs w:val="20"/>
        </w:rPr>
        <w:t>Net of imports, resources investment is expected to detract around 1 percentage point from overall GDP growth in 2015-16.</w:t>
      </w:r>
    </w:p>
    <w:p w:rsidR="00160B0E" w:rsidRPr="00587BCC" w:rsidRDefault="00160B0E" w:rsidP="00160B0E">
      <w:pPr>
        <w:keepNext/>
        <w:spacing w:after="0"/>
        <w:jc w:val="center"/>
        <w:rPr>
          <w:rFonts w:asciiTheme="minorHAnsi" w:hAnsiTheme="minorHAnsi"/>
          <w:b/>
        </w:rPr>
      </w:pPr>
      <w:r w:rsidRPr="00587BCC">
        <w:rPr>
          <w:rFonts w:asciiTheme="minorHAnsi" w:hAnsiTheme="minorHAnsi"/>
          <w:b/>
        </w:rPr>
        <w:lastRenderedPageBreak/>
        <w:t xml:space="preserve">Chart </w:t>
      </w:r>
      <w:r w:rsidR="00BE48CD">
        <w:rPr>
          <w:rFonts w:asciiTheme="minorHAnsi" w:hAnsiTheme="minorHAnsi"/>
          <w:b/>
        </w:rPr>
        <w:t>4</w:t>
      </w:r>
      <w:r w:rsidRPr="00587BCC">
        <w:rPr>
          <w:rFonts w:asciiTheme="minorHAnsi" w:hAnsiTheme="minorHAnsi"/>
          <w:b/>
        </w:rPr>
        <w:t>: Resources investment</w:t>
      </w:r>
      <w:r w:rsidR="00EB71AB" w:rsidRPr="00587BCC">
        <w:rPr>
          <w:rFonts w:asciiTheme="minorHAnsi" w:hAnsiTheme="minorHAnsi"/>
          <w:b/>
        </w:rPr>
        <w:t xml:space="preserve"> – major projects</w:t>
      </w:r>
    </w:p>
    <w:p w:rsidR="00160B0E" w:rsidRPr="00587BCC" w:rsidRDefault="00E06753" w:rsidP="00160B0E">
      <w:pPr>
        <w:pStyle w:val="ChartGraphic0"/>
        <w:spacing w:after="240"/>
        <w:jc w:val="left"/>
        <w:rPr>
          <w:rFonts w:asciiTheme="minorHAnsi" w:hAnsiTheme="minorHAnsi"/>
        </w:rPr>
      </w:pPr>
      <w:r>
        <w:rPr>
          <w:rFonts w:asciiTheme="minorHAnsi" w:hAnsiTheme="minorHAnsi"/>
        </w:rPr>
        <w:object w:dxaOrig="4500" w:dyaOrig="4530">
          <v:shape id="_x0000_i1028" type="#_x0000_t75" style="width:224.25pt;height:226.5pt" o:ole="">
            <v:imagedata r:id="rId28" o:title=""/>
          </v:shape>
          <o:OLEObject Type="Link" ProgID="Excel.Sheet.12" ShapeID="_x0000_i1028" DrawAspect="Content" r:id="rId29" UpdateMode="Always">
            <o:LinkType>EnhancedMetaFile</o:LinkType>
            <o:LockedField>false</o:LockedField>
          </o:OLEObject>
        </w:object>
      </w:r>
      <w:r w:rsidR="00160B0E" w:rsidRPr="00587BCC">
        <w:rPr>
          <w:rFonts w:asciiTheme="minorHAnsi" w:hAnsiTheme="minorHAnsi"/>
          <w:color w:val="auto"/>
          <w:kern w:val="2"/>
          <w:sz w:val="16"/>
        </w:rPr>
        <w:t>Source:  Treasury.</w:t>
      </w:r>
    </w:p>
    <w:p w:rsidR="008D5C20" w:rsidRPr="00755AF7" w:rsidRDefault="00131214" w:rsidP="008D5C20">
      <w:pPr>
        <w:pStyle w:val="Bullet"/>
        <w:numPr>
          <w:ilvl w:val="0"/>
          <w:numId w:val="0"/>
        </w:numPr>
        <w:rPr>
          <w:rFonts w:asciiTheme="minorHAnsi" w:hAnsiTheme="minorHAnsi"/>
          <w:b/>
          <w:color w:val="0000FF"/>
          <w:sz w:val="24"/>
        </w:rPr>
      </w:pPr>
      <w:r>
        <w:rPr>
          <w:rFonts w:asciiTheme="minorHAnsi" w:hAnsiTheme="minorHAnsi"/>
          <w:b/>
          <w:color w:val="0000FF"/>
          <w:sz w:val="24"/>
        </w:rPr>
        <w:t>As</w:t>
      </w:r>
      <w:r w:rsidR="00E6403D">
        <w:rPr>
          <w:rFonts w:asciiTheme="minorHAnsi" w:hAnsiTheme="minorHAnsi"/>
          <w:b/>
          <w:color w:val="0000FF"/>
          <w:sz w:val="24"/>
        </w:rPr>
        <w:t xml:space="preserve"> </w:t>
      </w:r>
      <w:r>
        <w:rPr>
          <w:rFonts w:asciiTheme="minorHAnsi" w:hAnsiTheme="minorHAnsi"/>
          <w:b/>
          <w:color w:val="0000FF"/>
          <w:sz w:val="24"/>
        </w:rPr>
        <w:t xml:space="preserve">new </w:t>
      </w:r>
      <w:r w:rsidR="009069BA">
        <w:rPr>
          <w:rFonts w:asciiTheme="minorHAnsi" w:hAnsiTheme="minorHAnsi"/>
          <w:b/>
          <w:color w:val="0000FF"/>
          <w:sz w:val="24"/>
        </w:rPr>
        <w:t>LNG exports com</w:t>
      </w:r>
      <w:r w:rsidR="000B2B48">
        <w:rPr>
          <w:rFonts w:asciiTheme="minorHAnsi" w:hAnsiTheme="minorHAnsi"/>
          <w:b/>
          <w:color w:val="0000FF"/>
          <w:sz w:val="24"/>
        </w:rPr>
        <w:t>e</w:t>
      </w:r>
      <w:r w:rsidR="009069BA">
        <w:rPr>
          <w:rFonts w:asciiTheme="minorHAnsi" w:hAnsiTheme="minorHAnsi"/>
          <w:b/>
          <w:color w:val="0000FF"/>
          <w:sz w:val="24"/>
        </w:rPr>
        <w:t xml:space="preserve"> online</w:t>
      </w:r>
      <w:r w:rsidR="002802CA">
        <w:rPr>
          <w:rFonts w:asciiTheme="minorHAnsi" w:hAnsiTheme="minorHAnsi"/>
          <w:b/>
          <w:color w:val="0000FF"/>
          <w:sz w:val="24"/>
        </w:rPr>
        <w:t>…</w:t>
      </w:r>
    </w:p>
    <w:p w:rsidR="00C36629" w:rsidRDefault="00C36629" w:rsidP="00C36629">
      <w:pPr>
        <w:pStyle w:val="Bullet"/>
        <w:numPr>
          <w:ilvl w:val="0"/>
          <w:numId w:val="0"/>
        </w:numPr>
        <w:rPr>
          <w:rFonts w:asciiTheme="minorHAnsi" w:eastAsiaTheme="minorEastAsia" w:hAnsiTheme="minorHAnsi"/>
          <w:kern w:val="2"/>
          <w:szCs w:val="20"/>
          <w:lang w:eastAsia="ja-JP"/>
        </w:rPr>
      </w:pPr>
      <w:r>
        <w:rPr>
          <w:rFonts w:asciiTheme="minorHAnsi" w:eastAsiaTheme="minorEastAsia" w:hAnsiTheme="minorHAnsi"/>
          <w:kern w:val="2"/>
          <w:szCs w:val="20"/>
          <w:lang w:eastAsia="ja-JP"/>
        </w:rPr>
        <w:t>As investment in LNG projects winds down, LNG exports are expected to grow rapidly. LNG exports are expected to</w:t>
      </w:r>
      <w:r w:rsidR="00B507A9">
        <w:rPr>
          <w:rFonts w:asciiTheme="minorHAnsi" w:eastAsiaTheme="minorEastAsia" w:hAnsiTheme="minorHAnsi"/>
          <w:kern w:val="2"/>
          <w:szCs w:val="20"/>
          <w:lang w:eastAsia="ja-JP"/>
        </w:rPr>
        <w:t xml:space="preserve"> more than double in 2015-16, adding over </w:t>
      </w:r>
      <w:r w:rsidR="00CC09EF">
        <w:rPr>
          <w:rFonts w:asciiTheme="minorHAnsi" w:eastAsiaTheme="minorEastAsia" w:hAnsiTheme="minorHAnsi"/>
          <w:kern w:val="2"/>
          <w:szCs w:val="20"/>
          <w:lang w:eastAsia="ja-JP"/>
        </w:rPr>
        <w:t>½ of a</w:t>
      </w:r>
      <w:r>
        <w:rPr>
          <w:rFonts w:asciiTheme="minorHAnsi" w:eastAsiaTheme="minorEastAsia" w:hAnsiTheme="minorHAnsi"/>
          <w:kern w:val="2"/>
          <w:szCs w:val="20"/>
          <w:lang w:eastAsia="ja-JP"/>
        </w:rPr>
        <w:t xml:space="preserve"> percentage poin</w:t>
      </w:r>
      <w:r w:rsidR="00B507A9">
        <w:rPr>
          <w:rFonts w:asciiTheme="minorHAnsi" w:eastAsiaTheme="minorEastAsia" w:hAnsiTheme="minorHAnsi"/>
          <w:kern w:val="2"/>
          <w:szCs w:val="20"/>
          <w:lang w:eastAsia="ja-JP"/>
        </w:rPr>
        <w:t>t</w:t>
      </w:r>
      <w:r>
        <w:rPr>
          <w:rFonts w:asciiTheme="minorHAnsi" w:eastAsiaTheme="minorEastAsia" w:hAnsiTheme="minorHAnsi"/>
          <w:kern w:val="2"/>
          <w:szCs w:val="20"/>
          <w:lang w:eastAsia="ja-JP"/>
        </w:rPr>
        <w:t xml:space="preserve"> to real GDP growth</w:t>
      </w:r>
      <w:r w:rsidR="00243028">
        <w:rPr>
          <w:rFonts w:asciiTheme="minorHAnsi" w:eastAsiaTheme="minorEastAsia" w:hAnsiTheme="minorHAnsi"/>
          <w:kern w:val="2"/>
          <w:szCs w:val="20"/>
          <w:lang w:eastAsia="ja-JP"/>
        </w:rPr>
        <w:t xml:space="preserve"> (Chart </w:t>
      </w:r>
      <w:r w:rsidR="00BE48CD">
        <w:rPr>
          <w:rFonts w:asciiTheme="minorHAnsi" w:eastAsiaTheme="minorEastAsia" w:hAnsiTheme="minorHAnsi"/>
          <w:kern w:val="2"/>
          <w:szCs w:val="20"/>
          <w:lang w:eastAsia="ja-JP"/>
        </w:rPr>
        <w:t>5</w:t>
      </w:r>
      <w:r w:rsidR="00243028">
        <w:rPr>
          <w:rFonts w:asciiTheme="minorHAnsi" w:eastAsiaTheme="minorEastAsia" w:hAnsiTheme="minorHAnsi"/>
          <w:kern w:val="2"/>
          <w:szCs w:val="20"/>
          <w:lang w:eastAsia="ja-JP"/>
        </w:rPr>
        <w:t>)</w:t>
      </w:r>
      <w:r>
        <w:rPr>
          <w:rFonts w:asciiTheme="minorHAnsi" w:eastAsiaTheme="minorEastAsia" w:hAnsiTheme="minorHAnsi"/>
          <w:kern w:val="2"/>
          <w:szCs w:val="20"/>
          <w:lang w:eastAsia="ja-JP"/>
        </w:rPr>
        <w:t xml:space="preserve">. </w:t>
      </w:r>
      <w:r w:rsidR="00B507A9">
        <w:rPr>
          <w:rFonts w:asciiTheme="minorHAnsi" w:eastAsiaTheme="minorEastAsia" w:hAnsiTheme="minorHAnsi"/>
          <w:kern w:val="2"/>
          <w:szCs w:val="20"/>
          <w:lang w:eastAsia="ja-JP"/>
        </w:rPr>
        <w:t xml:space="preserve">Combined with continuing strong growth in iron ore and higher coal exports, </w:t>
      </w:r>
      <w:r w:rsidR="00E722E8">
        <w:rPr>
          <w:rFonts w:asciiTheme="minorHAnsi" w:eastAsiaTheme="minorEastAsia" w:hAnsiTheme="minorHAnsi"/>
          <w:kern w:val="2"/>
          <w:szCs w:val="20"/>
          <w:lang w:eastAsia="ja-JP"/>
        </w:rPr>
        <w:t xml:space="preserve">increasing </w:t>
      </w:r>
      <w:r w:rsidR="00CC09EF">
        <w:rPr>
          <w:rFonts w:asciiTheme="minorHAnsi" w:eastAsiaTheme="minorEastAsia" w:hAnsiTheme="minorHAnsi"/>
          <w:kern w:val="2"/>
          <w:szCs w:val="20"/>
          <w:lang w:eastAsia="ja-JP"/>
        </w:rPr>
        <w:t>resources</w:t>
      </w:r>
      <w:r w:rsidR="00B507A9">
        <w:rPr>
          <w:rFonts w:asciiTheme="minorHAnsi" w:eastAsiaTheme="minorEastAsia" w:hAnsiTheme="minorHAnsi"/>
          <w:kern w:val="2"/>
          <w:szCs w:val="20"/>
          <w:lang w:eastAsia="ja-JP"/>
        </w:rPr>
        <w:t xml:space="preserve"> exports </w:t>
      </w:r>
      <w:r w:rsidR="00777938">
        <w:rPr>
          <w:rFonts w:asciiTheme="minorHAnsi" w:eastAsiaTheme="minorEastAsia" w:hAnsiTheme="minorHAnsi"/>
          <w:kern w:val="2"/>
          <w:szCs w:val="20"/>
          <w:lang w:eastAsia="ja-JP"/>
        </w:rPr>
        <w:t xml:space="preserve">are expected to </w:t>
      </w:r>
      <w:r w:rsidR="003A0C9E">
        <w:rPr>
          <w:rFonts w:asciiTheme="minorHAnsi" w:eastAsiaTheme="minorEastAsia" w:hAnsiTheme="minorHAnsi"/>
          <w:kern w:val="2"/>
          <w:szCs w:val="20"/>
          <w:lang w:eastAsia="ja-JP"/>
        </w:rPr>
        <w:t>contribute a 1</w:t>
      </w:r>
      <w:r w:rsidR="00CC09EF">
        <w:rPr>
          <w:rFonts w:asciiTheme="minorHAnsi" w:eastAsiaTheme="minorEastAsia" w:hAnsiTheme="minorHAnsi"/>
          <w:kern w:val="2"/>
          <w:szCs w:val="20"/>
          <w:lang w:eastAsia="ja-JP"/>
        </w:rPr>
        <w:t>¼</w:t>
      </w:r>
      <w:r w:rsidR="003A0C9E">
        <w:rPr>
          <w:rFonts w:asciiTheme="minorHAnsi" w:eastAsiaTheme="minorEastAsia" w:hAnsiTheme="minorHAnsi"/>
          <w:kern w:val="2"/>
          <w:szCs w:val="20"/>
          <w:lang w:eastAsia="ja-JP"/>
        </w:rPr>
        <w:t xml:space="preserve"> percentage points to real GDP growth</w:t>
      </w:r>
      <w:r w:rsidR="00CC09EF">
        <w:rPr>
          <w:rFonts w:asciiTheme="minorHAnsi" w:eastAsiaTheme="minorEastAsia" w:hAnsiTheme="minorHAnsi"/>
          <w:kern w:val="2"/>
          <w:szCs w:val="20"/>
          <w:lang w:eastAsia="ja-JP"/>
        </w:rPr>
        <w:t xml:space="preserve"> in 2015-16</w:t>
      </w:r>
      <w:r w:rsidR="00B507A9">
        <w:rPr>
          <w:rFonts w:asciiTheme="minorHAnsi" w:eastAsiaTheme="minorEastAsia" w:hAnsiTheme="minorHAnsi"/>
          <w:kern w:val="2"/>
          <w:szCs w:val="20"/>
          <w:lang w:eastAsia="ja-JP"/>
        </w:rPr>
        <w:t>.</w:t>
      </w:r>
    </w:p>
    <w:p w:rsidR="00525758" w:rsidRPr="00587BCC" w:rsidRDefault="00525758" w:rsidP="00525758">
      <w:pPr>
        <w:keepNext/>
        <w:spacing w:after="0"/>
        <w:jc w:val="center"/>
        <w:rPr>
          <w:rFonts w:asciiTheme="minorHAnsi" w:hAnsiTheme="minorHAnsi"/>
          <w:b/>
        </w:rPr>
      </w:pPr>
      <w:r w:rsidRPr="00587BCC">
        <w:rPr>
          <w:rFonts w:asciiTheme="minorHAnsi" w:hAnsiTheme="minorHAnsi"/>
          <w:b/>
        </w:rPr>
        <w:t xml:space="preserve">Chart </w:t>
      </w:r>
      <w:r w:rsidR="00BE48CD">
        <w:rPr>
          <w:rFonts w:asciiTheme="minorHAnsi" w:hAnsiTheme="minorHAnsi"/>
          <w:b/>
        </w:rPr>
        <w:t>5</w:t>
      </w:r>
      <w:r w:rsidRPr="00587BCC">
        <w:rPr>
          <w:rFonts w:asciiTheme="minorHAnsi" w:hAnsiTheme="minorHAnsi"/>
          <w:b/>
        </w:rPr>
        <w:t>: Resources exports</w:t>
      </w:r>
    </w:p>
    <w:p w:rsidR="00525758" w:rsidRPr="00447C2F" w:rsidRDefault="00CC09EF" w:rsidP="00525758">
      <w:pPr>
        <w:pStyle w:val="TableGraphic0"/>
        <w:spacing w:after="240"/>
        <w:rPr>
          <w:rFonts w:asciiTheme="minorHAnsi" w:eastAsia="SimSun" w:hAnsiTheme="minorHAnsi" w:cs="Arial"/>
          <w:kern w:val="2"/>
          <w:sz w:val="16"/>
          <w:szCs w:val="24"/>
          <w:lang w:eastAsia="en-US"/>
        </w:rPr>
      </w:pPr>
      <w:r>
        <w:rPr>
          <w:rFonts w:asciiTheme="minorHAnsi" w:hAnsiTheme="minorHAnsi"/>
          <w:noProof/>
        </w:rPr>
        <w:object w:dxaOrig="4546" w:dyaOrig="4515">
          <v:shape id="_x0000_i1029" type="#_x0000_t75" style="width:227.25pt;height:225.75pt" o:ole="">
            <v:imagedata r:id="rId30" o:title=""/>
          </v:shape>
          <o:OLEObject Type="Link" ProgID="Excel.Sheet.12" ShapeID="_x0000_i1029" DrawAspect="Content" r:id="rId31" UpdateMode="Always">
            <o:LinkType>EnhancedMetaFile</o:LinkType>
            <o:LockedField>false</o:LockedField>
          </o:OLEObject>
        </w:object>
      </w:r>
      <w:r w:rsidR="00525758" w:rsidRPr="00447C2F">
        <w:rPr>
          <w:rFonts w:asciiTheme="minorHAnsi" w:eastAsia="SimSun" w:hAnsiTheme="minorHAnsi" w:cs="Arial"/>
          <w:kern w:val="2"/>
          <w:sz w:val="16"/>
          <w:szCs w:val="24"/>
          <w:lang w:eastAsia="en-US"/>
        </w:rPr>
        <w:t xml:space="preserve">Source:  ABS </w:t>
      </w:r>
      <w:r w:rsidR="003B3813">
        <w:rPr>
          <w:rFonts w:asciiTheme="minorHAnsi" w:eastAsia="SimSun" w:hAnsiTheme="minorHAnsi" w:cs="Arial"/>
          <w:kern w:val="2"/>
          <w:sz w:val="16"/>
          <w:szCs w:val="24"/>
          <w:lang w:eastAsia="en-US"/>
        </w:rPr>
        <w:t>data</w:t>
      </w:r>
      <w:r w:rsidR="00525758" w:rsidRPr="00447C2F">
        <w:rPr>
          <w:rFonts w:asciiTheme="minorHAnsi" w:eastAsia="SimSun" w:hAnsiTheme="minorHAnsi" w:cs="Arial"/>
          <w:kern w:val="2"/>
          <w:sz w:val="16"/>
          <w:szCs w:val="24"/>
          <w:lang w:eastAsia="en-US"/>
        </w:rPr>
        <w:t xml:space="preserve"> and Treasury.</w:t>
      </w:r>
    </w:p>
    <w:p w:rsidR="00BE48CD" w:rsidRDefault="00BE48CD" w:rsidP="00D43107">
      <w:pPr>
        <w:pStyle w:val="Bullet"/>
        <w:numPr>
          <w:ilvl w:val="0"/>
          <w:numId w:val="0"/>
        </w:numPr>
        <w:spacing w:line="240" w:lineRule="auto"/>
        <w:rPr>
          <w:rFonts w:asciiTheme="minorHAnsi" w:hAnsiTheme="minorHAnsi"/>
          <w:b/>
          <w:color w:val="0000FF"/>
          <w:sz w:val="24"/>
        </w:rPr>
      </w:pPr>
    </w:p>
    <w:p w:rsidR="00CC32E5" w:rsidRDefault="00CC32E5" w:rsidP="00D43107">
      <w:pPr>
        <w:pStyle w:val="Bullet"/>
        <w:numPr>
          <w:ilvl w:val="0"/>
          <w:numId w:val="0"/>
        </w:numPr>
        <w:spacing w:line="240" w:lineRule="auto"/>
        <w:rPr>
          <w:rFonts w:asciiTheme="minorHAnsi" w:hAnsiTheme="minorHAnsi"/>
          <w:b/>
          <w:color w:val="0000FF"/>
          <w:sz w:val="24"/>
        </w:rPr>
      </w:pPr>
    </w:p>
    <w:p w:rsidR="00D43107" w:rsidRPr="00755AF7" w:rsidRDefault="00D43107" w:rsidP="00D43107">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lastRenderedPageBreak/>
        <w:t>…a</w:t>
      </w:r>
      <w:r w:rsidR="00131214">
        <w:rPr>
          <w:rFonts w:asciiTheme="minorHAnsi" w:hAnsiTheme="minorHAnsi"/>
          <w:b/>
          <w:color w:val="0000FF"/>
          <w:sz w:val="24"/>
        </w:rPr>
        <w:t>nd</w:t>
      </w:r>
      <w:r>
        <w:rPr>
          <w:rFonts w:asciiTheme="minorHAnsi" w:hAnsiTheme="minorHAnsi"/>
          <w:b/>
          <w:color w:val="0000FF"/>
          <w:sz w:val="24"/>
        </w:rPr>
        <w:t xml:space="preserve"> h</w:t>
      </w:r>
      <w:r w:rsidRPr="00755AF7">
        <w:rPr>
          <w:rFonts w:asciiTheme="minorHAnsi" w:hAnsiTheme="minorHAnsi"/>
          <w:b/>
          <w:color w:val="0000FF"/>
          <w:sz w:val="24"/>
        </w:rPr>
        <w:t>ousehold</w:t>
      </w:r>
      <w:r>
        <w:rPr>
          <w:rFonts w:asciiTheme="minorHAnsi" w:hAnsiTheme="minorHAnsi"/>
          <w:b/>
          <w:color w:val="0000FF"/>
          <w:sz w:val="24"/>
        </w:rPr>
        <w:t xml:space="preserve"> </w:t>
      </w:r>
      <w:r w:rsidR="00525758">
        <w:rPr>
          <w:rFonts w:asciiTheme="minorHAnsi" w:hAnsiTheme="minorHAnsi"/>
          <w:b/>
          <w:color w:val="0000FF"/>
          <w:sz w:val="24"/>
        </w:rPr>
        <w:t>consumption</w:t>
      </w:r>
      <w:r w:rsidRPr="00755AF7">
        <w:rPr>
          <w:rFonts w:asciiTheme="minorHAnsi" w:hAnsiTheme="minorHAnsi"/>
          <w:b/>
          <w:color w:val="0000FF"/>
          <w:sz w:val="24"/>
        </w:rPr>
        <w:t xml:space="preserve"> </w:t>
      </w:r>
      <w:r>
        <w:rPr>
          <w:rFonts w:asciiTheme="minorHAnsi" w:hAnsiTheme="minorHAnsi"/>
          <w:b/>
          <w:color w:val="0000FF"/>
          <w:sz w:val="24"/>
        </w:rPr>
        <w:t>picks up</w:t>
      </w:r>
    </w:p>
    <w:p w:rsidR="00F7379B" w:rsidRDefault="008D3477" w:rsidP="00D43107">
      <w:pPr>
        <w:pStyle w:val="Bullet"/>
        <w:numPr>
          <w:ilvl w:val="0"/>
          <w:numId w:val="0"/>
        </w:numPr>
        <w:rPr>
          <w:rFonts w:asciiTheme="minorHAnsi" w:hAnsiTheme="minorHAnsi"/>
          <w:szCs w:val="20"/>
        </w:rPr>
      </w:pPr>
      <w:r>
        <w:rPr>
          <w:rFonts w:asciiTheme="minorHAnsi" w:hAnsiTheme="minorHAnsi"/>
          <w:szCs w:val="20"/>
        </w:rPr>
        <w:t>While t</w:t>
      </w:r>
      <w:r w:rsidR="00207E1F">
        <w:rPr>
          <w:rFonts w:asciiTheme="minorHAnsi" w:hAnsiTheme="minorHAnsi"/>
          <w:szCs w:val="20"/>
        </w:rPr>
        <w:t xml:space="preserve">he recent improvement in retail </w:t>
      </w:r>
      <w:r w:rsidR="000E6BD6">
        <w:rPr>
          <w:rFonts w:asciiTheme="minorHAnsi" w:hAnsiTheme="minorHAnsi"/>
          <w:szCs w:val="20"/>
        </w:rPr>
        <w:t>sales</w:t>
      </w:r>
      <w:r w:rsidR="00207E1F">
        <w:rPr>
          <w:rFonts w:asciiTheme="minorHAnsi" w:hAnsiTheme="minorHAnsi"/>
          <w:szCs w:val="20"/>
        </w:rPr>
        <w:t xml:space="preserve"> has been encouraging</w:t>
      </w:r>
      <w:r>
        <w:rPr>
          <w:rFonts w:asciiTheme="minorHAnsi" w:hAnsiTheme="minorHAnsi"/>
          <w:szCs w:val="20"/>
        </w:rPr>
        <w:t>,</w:t>
      </w:r>
      <w:r w:rsidR="000703AC">
        <w:rPr>
          <w:rFonts w:asciiTheme="minorHAnsi" w:hAnsiTheme="minorHAnsi"/>
          <w:szCs w:val="20"/>
        </w:rPr>
        <w:t xml:space="preserve"> sale volumes in the December quarter were only consistent with</w:t>
      </w:r>
      <w:r>
        <w:rPr>
          <w:rFonts w:asciiTheme="minorHAnsi" w:hAnsiTheme="minorHAnsi"/>
          <w:szCs w:val="20"/>
        </w:rPr>
        <w:t xml:space="preserve"> around</w:t>
      </w:r>
      <w:r w:rsidR="000703AC">
        <w:rPr>
          <w:rFonts w:asciiTheme="minorHAnsi" w:hAnsiTheme="minorHAnsi"/>
          <w:szCs w:val="20"/>
        </w:rPr>
        <w:t xml:space="preserve"> trend growth. R</w:t>
      </w:r>
      <w:r w:rsidR="000E6BD6">
        <w:rPr>
          <w:rFonts w:asciiTheme="minorHAnsi" w:hAnsiTheme="minorHAnsi"/>
          <w:szCs w:val="20"/>
        </w:rPr>
        <w:t xml:space="preserve">etail </w:t>
      </w:r>
      <w:r>
        <w:rPr>
          <w:rFonts w:asciiTheme="minorHAnsi" w:hAnsiTheme="minorHAnsi"/>
          <w:szCs w:val="20"/>
        </w:rPr>
        <w:t>sales</w:t>
      </w:r>
      <w:r w:rsidR="00F7379B">
        <w:rPr>
          <w:rFonts w:asciiTheme="minorHAnsi" w:hAnsiTheme="minorHAnsi"/>
          <w:szCs w:val="20"/>
        </w:rPr>
        <w:t xml:space="preserve"> and broader household consumption will need to gather further momentum to provide the necessary boost to </w:t>
      </w:r>
      <w:r w:rsidR="00FE29F2">
        <w:rPr>
          <w:rFonts w:asciiTheme="minorHAnsi" w:hAnsiTheme="minorHAnsi"/>
          <w:szCs w:val="20"/>
        </w:rPr>
        <w:t>support the transition to broad-based growth</w:t>
      </w:r>
      <w:r w:rsidR="00F7379B">
        <w:rPr>
          <w:rFonts w:asciiTheme="minorHAnsi" w:hAnsiTheme="minorHAnsi"/>
          <w:szCs w:val="20"/>
        </w:rPr>
        <w:t>.</w:t>
      </w:r>
    </w:p>
    <w:p w:rsidR="000E6BD6" w:rsidRDefault="00D43107" w:rsidP="00D43107">
      <w:pPr>
        <w:pStyle w:val="Bullet"/>
        <w:numPr>
          <w:ilvl w:val="0"/>
          <w:numId w:val="0"/>
        </w:numPr>
        <w:rPr>
          <w:rFonts w:asciiTheme="minorHAnsi" w:hAnsiTheme="minorHAnsi"/>
          <w:szCs w:val="20"/>
        </w:rPr>
      </w:pPr>
      <w:r>
        <w:rPr>
          <w:rFonts w:asciiTheme="minorHAnsi" w:hAnsiTheme="minorHAnsi"/>
          <w:szCs w:val="20"/>
        </w:rPr>
        <w:t xml:space="preserve">In 2015-16, a stabilising labour market and </w:t>
      </w:r>
      <w:r w:rsidR="00DB2CF3">
        <w:rPr>
          <w:rFonts w:asciiTheme="minorHAnsi" w:hAnsiTheme="minorHAnsi"/>
          <w:szCs w:val="20"/>
        </w:rPr>
        <w:t xml:space="preserve">the accumulation of sustained gains in </w:t>
      </w:r>
      <w:r>
        <w:rPr>
          <w:rFonts w:asciiTheme="minorHAnsi" w:hAnsiTheme="minorHAnsi"/>
          <w:szCs w:val="20"/>
        </w:rPr>
        <w:t>household wealth are expected to support increased consumer spending.</w:t>
      </w:r>
      <w:r w:rsidRPr="00447C2F">
        <w:rPr>
          <w:rFonts w:asciiTheme="minorHAnsi" w:hAnsiTheme="minorHAnsi"/>
          <w:szCs w:val="20"/>
        </w:rPr>
        <w:t xml:space="preserve"> </w:t>
      </w:r>
      <w:r w:rsidR="00CC32E5">
        <w:rPr>
          <w:rFonts w:asciiTheme="minorHAnsi" w:hAnsiTheme="minorHAnsi"/>
          <w:szCs w:val="20"/>
        </w:rPr>
        <w:t>H</w:t>
      </w:r>
      <w:r w:rsidRPr="00F33530">
        <w:rPr>
          <w:rFonts w:asciiTheme="minorHAnsi" w:hAnsiTheme="minorHAnsi"/>
          <w:szCs w:val="20"/>
        </w:rPr>
        <w:t>ousehold consumptio</w:t>
      </w:r>
      <w:r>
        <w:rPr>
          <w:rFonts w:asciiTheme="minorHAnsi" w:hAnsiTheme="minorHAnsi"/>
          <w:szCs w:val="20"/>
        </w:rPr>
        <w:t>n grow</w:t>
      </w:r>
      <w:r w:rsidR="000E6BD6">
        <w:rPr>
          <w:rFonts w:asciiTheme="minorHAnsi" w:hAnsiTheme="minorHAnsi"/>
          <w:szCs w:val="20"/>
        </w:rPr>
        <w:t xml:space="preserve">th is expected to </w:t>
      </w:r>
      <w:r w:rsidR="00CC32E5">
        <w:rPr>
          <w:rFonts w:asciiTheme="minorHAnsi" w:hAnsiTheme="minorHAnsi"/>
          <w:szCs w:val="20"/>
        </w:rPr>
        <w:t>pick up to</w:t>
      </w:r>
      <w:r>
        <w:rPr>
          <w:rFonts w:asciiTheme="minorHAnsi" w:hAnsiTheme="minorHAnsi"/>
          <w:szCs w:val="20"/>
        </w:rPr>
        <w:t xml:space="preserve"> 3</w:t>
      </w:r>
      <w:r w:rsidR="00CC32E5">
        <w:rPr>
          <w:rFonts w:asciiTheme="minorHAnsi" w:hAnsiTheme="minorHAnsi"/>
          <w:szCs w:val="20"/>
        </w:rPr>
        <w:t>¼ in 2015-16</w:t>
      </w:r>
      <w:r w:rsidR="003A0C9E">
        <w:rPr>
          <w:rFonts w:asciiTheme="minorHAnsi" w:hAnsiTheme="minorHAnsi"/>
          <w:szCs w:val="20"/>
        </w:rPr>
        <w:t xml:space="preserve"> </w:t>
      </w:r>
      <w:r w:rsidR="00671FF0">
        <w:rPr>
          <w:rFonts w:asciiTheme="minorHAnsi" w:hAnsiTheme="minorHAnsi"/>
          <w:szCs w:val="20"/>
        </w:rPr>
        <w:t xml:space="preserve">(Chart </w:t>
      </w:r>
      <w:r w:rsidR="00BE48CD">
        <w:rPr>
          <w:rFonts w:asciiTheme="minorHAnsi" w:hAnsiTheme="minorHAnsi"/>
          <w:szCs w:val="20"/>
        </w:rPr>
        <w:t>6</w:t>
      </w:r>
      <w:r w:rsidR="00671FF0">
        <w:rPr>
          <w:rFonts w:asciiTheme="minorHAnsi" w:hAnsiTheme="minorHAnsi"/>
          <w:szCs w:val="20"/>
        </w:rPr>
        <w:t>)</w:t>
      </w:r>
      <w:r w:rsidR="000E6BD6">
        <w:rPr>
          <w:rFonts w:asciiTheme="minorHAnsi" w:hAnsiTheme="minorHAnsi"/>
          <w:szCs w:val="20"/>
        </w:rPr>
        <w:t xml:space="preserve">. </w:t>
      </w:r>
    </w:p>
    <w:p w:rsidR="002A208C" w:rsidRPr="00587BCC" w:rsidRDefault="002A208C" w:rsidP="002A208C">
      <w:pPr>
        <w:keepNext/>
        <w:spacing w:after="0"/>
        <w:jc w:val="center"/>
        <w:rPr>
          <w:rFonts w:asciiTheme="minorHAnsi" w:hAnsiTheme="minorHAnsi"/>
          <w:b/>
        </w:rPr>
      </w:pPr>
      <w:r w:rsidRPr="00587BCC">
        <w:rPr>
          <w:rFonts w:asciiTheme="minorHAnsi" w:hAnsiTheme="minorHAnsi"/>
          <w:b/>
        </w:rPr>
        <w:t xml:space="preserve">Chart </w:t>
      </w:r>
      <w:r w:rsidR="00BE48CD">
        <w:rPr>
          <w:rFonts w:asciiTheme="minorHAnsi" w:hAnsiTheme="minorHAnsi"/>
          <w:b/>
        </w:rPr>
        <w:t>6</w:t>
      </w:r>
      <w:r w:rsidRPr="00587BCC">
        <w:rPr>
          <w:rFonts w:asciiTheme="minorHAnsi" w:hAnsiTheme="minorHAnsi"/>
          <w:b/>
        </w:rPr>
        <w:t xml:space="preserve">: </w:t>
      </w:r>
      <w:r>
        <w:rPr>
          <w:rFonts w:asciiTheme="minorHAnsi" w:hAnsiTheme="minorHAnsi"/>
          <w:b/>
        </w:rPr>
        <w:t>Household consumption growth</w:t>
      </w:r>
    </w:p>
    <w:p w:rsidR="002A208C" w:rsidRPr="00447C2F" w:rsidRDefault="00457E7B" w:rsidP="002A208C">
      <w:pPr>
        <w:pStyle w:val="TableGraphic0"/>
        <w:spacing w:after="240"/>
        <w:rPr>
          <w:rFonts w:asciiTheme="minorHAnsi" w:eastAsia="SimSun" w:hAnsiTheme="minorHAnsi" w:cs="Arial"/>
          <w:kern w:val="2"/>
          <w:sz w:val="16"/>
          <w:szCs w:val="24"/>
          <w:lang w:eastAsia="en-US"/>
        </w:rPr>
      </w:pPr>
      <w:r>
        <w:rPr>
          <w:rFonts w:asciiTheme="minorHAnsi" w:eastAsia="SimSun" w:hAnsiTheme="minorHAnsi" w:cs="Arial"/>
          <w:kern w:val="2"/>
          <w:sz w:val="16"/>
          <w:szCs w:val="24"/>
          <w:lang w:eastAsia="en-US"/>
        </w:rPr>
        <w:object w:dxaOrig="4516" w:dyaOrig="4515">
          <v:shape id="_x0000_i1030" type="#_x0000_t75" style="width:225.75pt;height:225.75pt" o:ole="">
            <v:imagedata r:id="rId32" o:title=""/>
          </v:shape>
          <o:OLEObject Type="Link" ProgID="Excel.Sheet.12" ShapeID="_x0000_i1030" DrawAspect="Content" r:id="rId33" UpdateMode="Always">
            <o:LinkType>EnhancedMetaFile</o:LinkType>
            <o:LockedField>false</o:LockedField>
          </o:OLEObject>
        </w:object>
      </w:r>
      <w:r w:rsidR="002A208C" w:rsidRPr="00447C2F">
        <w:rPr>
          <w:rFonts w:asciiTheme="minorHAnsi" w:eastAsia="SimSun" w:hAnsiTheme="minorHAnsi" w:cs="Arial"/>
          <w:kern w:val="2"/>
          <w:sz w:val="16"/>
          <w:szCs w:val="24"/>
          <w:lang w:eastAsia="en-US"/>
        </w:rPr>
        <w:t xml:space="preserve">Source:  ABS cat. </w:t>
      </w:r>
      <w:proofErr w:type="gramStart"/>
      <w:r w:rsidR="002A208C" w:rsidRPr="00447C2F">
        <w:rPr>
          <w:rFonts w:asciiTheme="minorHAnsi" w:eastAsia="SimSun" w:hAnsiTheme="minorHAnsi" w:cs="Arial"/>
          <w:kern w:val="2"/>
          <w:sz w:val="16"/>
          <w:szCs w:val="24"/>
          <w:lang w:eastAsia="en-US"/>
        </w:rPr>
        <w:t>no</w:t>
      </w:r>
      <w:proofErr w:type="gramEnd"/>
      <w:r w:rsidR="002A208C" w:rsidRPr="00447C2F">
        <w:rPr>
          <w:rFonts w:asciiTheme="minorHAnsi" w:eastAsia="SimSun" w:hAnsiTheme="minorHAnsi" w:cs="Arial"/>
          <w:kern w:val="2"/>
          <w:sz w:val="16"/>
          <w:szCs w:val="24"/>
          <w:lang w:eastAsia="en-US"/>
        </w:rPr>
        <w:t xml:space="preserve">. </w:t>
      </w:r>
      <w:r w:rsidR="002A208C">
        <w:rPr>
          <w:rFonts w:asciiTheme="minorHAnsi" w:eastAsia="SimSun" w:hAnsiTheme="minorHAnsi" w:cs="Arial"/>
          <w:kern w:val="2"/>
          <w:sz w:val="16"/>
          <w:szCs w:val="24"/>
          <w:lang w:eastAsia="en-US"/>
        </w:rPr>
        <w:t>5206.0</w:t>
      </w:r>
      <w:r w:rsidR="002A208C" w:rsidRPr="00447C2F">
        <w:rPr>
          <w:rFonts w:asciiTheme="minorHAnsi" w:eastAsia="SimSun" w:hAnsiTheme="minorHAnsi" w:cs="Arial"/>
          <w:kern w:val="2"/>
          <w:sz w:val="16"/>
          <w:szCs w:val="24"/>
          <w:lang w:eastAsia="en-US"/>
        </w:rPr>
        <w:t xml:space="preserve">  and Treasury.</w:t>
      </w:r>
    </w:p>
    <w:p w:rsidR="00D43107" w:rsidRDefault="000E6BD6" w:rsidP="00D43107">
      <w:pPr>
        <w:pStyle w:val="Bullet"/>
        <w:numPr>
          <w:ilvl w:val="0"/>
          <w:numId w:val="0"/>
        </w:numPr>
        <w:rPr>
          <w:rFonts w:asciiTheme="minorHAnsi" w:hAnsiTheme="minorHAnsi"/>
          <w:szCs w:val="20"/>
        </w:rPr>
      </w:pPr>
      <w:r>
        <w:rPr>
          <w:rFonts w:asciiTheme="minorHAnsi" w:hAnsiTheme="minorHAnsi"/>
          <w:szCs w:val="20"/>
        </w:rPr>
        <w:t>T</w:t>
      </w:r>
      <w:r w:rsidR="00F7379B">
        <w:rPr>
          <w:rFonts w:asciiTheme="minorHAnsi" w:hAnsiTheme="minorHAnsi"/>
          <w:szCs w:val="20"/>
        </w:rPr>
        <w:t>here are significant risks around</w:t>
      </w:r>
      <w:r w:rsidR="00A071C8">
        <w:rPr>
          <w:rFonts w:asciiTheme="minorHAnsi" w:hAnsiTheme="minorHAnsi"/>
          <w:szCs w:val="20"/>
        </w:rPr>
        <w:t xml:space="preserve"> the pace of recovery in consumption</w:t>
      </w:r>
      <w:r>
        <w:rPr>
          <w:rFonts w:asciiTheme="minorHAnsi" w:hAnsiTheme="minorHAnsi"/>
          <w:szCs w:val="20"/>
        </w:rPr>
        <w:t xml:space="preserve">. </w:t>
      </w:r>
      <w:r w:rsidR="00A66887">
        <w:rPr>
          <w:rFonts w:asciiTheme="minorHAnsi" w:hAnsiTheme="minorHAnsi"/>
          <w:szCs w:val="20"/>
        </w:rPr>
        <w:t>S</w:t>
      </w:r>
      <w:r w:rsidR="000916F6">
        <w:rPr>
          <w:rFonts w:asciiTheme="minorHAnsi" w:hAnsiTheme="minorHAnsi"/>
          <w:szCs w:val="20"/>
        </w:rPr>
        <w:t>hould the current weakness in the labour market persist and consumers continue to exercise caution</w:t>
      </w:r>
      <w:r w:rsidR="00AF7761">
        <w:rPr>
          <w:rFonts w:asciiTheme="minorHAnsi" w:hAnsiTheme="minorHAnsi"/>
          <w:szCs w:val="20"/>
        </w:rPr>
        <w:t>, consumption growth may remain soft. However,</w:t>
      </w:r>
      <w:r w:rsidR="00F7379B">
        <w:rPr>
          <w:rFonts w:asciiTheme="minorHAnsi" w:hAnsiTheme="minorHAnsi"/>
          <w:szCs w:val="20"/>
        </w:rPr>
        <w:t xml:space="preserve"> should labour market conditions</w:t>
      </w:r>
      <w:r>
        <w:rPr>
          <w:rFonts w:asciiTheme="minorHAnsi" w:hAnsiTheme="minorHAnsi"/>
          <w:szCs w:val="20"/>
        </w:rPr>
        <w:t xml:space="preserve"> prove to be stronger than expected</w:t>
      </w:r>
      <w:r w:rsidR="00F7379B">
        <w:rPr>
          <w:rFonts w:asciiTheme="minorHAnsi" w:hAnsiTheme="minorHAnsi"/>
          <w:szCs w:val="20"/>
        </w:rPr>
        <w:t xml:space="preserve"> and consumer confidence return</w:t>
      </w:r>
      <w:r w:rsidR="002A1774">
        <w:rPr>
          <w:rFonts w:asciiTheme="minorHAnsi" w:hAnsiTheme="minorHAnsi"/>
          <w:szCs w:val="20"/>
        </w:rPr>
        <w:t>s</w:t>
      </w:r>
      <w:r w:rsidR="00F7379B">
        <w:rPr>
          <w:rFonts w:asciiTheme="minorHAnsi" w:hAnsiTheme="minorHAnsi"/>
          <w:szCs w:val="20"/>
        </w:rPr>
        <w:t xml:space="preserve">, </w:t>
      </w:r>
      <w:r w:rsidR="008A4D1D">
        <w:rPr>
          <w:rFonts w:asciiTheme="minorHAnsi" w:hAnsiTheme="minorHAnsi"/>
          <w:szCs w:val="20"/>
        </w:rPr>
        <w:t>household expenditure could recover more strongly than forecast</w:t>
      </w:r>
      <w:r w:rsidR="002A1774">
        <w:rPr>
          <w:rFonts w:asciiTheme="minorHAnsi" w:hAnsiTheme="minorHAnsi"/>
          <w:szCs w:val="20"/>
        </w:rPr>
        <w:t>.</w:t>
      </w:r>
      <w:r w:rsidR="00F7379B">
        <w:rPr>
          <w:rFonts w:asciiTheme="minorHAnsi" w:hAnsiTheme="minorHAnsi"/>
          <w:szCs w:val="20"/>
        </w:rPr>
        <w:t xml:space="preserve"> </w:t>
      </w:r>
    </w:p>
    <w:p w:rsidR="00DB2CF3" w:rsidRPr="00755AF7" w:rsidRDefault="00131214" w:rsidP="00DB2CF3">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D</w:t>
      </w:r>
      <w:r w:rsidR="00DB2CF3">
        <w:rPr>
          <w:rFonts w:asciiTheme="minorHAnsi" w:hAnsiTheme="minorHAnsi"/>
          <w:b/>
          <w:color w:val="0000FF"/>
          <w:sz w:val="24"/>
        </w:rPr>
        <w:t xml:space="preserve">welling investment </w:t>
      </w:r>
      <w:r>
        <w:rPr>
          <w:rFonts w:asciiTheme="minorHAnsi" w:hAnsiTheme="minorHAnsi"/>
          <w:b/>
          <w:color w:val="0000FF"/>
          <w:sz w:val="24"/>
        </w:rPr>
        <w:t xml:space="preserve">to </w:t>
      </w:r>
      <w:r w:rsidR="00DB2CF3">
        <w:rPr>
          <w:rFonts w:asciiTheme="minorHAnsi" w:hAnsiTheme="minorHAnsi"/>
          <w:b/>
          <w:color w:val="0000FF"/>
          <w:sz w:val="24"/>
        </w:rPr>
        <w:t>remain solid</w:t>
      </w:r>
      <w:r w:rsidR="00DB2CF3" w:rsidRPr="00755AF7">
        <w:rPr>
          <w:rFonts w:asciiTheme="minorHAnsi" w:hAnsiTheme="minorHAnsi"/>
          <w:b/>
          <w:color w:val="0000FF"/>
          <w:sz w:val="24"/>
        </w:rPr>
        <w:t>…</w:t>
      </w:r>
    </w:p>
    <w:p w:rsidR="00D43107" w:rsidRDefault="00E71503" w:rsidP="00D43107">
      <w:pPr>
        <w:pStyle w:val="Bullet"/>
        <w:numPr>
          <w:ilvl w:val="0"/>
          <w:numId w:val="0"/>
        </w:numPr>
        <w:rPr>
          <w:rFonts w:asciiTheme="minorHAnsi" w:hAnsiTheme="minorHAnsi"/>
        </w:rPr>
      </w:pPr>
      <w:r>
        <w:rPr>
          <w:rFonts w:asciiTheme="minorHAnsi" w:hAnsiTheme="minorHAnsi"/>
          <w:szCs w:val="20"/>
        </w:rPr>
        <w:t>The current upswing in dwelling approvals is expected to support activity in the housing markets well into 20</w:t>
      </w:r>
      <w:r w:rsidR="00AD2871">
        <w:rPr>
          <w:rFonts w:asciiTheme="minorHAnsi" w:hAnsiTheme="minorHAnsi"/>
          <w:szCs w:val="20"/>
        </w:rPr>
        <w:t>1</w:t>
      </w:r>
      <w:r>
        <w:rPr>
          <w:rFonts w:asciiTheme="minorHAnsi" w:hAnsiTheme="minorHAnsi"/>
          <w:szCs w:val="20"/>
        </w:rPr>
        <w:t xml:space="preserve">5-16 (Chart </w:t>
      </w:r>
      <w:r w:rsidR="00BE48CD">
        <w:rPr>
          <w:rFonts w:asciiTheme="minorHAnsi" w:hAnsiTheme="minorHAnsi"/>
          <w:szCs w:val="20"/>
        </w:rPr>
        <w:t>7</w:t>
      </w:r>
      <w:r>
        <w:rPr>
          <w:rFonts w:asciiTheme="minorHAnsi" w:hAnsiTheme="minorHAnsi"/>
          <w:szCs w:val="20"/>
        </w:rPr>
        <w:t xml:space="preserve">). </w:t>
      </w:r>
      <w:r w:rsidR="00D43107">
        <w:rPr>
          <w:rFonts w:asciiTheme="minorHAnsi" w:hAnsiTheme="minorHAnsi"/>
          <w:szCs w:val="20"/>
        </w:rPr>
        <w:t xml:space="preserve">Dwelling investment is </w:t>
      </w:r>
      <w:r>
        <w:rPr>
          <w:rFonts w:asciiTheme="minorHAnsi" w:hAnsiTheme="minorHAnsi"/>
          <w:szCs w:val="20"/>
        </w:rPr>
        <w:t xml:space="preserve">forecast </w:t>
      </w:r>
      <w:r w:rsidR="00D43107">
        <w:rPr>
          <w:rFonts w:asciiTheme="minorHAnsi" w:hAnsiTheme="minorHAnsi"/>
          <w:szCs w:val="20"/>
        </w:rPr>
        <w:t xml:space="preserve">to </w:t>
      </w:r>
      <w:r w:rsidR="008D3477">
        <w:rPr>
          <w:rFonts w:asciiTheme="minorHAnsi" w:hAnsiTheme="minorHAnsi"/>
          <w:szCs w:val="20"/>
        </w:rPr>
        <w:t xml:space="preserve">continue growing solidly at </w:t>
      </w:r>
      <w:r w:rsidR="00CC32E5">
        <w:rPr>
          <w:rFonts w:asciiTheme="minorHAnsi" w:hAnsiTheme="minorHAnsi"/>
          <w:szCs w:val="20"/>
        </w:rPr>
        <w:t>4</w:t>
      </w:r>
      <w:r w:rsidR="008D3477">
        <w:rPr>
          <w:rFonts w:asciiTheme="minorHAnsi" w:hAnsiTheme="minorHAnsi"/>
          <w:szCs w:val="20"/>
        </w:rPr>
        <w:t xml:space="preserve"> per cent in 2015-16</w:t>
      </w:r>
      <w:r w:rsidR="00D43107" w:rsidRPr="00587BCC">
        <w:rPr>
          <w:rFonts w:asciiTheme="minorHAnsi" w:hAnsiTheme="minorHAnsi"/>
        </w:rPr>
        <w:t>.</w:t>
      </w:r>
    </w:p>
    <w:p w:rsidR="00E71503" w:rsidRPr="00587BCC" w:rsidRDefault="00E71503" w:rsidP="00E71503">
      <w:pPr>
        <w:keepNext/>
        <w:autoSpaceDE w:val="0"/>
        <w:autoSpaceDN w:val="0"/>
        <w:spacing w:after="0"/>
        <w:jc w:val="center"/>
        <w:rPr>
          <w:rFonts w:asciiTheme="minorHAnsi" w:hAnsiTheme="minorHAnsi"/>
          <w:b/>
        </w:rPr>
      </w:pPr>
      <w:r w:rsidRPr="00587BCC">
        <w:rPr>
          <w:rFonts w:asciiTheme="minorHAnsi" w:hAnsiTheme="minorHAnsi"/>
          <w:b/>
        </w:rPr>
        <w:lastRenderedPageBreak/>
        <w:t xml:space="preserve">Chart </w:t>
      </w:r>
      <w:r w:rsidR="00BE48CD">
        <w:rPr>
          <w:rFonts w:asciiTheme="minorHAnsi" w:hAnsiTheme="minorHAnsi"/>
          <w:b/>
        </w:rPr>
        <w:t>7</w:t>
      </w:r>
      <w:r w:rsidRPr="00587BCC">
        <w:rPr>
          <w:rFonts w:asciiTheme="minorHAnsi" w:hAnsiTheme="minorHAnsi"/>
          <w:b/>
        </w:rPr>
        <w:t>: Leading housing market indicators</w:t>
      </w:r>
    </w:p>
    <w:p w:rsidR="00E71503" w:rsidRPr="00587BCC" w:rsidRDefault="00A41143" w:rsidP="00E71503">
      <w:pPr>
        <w:pStyle w:val="ChartGraphic0"/>
        <w:spacing w:after="240"/>
        <w:jc w:val="left"/>
        <w:rPr>
          <w:rFonts w:asciiTheme="minorHAnsi" w:eastAsiaTheme="minorEastAsia" w:hAnsiTheme="minorHAnsi"/>
          <w:kern w:val="2"/>
          <w:szCs w:val="20"/>
          <w:lang w:eastAsia="ja-JP"/>
        </w:rPr>
      </w:pPr>
      <w:r>
        <w:rPr>
          <w:rFonts w:asciiTheme="minorHAnsi" w:hAnsiTheme="minorHAnsi"/>
          <w:color w:val="auto"/>
          <w:kern w:val="2"/>
          <w:sz w:val="16"/>
        </w:rPr>
        <w:object w:dxaOrig="4500" w:dyaOrig="4530">
          <v:shape id="_x0000_i1031" type="#_x0000_t75" style="width:224.25pt;height:226.5pt" o:ole="">
            <v:imagedata r:id="rId34" o:title=""/>
          </v:shape>
          <o:OLEObject Type="Link" ProgID="Excel.Sheet.12" ShapeID="_x0000_i1031" DrawAspect="Content" r:id="rId35" UpdateMode="Always">
            <o:LinkType>EnhancedMetaFile</o:LinkType>
            <o:LockedField>false</o:LockedField>
          </o:OLEObject>
        </w:object>
      </w:r>
      <w:r w:rsidR="00E71503" w:rsidRPr="00587BCC">
        <w:rPr>
          <w:rFonts w:asciiTheme="minorHAnsi" w:hAnsiTheme="minorHAnsi"/>
          <w:color w:val="auto"/>
          <w:kern w:val="2"/>
          <w:sz w:val="16"/>
        </w:rPr>
        <w:t xml:space="preserve">Source:  ABS cat. </w:t>
      </w:r>
      <w:proofErr w:type="gramStart"/>
      <w:r w:rsidR="00E71503" w:rsidRPr="00587BCC">
        <w:rPr>
          <w:rFonts w:asciiTheme="minorHAnsi" w:hAnsiTheme="minorHAnsi"/>
          <w:color w:val="auto"/>
          <w:kern w:val="2"/>
          <w:sz w:val="16"/>
        </w:rPr>
        <w:t>no</w:t>
      </w:r>
      <w:proofErr w:type="gramEnd"/>
      <w:r w:rsidR="00E71503" w:rsidRPr="00587BCC">
        <w:rPr>
          <w:rFonts w:asciiTheme="minorHAnsi" w:hAnsiTheme="minorHAnsi"/>
          <w:color w:val="auto"/>
          <w:kern w:val="2"/>
          <w:sz w:val="16"/>
        </w:rPr>
        <w:t>. 8731.0  and Treasury.</w:t>
      </w:r>
    </w:p>
    <w:p w:rsidR="00181FB1" w:rsidRPr="00755AF7" w:rsidRDefault="002802CA" w:rsidP="00181FB1">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…and i</w:t>
      </w:r>
      <w:r w:rsidR="00181FB1" w:rsidRPr="00755AF7">
        <w:rPr>
          <w:rFonts w:asciiTheme="minorHAnsi" w:hAnsiTheme="minorHAnsi"/>
          <w:b/>
          <w:color w:val="0000FF"/>
          <w:sz w:val="24"/>
        </w:rPr>
        <w:t xml:space="preserve">nvestment </w:t>
      </w:r>
      <w:r w:rsidR="00ED5074" w:rsidRPr="00755AF7">
        <w:rPr>
          <w:rFonts w:asciiTheme="minorHAnsi" w:hAnsiTheme="minorHAnsi"/>
          <w:b/>
          <w:color w:val="0000FF"/>
          <w:sz w:val="24"/>
        </w:rPr>
        <w:t>in</w:t>
      </w:r>
      <w:r w:rsidR="00181FB1" w:rsidRPr="00755AF7">
        <w:rPr>
          <w:rFonts w:asciiTheme="minorHAnsi" w:hAnsiTheme="minorHAnsi"/>
          <w:b/>
          <w:color w:val="0000FF"/>
          <w:sz w:val="24"/>
        </w:rPr>
        <w:t xml:space="preserve"> the</w:t>
      </w:r>
      <w:r w:rsidR="003467D3" w:rsidRPr="00755AF7">
        <w:rPr>
          <w:rFonts w:asciiTheme="minorHAnsi" w:hAnsiTheme="minorHAnsi"/>
          <w:b/>
          <w:color w:val="0000FF"/>
          <w:sz w:val="24"/>
        </w:rPr>
        <w:t xml:space="preserve"> </w:t>
      </w:r>
      <w:r w:rsidR="00ED5074" w:rsidRPr="00755AF7">
        <w:rPr>
          <w:rFonts w:asciiTheme="minorHAnsi" w:hAnsiTheme="minorHAnsi"/>
          <w:b/>
          <w:color w:val="0000FF"/>
          <w:sz w:val="24"/>
        </w:rPr>
        <w:t>non-</w:t>
      </w:r>
      <w:r w:rsidR="00181FB1" w:rsidRPr="00755AF7">
        <w:rPr>
          <w:rFonts w:asciiTheme="minorHAnsi" w:hAnsiTheme="minorHAnsi"/>
          <w:b/>
          <w:color w:val="0000FF"/>
          <w:sz w:val="24"/>
        </w:rPr>
        <w:t>resources</w:t>
      </w:r>
      <w:r w:rsidR="003467D3" w:rsidRPr="00755AF7">
        <w:rPr>
          <w:rFonts w:asciiTheme="minorHAnsi" w:hAnsiTheme="minorHAnsi"/>
          <w:b/>
          <w:color w:val="0000FF"/>
          <w:sz w:val="24"/>
        </w:rPr>
        <w:t xml:space="preserve"> </w:t>
      </w:r>
      <w:r w:rsidR="00181FB1" w:rsidRPr="00755AF7">
        <w:rPr>
          <w:rFonts w:asciiTheme="minorHAnsi" w:hAnsiTheme="minorHAnsi"/>
          <w:b/>
          <w:color w:val="0000FF"/>
          <w:sz w:val="24"/>
        </w:rPr>
        <w:t>sector</w:t>
      </w:r>
      <w:r w:rsidR="008C6EC6">
        <w:rPr>
          <w:rFonts w:asciiTheme="minorHAnsi" w:hAnsiTheme="minorHAnsi"/>
          <w:b/>
          <w:color w:val="0000FF"/>
          <w:sz w:val="24"/>
        </w:rPr>
        <w:t>s</w:t>
      </w:r>
      <w:r w:rsidR="00DA5CD2" w:rsidRPr="00755AF7">
        <w:rPr>
          <w:rFonts w:asciiTheme="minorHAnsi" w:hAnsiTheme="minorHAnsi"/>
          <w:b/>
          <w:color w:val="0000FF"/>
          <w:sz w:val="24"/>
        </w:rPr>
        <w:t xml:space="preserve"> </w:t>
      </w:r>
      <w:r w:rsidR="00AC6212">
        <w:rPr>
          <w:rFonts w:asciiTheme="minorHAnsi" w:hAnsiTheme="minorHAnsi"/>
          <w:b/>
          <w:color w:val="0000FF"/>
          <w:sz w:val="24"/>
        </w:rPr>
        <w:t>continue</w:t>
      </w:r>
      <w:r>
        <w:rPr>
          <w:rFonts w:asciiTheme="minorHAnsi" w:hAnsiTheme="minorHAnsi"/>
          <w:b/>
          <w:color w:val="0000FF"/>
          <w:sz w:val="24"/>
        </w:rPr>
        <w:t>s to</w:t>
      </w:r>
      <w:r w:rsidR="00AC6212">
        <w:rPr>
          <w:rFonts w:asciiTheme="minorHAnsi" w:hAnsiTheme="minorHAnsi"/>
          <w:b/>
          <w:color w:val="0000FF"/>
          <w:sz w:val="24"/>
        </w:rPr>
        <w:t xml:space="preserve"> recover</w:t>
      </w:r>
    </w:p>
    <w:p w:rsidR="009B2504" w:rsidRDefault="003910CE" w:rsidP="00597EAF">
      <w:pPr>
        <w:pStyle w:val="Bullet"/>
        <w:numPr>
          <w:ilvl w:val="0"/>
          <w:numId w:val="0"/>
        </w:numPr>
        <w:rPr>
          <w:rFonts w:asciiTheme="minorHAnsi" w:hAnsiTheme="minorHAnsi"/>
        </w:rPr>
      </w:pPr>
      <w:r>
        <w:rPr>
          <w:rFonts w:asciiTheme="minorHAnsi" w:hAnsiTheme="minorHAnsi"/>
        </w:rPr>
        <w:t>Business i</w:t>
      </w:r>
      <w:r w:rsidR="00597EAF" w:rsidRPr="00587BCC">
        <w:rPr>
          <w:rFonts w:asciiTheme="minorHAnsi" w:hAnsiTheme="minorHAnsi"/>
        </w:rPr>
        <w:t>nvestment in the non-resources sector</w:t>
      </w:r>
      <w:r w:rsidR="008C6EC6">
        <w:rPr>
          <w:rFonts w:asciiTheme="minorHAnsi" w:hAnsiTheme="minorHAnsi"/>
        </w:rPr>
        <w:t>s</w:t>
      </w:r>
      <w:r w:rsidR="00597EAF" w:rsidRPr="00587BCC">
        <w:rPr>
          <w:rFonts w:asciiTheme="minorHAnsi" w:hAnsiTheme="minorHAnsi"/>
        </w:rPr>
        <w:t xml:space="preserve"> </w:t>
      </w:r>
      <w:r>
        <w:rPr>
          <w:rFonts w:asciiTheme="minorHAnsi" w:hAnsiTheme="minorHAnsi"/>
        </w:rPr>
        <w:t>is</w:t>
      </w:r>
      <w:r w:rsidR="00E722E8">
        <w:rPr>
          <w:rFonts w:asciiTheme="minorHAnsi" w:hAnsiTheme="minorHAnsi"/>
        </w:rPr>
        <w:t xml:space="preserve"> also</w:t>
      </w:r>
      <w:r>
        <w:rPr>
          <w:rFonts w:asciiTheme="minorHAnsi" w:hAnsiTheme="minorHAnsi"/>
        </w:rPr>
        <w:t xml:space="preserve"> expected to ga</w:t>
      </w:r>
      <w:r w:rsidR="00A071C8">
        <w:rPr>
          <w:rFonts w:asciiTheme="minorHAnsi" w:hAnsiTheme="minorHAnsi"/>
        </w:rPr>
        <w:t>in</w:t>
      </w:r>
      <w:r>
        <w:rPr>
          <w:rFonts w:asciiTheme="minorHAnsi" w:hAnsiTheme="minorHAnsi"/>
        </w:rPr>
        <w:t xml:space="preserve"> further momentum in 2015-16,</w:t>
      </w:r>
      <w:r w:rsidR="00A071C8">
        <w:rPr>
          <w:rFonts w:asciiTheme="minorHAnsi" w:hAnsiTheme="minorHAnsi"/>
        </w:rPr>
        <w:t xml:space="preserve"> as businesses respond to improving household demand</w:t>
      </w:r>
      <w:r w:rsidR="003A0C9E">
        <w:rPr>
          <w:rFonts w:asciiTheme="minorHAnsi" w:hAnsiTheme="minorHAnsi"/>
        </w:rPr>
        <w:t xml:space="preserve"> and global growth</w:t>
      </w:r>
      <w:r w:rsidR="00A071C8">
        <w:rPr>
          <w:rFonts w:asciiTheme="minorHAnsi" w:hAnsiTheme="minorHAnsi"/>
        </w:rPr>
        <w:t>.</w:t>
      </w:r>
      <w:r>
        <w:rPr>
          <w:rFonts w:asciiTheme="minorHAnsi" w:hAnsiTheme="minorHAnsi"/>
        </w:rPr>
        <w:t xml:space="preserve"> </w:t>
      </w:r>
      <w:r w:rsidR="00A071C8">
        <w:rPr>
          <w:rFonts w:asciiTheme="minorHAnsi" w:hAnsiTheme="minorHAnsi"/>
        </w:rPr>
        <w:t xml:space="preserve">However, it </w:t>
      </w:r>
      <w:r w:rsidR="008A4D1D">
        <w:rPr>
          <w:rFonts w:asciiTheme="minorHAnsi" w:hAnsiTheme="minorHAnsi"/>
        </w:rPr>
        <w:t xml:space="preserve">is not expected to </w:t>
      </w:r>
      <w:r w:rsidR="00A071C8">
        <w:rPr>
          <w:rFonts w:asciiTheme="minorHAnsi" w:hAnsiTheme="minorHAnsi"/>
        </w:rPr>
        <w:t xml:space="preserve">be enough to </w:t>
      </w:r>
      <w:r>
        <w:rPr>
          <w:rFonts w:asciiTheme="minorHAnsi" w:hAnsiTheme="minorHAnsi"/>
        </w:rPr>
        <w:t>offset fall</w:t>
      </w:r>
      <w:r w:rsidR="00A071C8">
        <w:rPr>
          <w:rFonts w:asciiTheme="minorHAnsi" w:hAnsiTheme="minorHAnsi"/>
        </w:rPr>
        <w:t>ing</w:t>
      </w:r>
      <w:r>
        <w:rPr>
          <w:rFonts w:asciiTheme="minorHAnsi" w:hAnsiTheme="minorHAnsi"/>
        </w:rPr>
        <w:t xml:space="preserve"> resources investment</w:t>
      </w:r>
      <w:r w:rsidR="00A071C8">
        <w:rPr>
          <w:rFonts w:asciiTheme="minorHAnsi" w:hAnsiTheme="minorHAnsi"/>
        </w:rPr>
        <w:t>, with t</w:t>
      </w:r>
      <w:r w:rsidR="00597EAF" w:rsidRPr="00587BCC">
        <w:rPr>
          <w:rFonts w:asciiTheme="minorHAnsi" w:hAnsiTheme="minorHAnsi"/>
        </w:rPr>
        <w:t xml:space="preserve">otal business investment </w:t>
      </w:r>
      <w:r w:rsidR="00A071C8">
        <w:rPr>
          <w:rFonts w:asciiTheme="minorHAnsi" w:hAnsiTheme="minorHAnsi"/>
        </w:rPr>
        <w:t>forecast</w:t>
      </w:r>
      <w:r w:rsidR="00BC45CD" w:rsidRPr="00587BCC">
        <w:rPr>
          <w:rFonts w:asciiTheme="minorHAnsi" w:hAnsiTheme="minorHAnsi"/>
        </w:rPr>
        <w:t xml:space="preserve"> to fall by </w:t>
      </w:r>
      <w:r w:rsidR="00ED0D67">
        <w:rPr>
          <w:rFonts w:asciiTheme="minorHAnsi" w:hAnsiTheme="minorHAnsi"/>
        </w:rPr>
        <w:t>4</w:t>
      </w:r>
      <w:r w:rsidR="00BC45CD" w:rsidRPr="00587BCC">
        <w:rPr>
          <w:rFonts w:asciiTheme="minorHAnsi" w:hAnsiTheme="minorHAnsi"/>
        </w:rPr>
        <w:t xml:space="preserve"> per cent in 201</w:t>
      </w:r>
      <w:r>
        <w:rPr>
          <w:rFonts w:asciiTheme="minorHAnsi" w:hAnsiTheme="minorHAnsi"/>
        </w:rPr>
        <w:t>5</w:t>
      </w:r>
      <w:r w:rsidR="009D5A13" w:rsidRPr="00587BCC">
        <w:rPr>
          <w:rFonts w:asciiTheme="minorHAnsi" w:hAnsiTheme="minorHAnsi"/>
        </w:rPr>
        <w:t>-1</w:t>
      </w:r>
      <w:r>
        <w:rPr>
          <w:rFonts w:asciiTheme="minorHAnsi" w:hAnsiTheme="minorHAnsi"/>
        </w:rPr>
        <w:t>6</w:t>
      </w:r>
      <w:r w:rsidR="009D48E1" w:rsidRPr="00587BCC">
        <w:rPr>
          <w:rFonts w:asciiTheme="minorHAnsi" w:hAnsiTheme="minorHAnsi"/>
        </w:rPr>
        <w:t xml:space="preserve">. </w:t>
      </w:r>
      <w:r w:rsidR="009D5A13" w:rsidRPr="00587BCC">
        <w:rPr>
          <w:rFonts w:asciiTheme="minorHAnsi" w:hAnsiTheme="minorHAnsi"/>
        </w:rPr>
        <w:t xml:space="preserve"> </w:t>
      </w:r>
      <w:r w:rsidR="00BC45CD" w:rsidRPr="00587BCC">
        <w:rPr>
          <w:rFonts w:asciiTheme="minorHAnsi" w:hAnsiTheme="minorHAnsi"/>
        </w:rPr>
        <w:t xml:space="preserve"> </w:t>
      </w:r>
    </w:p>
    <w:p w:rsidR="00DF7D33" w:rsidRPr="00755AF7" w:rsidRDefault="00160187" w:rsidP="00DF7D33">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 xml:space="preserve">Public final demand is expected to remain </w:t>
      </w:r>
      <w:r w:rsidR="0099699A">
        <w:rPr>
          <w:rFonts w:asciiTheme="minorHAnsi" w:hAnsiTheme="minorHAnsi"/>
          <w:b/>
          <w:color w:val="0000FF"/>
          <w:sz w:val="24"/>
        </w:rPr>
        <w:t>subdued</w:t>
      </w:r>
    </w:p>
    <w:p w:rsidR="00DF7D33" w:rsidRPr="00E71503" w:rsidRDefault="00160187" w:rsidP="00E71503">
      <w:pPr>
        <w:rPr>
          <w:rFonts w:asciiTheme="minorHAnsi" w:hAnsiTheme="minorHAnsi"/>
        </w:rPr>
      </w:pPr>
      <w:r w:rsidRPr="00587BCC">
        <w:rPr>
          <w:rFonts w:asciiTheme="minorHAnsi" w:hAnsiTheme="minorHAnsi"/>
        </w:rPr>
        <w:t xml:space="preserve">The fiscal consolidation underway at all levels of government </w:t>
      </w:r>
      <w:r w:rsidR="00E71503">
        <w:rPr>
          <w:rFonts w:asciiTheme="minorHAnsi" w:hAnsiTheme="minorHAnsi"/>
        </w:rPr>
        <w:t xml:space="preserve">is expected to </w:t>
      </w:r>
      <w:r w:rsidR="00CD3D09">
        <w:rPr>
          <w:rFonts w:asciiTheme="minorHAnsi" w:hAnsiTheme="minorHAnsi"/>
        </w:rPr>
        <w:t>continue</w:t>
      </w:r>
      <w:r w:rsidR="00E71503">
        <w:rPr>
          <w:rFonts w:asciiTheme="minorHAnsi" w:hAnsiTheme="minorHAnsi"/>
        </w:rPr>
        <w:t xml:space="preserve"> in</w:t>
      </w:r>
      <w:r w:rsidR="00A41143">
        <w:rPr>
          <w:rFonts w:asciiTheme="minorHAnsi" w:hAnsiTheme="minorHAnsi"/>
        </w:rPr>
        <w:t xml:space="preserve"> 2015-16</w:t>
      </w:r>
      <w:r w:rsidRPr="00587BCC">
        <w:rPr>
          <w:rFonts w:asciiTheme="minorHAnsi" w:hAnsiTheme="minorHAnsi"/>
        </w:rPr>
        <w:t>.</w:t>
      </w:r>
      <w:r>
        <w:rPr>
          <w:rFonts w:asciiTheme="minorHAnsi" w:hAnsiTheme="minorHAnsi"/>
        </w:rPr>
        <w:t xml:space="preserve"> Current forecasts incorporate </w:t>
      </w:r>
      <w:r w:rsidR="00E71503" w:rsidRPr="00587BCC">
        <w:rPr>
          <w:rFonts w:asciiTheme="minorHAnsi" w:hAnsiTheme="minorHAnsi"/>
        </w:rPr>
        <w:t>updated State budget estimates and</w:t>
      </w:r>
      <w:r w:rsidR="003A0C9E">
        <w:rPr>
          <w:rFonts w:asciiTheme="minorHAnsi" w:hAnsiTheme="minorHAnsi"/>
        </w:rPr>
        <w:t xml:space="preserve"> announced Commonwealth </w:t>
      </w:r>
      <w:r w:rsidR="00E71503" w:rsidRPr="00587BCC">
        <w:rPr>
          <w:rFonts w:asciiTheme="minorHAnsi" w:hAnsiTheme="minorHAnsi"/>
        </w:rPr>
        <w:t>Government policies</w:t>
      </w:r>
      <w:r w:rsidR="00E71503">
        <w:rPr>
          <w:rFonts w:asciiTheme="minorHAnsi" w:hAnsiTheme="minorHAnsi"/>
        </w:rPr>
        <w:t xml:space="preserve"> in MYEFO. </w:t>
      </w:r>
      <w:r w:rsidR="00E71503" w:rsidRPr="00587BCC">
        <w:rPr>
          <w:rFonts w:asciiTheme="minorHAnsi" w:hAnsiTheme="minorHAnsi"/>
        </w:rPr>
        <w:t xml:space="preserve">Public final demand is forecast to grow by </w:t>
      </w:r>
      <w:r w:rsidR="00E71503">
        <w:rPr>
          <w:rFonts w:asciiTheme="minorHAnsi" w:hAnsiTheme="minorHAnsi"/>
        </w:rPr>
        <w:t>1</w:t>
      </w:r>
      <w:r w:rsidR="00CC09EF">
        <w:rPr>
          <w:rFonts w:asciiTheme="minorHAnsi" w:hAnsiTheme="minorHAnsi"/>
        </w:rPr>
        <w:t>¼</w:t>
      </w:r>
      <w:r w:rsidR="00E71503" w:rsidRPr="00587BCC">
        <w:rPr>
          <w:rFonts w:asciiTheme="minorHAnsi" w:hAnsiTheme="minorHAnsi"/>
        </w:rPr>
        <w:t> per cent in 201</w:t>
      </w:r>
      <w:r w:rsidR="00E71503">
        <w:rPr>
          <w:rFonts w:asciiTheme="minorHAnsi" w:hAnsiTheme="minorHAnsi"/>
        </w:rPr>
        <w:t>5</w:t>
      </w:r>
      <w:r w:rsidR="00E71503" w:rsidRPr="00587BCC">
        <w:rPr>
          <w:rFonts w:asciiTheme="minorHAnsi" w:hAnsiTheme="minorHAnsi"/>
        </w:rPr>
        <w:t>-1</w:t>
      </w:r>
      <w:r w:rsidR="00E71503">
        <w:rPr>
          <w:rFonts w:asciiTheme="minorHAnsi" w:hAnsiTheme="minorHAnsi"/>
        </w:rPr>
        <w:t>6</w:t>
      </w:r>
      <w:r w:rsidR="00E71503" w:rsidRPr="00587BCC">
        <w:rPr>
          <w:rFonts w:asciiTheme="minorHAnsi" w:hAnsiTheme="minorHAnsi"/>
        </w:rPr>
        <w:t>.</w:t>
      </w:r>
    </w:p>
    <w:p w:rsidR="000D36FA" w:rsidRPr="00755AF7" w:rsidRDefault="000D36FA" w:rsidP="000D36FA">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t xml:space="preserve">The </w:t>
      </w:r>
      <w:r w:rsidR="00AC6212">
        <w:rPr>
          <w:rFonts w:asciiTheme="minorHAnsi" w:hAnsiTheme="minorHAnsi"/>
          <w:b/>
          <w:color w:val="0000FF"/>
          <w:sz w:val="24"/>
        </w:rPr>
        <w:t xml:space="preserve">labour market is expected to </w:t>
      </w:r>
      <w:r w:rsidR="00ED0D67">
        <w:rPr>
          <w:rFonts w:asciiTheme="minorHAnsi" w:hAnsiTheme="minorHAnsi"/>
          <w:b/>
          <w:color w:val="0000FF"/>
          <w:sz w:val="24"/>
        </w:rPr>
        <w:t>stabilise</w:t>
      </w:r>
      <w:r w:rsidRPr="00755AF7">
        <w:rPr>
          <w:rFonts w:asciiTheme="minorHAnsi" w:hAnsiTheme="minorHAnsi"/>
          <w:b/>
          <w:color w:val="0000FF"/>
          <w:sz w:val="24"/>
        </w:rPr>
        <w:t>…</w:t>
      </w:r>
    </w:p>
    <w:p w:rsidR="00E33E06" w:rsidRPr="00E71503" w:rsidRDefault="00E722E8" w:rsidP="00E71503">
      <w:pPr>
        <w:pStyle w:val="Bullet"/>
        <w:numPr>
          <w:ilvl w:val="0"/>
          <w:numId w:val="0"/>
        </w:numPr>
        <w:rPr>
          <w:rFonts w:asciiTheme="minorHAnsi" w:eastAsiaTheme="minorEastAsia" w:hAnsiTheme="minorHAnsi"/>
          <w:kern w:val="2"/>
          <w:szCs w:val="20"/>
          <w:lang w:eastAsia="ja-JP"/>
        </w:rPr>
      </w:pPr>
      <w:r>
        <w:rPr>
          <w:rFonts w:asciiTheme="minorHAnsi" w:eastAsiaTheme="minorEastAsia" w:hAnsiTheme="minorHAnsi"/>
          <w:kern w:val="2"/>
          <w:szCs w:val="20"/>
          <w:lang w:eastAsia="ja-JP"/>
        </w:rPr>
        <w:t xml:space="preserve">Improving </w:t>
      </w:r>
      <w:r w:rsidR="00ED0D67">
        <w:rPr>
          <w:rFonts w:asciiTheme="minorHAnsi" w:eastAsiaTheme="minorEastAsia" w:hAnsiTheme="minorHAnsi"/>
          <w:kern w:val="2"/>
          <w:szCs w:val="20"/>
          <w:lang w:eastAsia="ja-JP"/>
        </w:rPr>
        <w:t>activity in the non-resources sector</w:t>
      </w:r>
      <w:r w:rsidR="008C6EC6">
        <w:rPr>
          <w:rFonts w:asciiTheme="minorHAnsi" w:eastAsiaTheme="minorEastAsia" w:hAnsiTheme="minorHAnsi"/>
          <w:kern w:val="2"/>
          <w:szCs w:val="20"/>
          <w:lang w:eastAsia="ja-JP"/>
        </w:rPr>
        <w:t>s</w:t>
      </w:r>
      <w:r w:rsidR="00ED0D67">
        <w:rPr>
          <w:rFonts w:asciiTheme="minorHAnsi" w:eastAsiaTheme="minorEastAsia" w:hAnsiTheme="minorHAnsi"/>
          <w:kern w:val="2"/>
          <w:szCs w:val="20"/>
          <w:lang w:eastAsia="ja-JP"/>
        </w:rPr>
        <w:t xml:space="preserve"> </w:t>
      </w:r>
      <w:r>
        <w:rPr>
          <w:rFonts w:asciiTheme="minorHAnsi" w:eastAsiaTheme="minorEastAsia" w:hAnsiTheme="minorHAnsi"/>
          <w:kern w:val="2"/>
          <w:szCs w:val="20"/>
          <w:lang w:eastAsia="ja-JP"/>
        </w:rPr>
        <w:t xml:space="preserve">is expected to support </w:t>
      </w:r>
      <w:r w:rsidR="00ED0D67">
        <w:rPr>
          <w:rFonts w:asciiTheme="minorHAnsi" w:eastAsiaTheme="minorEastAsia" w:hAnsiTheme="minorHAnsi"/>
          <w:kern w:val="2"/>
          <w:szCs w:val="20"/>
          <w:lang w:eastAsia="ja-JP"/>
        </w:rPr>
        <w:t>employment growth</w:t>
      </w:r>
      <w:r>
        <w:rPr>
          <w:rFonts w:asciiTheme="minorHAnsi" w:eastAsiaTheme="minorEastAsia" w:hAnsiTheme="minorHAnsi"/>
          <w:kern w:val="2"/>
          <w:szCs w:val="20"/>
          <w:lang w:eastAsia="ja-JP"/>
        </w:rPr>
        <w:t xml:space="preserve"> towards the end of the forecast period</w:t>
      </w:r>
      <w:r w:rsidR="00ED0D67">
        <w:rPr>
          <w:rFonts w:asciiTheme="minorHAnsi" w:eastAsiaTheme="minorEastAsia" w:hAnsiTheme="minorHAnsi"/>
          <w:kern w:val="2"/>
          <w:szCs w:val="20"/>
          <w:lang w:eastAsia="ja-JP"/>
        </w:rPr>
        <w:t xml:space="preserve">. </w:t>
      </w:r>
      <w:r w:rsidRPr="00F33530">
        <w:rPr>
          <w:rFonts w:asciiTheme="minorHAnsi" w:hAnsiTheme="minorHAnsi"/>
          <w:kern w:val="2"/>
          <w:szCs w:val="20"/>
        </w:rPr>
        <w:t xml:space="preserve">Employment growth is expected to pick up </w:t>
      </w:r>
      <w:r w:rsidRPr="00F33530">
        <w:rPr>
          <w:rFonts w:asciiTheme="minorHAnsi" w:eastAsiaTheme="minorEastAsia" w:hAnsiTheme="minorHAnsi"/>
          <w:kern w:val="2"/>
          <w:szCs w:val="20"/>
          <w:lang w:eastAsia="ja-JP"/>
        </w:rPr>
        <w:t xml:space="preserve">to </w:t>
      </w:r>
      <w:r w:rsidRPr="00F33530">
        <w:rPr>
          <w:rFonts w:asciiTheme="minorHAnsi" w:hAnsiTheme="minorHAnsi"/>
          <w:kern w:val="2"/>
          <w:szCs w:val="20"/>
        </w:rPr>
        <w:t xml:space="preserve">1½ per cent </w:t>
      </w:r>
      <w:r w:rsidR="00A071C8">
        <w:rPr>
          <w:rFonts w:asciiTheme="minorHAnsi" w:hAnsiTheme="minorHAnsi"/>
          <w:kern w:val="2"/>
          <w:szCs w:val="20"/>
        </w:rPr>
        <w:t xml:space="preserve">through the year </w:t>
      </w:r>
      <w:r w:rsidRPr="00F33530">
        <w:rPr>
          <w:rFonts w:asciiTheme="minorHAnsi" w:hAnsiTheme="minorHAnsi"/>
          <w:kern w:val="2"/>
          <w:szCs w:val="20"/>
        </w:rPr>
        <w:t>to the June quarter 201</w:t>
      </w:r>
      <w:r>
        <w:rPr>
          <w:rFonts w:asciiTheme="minorHAnsi" w:hAnsiTheme="minorHAnsi"/>
          <w:kern w:val="2"/>
          <w:szCs w:val="20"/>
        </w:rPr>
        <w:t>6</w:t>
      </w:r>
      <w:r w:rsidR="00D43107">
        <w:rPr>
          <w:rFonts w:asciiTheme="minorHAnsi" w:hAnsiTheme="minorHAnsi"/>
          <w:kern w:val="2"/>
          <w:szCs w:val="20"/>
        </w:rPr>
        <w:t xml:space="preserve">. </w:t>
      </w:r>
      <w:r w:rsidR="00A071C8">
        <w:rPr>
          <w:rFonts w:asciiTheme="minorHAnsi" w:hAnsiTheme="minorHAnsi"/>
          <w:kern w:val="2"/>
          <w:szCs w:val="20"/>
        </w:rPr>
        <w:t>Employment growth will also be supported by moderate w</w:t>
      </w:r>
      <w:r w:rsidRPr="00F33530">
        <w:rPr>
          <w:rFonts w:asciiTheme="minorHAnsi" w:eastAsiaTheme="minorEastAsia" w:hAnsiTheme="minorHAnsi"/>
          <w:kern w:val="2"/>
          <w:szCs w:val="20"/>
          <w:lang w:eastAsia="ja-JP"/>
        </w:rPr>
        <w:t>age growth</w:t>
      </w:r>
      <w:r w:rsidR="00A071C8">
        <w:rPr>
          <w:rFonts w:asciiTheme="minorHAnsi" w:eastAsiaTheme="minorEastAsia" w:hAnsiTheme="minorHAnsi"/>
          <w:kern w:val="2"/>
          <w:szCs w:val="20"/>
          <w:lang w:eastAsia="ja-JP"/>
        </w:rPr>
        <w:t xml:space="preserve"> of</w:t>
      </w:r>
      <w:r w:rsidR="00D43107">
        <w:rPr>
          <w:rFonts w:asciiTheme="minorHAnsi" w:eastAsiaTheme="minorEastAsia" w:hAnsiTheme="minorHAnsi"/>
          <w:kern w:val="2"/>
          <w:szCs w:val="20"/>
          <w:lang w:eastAsia="ja-JP"/>
        </w:rPr>
        <w:t xml:space="preserve"> 3 per cent through the year to the June quarter 2016</w:t>
      </w:r>
      <w:r>
        <w:rPr>
          <w:rFonts w:asciiTheme="minorHAnsi" w:eastAsiaTheme="minorEastAsia" w:hAnsiTheme="minorHAnsi"/>
          <w:kern w:val="2"/>
          <w:szCs w:val="20"/>
          <w:lang w:eastAsia="ja-JP"/>
        </w:rPr>
        <w:t>.</w:t>
      </w:r>
    </w:p>
    <w:p w:rsidR="008D3477" w:rsidRDefault="008D3477" w:rsidP="00B51D50">
      <w:pPr>
        <w:pStyle w:val="Bullet"/>
        <w:numPr>
          <w:ilvl w:val="0"/>
          <w:numId w:val="0"/>
        </w:numPr>
        <w:spacing w:line="240" w:lineRule="auto"/>
        <w:rPr>
          <w:rFonts w:asciiTheme="minorHAnsi" w:hAnsiTheme="minorHAnsi"/>
          <w:b/>
          <w:color w:val="0000FF"/>
          <w:sz w:val="24"/>
        </w:rPr>
      </w:pPr>
    </w:p>
    <w:p w:rsidR="001624E9" w:rsidRPr="00755AF7" w:rsidRDefault="005F4A22" w:rsidP="00B51D50">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lastRenderedPageBreak/>
        <w:t>…</w:t>
      </w:r>
      <w:r w:rsidR="00AC6212">
        <w:rPr>
          <w:rFonts w:asciiTheme="minorHAnsi" w:hAnsiTheme="minorHAnsi"/>
          <w:b/>
          <w:color w:val="0000FF"/>
          <w:sz w:val="24"/>
        </w:rPr>
        <w:t>with</w:t>
      </w:r>
      <w:r w:rsidRPr="00755AF7">
        <w:rPr>
          <w:rFonts w:asciiTheme="minorHAnsi" w:hAnsiTheme="minorHAnsi"/>
          <w:b/>
          <w:color w:val="0000FF"/>
          <w:sz w:val="24"/>
        </w:rPr>
        <w:t xml:space="preserve"> inflationary pressures</w:t>
      </w:r>
      <w:r w:rsidR="00AC6212">
        <w:rPr>
          <w:rFonts w:asciiTheme="minorHAnsi" w:hAnsiTheme="minorHAnsi"/>
          <w:b/>
          <w:color w:val="0000FF"/>
          <w:sz w:val="24"/>
        </w:rPr>
        <w:t xml:space="preserve"> remaining contained</w:t>
      </w:r>
    </w:p>
    <w:p w:rsidR="00AD2871" w:rsidRDefault="0039018F" w:rsidP="0088296E">
      <w:pPr>
        <w:pStyle w:val="Bullet"/>
        <w:numPr>
          <w:ilvl w:val="0"/>
          <w:numId w:val="0"/>
        </w:numPr>
        <w:rPr>
          <w:rFonts w:asciiTheme="minorHAnsi" w:eastAsiaTheme="minorEastAsia" w:hAnsiTheme="minorHAnsi"/>
          <w:kern w:val="2"/>
          <w:szCs w:val="20"/>
          <w:lang w:eastAsia="ja-JP"/>
        </w:rPr>
      </w:pPr>
      <w:r>
        <w:rPr>
          <w:rFonts w:asciiTheme="minorHAnsi" w:eastAsiaTheme="minorEastAsia" w:hAnsiTheme="minorHAnsi"/>
          <w:kern w:val="2"/>
          <w:szCs w:val="20"/>
          <w:lang w:eastAsia="ja-JP"/>
        </w:rPr>
        <w:t>Headline and underlying i</w:t>
      </w:r>
      <w:r w:rsidR="0088296E">
        <w:rPr>
          <w:rFonts w:asciiTheme="minorHAnsi" w:eastAsiaTheme="minorEastAsia" w:hAnsiTheme="minorHAnsi"/>
          <w:kern w:val="2"/>
          <w:szCs w:val="20"/>
          <w:lang w:eastAsia="ja-JP"/>
        </w:rPr>
        <w:t>nflation in the December quarter 2013 w</w:t>
      </w:r>
      <w:r>
        <w:rPr>
          <w:rFonts w:asciiTheme="minorHAnsi" w:eastAsiaTheme="minorEastAsia" w:hAnsiTheme="minorHAnsi"/>
          <w:kern w:val="2"/>
          <w:szCs w:val="20"/>
          <w:lang w:eastAsia="ja-JP"/>
        </w:rPr>
        <w:t xml:space="preserve">ere slightly </w:t>
      </w:r>
      <w:r w:rsidR="0088296E">
        <w:rPr>
          <w:rFonts w:asciiTheme="minorHAnsi" w:eastAsiaTheme="minorEastAsia" w:hAnsiTheme="minorHAnsi"/>
          <w:kern w:val="2"/>
          <w:szCs w:val="20"/>
          <w:lang w:eastAsia="ja-JP"/>
        </w:rPr>
        <w:t>stronger than expected</w:t>
      </w:r>
      <w:r>
        <w:rPr>
          <w:rFonts w:asciiTheme="minorHAnsi" w:eastAsiaTheme="minorEastAsia" w:hAnsiTheme="minorHAnsi"/>
          <w:kern w:val="2"/>
          <w:szCs w:val="20"/>
          <w:lang w:eastAsia="ja-JP"/>
        </w:rPr>
        <w:t xml:space="preserve">. </w:t>
      </w:r>
      <w:r w:rsidR="00BE23C3" w:rsidRPr="00BE23C3">
        <w:rPr>
          <w:rFonts w:asciiTheme="minorHAnsi" w:eastAsiaTheme="minorEastAsia" w:hAnsiTheme="minorHAnsi"/>
          <w:kern w:val="2"/>
          <w:szCs w:val="20"/>
          <w:lang w:eastAsia="ja-JP"/>
        </w:rPr>
        <w:t xml:space="preserve">The prices of tradeable goods rose through 2013 for the first time since 2011, which may have been a result of a faster-than-usual pass through of the exchange rate depreciation. The increase in the price of </w:t>
      </w:r>
      <w:r w:rsidR="00597A15">
        <w:rPr>
          <w:rFonts w:asciiTheme="minorHAnsi" w:eastAsiaTheme="minorEastAsia" w:hAnsiTheme="minorHAnsi"/>
          <w:kern w:val="2"/>
          <w:szCs w:val="20"/>
          <w:lang w:eastAsia="ja-JP"/>
        </w:rPr>
        <w:br/>
      </w:r>
      <w:r w:rsidR="00BE23C3" w:rsidRPr="00BE23C3">
        <w:rPr>
          <w:rFonts w:asciiTheme="minorHAnsi" w:eastAsiaTheme="minorEastAsia" w:hAnsiTheme="minorHAnsi"/>
          <w:kern w:val="2"/>
          <w:szCs w:val="20"/>
          <w:lang w:eastAsia="ja-JP"/>
        </w:rPr>
        <w:t>non</w:t>
      </w:r>
      <w:r w:rsidR="00BE23C3">
        <w:rPr>
          <w:rFonts w:asciiTheme="minorHAnsi" w:eastAsiaTheme="minorEastAsia" w:hAnsiTheme="minorHAnsi"/>
          <w:kern w:val="2"/>
          <w:szCs w:val="20"/>
          <w:lang w:eastAsia="ja-JP"/>
        </w:rPr>
        <w:t>-</w:t>
      </w:r>
      <w:r w:rsidR="00BE23C3" w:rsidRPr="00BE23C3">
        <w:rPr>
          <w:rFonts w:asciiTheme="minorHAnsi" w:eastAsiaTheme="minorEastAsia" w:hAnsiTheme="minorHAnsi"/>
          <w:kern w:val="2"/>
          <w:szCs w:val="20"/>
          <w:lang w:eastAsia="ja-JP"/>
        </w:rPr>
        <w:t>tradeable items appears to reflect a slower than usual response to the s</w:t>
      </w:r>
      <w:r w:rsidR="00BE23C3">
        <w:rPr>
          <w:rFonts w:asciiTheme="minorHAnsi" w:eastAsiaTheme="minorEastAsia" w:hAnsiTheme="minorHAnsi"/>
          <w:kern w:val="2"/>
          <w:szCs w:val="20"/>
          <w:lang w:eastAsia="ja-JP"/>
        </w:rPr>
        <w:t>oft labour market conditions. During the December quarter there was also</w:t>
      </w:r>
      <w:r w:rsidR="00BE23C3" w:rsidRPr="00BE23C3">
        <w:rPr>
          <w:rFonts w:asciiTheme="minorHAnsi" w:eastAsiaTheme="minorEastAsia" w:hAnsiTheme="minorHAnsi"/>
          <w:kern w:val="2"/>
          <w:szCs w:val="20"/>
          <w:lang w:eastAsia="ja-JP"/>
        </w:rPr>
        <w:t xml:space="preserve"> seasonal strength in travel prices</w:t>
      </w:r>
      <w:r w:rsidR="00BE23C3">
        <w:rPr>
          <w:rFonts w:asciiTheme="minorHAnsi" w:eastAsiaTheme="minorEastAsia" w:hAnsiTheme="minorHAnsi"/>
          <w:kern w:val="2"/>
          <w:szCs w:val="20"/>
          <w:lang w:eastAsia="ja-JP"/>
        </w:rPr>
        <w:t>,</w:t>
      </w:r>
      <w:r w:rsidR="00BE23C3" w:rsidRPr="00BE23C3">
        <w:rPr>
          <w:rFonts w:asciiTheme="minorHAnsi" w:eastAsiaTheme="minorEastAsia" w:hAnsiTheme="minorHAnsi"/>
          <w:kern w:val="2"/>
          <w:szCs w:val="20"/>
          <w:lang w:eastAsia="ja-JP"/>
        </w:rPr>
        <w:t xml:space="preserve"> a rise in fruit and vegetable prices following adverse weather in some areas</w:t>
      </w:r>
      <w:r w:rsidR="00BE23C3">
        <w:rPr>
          <w:rFonts w:asciiTheme="minorHAnsi" w:eastAsiaTheme="minorEastAsia" w:hAnsiTheme="minorHAnsi"/>
          <w:kern w:val="2"/>
          <w:szCs w:val="20"/>
          <w:lang w:eastAsia="ja-JP"/>
        </w:rPr>
        <w:t xml:space="preserve"> and a strong rise in t</w:t>
      </w:r>
      <w:r w:rsidR="00BE23C3" w:rsidRPr="00BE23C3">
        <w:rPr>
          <w:rFonts w:asciiTheme="minorHAnsi" w:eastAsiaTheme="minorEastAsia" w:hAnsiTheme="minorHAnsi"/>
          <w:kern w:val="2"/>
          <w:szCs w:val="20"/>
          <w:lang w:eastAsia="ja-JP"/>
        </w:rPr>
        <w:t xml:space="preserve">obacco prices as a result of the increase in the tobacco excise. </w:t>
      </w:r>
      <w:r w:rsidR="0088296E" w:rsidRPr="0088296E">
        <w:rPr>
          <w:rFonts w:asciiTheme="minorHAnsi" w:eastAsiaTheme="minorEastAsia" w:hAnsiTheme="minorHAnsi"/>
          <w:kern w:val="2"/>
          <w:szCs w:val="20"/>
          <w:lang w:eastAsia="ja-JP"/>
        </w:rPr>
        <w:t xml:space="preserve"> </w:t>
      </w:r>
    </w:p>
    <w:p w:rsidR="001624E9" w:rsidRPr="00587BCC" w:rsidRDefault="00AD2871" w:rsidP="0088296E">
      <w:pPr>
        <w:pStyle w:val="Bullet"/>
        <w:numPr>
          <w:ilvl w:val="0"/>
          <w:numId w:val="0"/>
        </w:numPr>
        <w:rPr>
          <w:rFonts w:asciiTheme="minorHAnsi" w:hAnsiTheme="minorHAnsi"/>
          <w:kern w:val="2"/>
          <w:szCs w:val="20"/>
        </w:rPr>
      </w:pPr>
      <w:r>
        <w:rPr>
          <w:rFonts w:asciiTheme="minorHAnsi" w:eastAsiaTheme="minorEastAsia" w:hAnsiTheme="minorHAnsi"/>
          <w:kern w:val="2"/>
          <w:szCs w:val="20"/>
          <w:lang w:eastAsia="ja-JP"/>
        </w:rPr>
        <w:t>While t</w:t>
      </w:r>
      <w:r w:rsidR="0088296E" w:rsidRPr="0088296E">
        <w:rPr>
          <w:rFonts w:asciiTheme="minorHAnsi" w:eastAsiaTheme="minorEastAsia" w:hAnsiTheme="minorHAnsi"/>
          <w:kern w:val="2"/>
          <w:szCs w:val="20"/>
          <w:lang w:eastAsia="ja-JP"/>
        </w:rPr>
        <w:t>his highlights the exposure of inflation to future movements in the exchange rate</w:t>
      </w:r>
      <w:r>
        <w:rPr>
          <w:rFonts w:asciiTheme="minorHAnsi" w:eastAsiaTheme="minorEastAsia" w:hAnsiTheme="minorHAnsi"/>
          <w:kern w:val="2"/>
          <w:szCs w:val="20"/>
          <w:lang w:eastAsia="ja-JP"/>
        </w:rPr>
        <w:t xml:space="preserve">, </w:t>
      </w:r>
      <w:r w:rsidR="0088296E">
        <w:rPr>
          <w:rFonts w:asciiTheme="minorHAnsi" w:eastAsiaTheme="minorEastAsia" w:hAnsiTheme="minorHAnsi"/>
          <w:kern w:val="2"/>
          <w:szCs w:val="20"/>
          <w:lang w:eastAsia="ja-JP"/>
        </w:rPr>
        <w:t>d</w:t>
      </w:r>
      <w:r w:rsidR="00F66A92" w:rsidRPr="00F33530">
        <w:rPr>
          <w:rFonts w:asciiTheme="minorHAnsi" w:eastAsiaTheme="minorEastAsia" w:hAnsiTheme="minorHAnsi"/>
          <w:kern w:val="2"/>
          <w:szCs w:val="20"/>
          <w:lang w:eastAsia="ja-JP"/>
        </w:rPr>
        <w:t xml:space="preserve">omestic price pressures </w:t>
      </w:r>
      <w:r w:rsidR="009C1BD4">
        <w:rPr>
          <w:rFonts w:asciiTheme="minorHAnsi" w:eastAsiaTheme="minorEastAsia" w:hAnsiTheme="minorHAnsi"/>
          <w:kern w:val="2"/>
          <w:szCs w:val="20"/>
          <w:lang w:eastAsia="ja-JP"/>
        </w:rPr>
        <w:t xml:space="preserve">are expected to </w:t>
      </w:r>
      <w:r w:rsidR="00F66A92" w:rsidRPr="00F33530">
        <w:rPr>
          <w:rFonts w:asciiTheme="minorHAnsi" w:eastAsiaTheme="minorEastAsia" w:hAnsiTheme="minorHAnsi"/>
          <w:kern w:val="2"/>
          <w:szCs w:val="20"/>
          <w:lang w:eastAsia="ja-JP"/>
        </w:rPr>
        <w:t>remain modest</w:t>
      </w:r>
      <w:r w:rsidR="0088296E">
        <w:rPr>
          <w:rFonts w:asciiTheme="minorHAnsi" w:eastAsiaTheme="minorEastAsia" w:hAnsiTheme="minorHAnsi"/>
          <w:kern w:val="2"/>
          <w:szCs w:val="20"/>
          <w:lang w:eastAsia="ja-JP"/>
        </w:rPr>
        <w:t xml:space="preserve"> </w:t>
      </w:r>
      <w:r w:rsidR="00CD3D09">
        <w:rPr>
          <w:rFonts w:asciiTheme="minorHAnsi" w:eastAsiaTheme="minorEastAsia" w:hAnsiTheme="minorHAnsi"/>
          <w:kern w:val="2"/>
          <w:szCs w:val="20"/>
          <w:lang w:eastAsia="ja-JP"/>
        </w:rPr>
        <w:t>in</w:t>
      </w:r>
      <w:r w:rsidR="009C1BD4">
        <w:rPr>
          <w:rFonts w:asciiTheme="minorHAnsi" w:eastAsiaTheme="minorEastAsia" w:hAnsiTheme="minorHAnsi"/>
          <w:kern w:val="2"/>
          <w:szCs w:val="20"/>
          <w:lang w:eastAsia="ja-JP"/>
        </w:rPr>
        <w:t xml:space="preserve"> </w:t>
      </w:r>
      <w:r>
        <w:rPr>
          <w:rFonts w:asciiTheme="minorHAnsi" w:eastAsiaTheme="minorEastAsia" w:hAnsiTheme="minorHAnsi"/>
          <w:kern w:val="2"/>
          <w:szCs w:val="20"/>
          <w:lang w:eastAsia="ja-JP"/>
        </w:rPr>
        <w:br/>
      </w:r>
      <w:r w:rsidR="009C1BD4">
        <w:rPr>
          <w:rFonts w:asciiTheme="minorHAnsi" w:eastAsiaTheme="minorEastAsia" w:hAnsiTheme="minorHAnsi"/>
          <w:kern w:val="2"/>
          <w:szCs w:val="20"/>
          <w:lang w:eastAsia="ja-JP"/>
        </w:rPr>
        <w:t>2015-16</w:t>
      </w:r>
      <w:r w:rsidR="00CD3D09">
        <w:rPr>
          <w:rFonts w:asciiTheme="minorHAnsi" w:eastAsiaTheme="minorEastAsia" w:hAnsiTheme="minorHAnsi"/>
          <w:kern w:val="2"/>
          <w:szCs w:val="20"/>
          <w:lang w:eastAsia="ja-JP"/>
        </w:rPr>
        <w:t>,</w:t>
      </w:r>
      <w:r w:rsidR="009C1BD4">
        <w:rPr>
          <w:rFonts w:asciiTheme="minorHAnsi" w:eastAsiaTheme="minorEastAsia" w:hAnsiTheme="minorHAnsi"/>
          <w:kern w:val="2"/>
          <w:szCs w:val="20"/>
          <w:lang w:eastAsia="ja-JP"/>
        </w:rPr>
        <w:t xml:space="preserve"> consistent with the soft outlook for wages</w:t>
      </w:r>
      <w:r w:rsidR="00F66A92" w:rsidRPr="00F33530">
        <w:rPr>
          <w:rFonts w:asciiTheme="minorHAnsi" w:hAnsiTheme="minorHAnsi"/>
          <w:kern w:val="2"/>
          <w:szCs w:val="20"/>
        </w:rPr>
        <w:t xml:space="preserve">. Headline and underlying inflation are expected to be 2½ per cent </w:t>
      </w:r>
      <w:r w:rsidR="00F66A92" w:rsidRPr="00F33530">
        <w:rPr>
          <w:rFonts w:asciiTheme="minorHAnsi" w:eastAsiaTheme="minorEastAsia" w:hAnsiTheme="minorHAnsi"/>
          <w:kern w:val="2"/>
          <w:szCs w:val="20"/>
          <w:lang w:eastAsia="ja-JP"/>
        </w:rPr>
        <w:t>through the year</w:t>
      </w:r>
      <w:r w:rsidR="00F66A92" w:rsidRPr="00F33530">
        <w:rPr>
          <w:rFonts w:asciiTheme="minorHAnsi" w:hAnsiTheme="minorHAnsi"/>
          <w:kern w:val="2"/>
          <w:szCs w:val="20"/>
        </w:rPr>
        <w:t xml:space="preserve"> to the June quarter </w:t>
      </w:r>
      <w:r w:rsidR="00F66A92" w:rsidRPr="00F33530">
        <w:rPr>
          <w:rFonts w:asciiTheme="minorHAnsi" w:eastAsiaTheme="minorEastAsia" w:hAnsiTheme="minorHAnsi"/>
          <w:kern w:val="2"/>
          <w:szCs w:val="20"/>
          <w:lang w:eastAsia="ja-JP"/>
        </w:rPr>
        <w:t xml:space="preserve">of </w:t>
      </w:r>
      <w:r w:rsidR="00F66A92" w:rsidRPr="00F33530">
        <w:rPr>
          <w:rFonts w:asciiTheme="minorHAnsi" w:hAnsiTheme="minorHAnsi"/>
          <w:kern w:val="2"/>
          <w:szCs w:val="20"/>
        </w:rPr>
        <w:t>201</w:t>
      </w:r>
      <w:r w:rsidR="009C1BD4">
        <w:rPr>
          <w:rFonts w:asciiTheme="minorHAnsi" w:hAnsiTheme="minorHAnsi"/>
          <w:kern w:val="2"/>
          <w:szCs w:val="20"/>
        </w:rPr>
        <w:t>6</w:t>
      </w:r>
      <w:r w:rsidR="00F66A92" w:rsidRPr="00F33530">
        <w:rPr>
          <w:rFonts w:asciiTheme="minorHAnsi" w:hAnsiTheme="minorHAnsi"/>
          <w:kern w:val="2"/>
          <w:szCs w:val="20"/>
        </w:rPr>
        <w:t xml:space="preserve"> (Chart </w:t>
      </w:r>
      <w:r w:rsidR="00BE48CD">
        <w:rPr>
          <w:rFonts w:asciiTheme="minorHAnsi" w:hAnsiTheme="minorHAnsi"/>
          <w:kern w:val="2"/>
          <w:szCs w:val="20"/>
        </w:rPr>
        <w:t>8</w:t>
      </w:r>
      <w:r w:rsidR="00F66A92" w:rsidRPr="00F33530">
        <w:rPr>
          <w:rFonts w:asciiTheme="minorHAnsi" w:hAnsiTheme="minorHAnsi"/>
          <w:kern w:val="2"/>
          <w:szCs w:val="20"/>
        </w:rPr>
        <w:t xml:space="preserve">). </w:t>
      </w:r>
    </w:p>
    <w:p w:rsidR="00191B9A" w:rsidRPr="00587BCC" w:rsidRDefault="00191B9A" w:rsidP="00191B9A">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BE48CD">
        <w:rPr>
          <w:rFonts w:asciiTheme="minorHAnsi" w:hAnsiTheme="minorHAnsi"/>
          <w:b/>
        </w:rPr>
        <w:t>8</w:t>
      </w:r>
      <w:r w:rsidRPr="00587BCC">
        <w:rPr>
          <w:rFonts w:asciiTheme="minorHAnsi" w:hAnsiTheme="minorHAnsi"/>
          <w:b/>
        </w:rPr>
        <w:t xml:space="preserve">: </w:t>
      </w:r>
      <w:r w:rsidR="005C1738" w:rsidRPr="00587BCC">
        <w:rPr>
          <w:rFonts w:asciiTheme="minorHAnsi" w:hAnsiTheme="minorHAnsi"/>
          <w:b/>
        </w:rPr>
        <w:t>Headline i</w:t>
      </w:r>
      <w:r w:rsidR="009E61F6" w:rsidRPr="00587BCC">
        <w:rPr>
          <w:rFonts w:asciiTheme="minorHAnsi" w:hAnsiTheme="minorHAnsi"/>
          <w:b/>
        </w:rPr>
        <w:t>nflation</w:t>
      </w:r>
    </w:p>
    <w:p w:rsidR="00191B9A" w:rsidRPr="00587BCC" w:rsidRDefault="000B7B33" w:rsidP="00C3132B">
      <w:pPr>
        <w:pStyle w:val="ChartGraphic0"/>
        <w:spacing w:after="240"/>
        <w:jc w:val="left"/>
        <w:rPr>
          <w:rFonts w:asciiTheme="minorHAnsi" w:eastAsiaTheme="minorEastAsia" w:hAnsiTheme="minorHAnsi"/>
          <w:kern w:val="2"/>
          <w:szCs w:val="20"/>
          <w:lang w:eastAsia="ja-JP"/>
        </w:rPr>
      </w:pPr>
      <w:r>
        <w:rPr>
          <w:rFonts w:asciiTheme="minorHAnsi" w:hAnsiTheme="minorHAnsi"/>
          <w:color w:val="auto"/>
          <w:kern w:val="2"/>
          <w:sz w:val="16"/>
        </w:rPr>
        <w:object w:dxaOrig="4516" w:dyaOrig="4515">
          <v:shape id="_x0000_i1032" type="#_x0000_t75" style="width:225.75pt;height:225.75pt" o:ole="">
            <v:imagedata r:id="rId36" o:title=""/>
          </v:shape>
          <o:OLEObject Type="Link" ProgID="Excel.Sheet.12" ShapeID="_x0000_i1032" DrawAspect="Content" r:id="rId37" UpdateMode="Always">
            <o:LinkType>EnhancedMetaFile</o:LinkType>
            <o:LockedField>false</o:LockedField>
          </o:OLEObject>
        </w:object>
      </w:r>
      <w:r w:rsidR="00191B9A" w:rsidRPr="00587BCC">
        <w:rPr>
          <w:rFonts w:asciiTheme="minorHAnsi" w:hAnsiTheme="minorHAnsi"/>
          <w:color w:val="auto"/>
          <w:kern w:val="2"/>
          <w:sz w:val="16"/>
        </w:rPr>
        <w:t xml:space="preserve">Source: ABS cat. </w:t>
      </w:r>
      <w:proofErr w:type="gramStart"/>
      <w:r w:rsidR="00191B9A" w:rsidRPr="00587BCC">
        <w:rPr>
          <w:rFonts w:asciiTheme="minorHAnsi" w:hAnsiTheme="minorHAnsi"/>
          <w:color w:val="auto"/>
          <w:kern w:val="2"/>
          <w:sz w:val="16"/>
        </w:rPr>
        <w:t>no</w:t>
      </w:r>
      <w:proofErr w:type="gramEnd"/>
      <w:r w:rsidR="00191B9A" w:rsidRPr="00587BCC">
        <w:rPr>
          <w:rFonts w:asciiTheme="minorHAnsi" w:hAnsiTheme="minorHAnsi"/>
          <w:color w:val="auto"/>
          <w:kern w:val="2"/>
          <w:sz w:val="16"/>
        </w:rPr>
        <w:t>. 6</w:t>
      </w:r>
      <w:r w:rsidR="005C1738" w:rsidRPr="00587BCC">
        <w:rPr>
          <w:rFonts w:asciiTheme="minorHAnsi" w:hAnsiTheme="minorHAnsi"/>
          <w:color w:val="auto"/>
          <w:kern w:val="2"/>
          <w:sz w:val="16"/>
        </w:rPr>
        <w:t>401</w:t>
      </w:r>
      <w:r w:rsidR="00191B9A" w:rsidRPr="00587BCC">
        <w:rPr>
          <w:rFonts w:asciiTheme="minorHAnsi" w:hAnsiTheme="minorHAnsi"/>
          <w:color w:val="auto"/>
          <w:kern w:val="2"/>
          <w:sz w:val="16"/>
        </w:rPr>
        <w:t>.0 and Treasury.</w:t>
      </w:r>
    </w:p>
    <w:p w:rsidR="002811AD" w:rsidRPr="00755AF7" w:rsidRDefault="008E5CB3" w:rsidP="008E5CB3">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t>T</w:t>
      </w:r>
      <w:r w:rsidR="002811AD" w:rsidRPr="00755AF7">
        <w:rPr>
          <w:rFonts w:asciiTheme="minorHAnsi" w:hAnsiTheme="minorHAnsi"/>
          <w:b/>
          <w:color w:val="0000FF"/>
          <w:sz w:val="24"/>
        </w:rPr>
        <w:t xml:space="preserve">he terms of trade </w:t>
      </w:r>
      <w:r w:rsidR="00597A15">
        <w:rPr>
          <w:rFonts w:asciiTheme="minorHAnsi" w:hAnsiTheme="minorHAnsi"/>
          <w:b/>
          <w:color w:val="0000FF"/>
          <w:sz w:val="24"/>
        </w:rPr>
        <w:t>are</w:t>
      </w:r>
      <w:r w:rsidR="00A679B5">
        <w:rPr>
          <w:rFonts w:asciiTheme="minorHAnsi" w:hAnsiTheme="minorHAnsi"/>
          <w:b/>
          <w:color w:val="0000FF"/>
          <w:sz w:val="24"/>
        </w:rPr>
        <w:t xml:space="preserve"> expected to </w:t>
      </w:r>
      <w:r w:rsidR="009C1BD4">
        <w:rPr>
          <w:rFonts w:asciiTheme="minorHAnsi" w:hAnsiTheme="minorHAnsi"/>
          <w:b/>
          <w:color w:val="0000FF"/>
          <w:sz w:val="24"/>
        </w:rPr>
        <w:t xml:space="preserve">continue </w:t>
      </w:r>
      <w:r w:rsidR="002811AD" w:rsidRPr="00755AF7">
        <w:rPr>
          <w:rFonts w:asciiTheme="minorHAnsi" w:hAnsiTheme="minorHAnsi"/>
          <w:b/>
          <w:color w:val="0000FF"/>
          <w:sz w:val="24"/>
        </w:rPr>
        <w:t>fall</w:t>
      </w:r>
      <w:r w:rsidR="00A679B5">
        <w:rPr>
          <w:rFonts w:asciiTheme="minorHAnsi" w:hAnsiTheme="minorHAnsi"/>
          <w:b/>
          <w:color w:val="0000FF"/>
          <w:sz w:val="24"/>
        </w:rPr>
        <w:t>ing</w:t>
      </w:r>
      <w:r w:rsidR="009C1BD4">
        <w:rPr>
          <w:rFonts w:asciiTheme="minorHAnsi" w:hAnsiTheme="minorHAnsi"/>
          <w:b/>
          <w:color w:val="0000FF"/>
          <w:sz w:val="24"/>
        </w:rPr>
        <w:t xml:space="preserve"> in 2015-16</w:t>
      </w:r>
      <w:r w:rsidR="00243028">
        <w:rPr>
          <w:rFonts w:asciiTheme="minorHAnsi" w:hAnsiTheme="minorHAnsi"/>
          <w:b/>
          <w:color w:val="0000FF"/>
          <w:sz w:val="24"/>
        </w:rPr>
        <w:t>…</w:t>
      </w:r>
    </w:p>
    <w:p w:rsidR="001667AC" w:rsidRPr="00587BCC" w:rsidRDefault="009C1BD4" w:rsidP="00F66A92">
      <w:pPr>
        <w:pStyle w:val="Bullet"/>
        <w:numPr>
          <w:ilvl w:val="0"/>
          <w:numId w:val="0"/>
        </w:numPr>
        <w:rPr>
          <w:rFonts w:asciiTheme="minorHAnsi" w:hAnsiTheme="minorHAnsi"/>
          <w:kern w:val="2"/>
          <w:szCs w:val="20"/>
        </w:rPr>
      </w:pPr>
      <w:r>
        <w:rPr>
          <w:rFonts w:asciiTheme="minorHAnsi" w:hAnsiTheme="minorHAnsi"/>
          <w:kern w:val="2"/>
          <w:szCs w:val="20"/>
        </w:rPr>
        <w:t xml:space="preserve">Commodity price </w:t>
      </w:r>
      <w:r w:rsidR="00EE25F3">
        <w:rPr>
          <w:rFonts w:asciiTheme="minorHAnsi" w:hAnsiTheme="minorHAnsi"/>
          <w:kern w:val="2"/>
          <w:szCs w:val="20"/>
        </w:rPr>
        <w:t xml:space="preserve">falls </w:t>
      </w:r>
      <w:r>
        <w:rPr>
          <w:rFonts w:asciiTheme="minorHAnsi" w:hAnsiTheme="minorHAnsi"/>
          <w:kern w:val="2"/>
          <w:szCs w:val="20"/>
        </w:rPr>
        <w:t xml:space="preserve">since MYEFO have been </w:t>
      </w:r>
      <w:r w:rsidR="00EE25F3">
        <w:rPr>
          <w:rFonts w:asciiTheme="minorHAnsi" w:hAnsiTheme="minorHAnsi"/>
          <w:kern w:val="2"/>
          <w:szCs w:val="20"/>
        </w:rPr>
        <w:t xml:space="preserve">a little sharper than </w:t>
      </w:r>
      <w:r>
        <w:rPr>
          <w:rFonts w:asciiTheme="minorHAnsi" w:hAnsiTheme="minorHAnsi"/>
          <w:kern w:val="2"/>
          <w:szCs w:val="20"/>
        </w:rPr>
        <w:t>forecast</w:t>
      </w:r>
      <w:r w:rsidR="001A2812">
        <w:rPr>
          <w:rFonts w:asciiTheme="minorHAnsi" w:hAnsiTheme="minorHAnsi"/>
          <w:kern w:val="2"/>
          <w:szCs w:val="20"/>
        </w:rPr>
        <w:t xml:space="preserve">, </w:t>
      </w:r>
      <w:r w:rsidR="00CC09EF">
        <w:rPr>
          <w:rFonts w:asciiTheme="minorHAnsi" w:hAnsiTheme="minorHAnsi"/>
          <w:kern w:val="2"/>
          <w:szCs w:val="20"/>
        </w:rPr>
        <w:t xml:space="preserve">particularly </w:t>
      </w:r>
      <w:r w:rsidR="00EE25F3">
        <w:rPr>
          <w:rFonts w:asciiTheme="minorHAnsi" w:hAnsiTheme="minorHAnsi"/>
          <w:kern w:val="2"/>
          <w:szCs w:val="20"/>
        </w:rPr>
        <w:t xml:space="preserve">for </w:t>
      </w:r>
      <w:r w:rsidR="001A2812">
        <w:rPr>
          <w:rFonts w:asciiTheme="minorHAnsi" w:hAnsiTheme="minorHAnsi"/>
          <w:kern w:val="2"/>
          <w:szCs w:val="20"/>
        </w:rPr>
        <w:t>metallurgical coal</w:t>
      </w:r>
      <w:r w:rsidR="00EE25F3">
        <w:rPr>
          <w:rFonts w:asciiTheme="minorHAnsi" w:hAnsiTheme="minorHAnsi"/>
          <w:kern w:val="2"/>
          <w:szCs w:val="20"/>
        </w:rPr>
        <w:t xml:space="preserve">. The implication of this for the near-term forecasts will be reassessed in the March forecasting round. </w:t>
      </w:r>
      <w:r w:rsidR="00E33E06">
        <w:rPr>
          <w:rFonts w:asciiTheme="minorHAnsi" w:hAnsiTheme="minorHAnsi"/>
          <w:kern w:val="2"/>
          <w:szCs w:val="20"/>
        </w:rPr>
        <w:t xml:space="preserve">The medium term outlook for commodity demand and prices remains unchanged, with strong </w:t>
      </w:r>
      <w:r w:rsidR="00E33E06" w:rsidRPr="00F33530">
        <w:rPr>
          <w:rFonts w:asciiTheme="minorHAnsi" w:hAnsiTheme="minorHAnsi"/>
          <w:kern w:val="2"/>
          <w:szCs w:val="20"/>
        </w:rPr>
        <w:t xml:space="preserve">growth in iron </w:t>
      </w:r>
      <w:r w:rsidR="00E33E06" w:rsidRPr="00F33530">
        <w:rPr>
          <w:rFonts w:asciiTheme="minorHAnsi" w:hAnsiTheme="minorHAnsi"/>
          <w:kern w:val="2"/>
          <w:szCs w:val="20"/>
        </w:rPr>
        <w:lastRenderedPageBreak/>
        <w:t>ore supply, particularly from Australia, and increasing global supply of metallurgical and thermal coal</w:t>
      </w:r>
      <w:r w:rsidR="00E33E06">
        <w:rPr>
          <w:rFonts w:asciiTheme="minorHAnsi" w:hAnsiTheme="minorHAnsi"/>
          <w:kern w:val="2"/>
          <w:szCs w:val="20"/>
        </w:rPr>
        <w:t xml:space="preserve">, </w:t>
      </w:r>
      <w:r w:rsidR="00E33E06" w:rsidRPr="00F33530">
        <w:rPr>
          <w:rFonts w:asciiTheme="minorHAnsi" w:hAnsiTheme="minorHAnsi"/>
          <w:kern w:val="2"/>
          <w:szCs w:val="20"/>
        </w:rPr>
        <w:t>expected to weigh on prices</w:t>
      </w:r>
      <w:r w:rsidR="00E33E06">
        <w:rPr>
          <w:rFonts w:asciiTheme="minorHAnsi" w:hAnsiTheme="minorHAnsi"/>
          <w:kern w:val="2"/>
          <w:szCs w:val="20"/>
        </w:rPr>
        <w:t xml:space="preserve">.  </w:t>
      </w:r>
      <w:r w:rsidR="00F66A92" w:rsidRPr="00F33530">
        <w:rPr>
          <w:rFonts w:asciiTheme="minorHAnsi" w:hAnsiTheme="minorHAnsi"/>
          <w:kern w:val="2"/>
          <w:szCs w:val="20"/>
        </w:rPr>
        <w:t xml:space="preserve">The terms of trade are expected to fall </w:t>
      </w:r>
      <w:r w:rsidR="00880A1B">
        <w:rPr>
          <w:rFonts w:asciiTheme="minorHAnsi" w:hAnsiTheme="minorHAnsi"/>
          <w:kern w:val="2"/>
          <w:szCs w:val="20"/>
        </w:rPr>
        <w:t>3</w:t>
      </w:r>
      <w:r w:rsidR="00F66A92" w:rsidRPr="00F33530">
        <w:rPr>
          <w:rFonts w:asciiTheme="minorHAnsi" w:hAnsiTheme="minorHAnsi"/>
          <w:kern w:val="2"/>
          <w:szCs w:val="20"/>
        </w:rPr>
        <w:t xml:space="preserve"> per cent</w:t>
      </w:r>
      <w:r w:rsidR="00597A15">
        <w:rPr>
          <w:rFonts w:asciiTheme="minorHAnsi" w:hAnsiTheme="minorHAnsi"/>
          <w:kern w:val="2"/>
          <w:szCs w:val="20"/>
        </w:rPr>
        <w:t xml:space="preserve"> </w:t>
      </w:r>
      <w:r w:rsidR="00F66A92" w:rsidRPr="00F33530">
        <w:rPr>
          <w:rFonts w:asciiTheme="minorHAnsi" w:hAnsiTheme="minorHAnsi"/>
          <w:kern w:val="2"/>
          <w:szCs w:val="20"/>
        </w:rPr>
        <w:t>in 201</w:t>
      </w:r>
      <w:r w:rsidR="00880A1B">
        <w:rPr>
          <w:rFonts w:asciiTheme="minorHAnsi" w:hAnsiTheme="minorHAnsi"/>
          <w:kern w:val="2"/>
          <w:szCs w:val="20"/>
        </w:rPr>
        <w:t>5</w:t>
      </w:r>
      <w:r w:rsidR="00F66A92" w:rsidRPr="00F33530">
        <w:rPr>
          <w:rFonts w:asciiTheme="minorHAnsi" w:hAnsiTheme="minorHAnsi"/>
          <w:kern w:val="2"/>
          <w:szCs w:val="20"/>
        </w:rPr>
        <w:t>-1</w:t>
      </w:r>
      <w:r w:rsidR="00880A1B">
        <w:rPr>
          <w:rFonts w:asciiTheme="minorHAnsi" w:hAnsiTheme="minorHAnsi"/>
          <w:kern w:val="2"/>
          <w:szCs w:val="20"/>
        </w:rPr>
        <w:t>6</w:t>
      </w:r>
      <w:r w:rsidR="001667AC" w:rsidRPr="00587BCC">
        <w:rPr>
          <w:rFonts w:asciiTheme="minorHAnsi" w:hAnsiTheme="minorHAnsi"/>
          <w:kern w:val="2"/>
          <w:szCs w:val="20"/>
        </w:rPr>
        <w:t xml:space="preserve">. </w:t>
      </w:r>
    </w:p>
    <w:p w:rsidR="00880A1B" w:rsidRDefault="002113E9" w:rsidP="00880A1B">
      <w:pPr>
        <w:pStyle w:val="Bullet"/>
        <w:numPr>
          <w:ilvl w:val="0"/>
          <w:numId w:val="0"/>
        </w:numPr>
        <w:spacing w:line="240" w:lineRule="auto"/>
        <w:rPr>
          <w:rFonts w:asciiTheme="minorHAnsi" w:hAnsiTheme="minorHAnsi"/>
          <w:b/>
          <w:color w:val="0000FF"/>
          <w:sz w:val="24"/>
        </w:rPr>
      </w:pPr>
      <w:r w:rsidRPr="00755AF7">
        <w:rPr>
          <w:rFonts w:asciiTheme="minorHAnsi" w:hAnsiTheme="minorHAnsi"/>
          <w:b/>
          <w:color w:val="0000FF"/>
          <w:sz w:val="24"/>
        </w:rPr>
        <w:t>…and together with slower wage growth</w:t>
      </w:r>
      <w:r w:rsidR="00E33E06">
        <w:rPr>
          <w:rFonts w:asciiTheme="minorHAnsi" w:hAnsiTheme="minorHAnsi"/>
          <w:b/>
          <w:color w:val="0000FF"/>
          <w:sz w:val="24"/>
        </w:rPr>
        <w:t xml:space="preserve"> and </w:t>
      </w:r>
      <w:r w:rsidR="00131214">
        <w:rPr>
          <w:rFonts w:asciiTheme="minorHAnsi" w:hAnsiTheme="minorHAnsi"/>
          <w:b/>
          <w:color w:val="0000FF"/>
          <w:sz w:val="24"/>
        </w:rPr>
        <w:t>further falls in the terms of trade</w:t>
      </w:r>
      <w:r w:rsidR="00E33E06">
        <w:rPr>
          <w:rFonts w:asciiTheme="minorHAnsi" w:hAnsiTheme="minorHAnsi"/>
          <w:b/>
          <w:color w:val="0000FF"/>
          <w:sz w:val="24"/>
        </w:rPr>
        <w:t xml:space="preserve"> are</w:t>
      </w:r>
      <w:r w:rsidRPr="00755AF7">
        <w:rPr>
          <w:rFonts w:asciiTheme="minorHAnsi" w:hAnsiTheme="minorHAnsi"/>
          <w:b/>
          <w:color w:val="0000FF"/>
          <w:sz w:val="24"/>
        </w:rPr>
        <w:t xml:space="preserve"> </w:t>
      </w:r>
      <w:r w:rsidR="0099699A">
        <w:rPr>
          <w:rFonts w:asciiTheme="minorHAnsi" w:hAnsiTheme="minorHAnsi"/>
          <w:b/>
          <w:color w:val="0000FF"/>
          <w:sz w:val="24"/>
        </w:rPr>
        <w:t>constraining nominal GDP growth</w:t>
      </w:r>
    </w:p>
    <w:p w:rsidR="00F66A92" w:rsidRPr="00880A1B" w:rsidRDefault="004B2FD0" w:rsidP="00880A1B">
      <w:pPr>
        <w:pStyle w:val="Bullet"/>
        <w:numPr>
          <w:ilvl w:val="0"/>
          <w:numId w:val="0"/>
        </w:numPr>
        <w:spacing w:line="240" w:lineRule="auto"/>
        <w:rPr>
          <w:rFonts w:asciiTheme="minorHAnsi" w:hAnsiTheme="minorHAnsi"/>
          <w:b/>
          <w:color w:val="0000FF"/>
          <w:sz w:val="24"/>
        </w:rPr>
      </w:pPr>
      <w:r>
        <w:rPr>
          <w:rFonts w:asciiTheme="minorHAnsi" w:eastAsiaTheme="minorEastAsia" w:hAnsiTheme="minorHAnsi"/>
          <w:kern w:val="2"/>
          <w:szCs w:val="20"/>
          <w:lang w:eastAsia="ja-JP"/>
        </w:rPr>
        <w:t>N</w:t>
      </w:r>
      <w:r w:rsidR="00F66A92" w:rsidRPr="00F33530">
        <w:rPr>
          <w:rFonts w:asciiTheme="minorHAnsi" w:eastAsiaTheme="minorEastAsia" w:hAnsiTheme="minorHAnsi"/>
          <w:kern w:val="2"/>
          <w:szCs w:val="20"/>
          <w:lang w:eastAsia="ja-JP"/>
        </w:rPr>
        <w:t xml:space="preserve">ominal GDP growth </w:t>
      </w:r>
      <w:r>
        <w:rPr>
          <w:rFonts w:asciiTheme="minorHAnsi" w:eastAsiaTheme="minorEastAsia" w:hAnsiTheme="minorHAnsi"/>
          <w:kern w:val="2"/>
          <w:szCs w:val="20"/>
          <w:lang w:eastAsia="ja-JP"/>
        </w:rPr>
        <w:t>is expected to remain well below trend</w:t>
      </w:r>
      <w:r w:rsidR="00F66A92" w:rsidRPr="00F33530">
        <w:rPr>
          <w:rFonts w:asciiTheme="minorHAnsi" w:eastAsiaTheme="minorEastAsia" w:hAnsiTheme="minorHAnsi"/>
          <w:kern w:val="2"/>
          <w:szCs w:val="20"/>
          <w:lang w:eastAsia="ja-JP"/>
        </w:rPr>
        <w:t xml:space="preserve"> </w:t>
      </w:r>
      <w:r w:rsidR="00243028">
        <w:rPr>
          <w:rFonts w:asciiTheme="minorHAnsi" w:eastAsiaTheme="minorEastAsia" w:hAnsiTheme="minorHAnsi"/>
          <w:kern w:val="2"/>
          <w:szCs w:val="20"/>
          <w:lang w:eastAsia="ja-JP"/>
        </w:rPr>
        <w:t>in 2015-16</w:t>
      </w:r>
      <w:r w:rsidR="00F66A92" w:rsidRPr="00F33530">
        <w:rPr>
          <w:rFonts w:asciiTheme="minorHAnsi" w:eastAsiaTheme="minorEastAsia" w:hAnsiTheme="minorHAnsi"/>
          <w:kern w:val="2"/>
          <w:szCs w:val="20"/>
          <w:lang w:eastAsia="ja-JP"/>
        </w:rPr>
        <w:t xml:space="preserve">, reflecting the weak outlook for wages and </w:t>
      </w:r>
      <w:r w:rsidR="00243028">
        <w:rPr>
          <w:rFonts w:asciiTheme="minorHAnsi" w:eastAsiaTheme="minorEastAsia" w:hAnsiTheme="minorHAnsi"/>
          <w:kern w:val="2"/>
          <w:szCs w:val="20"/>
          <w:lang w:eastAsia="ja-JP"/>
        </w:rPr>
        <w:t>domestic prices</w:t>
      </w:r>
      <w:r w:rsidR="00CC09EF">
        <w:rPr>
          <w:rFonts w:asciiTheme="minorHAnsi" w:eastAsiaTheme="minorEastAsia" w:hAnsiTheme="minorHAnsi"/>
          <w:kern w:val="2"/>
          <w:szCs w:val="20"/>
          <w:lang w:eastAsia="ja-JP"/>
        </w:rPr>
        <w:t xml:space="preserve"> and the falling terms of trade</w:t>
      </w:r>
      <w:r w:rsidR="00F66A92" w:rsidRPr="00F33530">
        <w:rPr>
          <w:rFonts w:asciiTheme="minorHAnsi" w:eastAsiaTheme="minorEastAsia" w:hAnsiTheme="minorHAnsi"/>
          <w:kern w:val="2"/>
          <w:szCs w:val="20"/>
          <w:lang w:eastAsia="ja-JP"/>
        </w:rPr>
        <w:t xml:space="preserve">. Nominal GDP is </w:t>
      </w:r>
      <w:r>
        <w:rPr>
          <w:rFonts w:asciiTheme="minorHAnsi" w:eastAsiaTheme="minorEastAsia" w:hAnsiTheme="minorHAnsi"/>
          <w:kern w:val="2"/>
          <w:szCs w:val="20"/>
          <w:lang w:eastAsia="ja-JP"/>
        </w:rPr>
        <w:t>forecast</w:t>
      </w:r>
      <w:r w:rsidR="00F66A92" w:rsidRPr="00F33530">
        <w:rPr>
          <w:rFonts w:asciiTheme="minorHAnsi" w:eastAsiaTheme="minorEastAsia" w:hAnsiTheme="minorHAnsi"/>
          <w:kern w:val="2"/>
          <w:szCs w:val="20"/>
          <w:lang w:eastAsia="ja-JP"/>
        </w:rPr>
        <w:t xml:space="preserve"> to grow by </w:t>
      </w:r>
      <w:r w:rsidR="00243028">
        <w:rPr>
          <w:rFonts w:asciiTheme="minorHAnsi" w:eastAsiaTheme="minorEastAsia" w:hAnsiTheme="minorHAnsi"/>
          <w:kern w:val="2"/>
          <w:szCs w:val="20"/>
          <w:lang w:eastAsia="ja-JP"/>
        </w:rPr>
        <w:t xml:space="preserve">4¼ </w:t>
      </w:r>
      <w:r w:rsidR="00F66A92" w:rsidRPr="00F33530">
        <w:rPr>
          <w:rFonts w:asciiTheme="minorHAnsi" w:eastAsiaTheme="minorEastAsia" w:hAnsiTheme="minorHAnsi"/>
          <w:kern w:val="2"/>
          <w:szCs w:val="20"/>
          <w:lang w:eastAsia="ja-JP"/>
        </w:rPr>
        <w:t>per cent in 201</w:t>
      </w:r>
      <w:r w:rsidR="00243028">
        <w:rPr>
          <w:rFonts w:asciiTheme="minorHAnsi" w:eastAsiaTheme="minorEastAsia" w:hAnsiTheme="minorHAnsi"/>
          <w:kern w:val="2"/>
          <w:szCs w:val="20"/>
          <w:lang w:eastAsia="ja-JP"/>
        </w:rPr>
        <w:t>5</w:t>
      </w:r>
      <w:r w:rsidR="00F66A92" w:rsidRPr="00F33530">
        <w:rPr>
          <w:rFonts w:asciiTheme="minorHAnsi" w:eastAsiaTheme="minorEastAsia" w:hAnsiTheme="minorHAnsi"/>
          <w:kern w:val="2"/>
          <w:szCs w:val="20"/>
          <w:lang w:eastAsia="ja-JP"/>
        </w:rPr>
        <w:t>-1</w:t>
      </w:r>
      <w:r w:rsidR="00243028">
        <w:rPr>
          <w:rFonts w:asciiTheme="minorHAnsi" w:eastAsiaTheme="minorEastAsia" w:hAnsiTheme="minorHAnsi"/>
          <w:kern w:val="2"/>
          <w:szCs w:val="20"/>
          <w:lang w:eastAsia="ja-JP"/>
        </w:rPr>
        <w:t>6</w:t>
      </w:r>
      <w:r w:rsidR="00F66A92" w:rsidRPr="00F33530">
        <w:rPr>
          <w:rFonts w:asciiTheme="minorHAnsi" w:eastAsiaTheme="minorEastAsia" w:hAnsiTheme="minorHAnsi"/>
          <w:kern w:val="2"/>
          <w:szCs w:val="20"/>
          <w:lang w:eastAsia="ja-JP"/>
        </w:rPr>
        <w:t xml:space="preserve"> (Chart </w:t>
      </w:r>
      <w:r w:rsidR="00BE48CD">
        <w:rPr>
          <w:rFonts w:asciiTheme="minorHAnsi" w:eastAsiaTheme="minorEastAsia" w:hAnsiTheme="minorHAnsi"/>
          <w:kern w:val="2"/>
          <w:szCs w:val="20"/>
          <w:lang w:eastAsia="ja-JP"/>
        </w:rPr>
        <w:t>9</w:t>
      </w:r>
      <w:r w:rsidR="00F66A92" w:rsidRPr="00F33530">
        <w:rPr>
          <w:rFonts w:asciiTheme="minorHAnsi" w:eastAsiaTheme="minorEastAsia" w:hAnsiTheme="minorHAnsi"/>
          <w:kern w:val="2"/>
          <w:szCs w:val="20"/>
          <w:lang w:eastAsia="ja-JP"/>
        </w:rPr>
        <w:t>).</w:t>
      </w:r>
    </w:p>
    <w:p w:rsidR="002113E9" w:rsidRPr="00587BCC" w:rsidRDefault="002113E9" w:rsidP="00243028">
      <w:pPr>
        <w:keepNext/>
        <w:autoSpaceDE w:val="0"/>
        <w:autoSpaceDN w:val="0"/>
        <w:spacing w:after="0"/>
        <w:ind w:firstLine="567"/>
        <w:jc w:val="center"/>
        <w:rPr>
          <w:rFonts w:asciiTheme="minorHAnsi" w:hAnsiTheme="minorHAnsi"/>
          <w:b/>
        </w:rPr>
      </w:pPr>
      <w:r w:rsidRPr="00587BCC">
        <w:rPr>
          <w:rFonts w:asciiTheme="minorHAnsi" w:hAnsiTheme="minorHAnsi"/>
          <w:b/>
        </w:rPr>
        <w:t xml:space="preserve">Chart </w:t>
      </w:r>
      <w:r w:rsidR="00BE48CD">
        <w:rPr>
          <w:rFonts w:asciiTheme="minorHAnsi" w:hAnsiTheme="minorHAnsi"/>
          <w:b/>
        </w:rPr>
        <w:t>9</w:t>
      </w:r>
      <w:r w:rsidRPr="00587BCC">
        <w:rPr>
          <w:rFonts w:asciiTheme="minorHAnsi" w:hAnsiTheme="minorHAnsi"/>
          <w:b/>
        </w:rPr>
        <w:t xml:space="preserve">: </w:t>
      </w:r>
      <w:r w:rsidR="00C6309D" w:rsidRPr="00587BCC">
        <w:rPr>
          <w:rFonts w:asciiTheme="minorHAnsi" w:hAnsiTheme="minorHAnsi"/>
          <w:b/>
        </w:rPr>
        <w:t>N</w:t>
      </w:r>
      <w:r w:rsidRPr="00587BCC">
        <w:rPr>
          <w:rFonts w:asciiTheme="minorHAnsi" w:hAnsiTheme="minorHAnsi"/>
          <w:b/>
        </w:rPr>
        <w:t>ominal GDP</w:t>
      </w:r>
      <w:r w:rsidR="00C6309D" w:rsidRPr="00587BCC">
        <w:rPr>
          <w:rFonts w:asciiTheme="minorHAnsi" w:hAnsiTheme="minorHAnsi"/>
          <w:b/>
        </w:rPr>
        <w:t xml:space="preserve"> growth</w:t>
      </w:r>
    </w:p>
    <w:p w:rsidR="002113E9" w:rsidRPr="00587BCC" w:rsidRDefault="00C278CA" w:rsidP="00C6309D">
      <w:pPr>
        <w:pStyle w:val="ChartGraphic0"/>
        <w:spacing w:after="240"/>
        <w:jc w:val="left"/>
        <w:rPr>
          <w:rFonts w:asciiTheme="minorHAnsi" w:eastAsiaTheme="minorEastAsia" w:hAnsiTheme="minorHAnsi"/>
          <w:kern w:val="2"/>
          <w:szCs w:val="20"/>
          <w:lang w:eastAsia="ja-JP"/>
        </w:rPr>
      </w:pPr>
      <w:r>
        <w:rPr>
          <w:rFonts w:asciiTheme="minorHAnsi" w:hAnsiTheme="minorHAnsi"/>
        </w:rPr>
        <w:object w:dxaOrig="4516" w:dyaOrig="4515">
          <v:shape id="_x0000_i1033" type="#_x0000_t75" style="width:225.75pt;height:225.75pt" o:ole="">
            <v:imagedata r:id="rId38" o:title=""/>
          </v:shape>
          <o:OLEObject Type="Link" ProgID="Excel.Sheet.12" ShapeID="_x0000_i1033" DrawAspect="Content" r:id="rId39" UpdateMode="Always">
            <o:LinkType>EnhancedMetaFile</o:LinkType>
            <o:LockedField>false</o:LockedField>
          </o:OLEObject>
        </w:object>
      </w:r>
      <w:r w:rsidR="002113E9" w:rsidRPr="00587BCC">
        <w:rPr>
          <w:rFonts w:asciiTheme="minorHAnsi" w:hAnsiTheme="minorHAnsi"/>
          <w:color w:val="auto"/>
          <w:kern w:val="2"/>
          <w:sz w:val="16"/>
        </w:rPr>
        <w:t xml:space="preserve">Source: ABS cat. </w:t>
      </w:r>
      <w:proofErr w:type="gramStart"/>
      <w:r w:rsidR="002113E9" w:rsidRPr="00587BCC">
        <w:rPr>
          <w:rFonts w:asciiTheme="minorHAnsi" w:hAnsiTheme="minorHAnsi"/>
          <w:color w:val="auto"/>
          <w:kern w:val="2"/>
          <w:sz w:val="16"/>
        </w:rPr>
        <w:t>no</w:t>
      </w:r>
      <w:proofErr w:type="gramEnd"/>
      <w:r w:rsidR="00984D92" w:rsidRPr="00587BCC">
        <w:rPr>
          <w:rFonts w:asciiTheme="minorHAnsi" w:hAnsiTheme="minorHAnsi"/>
          <w:color w:val="auto"/>
          <w:kern w:val="2"/>
          <w:sz w:val="16"/>
        </w:rPr>
        <w:t>.</w:t>
      </w:r>
      <w:r w:rsidR="002113E9" w:rsidRPr="00587BCC">
        <w:rPr>
          <w:rFonts w:asciiTheme="minorHAnsi" w:hAnsiTheme="minorHAnsi"/>
          <w:color w:val="auto"/>
          <w:kern w:val="2"/>
          <w:sz w:val="16"/>
        </w:rPr>
        <w:t xml:space="preserve"> 5206.0 and Treasury.</w:t>
      </w:r>
    </w:p>
    <w:p w:rsidR="003F57B0" w:rsidRPr="00755AF7" w:rsidRDefault="003F57B0" w:rsidP="003F57B0">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t xml:space="preserve">A significant output gap </w:t>
      </w:r>
      <w:r w:rsidR="00A679B5">
        <w:rPr>
          <w:rFonts w:asciiTheme="minorHAnsi" w:hAnsiTheme="minorHAnsi"/>
          <w:b/>
          <w:color w:val="0000FF"/>
          <w:sz w:val="24"/>
        </w:rPr>
        <w:t xml:space="preserve">is likely to </w:t>
      </w:r>
      <w:r>
        <w:rPr>
          <w:rFonts w:asciiTheme="minorHAnsi" w:hAnsiTheme="minorHAnsi"/>
          <w:b/>
          <w:color w:val="0000FF"/>
          <w:sz w:val="24"/>
        </w:rPr>
        <w:t>exist by the end of the forecast period</w:t>
      </w:r>
    </w:p>
    <w:p w:rsidR="00A41143" w:rsidRDefault="00C71561" w:rsidP="00CA3283">
      <w:pPr>
        <w:pStyle w:val="Bullet"/>
        <w:numPr>
          <w:ilvl w:val="0"/>
          <w:numId w:val="0"/>
        </w:numPr>
        <w:rPr>
          <w:rFonts w:asciiTheme="minorHAnsi" w:eastAsiaTheme="minorEastAsia" w:hAnsiTheme="minorHAnsi"/>
          <w:szCs w:val="20"/>
          <w:lang w:eastAsia="ja-JP"/>
        </w:rPr>
      </w:pPr>
      <w:r>
        <w:rPr>
          <w:rFonts w:asciiTheme="minorHAnsi" w:eastAsiaTheme="minorEastAsia" w:hAnsiTheme="minorHAnsi"/>
          <w:szCs w:val="20"/>
          <w:lang w:eastAsia="ja-JP"/>
        </w:rPr>
        <w:t>On current forecasts</w:t>
      </w:r>
      <w:r w:rsidR="00CA3283">
        <w:rPr>
          <w:rFonts w:asciiTheme="minorHAnsi" w:eastAsiaTheme="minorEastAsia" w:hAnsiTheme="minorHAnsi"/>
          <w:szCs w:val="20"/>
          <w:lang w:eastAsia="ja-JP"/>
        </w:rPr>
        <w:t xml:space="preserve"> </w:t>
      </w:r>
      <w:r w:rsidR="00573571">
        <w:rPr>
          <w:rFonts w:asciiTheme="minorHAnsi" w:eastAsiaTheme="minorEastAsia" w:hAnsiTheme="minorHAnsi"/>
          <w:szCs w:val="20"/>
          <w:lang w:eastAsia="ja-JP"/>
        </w:rPr>
        <w:t>there is expected to be an</w:t>
      </w:r>
      <w:r w:rsidR="00CA3283">
        <w:rPr>
          <w:rFonts w:asciiTheme="minorHAnsi" w:eastAsiaTheme="minorEastAsia" w:hAnsiTheme="minorHAnsi"/>
          <w:szCs w:val="20"/>
          <w:lang w:eastAsia="ja-JP"/>
        </w:rPr>
        <w:t xml:space="preserve"> output gap </w:t>
      </w:r>
      <w:r w:rsidR="00573571">
        <w:rPr>
          <w:rFonts w:asciiTheme="minorHAnsi" w:eastAsiaTheme="minorEastAsia" w:hAnsiTheme="minorHAnsi"/>
          <w:szCs w:val="20"/>
          <w:lang w:eastAsia="ja-JP"/>
        </w:rPr>
        <w:t xml:space="preserve">at </w:t>
      </w:r>
      <w:r w:rsidR="00CA3283">
        <w:rPr>
          <w:rFonts w:asciiTheme="minorHAnsi" w:eastAsiaTheme="minorEastAsia" w:hAnsiTheme="minorHAnsi"/>
          <w:szCs w:val="20"/>
          <w:lang w:eastAsia="ja-JP"/>
        </w:rPr>
        <w:t>the end of 2015-16</w:t>
      </w:r>
      <w:r w:rsidR="00573571">
        <w:rPr>
          <w:rFonts w:asciiTheme="minorHAnsi" w:eastAsiaTheme="minorEastAsia" w:hAnsiTheme="minorHAnsi"/>
          <w:szCs w:val="20"/>
          <w:lang w:eastAsia="ja-JP"/>
        </w:rPr>
        <w:t xml:space="preserve"> of around</w:t>
      </w:r>
      <w:r w:rsidR="00CA3283">
        <w:rPr>
          <w:rFonts w:asciiTheme="minorHAnsi" w:eastAsiaTheme="minorEastAsia" w:hAnsiTheme="minorHAnsi"/>
          <w:szCs w:val="20"/>
          <w:lang w:eastAsia="ja-JP"/>
        </w:rPr>
        <w:t xml:space="preserve"> </w:t>
      </w:r>
      <w:r>
        <w:rPr>
          <w:rFonts w:asciiTheme="minorHAnsi" w:eastAsiaTheme="minorEastAsia" w:hAnsiTheme="minorHAnsi"/>
          <w:szCs w:val="20"/>
          <w:lang w:eastAsia="ja-JP"/>
        </w:rPr>
        <w:t>2½</w:t>
      </w:r>
      <w:r w:rsidR="00CA3283">
        <w:rPr>
          <w:rFonts w:asciiTheme="minorHAnsi" w:eastAsiaTheme="minorEastAsia" w:hAnsiTheme="minorHAnsi"/>
          <w:szCs w:val="20"/>
          <w:lang w:eastAsia="ja-JP"/>
        </w:rPr>
        <w:t xml:space="preserve"> per cent of GDP</w:t>
      </w:r>
      <w:r w:rsidR="00573571">
        <w:rPr>
          <w:rFonts w:asciiTheme="minorHAnsi" w:eastAsiaTheme="minorEastAsia" w:hAnsiTheme="minorHAnsi"/>
          <w:szCs w:val="20"/>
          <w:lang w:eastAsia="ja-JP"/>
        </w:rPr>
        <w:t xml:space="preserve"> (Chart 10)</w:t>
      </w:r>
      <w:r w:rsidR="00CA3283">
        <w:rPr>
          <w:rFonts w:asciiTheme="minorHAnsi" w:eastAsiaTheme="minorEastAsia" w:hAnsiTheme="minorHAnsi"/>
          <w:szCs w:val="20"/>
          <w:lang w:eastAsia="ja-JP"/>
        </w:rPr>
        <w:t>.</w:t>
      </w:r>
      <w:r>
        <w:rPr>
          <w:rFonts w:asciiTheme="minorHAnsi" w:eastAsiaTheme="minorEastAsia" w:hAnsiTheme="minorHAnsi"/>
          <w:szCs w:val="20"/>
          <w:lang w:eastAsia="ja-JP"/>
        </w:rPr>
        <w:t xml:space="preserve"> </w:t>
      </w:r>
      <w:r w:rsidR="00DA7C56">
        <w:rPr>
          <w:rFonts w:asciiTheme="minorHAnsi" w:eastAsiaTheme="minorEastAsia" w:hAnsiTheme="minorHAnsi"/>
          <w:szCs w:val="20"/>
          <w:lang w:eastAsia="ja-JP"/>
        </w:rPr>
        <w:t xml:space="preserve">A gap of this size has not been experienced since the 1990s recession </w:t>
      </w:r>
      <w:r w:rsidR="00A41143">
        <w:rPr>
          <w:rFonts w:asciiTheme="minorHAnsi" w:eastAsiaTheme="minorEastAsia" w:hAnsiTheme="minorHAnsi"/>
          <w:szCs w:val="20"/>
          <w:lang w:eastAsia="ja-JP"/>
        </w:rPr>
        <w:t>and</w:t>
      </w:r>
      <w:r w:rsidR="00DA7C56">
        <w:rPr>
          <w:rFonts w:asciiTheme="minorHAnsi" w:eastAsiaTheme="minorEastAsia" w:hAnsiTheme="minorHAnsi"/>
          <w:szCs w:val="20"/>
          <w:lang w:eastAsia="ja-JP"/>
        </w:rPr>
        <w:t xml:space="preserve"> reflects below trend growth for </w:t>
      </w:r>
      <w:r w:rsidR="00FE29F2">
        <w:rPr>
          <w:rFonts w:asciiTheme="minorHAnsi" w:eastAsiaTheme="minorEastAsia" w:hAnsiTheme="minorHAnsi"/>
          <w:szCs w:val="20"/>
          <w:lang w:eastAsia="ja-JP"/>
        </w:rPr>
        <w:t>six</w:t>
      </w:r>
      <w:r w:rsidR="00DA7C56">
        <w:rPr>
          <w:rFonts w:asciiTheme="minorHAnsi" w:eastAsiaTheme="minorEastAsia" w:hAnsiTheme="minorHAnsi"/>
          <w:szCs w:val="20"/>
          <w:lang w:eastAsia="ja-JP"/>
        </w:rPr>
        <w:t xml:space="preserve"> of the eight years</w:t>
      </w:r>
      <w:r w:rsidR="00A41143">
        <w:rPr>
          <w:rFonts w:asciiTheme="minorHAnsi" w:eastAsiaTheme="minorEastAsia" w:hAnsiTheme="minorHAnsi"/>
          <w:szCs w:val="20"/>
          <w:lang w:eastAsia="ja-JP"/>
        </w:rPr>
        <w:t xml:space="preserve"> (including forecasts)</w:t>
      </w:r>
      <w:r w:rsidR="00DA7C56">
        <w:rPr>
          <w:rFonts w:asciiTheme="minorHAnsi" w:eastAsiaTheme="minorEastAsia" w:hAnsiTheme="minorHAnsi"/>
          <w:szCs w:val="20"/>
          <w:lang w:eastAsia="ja-JP"/>
        </w:rPr>
        <w:t xml:space="preserve"> following the global financial crisis. </w:t>
      </w:r>
    </w:p>
    <w:p w:rsidR="00C71561" w:rsidRPr="00587BCC" w:rsidRDefault="00C71561" w:rsidP="00C71561">
      <w:pPr>
        <w:keepNext/>
        <w:autoSpaceDE w:val="0"/>
        <w:autoSpaceDN w:val="0"/>
        <w:spacing w:after="0"/>
        <w:jc w:val="center"/>
        <w:rPr>
          <w:rFonts w:asciiTheme="minorHAnsi" w:hAnsiTheme="minorHAnsi"/>
          <w:b/>
          <w:szCs w:val="20"/>
        </w:rPr>
      </w:pPr>
      <w:r w:rsidRPr="00587BCC">
        <w:rPr>
          <w:rFonts w:asciiTheme="minorHAnsi" w:hAnsiTheme="minorHAnsi"/>
          <w:b/>
          <w:szCs w:val="20"/>
        </w:rPr>
        <w:lastRenderedPageBreak/>
        <w:t xml:space="preserve">Chart </w:t>
      </w:r>
      <w:r w:rsidR="00BE48CD">
        <w:rPr>
          <w:rFonts w:asciiTheme="minorHAnsi" w:hAnsiTheme="minorHAnsi"/>
          <w:b/>
          <w:szCs w:val="20"/>
        </w:rPr>
        <w:t>10</w:t>
      </w:r>
      <w:r w:rsidRPr="00587BCC">
        <w:rPr>
          <w:rFonts w:asciiTheme="minorHAnsi" w:hAnsiTheme="minorHAnsi"/>
          <w:b/>
          <w:szCs w:val="20"/>
        </w:rPr>
        <w:t xml:space="preserve">: </w:t>
      </w:r>
      <w:r w:rsidR="00597A15">
        <w:rPr>
          <w:rFonts w:asciiTheme="minorHAnsi" w:hAnsiTheme="minorHAnsi"/>
          <w:b/>
          <w:szCs w:val="20"/>
        </w:rPr>
        <w:t>Estimates of o</w:t>
      </w:r>
      <w:r>
        <w:rPr>
          <w:rFonts w:asciiTheme="minorHAnsi" w:hAnsiTheme="minorHAnsi"/>
          <w:b/>
          <w:szCs w:val="20"/>
        </w:rPr>
        <w:t>utput gap</w:t>
      </w:r>
      <w:r w:rsidR="00597A15">
        <w:rPr>
          <w:rFonts w:asciiTheme="minorHAnsi" w:hAnsiTheme="minorHAnsi"/>
          <w:b/>
          <w:szCs w:val="20"/>
        </w:rPr>
        <w:t>s</w:t>
      </w:r>
    </w:p>
    <w:p w:rsidR="00C71561" w:rsidRDefault="00CF2C08" w:rsidP="00C71561">
      <w:pPr>
        <w:spacing w:line="240" w:lineRule="auto"/>
        <w:jc w:val="left"/>
        <w:rPr>
          <w:rFonts w:asciiTheme="minorHAnsi" w:hAnsiTheme="minorHAnsi"/>
          <w:sz w:val="16"/>
          <w:szCs w:val="16"/>
        </w:rPr>
      </w:pPr>
      <w:r>
        <w:rPr>
          <w:rFonts w:asciiTheme="minorHAnsi" w:hAnsiTheme="minorHAnsi"/>
          <w:noProof/>
          <w:lang w:eastAsia="en-AU"/>
        </w:rPr>
        <w:object w:dxaOrig="4530" w:dyaOrig="4515">
          <v:shape id="_x0000_i1034" type="#_x0000_t75" style="width:226.5pt;height:225.75pt" o:ole="">
            <v:imagedata r:id="rId40" o:title=""/>
          </v:shape>
          <o:OLEObject Type="Link" ProgID="Excel.Sheet.12" ShapeID="_x0000_i1034" DrawAspect="Content" r:id="rId41" UpdateMode="Always">
            <o:LinkType>EnhancedMetaFile</o:LinkType>
            <o:LockedField>false</o:LockedField>
          </o:OLEObject>
        </w:object>
      </w:r>
      <w:r w:rsidR="00C71561" w:rsidRPr="00587BCC">
        <w:rPr>
          <w:rFonts w:asciiTheme="minorHAnsi" w:hAnsiTheme="minorHAnsi"/>
          <w:sz w:val="16"/>
          <w:szCs w:val="16"/>
        </w:rPr>
        <w:t xml:space="preserve">Source: </w:t>
      </w:r>
      <w:r w:rsidR="00457E7B" w:rsidRPr="00587BCC">
        <w:rPr>
          <w:rFonts w:asciiTheme="minorHAnsi" w:hAnsiTheme="minorHAnsi"/>
          <w:kern w:val="2"/>
          <w:sz w:val="16"/>
        </w:rPr>
        <w:t xml:space="preserve">ABS cat. </w:t>
      </w:r>
      <w:proofErr w:type="gramStart"/>
      <w:r w:rsidR="00457E7B" w:rsidRPr="00587BCC">
        <w:rPr>
          <w:rFonts w:asciiTheme="minorHAnsi" w:hAnsiTheme="minorHAnsi"/>
          <w:kern w:val="2"/>
          <w:sz w:val="16"/>
        </w:rPr>
        <w:t>no</w:t>
      </w:r>
      <w:proofErr w:type="gramEnd"/>
      <w:r w:rsidR="00457E7B" w:rsidRPr="00587BCC">
        <w:rPr>
          <w:rFonts w:asciiTheme="minorHAnsi" w:hAnsiTheme="minorHAnsi"/>
          <w:kern w:val="2"/>
          <w:sz w:val="16"/>
        </w:rPr>
        <w:t>. 5206.0 and Treasury.</w:t>
      </w:r>
    </w:p>
    <w:p w:rsidR="002C20D1" w:rsidRDefault="002C20D1" w:rsidP="00046777">
      <w:pPr>
        <w:pStyle w:val="Bullet"/>
        <w:numPr>
          <w:ilvl w:val="0"/>
          <w:numId w:val="0"/>
        </w:numPr>
        <w:rPr>
          <w:rFonts w:asciiTheme="minorHAnsi" w:eastAsiaTheme="minorEastAsia" w:hAnsiTheme="minorHAnsi"/>
          <w:szCs w:val="20"/>
          <w:lang w:eastAsia="ja-JP"/>
        </w:rPr>
      </w:pPr>
      <w:r>
        <w:rPr>
          <w:rFonts w:asciiTheme="minorHAnsi" w:eastAsiaTheme="minorEastAsia" w:hAnsiTheme="minorHAnsi"/>
          <w:szCs w:val="20"/>
          <w:lang w:eastAsia="ja-JP"/>
        </w:rPr>
        <w:t xml:space="preserve">Since MYEFO, a </w:t>
      </w:r>
      <w:r w:rsidR="00046777">
        <w:rPr>
          <w:rFonts w:asciiTheme="minorHAnsi" w:eastAsiaTheme="minorEastAsia" w:hAnsiTheme="minorHAnsi"/>
          <w:szCs w:val="20"/>
          <w:lang w:eastAsia="ja-JP"/>
        </w:rPr>
        <w:t>revised methodology has been adopted to close th</w:t>
      </w:r>
      <w:r>
        <w:rPr>
          <w:rFonts w:asciiTheme="minorHAnsi" w:eastAsiaTheme="minorEastAsia" w:hAnsiTheme="minorHAnsi"/>
          <w:szCs w:val="20"/>
          <w:lang w:eastAsia="ja-JP"/>
        </w:rPr>
        <w:t>e output</w:t>
      </w:r>
      <w:r w:rsidR="00046777">
        <w:rPr>
          <w:rFonts w:asciiTheme="minorHAnsi" w:eastAsiaTheme="minorEastAsia" w:hAnsiTheme="minorHAnsi"/>
          <w:szCs w:val="20"/>
          <w:lang w:eastAsia="ja-JP"/>
        </w:rPr>
        <w:t xml:space="preserve"> gap. </w:t>
      </w:r>
      <w:r w:rsidR="00046777" w:rsidRPr="00A41143">
        <w:rPr>
          <w:rFonts w:asciiTheme="minorHAnsi" w:eastAsiaTheme="minorEastAsia" w:hAnsiTheme="minorHAnsi"/>
          <w:szCs w:val="20"/>
          <w:lang w:eastAsia="ja-JP"/>
        </w:rPr>
        <w:t>The gap is closed using a constant year-average growth rate over a five year period</w:t>
      </w:r>
      <w:r w:rsidR="00046777">
        <w:rPr>
          <w:rFonts w:asciiTheme="minorHAnsi" w:eastAsiaTheme="minorEastAsia" w:hAnsiTheme="minorHAnsi"/>
          <w:szCs w:val="20"/>
          <w:lang w:eastAsia="ja-JP"/>
        </w:rPr>
        <w:t xml:space="preserve"> after the</w:t>
      </w:r>
      <w:r w:rsidR="008D3477">
        <w:rPr>
          <w:rFonts w:asciiTheme="minorHAnsi" w:eastAsiaTheme="minorEastAsia" w:hAnsiTheme="minorHAnsi"/>
          <w:szCs w:val="20"/>
          <w:lang w:eastAsia="ja-JP"/>
        </w:rPr>
        <w:t xml:space="preserve"> detailed</w:t>
      </w:r>
      <w:r w:rsidR="00573571">
        <w:rPr>
          <w:rFonts w:asciiTheme="minorHAnsi" w:eastAsiaTheme="minorEastAsia" w:hAnsiTheme="minorHAnsi"/>
          <w:szCs w:val="20"/>
          <w:lang w:eastAsia="ja-JP"/>
        </w:rPr>
        <w:t xml:space="preserve"> </w:t>
      </w:r>
      <w:r w:rsidR="00046777">
        <w:rPr>
          <w:rFonts w:asciiTheme="minorHAnsi" w:eastAsiaTheme="minorEastAsia" w:hAnsiTheme="minorHAnsi"/>
          <w:szCs w:val="20"/>
          <w:lang w:eastAsia="ja-JP"/>
        </w:rPr>
        <w:t xml:space="preserve">forecast </w:t>
      </w:r>
      <w:r w:rsidR="00597A15">
        <w:rPr>
          <w:rFonts w:asciiTheme="minorHAnsi" w:eastAsiaTheme="minorEastAsia" w:hAnsiTheme="minorHAnsi"/>
          <w:szCs w:val="20"/>
          <w:lang w:eastAsia="ja-JP"/>
        </w:rPr>
        <w:t>years</w:t>
      </w:r>
      <w:r w:rsidR="008D3477">
        <w:rPr>
          <w:rFonts w:asciiTheme="minorHAnsi" w:eastAsiaTheme="minorEastAsia" w:hAnsiTheme="minorHAnsi"/>
          <w:szCs w:val="20"/>
          <w:lang w:eastAsia="ja-JP"/>
        </w:rPr>
        <w:t>, 2013-14 to 2015-16</w:t>
      </w:r>
      <w:r w:rsidR="00046777" w:rsidRPr="00A41143">
        <w:rPr>
          <w:rFonts w:asciiTheme="minorHAnsi" w:eastAsiaTheme="minorEastAsia" w:hAnsiTheme="minorHAnsi"/>
          <w:szCs w:val="20"/>
          <w:lang w:eastAsia="ja-JP"/>
        </w:rPr>
        <w:t xml:space="preserve">. This ensures that labour market variables converge from their cyclical </w:t>
      </w:r>
      <w:r w:rsidR="00597A15">
        <w:rPr>
          <w:rFonts w:asciiTheme="minorHAnsi" w:eastAsiaTheme="minorEastAsia" w:hAnsiTheme="minorHAnsi"/>
          <w:szCs w:val="20"/>
          <w:lang w:eastAsia="ja-JP"/>
        </w:rPr>
        <w:t>values</w:t>
      </w:r>
      <w:r w:rsidR="00046777" w:rsidRPr="00A41143">
        <w:rPr>
          <w:rFonts w:asciiTheme="minorHAnsi" w:eastAsiaTheme="minorEastAsia" w:hAnsiTheme="minorHAnsi"/>
          <w:szCs w:val="20"/>
          <w:lang w:eastAsia="ja-JP"/>
        </w:rPr>
        <w:t xml:space="preserve"> at the end of the forecast p</w:t>
      </w:r>
      <w:r>
        <w:rPr>
          <w:rFonts w:asciiTheme="minorHAnsi" w:eastAsiaTheme="minorEastAsia" w:hAnsiTheme="minorHAnsi"/>
          <w:szCs w:val="20"/>
          <w:lang w:eastAsia="ja-JP"/>
        </w:rPr>
        <w:t>eriod to their long run trends</w:t>
      </w:r>
      <w:r w:rsidR="00597A15">
        <w:rPr>
          <w:rFonts w:asciiTheme="minorHAnsi" w:eastAsiaTheme="minorEastAsia" w:hAnsiTheme="minorHAnsi"/>
          <w:szCs w:val="20"/>
          <w:lang w:eastAsia="ja-JP"/>
        </w:rPr>
        <w:t>, or levels</w:t>
      </w:r>
      <w:r>
        <w:rPr>
          <w:rFonts w:asciiTheme="minorHAnsi" w:eastAsiaTheme="minorEastAsia" w:hAnsiTheme="minorHAnsi"/>
          <w:szCs w:val="20"/>
          <w:lang w:eastAsia="ja-JP"/>
        </w:rPr>
        <w:t>.</w:t>
      </w:r>
    </w:p>
    <w:p w:rsidR="00046777" w:rsidRDefault="002C20D1" w:rsidP="00046777">
      <w:pPr>
        <w:pStyle w:val="Bullet"/>
        <w:numPr>
          <w:ilvl w:val="0"/>
          <w:numId w:val="0"/>
        </w:numPr>
        <w:rPr>
          <w:rFonts w:asciiTheme="minorHAnsi" w:eastAsiaTheme="minorEastAsia" w:hAnsiTheme="minorHAnsi"/>
          <w:szCs w:val="20"/>
          <w:lang w:eastAsia="ja-JP"/>
        </w:rPr>
      </w:pPr>
      <w:r>
        <w:rPr>
          <w:rFonts w:asciiTheme="minorHAnsi" w:eastAsiaTheme="minorEastAsia" w:hAnsiTheme="minorHAnsi"/>
          <w:szCs w:val="20"/>
          <w:lang w:eastAsia="ja-JP"/>
        </w:rPr>
        <w:t xml:space="preserve">Under </w:t>
      </w:r>
      <w:r w:rsidR="00046777">
        <w:rPr>
          <w:rFonts w:asciiTheme="minorHAnsi" w:eastAsiaTheme="minorEastAsia" w:hAnsiTheme="minorHAnsi"/>
          <w:szCs w:val="20"/>
          <w:lang w:eastAsia="ja-JP"/>
        </w:rPr>
        <w:t>this framework, w</w:t>
      </w:r>
      <w:r w:rsidR="00046777" w:rsidRPr="00A41143">
        <w:rPr>
          <w:rFonts w:asciiTheme="minorHAnsi" w:eastAsiaTheme="minorEastAsia" w:hAnsiTheme="minorHAnsi"/>
          <w:szCs w:val="20"/>
          <w:lang w:eastAsia="ja-JP"/>
        </w:rPr>
        <w:t>ages respond to the gap between the unemployment rate and the Non-Accelerating Inflation Rate of Unemployment (NAIRU)</w:t>
      </w:r>
      <w:r w:rsidR="00046777">
        <w:rPr>
          <w:rFonts w:asciiTheme="minorHAnsi" w:eastAsiaTheme="minorEastAsia" w:hAnsiTheme="minorHAnsi"/>
          <w:szCs w:val="20"/>
          <w:lang w:eastAsia="ja-JP"/>
        </w:rPr>
        <w:t>, which is currently estimated to be around 5</w:t>
      </w:r>
      <w:r>
        <w:rPr>
          <w:rFonts w:asciiTheme="minorHAnsi" w:eastAsiaTheme="minorEastAsia" w:hAnsiTheme="minorHAnsi"/>
          <w:szCs w:val="20"/>
          <w:lang w:eastAsia="ja-JP"/>
        </w:rPr>
        <w:t> </w:t>
      </w:r>
      <w:r w:rsidR="00046777">
        <w:rPr>
          <w:rFonts w:asciiTheme="minorHAnsi" w:eastAsiaTheme="minorEastAsia" w:hAnsiTheme="minorHAnsi"/>
          <w:szCs w:val="20"/>
          <w:lang w:eastAsia="ja-JP"/>
        </w:rPr>
        <w:t>per cent</w:t>
      </w:r>
      <w:r w:rsidR="00046777" w:rsidRPr="00A41143">
        <w:rPr>
          <w:rFonts w:asciiTheme="minorHAnsi" w:eastAsiaTheme="minorEastAsia" w:hAnsiTheme="minorHAnsi"/>
          <w:szCs w:val="20"/>
          <w:lang w:eastAsia="ja-JP"/>
        </w:rPr>
        <w:t xml:space="preserve">. </w:t>
      </w:r>
      <w:r w:rsidR="00573571">
        <w:rPr>
          <w:rFonts w:asciiTheme="minorHAnsi" w:eastAsiaTheme="minorEastAsia" w:hAnsiTheme="minorHAnsi"/>
          <w:szCs w:val="20"/>
          <w:lang w:eastAsia="ja-JP"/>
        </w:rPr>
        <w:t xml:space="preserve">Projected </w:t>
      </w:r>
      <w:r w:rsidR="00573571" w:rsidRPr="00573571">
        <w:rPr>
          <w:rFonts w:asciiTheme="minorHAnsi" w:eastAsiaTheme="minorEastAsia" w:hAnsiTheme="minorHAnsi"/>
          <w:szCs w:val="20"/>
          <w:lang w:eastAsia="ja-JP"/>
        </w:rPr>
        <w:t xml:space="preserve">wages growth is weaker than at MYEFO, with an extended period of below-trend wages growth helping to </w:t>
      </w:r>
      <w:r w:rsidR="00597A15">
        <w:rPr>
          <w:rFonts w:asciiTheme="minorHAnsi" w:eastAsiaTheme="minorEastAsia" w:hAnsiTheme="minorHAnsi"/>
          <w:szCs w:val="20"/>
          <w:lang w:eastAsia="ja-JP"/>
        </w:rPr>
        <w:t xml:space="preserve">unemployment </w:t>
      </w:r>
      <w:r w:rsidR="00573571" w:rsidRPr="00573571">
        <w:rPr>
          <w:rFonts w:asciiTheme="minorHAnsi" w:eastAsiaTheme="minorEastAsia" w:hAnsiTheme="minorHAnsi"/>
          <w:szCs w:val="20"/>
          <w:lang w:eastAsia="ja-JP"/>
        </w:rPr>
        <w:t xml:space="preserve">transition gradually back to </w:t>
      </w:r>
      <w:r w:rsidR="00573571">
        <w:rPr>
          <w:rFonts w:asciiTheme="minorHAnsi" w:eastAsiaTheme="minorEastAsia" w:hAnsiTheme="minorHAnsi"/>
          <w:szCs w:val="20"/>
          <w:lang w:eastAsia="ja-JP"/>
        </w:rPr>
        <w:t>the NAIRU</w:t>
      </w:r>
      <w:r w:rsidR="00046777" w:rsidRPr="00A41143">
        <w:rPr>
          <w:rFonts w:asciiTheme="minorHAnsi" w:eastAsiaTheme="minorEastAsia" w:hAnsiTheme="minorHAnsi"/>
          <w:szCs w:val="20"/>
          <w:lang w:eastAsia="ja-JP"/>
        </w:rPr>
        <w:t>.</w:t>
      </w:r>
      <w:r w:rsidR="00046777">
        <w:rPr>
          <w:rFonts w:asciiTheme="minorHAnsi" w:eastAsiaTheme="minorEastAsia" w:hAnsiTheme="minorHAnsi"/>
          <w:szCs w:val="20"/>
          <w:lang w:eastAsia="ja-JP"/>
        </w:rPr>
        <w:t xml:space="preserve"> </w:t>
      </w:r>
      <w:r>
        <w:rPr>
          <w:rFonts w:asciiTheme="minorHAnsi" w:eastAsiaTheme="minorEastAsia" w:hAnsiTheme="minorHAnsi"/>
          <w:szCs w:val="20"/>
          <w:lang w:eastAsia="ja-JP"/>
        </w:rPr>
        <w:t>With</w:t>
      </w:r>
      <w:r w:rsidR="00573571">
        <w:rPr>
          <w:rFonts w:asciiTheme="minorHAnsi" w:eastAsiaTheme="minorEastAsia" w:hAnsiTheme="minorHAnsi"/>
          <w:szCs w:val="20"/>
          <w:lang w:eastAsia="ja-JP"/>
        </w:rPr>
        <w:t xml:space="preserve"> output</w:t>
      </w:r>
      <w:r w:rsidR="00046777">
        <w:rPr>
          <w:rFonts w:asciiTheme="minorHAnsi" w:eastAsiaTheme="minorEastAsia" w:hAnsiTheme="minorHAnsi"/>
          <w:szCs w:val="20"/>
          <w:lang w:eastAsia="ja-JP"/>
        </w:rPr>
        <w:t xml:space="preserve"> price</w:t>
      </w:r>
      <w:r>
        <w:rPr>
          <w:rFonts w:asciiTheme="minorHAnsi" w:eastAsiaTheme="minorEastAsia" w:hAnsiTheme="minorHAnsi"/>
          <w:szCs w:val="20"/>
          <w:lang w:eastAsia="ja-JP"/>
        </w:rPr>
        <w:t xml:space="preserve"> growth</w:t>
      </w:r>
      <w:r w:rsidR="00046777">
        <w:rPr>
          <w:rFonts w:asciiTheme="minorHAnsi" w:eastAsiaTheme="minorEastAsia" w:hAnsiTheme="minorHAnsi"/>
          <w:szCs w:val="20"/>
          <w:lang w:eastAsia="ja-JP"/>
        </w:rPr>
        <w:t xml:space="preserve"> largely determined by wage costs, below</w:t>
      </w:r>
      <w:r>
        <w:rPr>
          <w:rFonts w:asciiTheme="minorHAnsi" w:eastAsiaTheme="minorEastAsia" w:hAnsiTheme="minorHAnsi"/>
          <w:szCs w:val="20"/>
          <w:lang w:eastAsia="ja-JP"/>
        </w:rPr>
        <w:t>-</w:t>
      </w:r>
      <w:r w:rsidR="00046777">
        <w:rPr>
          <w:rFonts w:asciiTheme="minorHAnsi" w:eastAsiaTheme="minorEastAsia" w:hAnsiTheme="minorHAnsi"/>
          <w:szCs w:val="20"/>
          <w:lang w:eastAsia="ja-JP"/>
        </w:rPr>
        <w:t>trend wages leads to weaker price growth.</w:t>
      </w:r>
      <w:r>
        <w:rPr>
          <w:rFonts w:asciiTheme="minorHAnsi" w:eastAsiaTheme="minorEastAsia" w:hAnsiTheme="minorHAnsi"/>
          <w:szCs w:val="20"/>
          <w:lang w:eastAsia="ja-JP"/>
        </w:rPr>
        <w:t xml:space="preserve"> Compared to MYEFO, </w:t>
      </w:r>
      <w:r w:rsidR="008D3477">
        <w:rPr>
          <w:rFonts w:asciiTheme="minorHAnsi" w:eastAsiaTheme="minorEastAsia" w:hAnsiTheme="minorHAnsi"/>
          <w:szCs w:val="20"/>
          <w:lang w:eastAsia="ja-JP"/>
        </w:rPr>
        <w:t xml:space="preserve">weaker price growth is offset by </w:t>
      </w:r>
      <w:r>
        <w:rPr>
          <w:rFonts w:asciiTheme="minorHAnsi" w:eastAsiaTheme="minorEastAsia" w:hAnsiTheme="minorHAnsi"/>
          <w:szCs w:val="20"/>
          <w:lang w:eastAsia="ja-JP"/>
        </w:rPr>
        <w:t>above-trend real GDP growth</w:t>
      </w:r>
      <w:r w:rsidR="008D3477">
        <w:rPr>
          <w:rFonts w:asciiTheme="minorHAnsi" w:eastAsiaTheme="minorEastAsia" w:hAnsiTheme="minorHAnsi"/>
          <w:szCs w:val="20"/>
          <w:lang w:eastAsia="ja-JP"/>
        </w:rPr>
        <w:t xml:space="preserve"> over the forward estimates but</w:t>
      </w:r>
      <w:r>
        <w:rPr>
          <w:rFonts w:asciiTheme="minorHAnsi" w:eastAsiaTheme="minorEastAsia" w:hAnsiTheme="minorHAnsi"/>
          <w:szCs w:val="20"/>
          <w:lang w:eastAsia="ja-JP"/>
        </w:rPr>
        <w:t xml:space="preserve"> </w:t>
      </w:r>
      <w:r w:rsidR="001920E2">
        <w:rPr>
          <w:rFonts w:asciiTheme="minorHAnsi" w:eastAsiaTheme="minorEastAsia" w:hAnsiTheme="minorHAnsi"/>
          <w:szCs w:val="20"/>
          <w:lang w:eastAsia="ja-JP"/>
        </w:rPr>
        <w:t>low</w:t>
      </w:r>
      <w:r w:rsidR="00A66887">
        <w:rPr>
          <w:rFonts w:asciiTheme="minorHAnsi" w:eastAsiaTheme="minorEastAsia" w:hAnsiTheme="minorHAnsi"/>
          <w:szCs w:val="20"/>
          <w:lang w:eastAsia="ja-JP"/>
        </w:rPr>
        <w:t>er</w:t>
      </w:r>
      <w:r w:rsidR="001920E2">
        <w:rPr>
          <w:rFonts w:asciiTheme="minorHAnsi" w:eastAsiaTheme="minorEastAsia" w:hAnsiTheme="minorHAnsi"/>
          <w:szCs w:val="20"/>
          <w:lang w:eastAsia="ja-JP"/>
        </w:rPr>
        <w:t>s</w:t>
      </w:r>
      <w:r>
        <w:rPr>
          <w:rFonts w:asciiTheme="minorHAnsi" w:eastAsiaTheme="minorEastAsia" w:hAnsiTheme="minorHAnsi"/>
          <w:szCs w:val="20"/>
          <w:lang w:eastAsia="ja-JP"/>
        </w:rPr>
        <w:t xml:space="preserve"> nominal GDP growth</w:t>
      </w:r>
      <w:r w:rsidR="001920E2">
        <w:rPr>
          <w:rFonts w:asciiTheme="minorHAnsi" w:eastAsiaTheme="minorEastAsia" w:hAnsiTheme="minorHAnsi"/>
          <w:szCs w:val="20"/>
          <w:lang w:eastAsia="ja-JP"/>
        </w:rPr>
        <w:t xml:space="preserve"> in the medium term</w:t>
      </w:r>
      <w:r>
        <w:rPr>
          <w:rFonts w:asciiTheme="minorHAnsi" w:eastAsiaTheme="minorEastAsia" w:hAnsiTheme="minorHAnsi"/>
          <w:szCs w:val="20"/>
          <w:lang w:eastAsia="ja-JP"/>
        </w:rPr>
        <w:t>.</w:t>
      </w:r>
    </w:p>
    <w:p w:rsidR="002054E5" w:rsidRDefault="002054E5" w:rsidP="002113E9">
      <w:pPr>
        <w:pStyle w:val="Bullet"/>
        <w:numPr>
          <w:ilvl w:val="0"/>
          <w:numId w:val="0"/>
        </w:numPr>
        <w:spacing w:line="240" w:lineRule="auto"/>
        <w:rPr>
          <w:rFonts w:asciiTheme="minorHAnsi" w:hAnsiTheme="minorHAnsi"/>
          <w:b/>
          <w:color w:val="0000FF"/>
          <w:sz w:val="24"/>
        </w:rPr>
      </w:pPr>
    </w:p>
    <w:p w:rsidR="002054E5" w:rsidRDefault="002054E5" w:rsidP="002113E9">
      <w:pPr>
        <w:pStyle w:val="Bullet"/>
        <w:numPr>
          <w:ilvl w:val="0"/>
          <w:numId w:val="0"/>
        </w:numPr>
        <w:spacing w:line="240" w:lineRule="auto"/>
        <w:rPr>
          <w:rFonts w:asciiTheme="minorHAnsi" w:hAnsiTheme="minorHAnsi"/>
          <w:b/>
          <w:color w:val="0000FF"/>
          <w:sz w:val="24"/>
        </w:rPr>
      </w:pPr>
    </w:p>
    <w:p w:rsidR="002054E5" w:rsidRDefault="002054E5" w:rsidP="002113E9">
      <w:pPr>
        <w:pStyle w:val="Bullet"/>
        <w:numPr>
          <w:ilvl w:val="0"/>
          <w:numId w:val="0"/>
        </w:numPr>
        <w:spacing w:line="240" w:lineRule="auto"/>
        <w:rPr>
          <w:rFonts w:asciiTheme="minorHAnsi" w:hAnsiTheme="minorHAnsi"/>
          <w:b/>
          <w:color w:val="0000FF"/>
          <w:sz w:val="24"/>
        </w:rPr>
      </w:pPr>
    </w:p>
    <w:p w:rsidR="002054E5" w:rsidRDefault="002054E5" w:rsidP="002113E9">
      <w:pPr>
        <w:pStyle w:val="Bullet"/>
        <w:numPr>
          <w:ilvl w:val="0"/>
          <w:numId w:val="0"/>
        </w:numPr>
        <w:spacing w:line="240" w:lineRule="auto"/>
        <w:rPr>
          <w:rFonts w:asciiTheme="minorHAnsi" w:hAnsiTheme="minorHAnsi"/>
          <w:b/>
          <w:color w:val="0000FF"/>
          <w:sz w:val="24"/>
        </w:rPr>
      </w:pPr>
    </w:p>
    <w:p w:rsidR="002054E5" w:rsidRDefault="002054E5" w:rsidP="002113E9">
      <w:pPr>
        <w:pStyle w:val="Bullet"/>
        <w:numPr>
          <w:ilvl w:val="0"/>
          <w:numId w:val="0"/>
        </w:numPr>
        <w:spacing w:line="240" w:lineRule="auto"/>
        <w:rPr>
          <w:rFonts w:asciiTheme="minorHAnsi" w:hAnsiTheme="minorHAnsi"/>
          <w:b/>
          <w:color w:val="0000FF"/>
          <w:sz w:val="24"/>
        </w:rPr>
      </w:pPr>
    </w:p>
    <w:p w:rsidR="00597A15" w:rsidRDefault="00597A15" w:rsidP="002113E9">
      <w:pPr>
        <w:pStyle w:val="Bullet"/>
        <w:numPr>
          <w:ilvl w:val="0"/>
          <w:numId w:val="0"/>
        </w:numPr>
        <w:spacing w:line="240" w:lineRule="auto"/>
        <w:rPr>
          <w:rFonts w:asciiTheme="minorHAnsi" w:hAnsiTheme="minorHAnsi"/>
          <w:b/>
          <w:color w:val="0000FF"/>
          <w:sz w:val="24"/>
        </w:rPr>
      </w:pPr>
    </w:p>
    <w:p w:rsidR="002113E9" w:rsidRPr="00755AF7" w:rsidRDefault="003910CE" w:rsidP="002113E9">
      <w:pPr>
        <w:pStyle w:val="Bullet"/>
        <w:numPr>
          <w:ilvl w:val="0"/>
          <w:numId w:val="0"/>
        </w:numPr>
        <w:spacing w:line="240" w:lineRule="auto"/>
        <w:rPr>
          <w:rFonts w:asciiTheme="minorHAnsi" w:hAnsiTheme="minorHAnsi"/>
          <w:b/>
          <w:color w:val="0000FF"/>
          <w:sz w:val="24"/>
        </w:rPr>
      </w:pPr>
      <w:r>
        <w:rPr>
          <w:rFonts w:asciiTheme="minorHAnsi" w:hAnsiTheme="minorHAnsi"/>
          <w:b/>
          <w:color w:val="0000FF"/>
          <w:sz w:val="24"/>
        </w:rPr>
        <w:lastRenderedPageBreak/>
        <w:t>R</w:t>
      </w:r>
      <w:r w:rsidR="002113E9" w:rsidRPr="00755AF7">
        <w:rPr>
          <w:rFonts w:asciiTheme="minorHAnsi" w:hAnsiTheme="minorHAnsi"/>
          <w:b/>
          <w:color w:val="0000FF"/>
          <w:sz w:val="24"/>
        </w:rPr>
        <w:t>isks to the outlook</w:t>
      </w:r>
      <w:r>
        <w:rPr>
          <w:rFonts w:asciiTheme="minorHAnsi" w:hAnsiTheme="minorHAnsi"/>
          <w:b/>
          <w:color w:val="0000FF"/>
          <w:sz w:val="24"/>
        </w:rPr>
        <w:t xml:space="preserve"> </w:t>
      </w:r>
      <w:r w:rsidR="00E33E06">
        <w:rPr>
          <w:rFonts w:asciiTheme="minorHAnsi" w:hAnsiTheme="minorHAnsi"/>
          <w:b/>
          <w:color w:val="0000FF"/>
          <w:sz w:val="24"/>
        </w:rPr>
        <w:t>appear to</w:t>
      </w:r>
      <w:r>
        <w:rPr>
          <w:rFonts w:asciiTheme="minorHAnsi" w:hAnsiTheme="minorHAnsi"/>
          <w:b/>
          <w:color w:val="0000FF"/>
          <w:sz w:val="24"/>
        </w:rPr>
        <w:t xml:space="preserve"> be more balanced</w:t>
      </w:r>
    </w:p>
    <w:p w:rsidR="00776689" w:rsidRDefault="00776689" w:rsidP="00F66A92">
      <w:pPr>
        <w:rPr>
          <w:rFonts w:asciiTheme="minorHAnsi" w:eastAsiaTheme="minorEastAsia" w:hAnsiTheme="minorHAnsi"/>
          <w:szCs w:val="20"/>
          <w:lang w:eastAsia="ja-JP"/>
        </w:rPr>
      </w:pPr>
      <w:r>
        <w:rPr>
          <w:rFonts w:asciiTheme="minorHAnsi" w:eastAsiaTheme="minorEastAsia" w:hAnsiTheme="minorHAnsi"/>
          <w:szCs w:val="20"/>
          <w:lang w:eastAsia="ja-JP"/>
        </w:rPr>
        <w:t>As outlined in the MYEFO, there are clear risks to the domestic outlook. The pace of rebalancing remains unclear</w:t>
      </w:r>
      <w:r w:rsidR="00CD3D09">
        <w:rPr>
          <w:rFonts w:asciiTheme="minorHAnsi" w:eastAsiaTheme="minorEastAsia" w:hAnsiTheme="minorHAnsi"/>
          <w:szCs w:val="20"/>
          <w:lang w:eastAsia="ja-JP"/>
        </w:rPr>
        <w:t>. H</w:t>
      </w:r>
      <w:r w:rsidR="001920E2">
        <w:rPr>
          <w:rFonts w:asciiTheme="minorHAnsi" w:eastAsiaTheme="minorEastAsia" w:hAnsiTheme="minorHAnsi"/>
          <w:szCs w:val="20"/>
          <w:lang w:eastAsia="ja-JP"/>
        </w:rPr>
        <w:t xml:space="preserve">igh profile job losses and </w:t>
      </w:r>
      <w:r>
        <w:rPr>
          <w:rFonts w:asciiTheme="minorHAnsi" w:eastAsiaTheme="minorEastAsia" w:hAnsiTheme="minorHAnsi"/>
          <w:szCs w:val="20"/>
          <w:lang w:eastAsia="ja-JP"/>
        </w:rPr>
        <w:t>the current weakness in the labour market have the potential to slow th</w:t>
      </w:r>
      <w:r w:rsidR="00CD3D09">
        <w:rPr>
          <w:rFonts w:asciiTheme="minorHAnsi" w:eastAsiaTheme="minorEastAsia" w:hAnsiTheme="minorHAnsi"/>
          <w:szCs w:val="20"/>
          <w:lang w:eastAsia="ja-JP"/>
        </w:rPr>
        <w:t>e</w:t>
      </w:r>
      <w:r>
        <w:rPr>
          <w:rFonts w:asciiTheme="minorHAnsi" w:eastAsiaTheme="minorEastAsia" w:hAnsiTheme="minorHAnsi"/>
          <w:szCs w:val="20"/>
          <w:lang w:eastAsia="ja-JP"/>
        </w:rPr>
        <w:t xml:space="preserve"> transition further.</w:t>
      </w:r>
    </w:p>
    <w:p w:rsidR="00BE7D5D" w:rsidRDefault="00776689" w:rsidP="00BE7D5D">
      <w:pPr>
        <w:keepNext/>
        <w:autoSpaceDE w:val="0"/>
        <w:autoSpaceDN w:val="0"/>
        <w:spacing w:after="0"/>
        <w:rPr>
          <w:rFonts w:asciiTheme="minorHAnsi" w:eastAsiaTheme="minorEastAsia" w:hAnsiTheme="minorHAnsi"/>
          <w:szCs w:val="20"/>
          <w:lang w:eastAsia="ja-JP"/>
        </w:rPr>
      </w:pPr>
      <w:r>
        <w:rPr>
          <w:rFonts w:asciiTheme="minorHAnsi" w:eastAsiaTheme="minorEastAsia" w:hAnsiTheme="minorHAnsi"/>
          <w:szCs w:val="20"/>
          <w:lang w:eastAsia="ja-JP"/>
        </w:rPr>
        <w:t xml:space="preserve">However, there are tentative signs that the </w:t>
      </w:r>
      <w:r w:rsidR="00CD3D09">
        <w:rPr>
          <w:rFonts w:asciiTheme="minorHAnsi" w:eastAsiaTheme="minorEastAsia" w:hAnsiTheme="minorHAnsi"/>
          <w:szCs w:val="20"/>
          <w:lang w:eastAsia="ja-JP"/>
        </w:rPr>
        <w:br/>
      </w:r>
      <w:r>
        <w:rPr>
          <w:rFonts w:asciiTheme="minorHAnsi" w:eastAsiaTheme="minorEastAsia" w:hAnsiTheme="minorHAnsi"/>
          <w:szCs w:val="20"/>
          <w:lang w:eastAsia="ja-JP"/>
        </w:rPr>
        <w:t xml:space="preserve">non-resources sectors </w:t>
      </w:r>
      <w:r w:rsidR="00DA7C56">
        <w:rPr>
          <w:rFonts w:asciiTheme="minorHAnsi" w:eastAsiaTheme="minorEastAsia" w:hAnsiTheme="minorHAnsi"/>
          <w:szCs w:val="20"/>
          <w:lang w:eastAsia="ja-JP"/>
        </w:rPr>
        <w:t>are</w:t>
      </w:r>
      <w:r>
        <w:rPr>
          <w:rFonts w:asciiTheme="minorHAnsi" w:eastAsiaTheme="minorEastAsia" w:hAnsiTheme="minorHAnsi"/>
          <w:szCs w:val="20"/>
          <w:lang w:eastAsia="ja-JP"/>
        </w:rPr>
        <w:t xml:space="preserve"> responding to stimulatory monetary policy. If combined with a lower exchange rate and an improvement in household confidence, </w:t>
      </w:r>
      <w:r w:rsidR="006A410E">
        <w:rPr>
          <w:rFonts w:asciiTheme="minorHAnsi" w:eastAsiaTheme="minorEastAsia" w:hAnsiTheme="minorHAnsi"/>
          <w:szCs w:val="20"/>
          <w:lang w:eastAsia="ja-JP"/>
        </w:rPr>
        <w:t xml:space="preserve">this </w:t>
      </w:r>
      <w:r>
        <w:rPr>
          <w:rFonts w:asciiTheme="minorHAnsi" w:eastAsiaTheme="minorEastAsia" w:hAnsiTheme="minorHAnsi"/>
          <w:szCs w:val="20"/>
          <w:lang w:eastAsia="ja-JP"/>
        </w:rPr>
        <w:t>could result in a quicker rebound in activity than currently forecast, particularly in 2015-16</w:t>
      </w:r>
      <w:r w:rsidR="00BE7D5D">
        <w:rPr>
          <w:rFonts w:asciiTheme="minorHAnsi" w:eastAsiaTheme="minorEastAsia" w:hAnsiTheme="minorHAnsi"/>
          <w:szCs w:val="20"/>
          <w:lang w:eastAsia="ja-JP"/>
        </w:rPr>
        <w:t xml:space="preserve">. </w:t>
      </w:r>
    </w:p>
    <w:p w:rsidR="00BE7D5D" w:rsidRDefault="00BE7D5D" w:rsidP="00BE7D5D">
      <w:pPr>
        <w:keepNext/>
        <w:autoSpaceDE w:val="0"/>
        <w:autoSpaceDN w:val="0"/>
        <w:spacing w:after="0"/>
        <w:ind w:firstLine="567"/>
        <w:jc w:val="center"/>
        <w:rPr>
          <w:rFonts w:asciiTheme="minorHAnsi" w:eastAsiaTheme="minorEastAsia" w:hAnsiTheme="minorHAnsi"/>
          <w:szCs w:val="20"/>
          <w:lang w:eastAsia="ja-JP"/>
        </w:rPr>
      </w:pPr>
    </w:p>
    <w:p w:rsidR="00BE7D5D" w:rsidRDefault="00BE7D5D" w:rsidP="002C20D1">
      <w:pPr>
        <w:rPr>
          <w:rFonts w:asciiTheme="minorHAnsi" w:eastAsiaTheme="minorEastAsia" w:hAnsiTheme="minorHAnsi"/>
          <w:szCs w:val="20"/>
          <w:lang w:eastAsia="ja-JP"/>
        </w:rPr>
      </w:pPr>
    </w:p>
    <w:p w:rsidR="00C92C0C" w:rsidRPr="00C92C0C" w:rsidRDefault="00776689" w:rsidP="002C20D1">
      <w:pPr>
        <w:rPr>
          <w:rFonts w:asciiTheme="minorHAnsi" w:eastAsiaTheme="minorEastAsia" w:hAnsiTheme="minorHAnsi"/>
          <w:lang w:eastAsia="ja-JP"/>
        </w:rPr>
      </w:pPr>
      <w:r>
        <w:rPr>
          <w:rFonts w:asciiTheme="minorHAnsi" w:eastAsiaTheme="minorEastAsia" w:hAnsiTheme="minorHAnsi"/>
          <w:szCs w:val="20"/>
          <w:lang w:eastAsia="ja-JP"/>
        </w:rPr>
        <w:t>.</w:t>
      </w:r>
      <w:r w:rsidR="00C92C0C">
        <w:rPr>
          <w:rFonts w:asciiTheme="minorHAnsi" w:eastAsiaTheme="minorEastAsia" w:hAnsiTheme="minorHAnsi"/>
          <w:lang w:eastAsia="ja-JP"/>
        </w:rPr>
        <w:br w:type="page"/>
      </w:r>
    </w:p>
    <w:p w:rsidR="00C92C0C" w:rsidRDefault="00C92C0C">
      <w:pPr>
        <w:spacing w:after="0" w:line="240" w:lineRule="auto"/>
        <w:jc w:val="left"/>
        <w:rPr>
          <w:rFonts w:asciiTheme="minorHAnsi" w:eastAsiaTheme="minorEastAsia" w:hAnsiTheme="minorHAnsi"/>
          <w:kern w:val="2"/>
          <w:szCs w:val="20"/>
          <w:lang w:eastAsia="ja-JP"/>
        </w:rPr>
      </w:pPr>
    </w:p>
    <w:p w:rsidR="00C92C0C" w:rsidRDefault="00C92C0C">
      <w:pPr>
        <w:spacing w:after="0" w:line="240" w:lineRule="auto"/>
        <w:jc w:val="left"/>
        <w:rPr>
          <w:rFonts w:asciiTheme="minorHAnsi" w:eastAsiaTheme="minorEastAsia" w:hAnsiTheme="minorHAnsi"/>
          <w:kern w:val="2"/>
          <w:szCs w:val="20"/>
          <w:lang w:eastAsia="ja-JP"/>
        </w:rPr>
        <w:sectPr w:rsidR="00C92C0C" w:rsidSect="00755AF7">
          <w:headerReference w:type="default" r:id="rId42"/>
          <w:footerReference w:type="even" r:id="rId43"/>
          <w:footerReference w:type="default" r:id="rId44"/>
          <w:footnotePr>
            <w:pos w:val="beneathText"/>
          </w:footnotePr>
          <w:type w:val="continuous"/>
          <w:pgSz w:w="11907" w:h="16840" w:code="9"/>
          <w:pgMar w:top="1418" w:right="1100" w:bottom="1276" w:left="1100" w:header="567" w:footer="709" w:gutter="0"/>
          <w:cols w:num="2" w:space="709"/>
          <w:docGrid w:linePitch="272"/>
        </w:sectPr>
      </w:pPr>
    </w:p>
    <w:p w:rsidR="00C641DD" w:rsidRDefault="00C641DD" w:rsidP="00C641DD">
      <w:pPr>
        <w:rPr>
          <w:rFonts w:asciiTheme="minorHAnsi" w:hAnsiTheme="minorHAnsi"/>
          <w:color w:val="003399"/>
          <w:sz w:val="28"/>
        </w:rPr>
      </w:pPr>
      <w:r w:rsidRPr="00021C6A">
        <w:rPr>
          <w:rFonts w:asciiTheme="minorHAnsi" w:hAnsiTheme="minorHAnsi"/>
          <w:b/>
        </w:rPr>
        <w:lastRenderedPageBreak/>
        <w:t xml:space="preserve">Table </w:t>
      </w:r>
      <w:r w:rsidR="003D16F3">
        <w:rPr>
          <w:rFonts w:asciiTheme="minorHAnsi" w:hAnsiTheme="minorHAnsi"/>
          <w:b/>
        </w:rPr>
        <w:t>2</w:t>
      </w:r>
      <w:r w:rsidRPr="00021C6A">
        <w:rPr>
          <w:rFonts w:asciiTheme="minorHAnsi" w:hAnsiTheme="minorHAnsi"/>
          <w:b/>
        </w:rPr>
        <w:t xml:space="preserve">: Domestic economy forecasts </w:t>
      </w:r>
      <w:r w:rsidRPr="00021C6A">
        <w:rPr>
          <w:rFonts w:asciiTheme="minorHAnsi" w:hAnsiTheme="minorHAnsi"/>
          <w:b/>
          <w:sz w:val="16"/>
          <w:szCs w:val="16"/>
        </w:rPr>
        <w:t>(a)</w:t>
      </w:r>
    </w:p>
    <w:p w:rsidR="00F66A92" w:rsidRPr="00B136B6" w:rsidRDefault="00BD2C6A" w:rsidP="00EE1290">
      <w:pPr>
        <w:spacing w:after="0" w:line="240" w:lineRule="auto"/>
        <w:jc w:val="left"/>
        <w:rPr>
          <w:rFonts w:asciiTheme="minorHAnsi" w:hAnsiTheme="minorHAnsi"/>
          <w:color w:val="003399"/>
          <w:sz w:val="28"/>
        </w:rPr>
      </w:pPr>
      <w:r w:rsidRPr="00BD2C6A">
        <w:rPr>
          <w:noProof/>
          <w:lang w:eastAsia="en-AU"/>
        </w:rPr>
        <w:drawing>
          <wp:inline distT="0" distB="0" distL="0" distR="0" wp14:anchorId="51576125" wp14:editId="2036B1F1">
            <wp:extent cx="5981700" cy="6010275"/>
            <wp:effectExtent l="0" t="0" r="0"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81700" cy="6010275"/>
                    </a:xfrm>
                    <a:prstGeom prst="rect">
                      <a:avLst/>
                    </a:prstGeom>
                    <a:noFill/>
                    <a:ln>
                      <a:noFill/>
                    </a:ln>
                  </pic:spPr>
                </pic:pic>
              </a:graphicData>
            </a:graphic>
          </wp:inline>
        </w:drawing>
      </w:r>
    </w:p>
    <w:p w:rsidR="00B136B6" w:rsidRDefault="00B136B6" w:rsidP="00F66A92">
      <w:pPr>
        <w:pStyle w:val="ChartandTableFootnoteAlpha"/>
        <w:numPr>
          <w:ilvl w:val="0"/>
          <w:numId w:val="18"/>
        </w:numPr>
        <w:spacing w:line="240" w:lineRule="auto"/>
        <w:rPr>
          <w:rFonts w:asciiTheme="minorHAnsi" w:hAnsiTheme="minorHAnsi"/>
          <w:kern w:val="2"/>
          <w:sz w:val="20"/>
          <w:szCs w:val="20"/>
        </w:rPr>
      </w:pPr>
      <w:r w:rsidRPr="00B136B6">
        <w:rPr>
          <w:rFonts w:asciiTheme="minorHAnsi" w:hAnsiTheme="minorHAnsi"/>
          <w:kern w:val="2"/>
          <w:sz w:val="20"/>
          <w:szCs w:val="20"/>
        </w:rPr>
        <w:t>Percentage change on preceding year unless otherwise indicated.</w:t>
      </w:r>
    </w:p>
    <w:p w:rsidR="00F66A92" w:rsidRPr="00F33530" w:rsidRDefault="00F66A92" w:rsidP="00F66A92">
      <w:pPr>
        <w:pStyle w:val="ChartandTableFootnoteAlpha"/>
        <w:numPr>
          <w:ilvl w:val="0"/>
          <w:numId w:val="18"/>
        </w:numPr>
        <w:spacing w:line="240" w:lineRule="auto"/>
        <w:rPr>
          <w:rFonts w:asciiTheme="minorHAnsi" w:hAnsiTheme="minorHAnsi"/>
          <w:kern w:val="2"/>
          <w:sz w:val="20"/>
          <w:szCs w:val="20"/>
        </w:rPr>
      </w:pPr>
      <w:r w:rsidRPr="00F33530">
        <w:rPr>
          <w:rFonts w:asciiTheme="minorHAnsi" w:hAnsiTheme="minorHAnsi"/>
          <w:kern w:val="2"/>
          <w:sz w:val="20"/>
          <w:szCs w:val="20"/>
        </w:rPr>
        <w:t>Calculated using original data unless otherwise indicated.</w:t>
      </w:r>
    </w:p>
    <w:p w:rsidR="00F66A92" w:rsidRPr="00F33530" w:rsidRDefault="00F66A92" w:rsidP="00F66A92">
      <w:pPr>
        <w:pStyle w:val="ChartandTableFootnoteAlpha"/>
        <w:numPr>
          <w:ilvl w:val="0"/>
          <w:numId w:val="18"/>
        </w:numPr>
        <w:spacing w:line="240" w:lineRule="auto"/>
        <w:rPr>
          <w:rFonts w:asciiTheme="minorHAnsi" w:hAnsiTheme="minorHAnsi"/>
          <w:kern w:val="2"/>
          <w:sz w:val="20"/>
          <w:szCs w:val="20"/>
        </w:rPr>
      </w:pPr>
      <w:r w:rsidRPr="00F33530">
        <w:rPr>
          <w:rFonts w:asciiTheme="minorHAnsi" w:hAnsiTheme="minorHAnsi"/>
          <w:kern w:val="2"/>
          <w:sz w:val="20"/>
          <w:szCs w:val="20"/>
        </w:rPr>
        <w:t>Chain volume measures except for nominal gross domestic product which is in current prices.</w:t>
      </w:r>
    </w:p>
    <w:p w:rsidR="00F66A92" w:rsidRPr="00F33530" w:rsidRDefault="00F66A92" w:rsidP="00F66A92">
      <w:pPr>
        <w:pStyle w:val="ChartandTableFootnoteAlpha"/>
        <w:numPr>
          <w:ilvl w:val="0"/>
          <w:numId w:val="18"/>
        </w:numPr>
        <w:spacing w:line="240" w:lineRule="auto"/>
        <w:rPr>
          <w:rFonts w:asciiTheme="minorHAnsi" w:hAnsiTheme="minorHAnsi"/>
          <w:kern w:val="2"/>
          <w:sz w:val="20"/>
          <w:szCs w:val="20"/>
        </w:rPr>
      </w:pPr>
      <w:r w:rsidRPr="00F33530">
        <w:rPr>
          <w:rFonts w:asciiTheme="minorHAnsi" w:hAnsiTheme="minorHAnsi"/>
          <w:kern w:val="2"/>
          <w:sz w:val="20"/>
          <w:szCs w:val="20"/>
        </w:rPr>
        <w:t>Excluding second</w:t>
      </w:r>
      <w:r w:rsidRPr="00F33530">
        <w:rPr>
          <w:rFonts w:asciiTheme="minorHAnsi" w:hAnsiTheme="minorHAnsi"/>
          <w:kern w:val="2"/>
          <w:sz w:val="20"/>
          <w:szCs w:val="20"/>
        </w:rPr>
        <w:noBreakHyphen/>
        <w:t>hand asset sales from the public sector to the private sector.</w:t>
      </w:r>
    </w:p>
    <w:p w:rsidR="00F66A92" w:rsidRPr="00F33530" w:rsidRDefault="00F66A92" w:rsidP="00F66A92">
      <w:pPr>
        <w:pStyle w:val="ChartandTableFootnoteAlpha"/>
        <w:numPr>
          <w:ilvl w:val="0"/>
          <w:numId w:val="18"/>
        </w:numPr>
        <w:spacing w:line="240" w:lineRule="auto"/>
        <w:rPr>
          <w:rFonts w:asciiTheme="minorHAnsi" w:hAnsiTheme="minorHAnsi"/>
          <w:kern w:val="2"/>
          <w:sz w:val="20"/>
          <w:szCs w:val="20"/>
        </w:rPr>
      </w:pPr>
      <w:r w:rsidRPr="00F33530">
        <w:rPr>
          <w:rFonts w:asciiTheme="minorHAnsi" w:hAnsiTheme="minorHAnsi"/>
          <w:kern w:val="2"/>
          <w:sz w:val="20"/>
          <w:szCs w:val="20"/>
        </w:rPr>
        <w:t xml:space="preserve">Percentage point contribution to growth in GDP. </w:t>
      </w:r>
    </w:p>
    <w:p w:rsidR="00F66A92" w:rsidRPr="00F33530" w:rsidRDefault="00F66A92" w:rsidP="00F66A92">
      <w:pPr>
        <w:pStyle w:val="ChartandTableFootnoteAlpha"/>
        <w:numPr>
          <w:ilvl w:val="0"/>
          <w:numId w:val="18"/>
        </w:numPr>
        <w:spacing w:line="240" w:lineRule="auto"/>
        <w:rPr>
          <w:rFonts w:asciiTheme="minorHAnsi" w:hAnsiTheme="minorHAnsi"/>
          <w:kern w:val="2"/>
          <w:sz w:val="20"/>
          <w:szCs w:val="20"/>
        </w:rPr>
      </w:pPr>
      <w:r w:rsidRPr="00F33530">
        <w:rPr>
          <w:rFonts w:asciiTheme="minorHAnsi" w:hAnsiTheme="minorHAnsi"/>
          <w:kern w:val="2"/>
          <w:sz w:val="20"/>
          <w:szCs w:val="20"/>
        </w:rPr>
        <w:t>Seasonally adjusted, through</w:t>
      </w:r>
      <w:r w:rsidRPr="00F33530">
        <w:rPr>
          <w:rFonts w:asciiTheme="minorHAnsi" w:hAnsiTheme="minorHAnsi"/>
          <w:kern w:val="2"/>
          <w:sz w:val="20"/>
          <w:szCs w:val="20"/>
        </w:rPr>
        <w:noBreakHyphen/>
        <w:t>the</w:t>
      </w:r>
      <w:r w:rsidRPr="00F33530">
        <w:rPr>
          <w:rFonts w:asciiTheme="minorHAnsi" w:hAnsiTheme="minorHAnsi"/>
          <w:kern w:val="2"/>
          <w:sz w:val="20"/>
          <w:szCs w:val="20"/>
        </w:rPr>
        <w:noBreakHyphen/>
        <w:t>year growth rate to the June quarter.</w:t>
      </w:r>
    </w:p>
    <w:p w:rsidR="00F66A92" w:rsidRPr="00F33530" w:rsidRDefault="00F66A92" w:rsidP="00F66A92">
      <w:pPr>
        <w:pStyle w:val="ChartandTableFootnoteAlpha"/>
        <w:numPr>
          <w:ilvl w:val="0"/>
          <w:numId w:val="18"/>
        </w:numPr>
        <w:spacing w:line="240" w:lineRule="auto"/>
        <w:rPr>
          <w:rFonts w:asciiTheme="minorHAnsi" w:hAnsiTheme="minorHAnsi"/>
          <w:kern w:val="2"/>
          <w:sz w:val="20"/>
          <w:szCs w:val="20"/>
        </w:rPr>
      </w:pPr>
      <w:r w:rsidRPr="00F33530">
        <w:rPr>
          <w:rFonts w:asciiTheme="minorHAnsi" w:hAnsiTheme="minorHAnsi"/>
          <w:kern w:val="2"/>
          <w:sz w:val="20"/>
          <w:szCs w:val="20"/>
        </w:rPr>
        <w:t>Seasonally adjusted rate for the June quarter.</w:t>
      </w:r>
    </w:p>
    <w:p w:rsidR="00F66A92" w:rsidRPr="00F33530" w:rsidRDefault="00F66A92" w:rsidP="00F66A92">
      <w:pPr>
        <w:pStyle w:val="ChartandTableFootnoteAlpha"/>
        <w:numPr>
          <w:ilvl w:val="0"/>
          <w:numId w:val="18"/>
        </w:numPr>
        <w:spacing w:line="240" w:lineRule="auto"/>
        <w:rPr>
          <w:rFonts w:asciiTheme="minorHAnsi" w:hAnsiTheme="minorHAnsi"/>
          <w:kern w:val="2"/>
          <w:sz w:val="20"/>
          <w:szCs w:val="20"/>
        </w:rPr>
      </w:pPr>
      <w:r w:rsidRPr="00F33530">
        <w:rPr>
          <w:rFonts w:asciiTheme="minorHAnsi" w:hAnsiTheme="minorHAnsi"/>
          <w:kern w:val="2"/>
          <w:sz w:val="20"/>
          <w:szCs w:val="20"/>
        </w:rPr>
        <w:t>Through</w:t>
      </w:r>
      <w:r w:rsidRPr="00F33530">
        <w:rPr>
          <w:rFonts w:asciiTheme="minorHAnsi" w:hAnsiTheme="minorHAnsi"/>
          <w:kern w:val="2"/>
          <w:sz w:val="20"/>
          <w:szCs w:val="20"/>
        </w:rPr>
        <w:noBreakHyphen/>
        <w:t>the</w:t>
      </w:r>
      <w:r w:rsidRPr="00F33530">
        <w:rPr>
          <w:rFonts w:asciiTheme="minorHAnsi" w:hAnsiTheme="minorHAnsi"/>
          <w:kern w:val="2"/>
          <w:sz w:val="20"/>
          <w:szCs w:val="20"/>
        </w:rPr>
        <w:noBreakHyphen/>
        <w:t>year growth rate to the June quarter.</w:t>
      </w:r>
    </w:p>
    <w:p w:rsidR="00F66A92" w:rsidRPr="00F33530" w:rsidRDefault="00F66A92" w:rsidP="00F66A92">
      <w:pPr>
        <w:pStyle w:val="ChartandTableFootnoteAlpha"/>
        <w:tabs>
          <w:tab w:val="clear" w:pos="283"/>
        </w:tabs>
        <w:spacing w:line="240" w:lineRule="auto"/>
        <w:ind w:left="0" w:firstLine="0"/>
        <w:rPr>
          <w:rFonts w:asciiTheme="minorHAnsi" w:hAnsiTheme="minorHAnsi"/>
          <w:kern w:val="2"/>
          <w:sz w:val="20"/>
          <w:szCs w:val="20"/>
        </w:rPr>
      </w:pPr>
      <w:r w:rsidRPr="00F33530">
        <w:rPr>
          <w:rFonts w:asciiTheme="minorHAnsi" w:hAnsiTheme="minorHAnsi"/>
          <w:kern w:val="2"/>
          <w:sz w:val="20"/>
          <w:szCs w:val="20"/>
        </w:rPr>
        <w:t>Note: The forecasts for the domestic economy are based on several technical assumptions. The exchange rate is assumed to remain around its recent average level — a trade</w:t>
      </w:r>
      <w:r w:rsidRPr="00F33530">
        <w:rPr>
          <w:rFonts w:asciiTheme="minorHAnsi" w:hAnsiTheme="minorHAnsi"/>
          <w:kern w:val="2"/>
          <w:sz w:val="20"/>
          <w:szCs w:val="20"/>
        </w:rPr>
        <w:noBreakHyphen/>
        <w:t>weighted index of around 7</w:t>
      </w:r>
      <w:r w:rsidR="002E6624">
        <w:rPr>
          <w:rFonts w:asciiTheme="minorHAnsi" w:hAnsiTheme="minorHAnsi"/>
          <w:kern w:val="2"/>
          <w:sz w:val="20"/>
          <w:szCs w:val="20"/>
        </w:rPr>
        <w:t>0</w:t>
      </w:r>
      <w:r w:rsidRPr="00F33530">
        <w:rPr>
          <w:rFonts w:asciiTheme="minorHAnsi" w:hAnsiTheme="minorHAnsi"/>
          <w:kern w:val="2"/>
          <w:sz w:val="20"/>
          <w:szCs w:val="20"/>
        </w:rPr>
        <w:t xml:space="preserve"> and a $US exchange rate of around 9</w:t>
      </w:r>
      <w:r w:rsidR="002E6624">
        <w:rPr>
          <w:rFonts w:asciiTheme="minorHAnsi" w:hAnsiTheme="minorHAnsi"/>
          <w:kern w:val="2"/>
          <w:sz w:val="20"/>
          <w:szCs w:val="20"/>
        </w:rPr>
        <w:t>1</w:t>
      </w:r>
      <w:r w:rsidRPr="00F33530">
        <w:rPr>
          <w:rFonts w:asciiTheme="minorHAnsi" w:hAnsiTheme="minorHAnsi"/>
          <w:kern w:val="2"/>
          <w:sz w:val="20"/>
          <w:szCs w:val="20"/>
        </w:rPr>
        <w:t xml:space="preserve"> US cents. Interest rates are assumed to move broadly in line with market expectations. World oil prices (Malaysian Tapis) are assumed to remain around US$118 per barrel. </w:t>
      </w:r>
    </w:p>
    <w:p w:rsidR="00C549A8" w:rsidRPr="00587BCC" w:rsidRDefault="00F66A92" w:rsidP="00F66A92">
      <w:pPr>
        <w:spacing w:after="0" w:line="240" w:lineRule="auto"/>
        <w:jc w:val="left"/>
        <w:rPr>
          <w:rFonts w:asciiTheme="minorHAnsi" w:eastAsiaTheme="minorHAnsi" w:hAnsiTheme="minorHAnsi" w:cstheme="minorBidi"/>
          <w:b/>
          <w:bCs/>
          <w:iCs/>
          <w:color w:val="003399"/>
          <w:sz w:val="16"/>
          <w:szCs w:val="16"/>
        </w:rPr>
      </w:pPr>
      <w:r w:rsidRPr="00F33530">
        <w:rPr>
          <w:rFonts w:asciiTheme="minorHAnsi" w:hAnsiTheme="minorHAnsi" w:cs="Arial"/>
          <w:kern w:val="2"/>
          <w:szCs w:val="20"/>
        </w:rPr>
        <w:t xml:space="preserve">Source: ABS cat. </w:t>
      </w:r>
      <w:proofErr w:type="gramStart"/>
      <w:r w:rsidRPr="00F33530">
        <w:rPr>
          <w:rFonts w:asciiTheme="minorHAnsi" w:hAnsiTheme="minorHAnsi" w:cs="Arial"/>
          <w:kern w:val="2"/>
          <w:szCs w:val="20"/>
        </w:rPr>
        <w:t>no</w:t>
      </w:r>
      <w:proofErr w:type="gramEnd"/>
      <w:r w:rsidRPr="00F33530">
        <w:rPr>
          <w:rFonts w:asciiTheme="minorHAnsi" w:hAnsiTheme="minorHAnsi" w:cs="Arial"/>
          <w:kern w:val="2"/>
          <w:szCs w:val="20"/>
        </w:rPr>
        <w:t>. 5206.0, 5302.0, 6202.0, 6345.0, 6401.0, unpublished ABS data and Treasury</w:t>
      </w:r>
      <w:r w:rsidR="00275E93" w:rsidRPr="00587BCC">
        <w:rPr>
          <w:rFonts w:asciiTheme="minorHAnsi" w:hAnsiTheme="minorHAnsi" w:cs="Arial"/>
          <w:kern w:val="2"/>
          <w:sz w:val="16"/>
          <w:szCs w:val="16"/>
        </w:rPr>
        <w:t>.</w:t>
      </w:r>
      <w:r w:rsidR="00C549A8" w:rsidRPr="00587BCC">
        <w:rPr>
          <w:rFonts w:asciiTheme="minorHAnsi" w:hAnsiTheme="minorHAnsi"/>
          <w:i/>
          <w:color w:val="003399"/>
          <w:sz w:val="16"/>
          <w:szCs w:val="16"/>
        </w:rPr>
        <w:br w:type="page"/>
      </w:r>
    </w:p>
    <w:p w:rsidR="001E2A5E" w:rsidRPr="00190E46" w:rsidRDefault="001E2A5E" w:rsidP="001E2A5E">
      <w:pPr>
        <w:pStyle w:val="IntenseQuote"/>
        <w:ind w:left="0"/>
        <w:rPr>
          <w:i w:val="0"/>
          <w:color w:val="0000FF"/>
          <w:sz w:val="28"/>
          <w:szCs w:val="24"/>
        </w:rPr>
      </w:pPr>
      <w:r w:rsidRPr="00190E46">
        <w:rPr>
          <w:i w:val="0"/>
          <w:color w:val="0000FF"/>
          <w:sz w:val="28"/>
          <w:szCs w:val="24"/>
        </w:rPr>
        <w:lastRenderedPageBreak/>
        <w:t>Appendix A – Confidence intervals</w:t>
      </w:r>
    </w:p>
    <w:p w:rsidR="001E2A5E" w:rsidRPr="00587BCC" w:rsidRDefault="001E2A5E" w:rsidP="001E2A5E">
      <w:pPr>
        <w:pStyle w:val="Bullet"/>
        <w:numPr>
          <w:ilvl w:val="0"/>
          <w:numId w:val="0"/>
        </w:numPr>
        <w:spacing w:before="200" w:after="280" w:line="240" w:lineRule="auto"/>
        <w:jc w:val="left"/>
        <w:rPr>
          <w:rFonts w:asciiTheme="minorHAnsi" w:hAnsiTheme="minorHAnsi"/>
          <w:b/>
          <w:color w:val="003399"/>
          <w:sz w:val="24"/>
        </w:rPr>
        <w:sectPr w:rsidR="001E2A5E" w:rsidRPr="00587BCC" w:rsidSect="00190E46">
          <w:type w:val="continuous"/>
          <w:pgSz w:w="11907" w:h="16840" w:code="9"/>
          <w:pgMar w:top="1418" w:right="1100" w:bottom="1134" w:left="1100" w:header="567" w:footer="709" w:gutter="0"/>
          <w:cols w:space="709"/>
          <w:docGrid w:linePitch="272"/>
        </w:sectPr>
      </w:pPr>
    </w:p>
    <w:p w:rsidR="00226194" w:rsidRDefault="001E2A5E" w:rsidP="001E2A5E">
      <w:pPr>
        <w:pStyle w:val="Bullet"/>
        <w:numPr>
          <w:ilvl w:val="0"/>
          <w:numId w:val="0"/>
        </w:numPr>
        <w:rPr>
          <w:rFonts w:asciiTheme="minorHAnsi" w:eastAsiaTheme="minorEastAsia" w:hAnsiTheme="minorHAnsi"/>
          <w:szCs w:val="20"/>
          <w:lang w:eastAsia="ja-JP"/>
        </w:rPr>
      </w:pPr>
      <w:r w:rsidRPr="00F33530">
        <w:rPr>
          <w:rFonts w:asciiTheme="minorHAnsi" w:eastAsiaTheme="minorEastAsia" w:hAnsiTheme="minorHAnsi"/>
          <w:szCs w:val="20"/>
          <w:lang w:eastAsia="ja-JP"/>
        </w:rPr>
        <w:lastRenderedPageBreak/>
        <w:t xml:space="preserve">As always, there is a degree of uncertainty around the forecasts. The degree of uncertainty can be estimated based on past forecast errors and presented using confidence intervals. The average annualised real GDP growth over the </w:t>
      </w:r>
      <w:r>
        <w:rPr>
          <w:rFonts w:asciiTheme="minorHAnsi" w:eastAsiaTheme="minorEastAsia" w:hAnsiTheme="minorHAnsi"/>
          <w:szCs w:val="20"/>
          <w:lang w:eastAsia="ja-JP"/>
        </w:rPr>
        <w:t>three</w:t>
      </w:r>
      <w:r w:rsidRPr="00F33530">
        <w:rPr>
          <w:rFonts w:asciiTheme="minorHAnsi" w:eastAsiaTheme="minorEastAsia" w:hAnsiTheme="minorHAnsi"/>
          <w:szCs w:val="20"/>
          <w:lang w:eastAsia="ja-JP"/>
        </w:rPr>
        <w:t xml:space="preserve"> years 2012-13 to 201</w:t>
      </w:r>
      <w:r>
        <w:rPr>
          <w:rFonts w:asciiTheme="minorHAnsi" w:eastAsiaTheme="minorEastAsia" w:hAnsiTheme="minorHAnsi"/>
          <w:szCs w:val="20"/>
          <w:lang w:eastAsia="ja-JP"/>
        </w:rPr>
        <w:t>5</w:t>
      </w:r>
      <w:r w:rsidRPr="00F33530">
        <w:rPr>
          <w:rFonts w:asciiTheme="minorHAnsi" w:eastAsiaTheme="minorEastAsia" w:hAnsiTheme="minorHAnsi"/>
          <w:szCs w:val="20"/>
          <w:lang w:eastAsia="ja-JP"/>
        </w:rPr>
        <w:t>-1</w:t>
      </w:r>
      <w:r>
        <w:rPr>
          <w:rFonts w:asciiTheme="minorHAnsi" w:eastAsiaTheme="minorEastAsia" w:hAnsiTheme="minorHAnsi"/>
          <w:szCs w:val="20"/>
          <w:lang w:eastAsia="ja-JP"/>
        </w:rPr>
        <w:t>6</w:t>
      </w:r>
      <w:r w:rsidRPr="00F33530">
        <w:rPr>
          <w:rFonts w:asciiTheme="minorHAnsi" w:eastAsiaTheme="minorEastAsia" w:hAnsiTheme="minorHAnsi"/>
          <w:szCs w:val="20"/>
          <w:lang w:eastAsia="ja-JP"/>
        </w:rPr>
        <w:t xml:space="preserve"> is expected to be </w:t>
      </w:r>
      <w:r w:rsidR="009856BC">
        <w:rPr>
          <w:rFonts w:asciiTheme="minorHAnsi" w:eastAsiaTheme="minorEastAsia" w:hAnsiTheme="minorHAnsi"/>
          <w:szCs w:val="20"/>
          <w:lang w:eastAsia="ja-JP"/>
        </w:rPr>
        <w:t>2.6</w:t>
      </w:r>
      <w:r w:rsidRPr="00F33530">
        <w:rPr>
          <w:rFonts w:asciiTheme="minorHAnsi" w:eastAsiaTheme="minorEastAsia" w:hAnsiTheme="minorHAnsi"/>
          <w:szCs w:val="20"/>
          <w:lang w:eastAsia="ja-JP"/>
        </w:rPr>
        <w:t xml:space="preserve"> per cent, with the 70 per cent confidence interval from </w:t>
      </w:r>
      <w:r w:rsidR="009856BC">
        <w:rPr>
          <w:rFonts w:asciiTheme="minorHAnsi" w:eastAsiaTheme="minorEastAsia" w:hAnsiTheme="minorHAnsi"/>
          <w:szCs w:val="20"/>
          <w:lang w:eastAsia="ja-JP"/>
        </w:rPr>
        <w:t>2.</w:t>
      </w:r>
      <w:r w:rsidR="00AA2D6C">
        <w:rPr>
          <w:rFonts w:asciiTheme="minorHAnsi" w:eastAsiaTheme="minorEastAsia" w:hAnsiTheme="minorHAnsi"/>
          <w:szCs w:val="20"/>
          <w:lang w:eastAsia="ja-JP"/>
        </w:rPr>
        <w:t>1</w:t>
      </w:r>
      <w:r w:rsidRPr="00F33530">
        <w:rPr>
          <w:rFonts w:asciiTheme="minorHAnsi" w:eastAsiaTheme="minorEastAsia" w:hAnsiTheme="minorHAnsi"/>
          <w:szCs w:val="20"/>
          <w:lang w:eastAsia="ja-JP"/>
        </w:rPr>
        <w:t xml:space="preserve"> to </w:t>
      </w:r>
      <w:r w:rsidR="009856BC">
        <w:rPr>
          <w:rFonts w:asciiTheme="minorHAnsi" w:eastAsiaTheme="minorEastAsia" w:hAnsiTheme="minorHAnsi"/>
          <w:szCs w:val="20"/>
          <w:lang w:eastAsia="ja-JP"/>
        </w:rPr>
        <w:t>3.</w:t>
      </w:r>
      <w:r w:rsidR="00AA2D6C">
        <w:rPr>
          <w:rFonts w:asciiTheme="minorHAnsi" w:eastAsiaTheme="minorEastAsia" w:hAnsiTheme="minorHAnsi"/>
          <w:szCs w:val="20"/>
          <w:lang w:eastAsia="ja-JP"/>
        </w:rPr>
        <w:t>1</w:t>
      </w:r>
      <w:r w:rsidRPr="00F33530">
        <w:rPr>
          <w:rFonts w:asciiTheme="minorHAnsi" w:eastAsiaTheme="minorEastAsia" w:hAnsiTheme="minorHAnsi"/>
          <w:szCs w:val="20"/>
          <w:lang w:eastAsia="ja-JP"/>
        </w:rPr>
        <w:t xml:space="preserve"> per cent (Chart </w:t>
      </w:r>
      <w:r w:rsidR="00974DC3">
        <w:rPr>
          <w:rFonts w:asciiTheme="minorHAnsi" w:eastAsiaTheme="minorEastAsia" w:hAnsiTheme="minorHAnsi"/>
          <w:szCs w:val="20"/>
          <w:lang w:eastAsia="ja-JP"/>
        </w:rPr>
        <w:t>1</w:t>
      </w:r>
      <w:r w:rsidRPr="00F33530">
        <w:rPr>
          <w:rFonts w:asciiTheme="minorHAnsi" w:eastAsiaTheme="minorEastAsia" w:hAnsiTheme="minorHAnsi"/>
          <w:szCs w:val="20"/>
          <w:lang w:eastAsia="ja-JP"/>
        </w:rPr>
        <w:t xml:space="preserve">). </w:t>
      </w:r>
    </w:p>
    <w:p w:rsidR="001E2A5E" w:rsidRPr="00587BCC" w:rsidRDefault="00226194" w:rsidP="001E2A5E">
      <w:pPr>
        <w:pStyle w:val="Bullet"/>
        <w:numPr>
          <w:ilvl w:val="0"/>
          <w:numId w:val="0"/>
        </w:numPr>
        <w:rPr>
          <w:rFonts w:asciiTheme="minorHAnsi" w:eastAsiaTheme="minorEastAsia" w:hAnsiTheme="minorHAnsi"/>
          <w:lang w:eastAsia="ja-JP"/>
        </w:rPr>
      </w:pPr>
      <w:r w:rsidRPr="00226194">
        <w:rPr>
          <w:rFonts w:asciiTheme="minorHAnsi" w:eastAsiaTheme="minorEastAsia" w:hAnsiTheme="minorHAnsi"/>
          <w:szCs w:val="20"/>
          <w:lang w:eastAsia="ja-JP"/>
        </w:rPr>
        <w:t>It is noticeable that the confidence intervals shrink in width for the 201</w:t>
      </w:r>
      <w:r>
        <w:rPr>
          <w:rFonts w:asciiTheme="minorHAnsi" w:eastAsiaTheme="minorEastAsia" w:hAnsiTheme="minorHAnsi"/>
          <w:szCs w:val="20"/>
          <w:lang w:eastAsia="ja-JP"/>
        </w:rPr>
        <w:t>5</w:t>
      </w:r>
      <w:r w:rsidRPr="00226194">
        <w:rPr>
          <w:rFonts w:asciiTheme="minorHAnsi" w:eastAsiaTheme="minorEastAsia" w:hAnsiTheme="minorHAnsi"/>
          <w:szCs w:val="20"/>
          <w:lang w:eastAsia="ja-JP"/>
        </w:rPr>
        <w:t>-1</w:t>
      </w:r>
      <w:r>
        <w:rPr>
          <w:rFonts w:asciiTheme="minorHAnsi" w:eastAsiaTheme="minorEastAsia" w:hAnsiTheme="minorHAnsi"/>
          <w:szCs w:val="20"/>
          <w:lang w:eastAsia="ja-JP"/>
        </w:rPr>
        <w:t>6</w:t>
      </w:r>
      <w:r w:rsidRPr="00226194">
        <w:rPr>
          <w:rFonts w:asciiTheme="minorHAnsi" w:eastAsiaTheme="minorEastAsia" w:hAnsiTheme="minorHAnsi"/>
          <w:szCs w:val="20"/>
          <w:lang w:eastAsia="ja-JP"/>
        </w:rPr>
        <w:t xml:space="preserve"> year forecast. This occurs because reporting the average annualised growth rate moderates the impact of errors over longer horizons. By contrast, if confidence intervals were reported around the cumulative growth rates they would continue to widen.</w:t>
      </w:r>
    </w:p>
    <w:p w:rsidR="001E2A5E" w:rsidRPr="00587BCC" w:rsidRDefault="001E2A5E" w:rsidP="001E2A5E">
      <w:pPr>
        <w:keepNext/>
        <w:autoSpaceDE w:val="0"/>
        <w:autoSpaceDN w:val="0"/>
        <w:spacing w:after="0"/>
        <w:jc w:val="center"/>
        <w:rPr>
          <w:rFonts w:asciiTheme="minorHAnsi" w:hAnsiTheme="minorHAnsi"/>
          <w:b/>
          <w:szCs w:val="20"/>
        </w:rPr>
      </w:pPr>
      <w:r w:rsidRPr="009856BC">
        <w:rPr>
          <w:rFonts w:asciiTheme="minorHAnsi" w:hAnsiTheme="minorHAnsi"/>
          <w:b/>
          <w:szCs w:val="20"/>
        </w:rPr>
        <w:t xml:space="preserve">Chart </w:t>
      </w:r>
      <w:r w:rsidR="00974DC3">
        <w:rPr>
          <w:rFonts w:asciiTheme="minorHAnsi" w:hAnsiTheme="minorHAnsi"/>
          <w:b/>
          <w:szCs w:val="20"/>
        </w:rPr>
        <w:t>1</w:t>
      </w:r>
      <w:r w:rsidRPr="009856BC">
        <w:rPr>
          <w:rFonts w:asciiTheme="minorHAnsi" w:hAnsiTheme="minorHAnsi"/>
          <w:b/>
          <w:szCs w:val="20"/>
        </w:rPr>
        <w:t>: Confidence intervals a</w:t>
      </w:r>
      <w:r w:rsidR="009856BC" w:rsidRPr="009856BC">
        <w:rPr>
          <w:rFonts w:asciiTheme="minorHAnsi" w:hAnsiTheme="minorHAnsi"/>
          <w:b/>
          <w:szCs w:val="20"/>
        </w:rPr>
        <w:t>round forecast real GDP</w:t>
      </w:r>
      <w:r w:rsidR="005A72B0">
        <w:rPr>
          <w:rFonts w:asciiTheme="minorHAnsi" w:hAnsiTheme="minorHAnsi"/>
          <w:b/>
          <w:szCs w:val="20"/>
        </w:rPr>
        <w:t xml:space="preserve"> growth</w:t>
      </w:r>
    </w:p>
    <w:p w:rsidR="009A0F2D" w:rsidRPr="00503D4C" w:rsidRDefault="00201A1F" w:rsidP="009A0F2D">
      <w:pPr>
        <w:autoSpaceDE w:val="0"/>
        <w:autoSpaceDN w:val="0"/>
        <w:spacing w:after="0" w:line="240" w:lineRule="auto"/>
        <w:jc w:val="left"/>
        <w:rPr>
          <w:rFonts w:asciiTheme="minorHAnsi" w:hAnsiTheme="minorHAnsi"/>
          <w:sz w:val="16"/>
          <w:szCs w:val="16"/>
        </w:rPr>
      </w:pPr>
      <w:r>
        <w:rPr>
          <w:rFonts w:asciiTheme="minorHAnsi" w:hAnsiTheme="minorHAnsi"/>
          <w:noProof/>
          <w:lang w:eastAsia="en-AU"/>
        </w:rPr>
        <w:object w:dxaOrig="4516" w:dyaOrig="4515">
          <v:shape id="_x0000_i1035" type="#_x0000_t75" style="width:225.75pt;height:225.75pt" o:ole="">
            <v:imagedata r:id="rId46" o:title=""/>
          </v:shape>
          <o:OLEObject Type="Link" ProgID="Excel.Sheet.8" ShapeID="_x0000_i1035" DrawAspect="Content" r:id="rId47" UpdateMode="Always">
            <o:LinkType>EnhancedMetaFile</o:LinkType>
            <o:LockedField>false</o:LockedField>
          </o:OLEObject>
        </w:object>
      </w:r>
      <w:r w:rsidR="009A0F2D" w:rsidRPr="00603A05">
        <w:rPr>
          <w:rFonts w:asciiTheme="minorHAnsi" w:hAnsiTheme="minorHAnsi"/>
          <w:sz w:val="16"/>
          <w:szCs w:val="16"/>
        </w:rPr>
        <w:t xml:space="preserve">Note: </w:t>
      </w:r>
      <w:r w:rsidR="009A0F2D" w:rsidRPr="009A0F2D">
        <w:rPr>
          <w:rFonts w:asciiTheme="minorHAnsi" w:hAnsiTheme="minorHAnsi"/>
          <w:sz w:val="16"/>
          <w:szCs w:val="16"/>
        </w:rPr>
        <w:t xml:space="preserve">Confidence intervals are based on forecast errors from historical December forecast rounds. </w:t>
      </w:r>
      <w:r w:rsidR="00A35717">
        <w:rPr>
          <w:rFonts w:asciiTheme="minorHAnsi" w:hAnsiTheme="minorHAnsi"/>
          <w:sz w:val="16"/>
          <w:szCs w:val="16"/>
        </w:rPr>
        <w:t>The</w:t>
      </w:r>
      <w:r w:rsidR="009A0F2D" w:rsidRPr="009A0F2D">
        <w:rPr>
          <w:rFonts w:asciiTheme="minorHAnsi" w:hAnsiTheme="minorHAnsi"/>
          <w:sz w:val="16"/>
          <w:szCs w:val="16"/>
        </w:rPr>
        <w:t xml:space="preserve"> confidence intervals around the 2015-16 forecast reflects errors typically based on</w:t>
      </w:r>
      <w:r w:rsidR="009A0F2D">
        <w:rPr>
          <w:rFonts w:asciiTheme="minorHAnsi" w:hAnsiTheme="minorHAnsi"/>
          <w:sz w:val="16"/>
          <w:szCs w:val="16"/>
        </w:rPr>
        <w:t xml:space="preserve"> </w:t>
      </w:r>
      <w:r w:rsidR="009A0F2D" w:rsidRPr="009A0F2D">
        <w:rPr>
          <w:rFonts w:asciiTheme="minorHAnsi" w:hAnsiTheme="minorHAnsi"/>
          <w:sz w:val="16"/>
          <w:szCs w:val="16"/>
        </w:rPr>
        <w:t>projections.</w:t>
      </w:r>
    </w:p>
    <w:p w:rsidR="009A0F2D" w:rsidRDefault="009A0F2D" w:rsidP="009A0F2D">
      <w:pPr>
        <w:spacing w:line="240" w:lineRule="auto"/>
        <w:jc w:val="left"/>
        <w:rPr>
          <w:rFonts w:asciiTheme="minorHAnsi" w:hAnsiTheme="minorHAnsi"/>
          <w:sz w:val="16"/>
          <w:szCs w:val="16"/>
        </w:rPr>
      </w:pPr>
      <w:r w:rsidRPr="00587BCC">
        <w:rPr>
          <w:rFonts w:asciiTheme="minorHAnsi" w:hAnsiTheme="minorHAnsi"/>
          <w:sz w:val="16"/>
          <w:szCs w:val="16"/>
        </w:rPr>
        <w:t xml:space="preserve">Source: ABS cat. </w:t>
      </w:r>
      <w:proofErr w:type="gramStart"/>
      <w:r w:rsidRPr="00587BCC">
        <w:rPr>
          <w:rFonts w:asciiTheme="minorHAnsi" w:hAnsiTheme="minorHAnsi"/>
          <w:sz w:val="16"/>
          <w:szCs w:val="16"/>
        </w:rPr>
        <w:t>no</w:t>
      </w:r>
      <w:proofErr w:type="gramEnd"/>
      <w:r w:rsidRPr="00587BCC">
        <w:rPr>
          <w:rFonts w:asciiTheme="minorHAnsi" w:hAnsiTheme="minorHAnsi"/>
          <w:sz w:val="16"/>
          <w:szCs w:val="16"/>
        </w:rPr>
        <w:t>. 5206.0, Budget papers and Treasury.</w:t>
      </w:r>
    </w:p>
    <w:p w:rsidR="001E2A5E" w:rsidRDefault="001E2A5E" w:rsidP="00AA2D6C">
      <w:pPr>
        <w:autoSpaceDE w:val="0"/>
        <w:autoSpaceDN w:val="0"/>
        <w:spacing w:after="0" w:line="240" w:lineRule="auto"/>
        <w:rPr>
          <w:rFonts w:asciiTheme="minorHAnsi" w:hAnsiTheme="minorHAnsi"/>
          <w:kern w:val="2"/>
          <w:szCs w:val="20"/>
        </w:rPr>
      </w:pPr>
      <w:r w:rsidRPr="00F33530">
        <w:rPr>
          <w:rFonts w:asciiTheme="minorHAnsi" w:hAnsiTheme="minorHAnsi"/>
          <w:kern w:val="2"/>
          <w:szCs w:val="20"/>
        </w:rPr>
        <w:t xml:space="preserve">The uncertainty around nominal GDP growth forecasts is larger than around real GDP growth forecasts, reflecting the compounding nature of two sources of uncertainty: the outlook for real GDP and the outlook </w:t>
      </w:r>
      <w:r w:rsidRPr="00F33530">
        <w:rPr>
          <w:rFonts w:asciiTheme="minorHAnsi" w:hAnsiTheme="minorHAnsi"/>
          <w:kern w:val="2"/>
          <w:szCs w:val="20"/>
        </w:rPr>
        <w:lastRenderedPageBreak/>
        <w:t xml:space="preserve">for prices or the GDP deflator. The average annualised nominal GDP growth over the </w:t>
      </w:r>
      <w:r>
        <w:rPr>
          <w:rFonts w:asciiTheme="minorHAnsi" w:hAnsiTheme="minorHAnsi"/>
          <w:kern w:val="2"/>
          <w:szCs w:val="20"/>
        </w:rPr>
        <w:t>three</w:t>
      </w:r>
      <w:r w:rsidRPr="00F33530">
        <w:rPr>
          <w:rFonts w:asciiTheme="minorHAnsi" w:hAnsiTheme="minorHAnsi"/>
          <w:kern w:val="2"/>
          <w:szCs w:val="20"/>
        </w:rPr>
        <w:t xml:space="preserve"> years 2012-13 to 201</w:t>
      </w:r>
      <w:r>
        <w:rPr>
          <w:rFonts w:asciiTheme="minorHAnsi" w:hAnsiTheme="minorHAnsi"/>
          <w:kern w:val="2"/>
          <w:szCs w:val="20"/>
        </w:rPr>
        <w:t>5</w:t>
      </w:r>
      <w:r w:rsidRPr="00F33530">
        <w:rPr>
          <w:rFonts w:asciiTheme="minorHAnsi" w:hAnsiTheme="minorHAnsi"/>
          <w:kern w:val="2"/>
          <w:szCs w:val="20"/>
        </w:rPr>
        <w:t>-1</w:t>
      </w:r>
      <w:r>
        <w:rPr>
          <w:rFonts w:asciiTheme="minorHAnsi" w:hAnsiTheme="minorHAnsi"/>
          <w:kern w:val="2"/>
          <w:szCs w:val="20"/>
        </w:rPr>
        <w:t>6</w:t>
      </w:r>
      <w:r w:rsidRPr="00F33530">
        <w:rPr>
          <w:rFonts w:asciiTheme="minorHAnsi" w:hAnsiTheme="minorHAnsi"/>
          <w:kern w:val="2"/>
          <w:szCs w:val="20"/>
        </w:rPr>
        <w:t xml:space="preserve"> is expected to be </w:t>
      </w:r>
      <w:r w:rsidR="009856BC">
        <w:rPr>
          <w:rFonts w:asciiTheme="minorHAnsi" w:hAnsiTheme="minorHAnsi"/>
          <w:kern w:val="2"/>
          <w:szCs w:val="20"/>
        </w:rPr>
        <w:t>3.8</w:t>
      </w:r>
      <w:r w:rsidRPr="00F33530">
        <w:rPr>
          <w:rFonts w:asciiTheme="minorHAnsi" w:hAnsiTheme="minorHAnsi"/>
          <w:kern w:val="2"/>
          <w:szCs w:val="20"/>
        </w:rPr>
        <w:t xml:space="preserve"> per cent, with the 70 per cent confidence interval over the </w:t>
      </w:r>
      <w:r>
        <w:rPr>
          <w:rFonts w:asciiTheme="minorHAnsi" w:hAnsiTheme="minorHAnsi"/>
          <w:kern w:val="2"/>
          <w:szCs w:val="20"/>
        </w:rPr>
        <w:t>three</w:t>
      </w:r>
      <w:r w:rsidRPr="00F33530">
        <w:rPr>
          <w:rFonts w:asciiTheme="minorHAnsi" w:hAnsiTheme="minorHAnsi"/>
          <w:kern w:val="2"/>
          <w:szCs w:val="20"/>
        </w:rPr>
        <w:t xml:space="preserve"> years from </w:t>
      </w:r>
      <w:r w:rsidR="00AA2D6C">
        <w:rPr>
          <w:rFonts w:asciiTheme="minorHAnsi" w:hAnsiTheme="minorHAnsi"/>
          <w:kern w:val="2"/>
          <w:szCs w:val="20"/>
        </w:rPr>
        <w:br/>
      </w:r>
      <w:r w:rsidR="009856BC">
        <w:rPr>
          <w:rFonts w:asciiTheme="minorHAnsi" w:hAnsiTheme="minorHAnsi"/>
          <w:kern w:val="2"/>
          <w:szCs w:val="20"/>
        </w:rPr>
        <w:t>2.</w:t>
      </w:r>
      <w:r w:rsidR="00AA2D6C">
        <w:rPr>
          <w:rFonts w:asciiTheme="minorHAnsi" w:hAnsiTheme="minorHAnsi"/>
          <w:kern w:val="2"/>
          <w:szCs w:val="20"/>
        </w:rPr>
        <w:t>1</w:t>
      </w:r>
      <w:r w:rsidRPr="00F33530">
        <w:rPr>
          <w:rFonts w:asciiTheme="minorHAnsi" w:hAnsiTheme="minorHAnsi"/>
          <w:kern w:val="2"/>
          <w:szCs w:val="20"/>
        </w:rPr>
        <w:t xml:space="preserve"> to </w:t>
      </w:r>
      <w:r w:rsidR="009856BC">
        <w:rPr>
          <w:rFonts w:asciiTheme="minorHAnsi" w:hAnsiTheme="minorHAnsi"/>
          <w:kern w:val="2"/>
          <w:szCs w:val="20"/>
        </w:rPr>
        <w:t>5.5</w:t>
      </w:r>
      <w:r w:rsidRPr="00F33530">
        <w:rPr>
          <w:rFonts w:asciiTheme="minorHAnsi" w:hAnsiTheme="minorHAnsi"/>
          <w:kern w:val="2"/>
          <w:szCs w:val="20"/>
        </w:rPr>
        <w:t xml:space="preserve"> per cent (Chart </w:t>
      </w:r>
      <w:r w:rsidR="00974DC3">
        <w:rPr>
          <w:rFonts w:asciiTheme="minorHAnsi" w:hAnsiTheme="minorHAnsi"/>
          <w:kern w:val="2"/>
          <w:szCs w:val="20"/>
        </w:rPr>
        <w:t>2</w:t>
      </w:r>
      <w:r w:rsidRPr="00F33530">
        <w:rPr>
          <w:rFonts w:asciiTheme="minorHAnsi" w:hAnsiTheme="minorHAnsi"/>
          <w:kern w:val="2"/>
          <w:szCs w:val="20"/>
        </w:rPr>
        <w:t>)</w:t>
      </w:r>
      <w:r>
        <w:rPr>
          <w:rFonts w:asciiTheme="minorHAnsi" w:hAnsiTheme="minorHAnsi"/>
          <w:kern w:val="2"/>
          <w:szCs w:val="20"/>
        </w:rPr>
        <w:t>.</w:t>
      </w:r>
    </w:p>
    <w:p w:rsidR="00AA2D6C" w:rsidRPr="00587BCC" w:rsidRDefault="00AA2D6C" w:rsidP="00AA2D6C">
      <w:pPr>
        <w:autoSpaceDE w:val="0"/>
        <w:autoSpaceDN w:val="0"/>
        <w:spacing w:after="0" w:line="240" w:lineRule="auto"/>
        <w:rPr>
          <w:rFonts w:asciiTheme="minorHAnsi" w:hAnsiTheme="minorHAnsi"/>
          <w:kern w:val="2"/>
          <w:szCs w:val="20"/>
        </w:rPr>
      </w:pPr>
    </w:p>
    <w:p w:rsidR="001E2A5E" w:rsidRPr="00587BCC" w:rsidRDefault="001E2A5E" w:rsidP="001E2A5E">
      <w:pPr>
        <w:keepNext/>
        <w:autoSpaceDE w:val="0"/>
        <w:autoSpaceDN w:val="0"/>
        <w:spacing w:after="0"/>
        <w:jc w:val="center"/>
        <w:rPr>
          <w:rFonts w:asciiTheme="minorHAnsi" w:hAnsiTheme="minorHAnsi"/>
          <w:b/>
          <w:szCs w:val="20"/>
        </w:rPr>
      </w:pPr>
      <w:r w:rsidRPr="009856BC">
        <w:rPr>
          <w:rFonts w:asciiTheme="minorHAnsi" w:hAnsiTheme="minorHAnsi"/>
          <w:b/>
          <w:szCs w:val="20"/>
        </w:rPr>
        <w:t xml:space="preserve">Chart </w:t>
      </w:r>
      <w:r w:rsidR="00974DC3">
        <w:rPr>
          <w:rFonts w:asciiTheme="minorHAnsi" w:hAnsiTheme="minorHAnsi"/>
          <w:b/>
          <w:szCs w:val="20"/>
        </w:rPr>
        <w:t>2</w:t>
      </w:r>
      <w:r w:rsidRPr="009856BC">
        <w:rPr>
          <w:rFonts w:asciiTheme="minorHAnsi" w:hAnsiTheme="minorHAnsi"/>
          <w:b/>
          <w:szCs w:val="20"/>
        </w:rPr>
        <w:t xml:space="preserve">: Confidence intervals around forecast </w:t>
      </w:r>
      <w:r w:rsidR="009856BC" w:rsidRPr="009856BC">
        <w:rPr>
          <w:rFonts w:asciiTheme="minorHAnsi" w:hAnsiTheme="minorHAnsi"/>
          <w:b/>
          <w:szCs w:val="20"/>
        </w:rPr>
        <w:t>nominal GDP</w:t>
      </w:r>
      <w:r w:rsidR="005A72B0">
        <w:rPr>
          <w:rFonts w:asciiTheme="minorHAnsi" w:hAnsiTheme="minorHAnsi"/>
          <w:b/>
          <w:szCs w:val="20"/>
        </w:rPr>
        <w:t xml:space="preserve"> growth</w:t>
      </w:r>
    </w:p>
    <w:p w:rsidR="001E2A5E" w:rsidRPr="00503D4C" w:rsidRDefault="005A72B0" w:rsidP="001E2A5E">
      <w:pPr>
        <w:autoSpaceDE w:val="0"/>
        <w:autoSpaceDN w:val="0"/>
        <w:spacing w:after="0" w:line="240" w:lineRule="auto"/>
        <w:jc w:val="left"/>
        <w:rPr>
          <w:rFonts w:asciiTheme="minorHAnsi" w:hAnsiTheme="minorHAnsi"/>
          <w:sz w:val="16"/>
          <w:szCs w:val="16"/>
        </w:rPr>
      </w:pPr>
      <w:r>
        <w:rPr>
          <w:rFonts w:asciiTheme="minorHAnsi" w:hAnsiTheme="minorHAnsi"/>
          <w:noProof/>
          <w:lang w:eastAsia="en-AU"/>
        </w:rPr>
        <w:object w:dxaOrig="4560" w:dyaOrig="4681">
          <v:shape id="_x0000_i1036" type="#_x0000_t75" style="width:228pt;height:234pt" o:ole="">
            <v:imagedata r:id="rId48" o:title=""/>
          </v:shape>
          <o:OLEObject Type="Link" ProgID="Excel.Sheet.8" ShapeID="_x0000_i1036" DrawAspect="Content" r:id="rId49" UpdateMode="Always">
            <o:LinkType>EnhancedMetaFile</o:LinkType>
            <o:LockedField>false</o:LockedField>
          </o:OLEObject>
        </w:object>
      </w:r>
      <w:r w:rsidR="00E27602" w:rsidRPr="00603A05">
        <w:rPr>
          <w:rFonts w:asciiTheme="minorHAnsi" w:hAnsiTheme="minorHAnsi"/>
          <w:sz w:val="16"/>
          <w:szCs w:val="16"/>
        </w:rPr>
        <w:t xml:space="preserve">Note: </w:t>
      </w:r>
      <w:r w:rsidR="00E27602" w:rsidRPr="009A0F2D">
        <w:rPr>
          <w:rFonts w:asciiTheme="minorHAnsi" w:hAnsiTheme="minorHAnsi"/>
          <w:sz w:val="16"/>
          <w:szCs w:val="16"/>
        </w:rPr>
        <w:t xml:space="preserve">Confidence intervals are based on forecast errors from historical December forecast rounds. </w:t>
      </w:r>
      <w:r w:rsidR="00A35717">
        <w:rPr>
          <w:rFonts w:asciiTheme="minorHAnsi" w:hAnsiTheme="minorHAnsi"/>
          <w:sz w:val="16"/>
          <w:szCs w:val="16"/>
        </w:rPr>
        <w:t>T</w:t>
      </w:r>
      <w:r w:rsidR="00E27602" w:rsidRPr="009A0F2D">
        <w:rPr>
          <w:rFonts w:asciiTheme="minorHAnsi" w:hAnsiTheme="minorHAnsi"/>
          <w:sz w:val="16"/>
          <w:szCs w:val="16"/>
        </w:rPr>
        <w:t>he confidence intervals around the 2015-16 forecast reflects errors typically based on</w:t>
      </w:r>
      <w:r w:rsidR="00E27602">
        <w:rPr>
          <w:rFonts w:asciiTheme="minorHAnsi" w:hAnsiTheme="minorHAnsi"/>
          <w:sz w:val="16"/>
          <w:szCs w:val="16"/>
        </w:rPr>
        <w:t xml:space="preserve"> </w:t>
      </w:r>
      <w:r w:rsidR="00E27602" w:rsidRPr="009A0F2D">
        <w:rPr>
          <w:rFonts w:asciiTheme="minorHAnsi" w:hAnsiTheme="minorHAnsi"/>
          <w:sz w:val="16"/>
          <w:szCs w:val="16"/>
        </w:rPr>
        <w:t>projections.</w:t>
      </w:r>
    </w:p>
    <w:p w:rsidR="001E2A5E" w:rsidRDefault="001E2A5E" w:rsidP="001E2A5E">
      <w:pPr>
        <w:spacing w:line="240" w:lineRule="auto"/>
        <w:jc w:val="left"/>
        <w:rPr>
          <w:rFonts w:asciiTheme="minorHAnsi" w:hAnsiTheme="minorHAnsi"/>
          <w:sz w:val="16"/>
          <w:szCs w:val="16"/>
        </w:rPr>
      </w:pPr>
      <w:r w:rsidRPr="00587BCC">
        <w:rPr>
          <w:rFonts w:asciiTheme="minorHAnsi" w:hAnsiTheme="minorHAnsi"/>
          <w:sz w:val="16"/>
          <w:szCs w:val="16"/>
        </w:rPr>
        <w:t xml:space="preserve">Source: ABS cat. </w:t>
      </w:r>
      <w:proofErr w:type="gramStart"/>
      <w:r w:rsidRPr="00587BCC">
        <w:rPr>
          <w:rFonts w:asciiTheme="minorHAnsi" w:hAnsiTheme="minorHAnsi"/>
          <w:sz w:val="16"/>
          <w:szCs w:val="16"/>
        </w:rPr>
        <w:t>no</w:t>
      </w:r>
      <w:proofErr w:type="gramEnd"/>
      <w:r w:rsidRPr="00587BCC">
        <w:rPr>
          <w:rFonts w:asciiTheme="minorHAnsi" w:hAnsiTheme="minorHAnsi"/>
          <w:sz w:val="16"/>
          <w:szCs w:val="16"/>
        </w:rPr>
        <w:t>. 5206.0, Budget papers and Treasury.</w:t>
      </w:r>
    </w:p>
    <w:p w:rsidR="00E27602" w:rsidRDefault="001E2A5E" w:rsidP="00E27602">
      <w:pPr>
        <w:autoSpaceDE w:val="0"/>
        <w:autoSpaceDN w:val="0"/>
        <w:spacing w:after="0" w:line="240" w:lineRule="auto"/>
        <w:rPr>
          <w:rFonts w:asciiTheme="minorHAnsi" w:hAnsiTheme="minorHAnsi"/>
          <w:kern w:val="2"/>
          <w:szCs w:val="20"/>
        </w:rPr>
      </w:pPr>
      <w:r w:rsidRPr="00AA2D6C">
        <w:rPr>
          <w:rFonts w:asciiTheme="minorHAnsi" w:hAnsiTheme="minorHAnsi"/>
          <w:kern w:val="2"/>
          <w:szCs w:val="20"/>
        </w:rPr>
        <w:t xml:space="preserve">The confidence intervals in the December JEFG are </w:t>
      </w:r>
      <w:r w:rsidR="00AA2D6C" w:rsidRPr="00AA2D6C">
        <w:rPr>
          <w:rFonts w:asciiTheme="minorHAnsi" w:hAnsiTheme="minorHAnsi"/>
          <w:kern w:val="2"/>
          <w:szCs w:val="20"/>
        </w:rPr>
        <w:t>derived from forecast errors based on December round forecasts from 1998 onwards, with outcomes based on the September quarter 2013 National Accounts data. Forecast errors are calculated using the root mean square error of percentage growth rates.</w:t>
      </w:r>
    </w:p>
    <w:p w:rsidR="00E27602" w:rsidRDefault="00E27602" w:rsidP="00E27602">
      <w:pPr>
        <w:autoSpaceDE w:val="0"/>
        <w:autoSpaceDN w:val="0"/>
        <w:spacing w:after="0" w:line="240" w:lineRule="auto"/>
        <w:rPr>
          <w:rFonts w:asciiTheme="minorHAnsi" w:hAnsiTheme="minorHAnsi"/>
          <w:kern w:val="2"/>
          <w:szCs w:val="20"/>
        </w:rPr>
      </w:pPr>
    </w:p>
    <w:p w:rsidR="001E2A5E" w:rsidRPr="00AA2D6C" w:rsidRDefault="00AA2D6C" w:rsidP="00E27602">
      <w:pPr>
        <w:autoSpaceDE w:val="0"/>
        <w:autoSpaceDN w:val="0"/>
        <w:spacing w:after="0" w:line="240" w:lineRule="auto"/>
        <w:rPr>
          <w:rFonts w:asciiTheme="minorHAnsi" w:hAnsiTheme="minorHAnsi"/>
          <w:kern w:val="2"/>
          <w:szCs w:val="20"/>
        </w:rPr>
        <w:sectPr w:rsidR="001E2A5E" w:rsidRPr="00AA2D6C" w:rsidSect="001E2A5E">
          <w:type w:val="continuous"/>
          <w:pgSz w:w="11907" w:h="16840" w:code="9"/>
          <w:pgMar w:top="1418" w:right="1100" w:bottom="1134" w:left="1100" w:header="567" w:footer="709" w:gutter="0"/>
          <w:cols w:num="2" w:space="709"/>
          <w:docGrid w:linePitch="272"/>
        </w:sectPr>
      </w:pPr>
      <w:r w:rsidRPr="00E27602">
        <w:rPr>
          <w:rFonts w:asciiTheme="minorHAnsi" w:hAnsiTheme="minorHAnsi"/>
          <w:kern w:val="2"/>
          <w:szCs w:val="20"/>
        </w:rPr>
        <w:t>I</w:t>
      </w:r>
      <w:r w:rsidRPr="00AA2D6C">
        <w:rPr>
          <w:rFonts w:asciiTheme="minorHAnsi" w:hAnsiTheme="minorHAnsi"/>
          <w:kern w:val="2"/>
          <w:szCs w:val="20"/>
        </w:rPr>
        <w:t>n the charts, the central line shows the year average growth rate outcomes and December JEFG forecasts of annualised average growth rates from 2012-13</w:t>
      </w:r>
      <w:r w:rsidR="00A35717">
        <w:rPr>
          <w:rFonts w:asciiTheme="minorHAnsi" w:hAnsiTheme="minorHAnsi"/>
          <w:kern w:val="2"/>
          <w:szCs w:val="20"/>
        </w:rPr>
        <w:t>, reported from 2013-14 onwards.</w:t>
      </w:r>
    </w:p>
    <w:p w:rsidR="001E2A5E" w:rsidRDefault="001E2A5E" w:rsidP="001E2A5E">
      <w:pPr>
        <w:rPr>
          <w:rFonts w:asciiTheme="minorHAnsi" w:hAnsiTheme="minorHAnsi"/>
          <w:szCs w:val="20"/>
        </w:rPr>
      </w:pPr>
    </w:p>
    <w:p w:rsidR="001E2A5E" w:rsidRDefault="001E2A5E" w:rsidP="001E2A5E">
      <w:pPr>
        <w:rPr>
          <w:rFonts w:asciiTheme="minorHAnsi" w:hAnsiTheme="minorHAnsi"/>
          <w:szCs w:val="20"/>
        </w:rPr>
      </w:pPr>
    </w:p>
    <w:p w:rsidR="001E2A5E" w:rsidRDefault="001E2A5E" w:rsidP="001E2A5E">
      <w:pPr>
        <w:rPr>
          <w:rFonts w:asciiTheme="minorHAnsi" w:hAnsiTheme="minorHAnsi"/>
          <w:szCs w:val="20"/>
        </w:rPr>
      </w:pPr>
    </w:p>
    <w:p w:rsidR="001E2A5E" w:rsidRDefault="001E2A5E">
      <w:pPr>
        <w:spacing w:after="0" w:line="240" w:lineRule="auto"/>
        <w:jc w:val="left"/>
        <w:rPr>
          <w:rFonts w:asciiTheme="minorHAnsi" w:eastAsiaTheme="minorHAnsi" w:hAnsiTheme="minorHAnsi" w:cstheme="minorBidi"/>
          <w:b/>
          <w:bCs/>
          <w:iCs/>
          <w:color w:val="0000FF"/>
          <w:sz w:val="28"/>
          <w:highlight w:val="yellow"/>
        </w:rPr>
      </w:pPr>
      <w:r>
        <w:rPr>
          <w:i/>
          <w:color w:val="0000FF"/>
          <w:sz w:val="28"/>
          <w:highlight w:val="yellow"/>
        </w:rPr>
        <w:br w:type="page"/>
      </w:r>
    </w:p>
    <w:p w:rsidR="00C549A8" w:rsidRPr="00190E46" w:rsidRDefault="00C549A8" w:rsidP="00C549A8">
      <w:pPr>
        <w:pStyle w:val="IntenseQuote"/>
        <w:ind w:left="0"/>
        <w:rPr>
          <w:i w:val="0"/>
          <w:color w:val="0000FF"/>
          <w:sz w:val="28"/>
          <w:szCs w:val="24"/>
        </w:rPr>
      </w:pPr>
      <w:r w:rsidRPr="00585077">
        <w:rPr>
          <w:i w:val="0"/>
          <w:color w:val="0000FF"/>
          <w:sz w:val="28"/>
          <w:szCs w:val="24"/>
        </w:rPr>
        <w:lastRenderedPageBreak/>
        <w:t xml:space="preserve">Appendix </w:t>
      </w:r>
      <w:r w:rsidR="001049CB" w:rsidRPr="00585077">
        <w:rPr>
          <w:i w:val="0"/>
          <w:color w:val="0000FF"/>
          <w:sz w:val="28"/>
          <w:szCs w:val="24"/>
        </w:rPr>
        <w:t>B</w:t>
      </w:r>
      <w:r w:rsidRPr="00585077">
        <w:rPr>
          <w:i w:val="0"/>
          <w:color w:val="0000FF"/>
          <w:sz w:val="28"/>
          <w:szCs w:val="24"/>
        </w:rPr>
        <w:t xml:space="preserve"> – </w:t>
      </w:r>
      <w:r w:rsidR="00725E16" w:rsidRPr="00585077">
        <w:rPr>
          <w:i w:val="0"/>
          <w:color w:val="0000FF"/>
          <w:sz w:val="28"/>
          <w:szCs w:val="24"/>
        </w:rPr>
        <w:t>Forecast comparison</w:t>
      </w:r>
    </w:p>
    <w:p w:rsidR="00C549A8" w:rsidRPr="00587BCC" w:rsidRDefault="00C549A8" w:rsidP="00C549A8">
      <w:pPr>
        <w:pStyle w:val="Bullet"/>
        <w:numPr>
          <w:ilvl w:val="0"/>
          <w:numId w:val="0"/>
        </w:numPr>
        <w:spacing w:before="200" w:after="280" w:line="240" w:lineRule="auto"/>
        <w:jc w:val="left"/>
        <w:rPr>
          <w:rFonts w:asciiTheme="minorHAnsi" w:hAnsiTheme="minorHAnsi"/>
          <w:b/>
          <w:color w:val="003399"/>
          <w:sz w:val="24"/>
        </w:rPr>
        <w:sectPr w:rsidR="00C549A8" w:rsidRPr="00587BCC" w:rsidSect="00190E46">
          <w:type w:val="continuous"/>
          <w:pgSz w:w="11907" w:h="16840" w:code="9"/>
          <w:pgMar w:top="1418" w:right="1100" w:bottom="1134" w:left="1100" w:header="567" w:footer="709" w:gutter="0"/>
          <w:cols w:space="709"/>
          <w:docGrid w:linePitch="272"/>
        </w:sectPr>
      </w:pPr>
    </w:p>
    <w:p w:rsidR="00C04BC4" w:rsidRPr="00C92C0C" w:rsidRDefault="00380524" w:rsidP="00124E19">
      <w:pPr>
        <w:pStyle w:val="Bullet"/>
        <w:numPr>
          <w:ilvl w:val="0"/>
          <w:numId w:val="0"/>
        </w:numPr>
        <w:spacing w:line="240" w:lineRule="auto"/>
        <w:jc w:val="left"/>
        <w:rPr>
          <w:rFonts w:asciiTheme="minorHAnsi" w:eastAsiaTheme="minorHAnsi" w:hAnsiTheme="minorHAnsi"/>
          <w:b/>
          <w:color w:val="0000FF"/>
          <w:sz w:val="24"/>
        </w:rPr>
      </w:pPr>
      <w:r w:rsidRPr="00C92C0C">
        <w:rPr>
          <w:rFonts w:asciiTheme="minorHAnsi" w:eastAsiaTheme="minorHAnsi" w:hAnsiTheme="minorHAnsi"/>
          <w:b/>
          <w:color w:val="0000FF"/>
          <w:sz w:val="24"/>
        </w:rPr>
        <w:lastRenderedPageBreak/>
        <w:t>Real GD</w:t>
      </w:r>
      <w:r w:rsidR="0077790C" w:rsidRPr="00C92C0C">
        <w:rPr>
          <w:rFonts w:asciiTheme="minorHAnsi" w:eastAsiaTheme="minorHAnsi" w:hAnsiTheme="minorHAnsi"/>
          <w:b/>
          <w:color w:val="0000FF"/>
          <w:sz w:val="24"/>
        </w:rPr>
        <w:t>P forecasts are broadly in line</w:t>
      </w:r>
      <w:r w:rsidR="007B17C2" w:rsidRPr="00C92C0C">
        <w:rPr>
          <w:rFonts w:asciiTheme="minorHAnsi" w:eastAsiaTheme="minorHAnsi" w:hAnsiTheme="minorHAnsi"/>
          <w:b/>
          <w:color w:val="0000FF"/>
          <w:sz w:val="24"/>
        </w:rPr>
        <w:t xml:space="preserve"> with </w:t>
      </w:r>
      <w:r w:rsidR="00755A06">
        <w:rPr>
          <w:rFonts w:asciiTheme="minorHAnsi" w:eastAsiaTheme="minorHAnsi" w:hAnsiTheme="minorHAnsi"/>
          <w:b/>
          <w:color w:val="0000FF"/>
          <w:sz w:val="24"/>
        </w:rPr>
        <w:t>private sector forecasts</w:t>
      </w:r>
      <w:r w:rsidR="003D16F3">
        <w:rPr>
          <w:rFonts w:asciiTheme="minorHAnsi" w:eastAsiaTheme="minorHAnsi" w:hAnsiTheme="minorHAnsi"/>
          <w:b/>
          <w:color w:val="0000FF"/>
          <w:sz w:val="24"/>
        </w:rPr>
        <w:t xml:space="preserve"> but below the RBA</w:t>
      </w:r>
      <w:r w:rsidR="007B17C2" w:rsidRPr="00C92C0C">
        <w:rPr>
          <w:rFonts w:asciiTheme="minorHAnsi" w:eastAsiaTheme="minorHAnsi" w:hAnsiTheme="minorHAnsi"/>
          <w:b/>
          <w:color w:val="0000FF"/>
          <w:sz w:val="24"/>
        </w:rPr>
        <w:t>…</w:t>
      </w:r>
    </w:p>
    <w:p w:rsidR="00585077" w:rsidRDefault="004E5763" w:rsidP="004E5763">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1</w:t>
      </w:r>
      <w:r w:rsidRPr="00587BCC">
        <w:rPr>
          <w:rFonts w:asciiTheme="minorHAnsi" w:hAnsiTheme="minorHAnsi"/>
          <w:b/>
        </w:rPr>
        <w:t xml:space="preserve">: </w:t>
      </w:r>
      <w:r w:rsidR="00755A06">
        <w:rPr>
          <w:rFonts w:asciiTheme="minorHAnsi" w:hAnsiTheme="minorHAnsi"/>
          <w:b/>
        </w:rPr>
        <w:t>R</w:t>
      </w:r>
      <w:r w:rsidRPr="00587BCC">
        <w:rPr>
          <w:rFonts w:asciiTheme="minorHAnsi" w:hAnsiTheme="minorHAnsi"/>
          <w:b/>
        </w:rPr>
        <w:t xml:space="preserve">eal GDP forecasts for </w:t>
      </w:r>
    </w:p>
    <w:p w:rsidR="004E5763" w:rsidRPr="00587BCC" w:rsidRDefault="009F5663" w:rsidP="004E5763">
      <w:pPr>
        <w:keepNext/>
        <w:autoSpaceDE w:val="0"/>
        <w:autoSpaceDN w:val="0"/>
        <w:spacing w:after="0"/>
        <w:jc w:val="center"/>
        <w:rPr>
          <w:rFonts w:asciiTheme="minorHAnsi" w:hAnsiTheme="minorHAnsi"/>
          <w:b/>
        </w:rPr>
      </w:pPr>
      <w:proofErr w:type="gramStart"/>
      <w:r w:rsidRPr="00587BCC">
        <w:rPr>
          <w:rFonts w:asciiTheme="minorHAnsi" w:hAnsiTheme="minorHAnsi"/>
          <w:b/>
        </w:rPr>
        <w:t>calendar</w:t>
      </w:r>
      <w:proofErr w:type="gramEnd"/>
      <w:r w:rsidRPr="00587BCC">
        <w:rPr>
          <w:rFonts w:asciiTheme="minorHAnsi" w:hAnsiTheme="minorHAnsi"/>
          <w:b/>
        </w:rPr>
        <w:t xml:space="preserve"> year </w:t>
      </w:r>
      <w:r w:rsidR="004E5763" w:rsidRPr="00587BCC">
        <w:rPr>
          <w:rFonts w:asciiTheme="minorHAnsi" w:hAnsiTheme="minorHAnsi"/>
          <w:b/>
        </w:rPr>
        <w:t>201</w:t>
      </w:r>
      <w:r w:rsidR="00243028">
        <w:rPr>
          <w:rFonts w:asciiTheme="minorHAnsi" w:hAnsiTheme="minorHAnsi"/>
          <w:b/>
        </w:rPr>
        <w:t>4</w:t>
      </w:r>
    </w:p>
    <w:p w:rsidR="00E70312" w:rsidRPr="00587BCC" w:rsidRDefault="00435077" w:rsidP="00835484">
      <w:pPr>
        <w:pStyle w:val="ChartGraphic0"/>
        <w:jc w:val="left"/>
        <w:rPr>
          <w:rFonts w:asciiTheme="minorHAnsi" w:hAnsiTheme="minorHAnsi"/>
          <w:kern w:val="2"/>
          <w:sz w:val="16"/>
        </w:rPr>
      </w:pPr>
      <w:r>
        <w:rPr>
          <w:rFonts w:asciiTheme="minorHAnsi" w:hAnsiTheme="minorHAnsi"/>
        </w:rPr>
        <w:object w:dxaOrig="4560" w:dyaOrig="4530">
          <v:shape id="_x0000_i1037" type="#_x0000_t75" style="width:228pt;height:226.5pt" o:ole="">
            <v:imagedata r:id="rId50" o:title=""/>
          </v:shape>
          <o:OLEObject Type="Link" ProgID="Excel.Sheet.12" ShapeID="_x0000_i1037" DrawAspect="Content" r:id="rId51" UpdateMode="Always">
            <o:LinkType>EnhancedMetaFile</o:LinkType>
            <o:LockedField>false</o:LockedField>
          </o:OLEObject>
        </w:object>
      </w:r>
      <w:r w:rsidR="00E70312" w:rsidRPr="00587BCC">
        <w:rPr>
          <w:rFonts w:asciiTheme="minorHAnsi" w:hAnsiTheme="minorHAnsi"/>
          <w:color w:val="auto"/>
          <w:kern w:val="2"/>
          <w:sz w:val="16"/>
        </w:rPr>
        <w:t>Note: Top and bottom line represent</w:t>
      </w:r>
      <w:r w:rsidR="00CD3D09">
        <w:rPr>
          <w:rFonts w:asciiTheme="minorHAnsi" w:hAnsiTheme="minorHAnsi"/>
          <w:color w:val="auto"/>
          <w:kern w:val="2"/>
          <w:sz w:val="16"/>
        </w:rPr>
        <w:t xml:space="preserve"> the</w:t>
      </w:r>
      <w:r w:rsidR="00E70312" w:rsidRPr="00587BCC">
        <w:rPr>
          <w:rFonts w:asciiTheme="minorHAnsi" w:hAnsiTheme="minorHAnsi"/>
          <w:color w:val="auto"/>
          <w:kern w:val="2"/>
          <w:sz w:val="16"/>
        </w:rPr>
        <w:t xml:space="preserve"> range of </w:t>
      </w:r>
      <w:r w:rsidR="00DD3CC2">
        <w:rPr>
          <w:rFonts w:asciiTheme="minorHAnsi" w:hAnsiTheme="minorHAnsi"/>
          <w:color w:val="auto"/>
          <w:kern w:val="2"/>
          <w:sz w:val="16"/>
        </w:rPr>
        <w:t>Bloomberg</w:t>
      </w:r>
      <w:r w:rsidR="00E70312" w:rsidRPr="00587BCC">
        <w:rPr>
          <w:rFonts w:asciiTheme="minorHAnsi" w:hAnsiTheme="minorHAnsi"/>
          <w:color w:val="auto"/>
          <w:kern w:val="2"/>
          <w:sz w:val="16"/>
        </w:rPr>
        <w:t xml:space="preserve"> forecasts. Centre line represents </w:t>
      </w:r>
      <w:r w:rsidR="00DD3CC2">
        <w:rPr>
          <w:rFonts w:asciiTheme="minorHAnsi" w:hAnsiTheme="minorHAnsi"/>
          <w:color w:val="auto"/>
          <w:kern w:val="2"/>
          <w:sz w:val="16"/>
        </w:rPr>
        <w:t>Bloomberg</w:t>
      </w:r>
      <w:r w:rsidR="00E70312" w:rsidRPr="00587BCC">
        <w:rPr>
          <w:rFonts w:asciiTheme="minorHAnsi" w:hAnsiTheme="minorHAnsi"/>
          <w:color w:val="auto"/>
          <w:kern w:val="2"/>
          <w:sz w:val="16"/>
        </w:rPr>
        <w:t xml:space="preserve"> me</w:t>
      </w:r>
      <w:r w:rsidR="009F5663" w:rsidRPr="00587BCC">
        <w:rPr>
          <w:rFonts w:asciiTheme="minorHAnsi" w:hAnsiTheme="minorHAnsi"/>
          <w:color w:val="auto"/>
          <w:kern w:val="2"/>
          <w:sz w:val="16"/>
        </w:rPr>
        <w:t>a</w:t>
      </w:r>
      <w:r w:rsidR="00E70312" w:rsidRPr="00587BCC">
        <w:rPr>
          <w:rFonts w:asciiTheme="minorHAnsi" w:hAnsiTheme="minorHAnsi"/>
          <w:color w:val="auto"/>
          <w:kern w:val="2"/>
          <w:sz w:val="16"/>
        </w:rPr>
        <w:t>n forecast.</w:t>
      </w:r>
    </w:p>
    <w:p w:rsidR="007F380C" w:rsidRDefault="004E5763" w:rsidP="006A7558">
      <w:pPr>
        <w:spacing w:line="240" w:lineRule="auto"/>
        <w:rPr>
          <w:rFonts w:asciiTheme="minorHAnsi" w:hAnsiTheme="minorHAnsi" w:cs="Arial"/>
          <w:kern w:val="2"/>
          <w:sz w:val="16"/>
        </w:rPr>
      </w:pPr>
      <w:r w:rsidRPr="00587BCC">
        <w:rPr>
          <w:rFonts w:asciiTheme="minorHAnsi" w:hAnsiTheme="minorHAnsi" w:cs="Arial"/>
          <w:kern w:val="2"/>
          <w:sz w:val="16"/>
        </w:rPr>
        <w:t xml:space="preserve">Source: </w:t>
      </w:r>
      <w:r w:rsidR="00755A06">
        <w:rPr>
          <w:rFonts w:asciiTheme="minorHAnsi" w:hAnsiTheme="minorHAnsi" w:cs="Arial"/>
          <w:kern w:val="2"/>
          <w:sz w:val="16"/>
        </w:rPr>
        <w:t>Bloomberg</w:t>
      </w:r>
      <w:r w:rsidR="00873F12" w:rsidRPr="00587BCC">
        <w:rPr>
          <w:rStyle w:val="EndnoteReference"/>
          <w:rFonts w:asciiTheme="minorHAnsi" w:hAnsiTheme="minorHAnsi" w:cs="Arial"/>
          <w:kern w:val="2"/>
        </w:rPr>
        <w:endnoteReference w:id="1"/>
      </w:r>
      <w:r w:rsidR="00755A06">
        <w:rPr>
          <w:rFonts w:asciiTheme="minorHAnsi" w:hAnsiTheme="minorHAnsi" w:cs="Arial"/>
          <w:kern w:val="2"/>
          <w:sz w:val="16"/>
        </w:rPr>
        <w:t>, RBA</w:t>
      </w:r>
      <w:r w:rsidR="000C0BA8" w:rsidRPr="00587BCC">
        <w:rPr>
          <w:rFonts w:asciiTheme="minorHAnsi" w:hAnsiTheme="minorHAnsi" w:cs="Arial"/>
          <w:kern w:val="2"/>
          <w:sz w:val="16"/>
        </w:rPr>
        <w:t xml:space="preserve"> </w:t>
      </w:r>
      <w:r w:rsidRPr="00587BCC">
        <w:rPr>
          <w:rFonts w:asciiTheme="minorHAnsi" w:hAnsiTheme="minorHAnsi" w:cs="Arial"/>
          <w:kern w:val="2"/>
          <w:sz w:val="16"/>
        </w:rPr>
        <w:t>and Treasury.</w:t>
      </w:r>
    </w:p>
    <w:p w:rsidR="000C0BA8" w:rsidRDefault="000C0BA8" w:rsidP="004E5763">
      <w:pPr>
        <w:keepNext/>
        <w:autoSpaceDE w:val="0"/>
        <w:autoSpaceDN w:val="0"/>
        <w:spacing w:after="0"/>
        <w:jc w:val="center"/>
        <w:rPr>
          <w:rFonts w:asciiTheme="minorHAnsi" w:hAnsiTheme="minorHAnsi"/>
          <w:b/>
        </w:rPr>
      </w:pPr>
    </w:p>
    <w:p w:rsidR="00585077" w:rsidRDefault="004E5763" w:rsidP="004E5763">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2</w:t>
      </w:r>
      <w:r w:rsidRPr="00587BCC">
        <w:rPr>
          <w:rFonts w:asciiTheme="minorHAnsi" w:hAnsiTheme="minorHAnsi"/>
          <w:b/>
        </w:rPr>
        <w:t xml:space="preserve">: </w:t>
      </w:r>
      <w:r w:rsidR="00755A06">
        <w:rPr>
          <w:rFonts w:asciiTheme="minorHAnsi" w:hAnsiTheme="minorHAnsi"/>
          <w:b/>
        </w:rPr>
        <w:t>R</w:t>
      </w:r>
      <w:r w:rsidRPr="00587BCC">
        <w:rPr>
          <w:rFonts w:asciiTheme="minorHAnsi" w:hAnsiTheme="minorHAnsi"/>
          <w:b/>
        </w:rPr>
        <w:t xml:space="preserve">eal GDP forecasts for </w:t>
      </w:r>
    </w:p>
    <w:p w:rsidR="004E5763" w:rsidRPr="00587BCC" w:rsidRDefault="009F5663" w:rsidP="004E5763">
      <w:pPr>
        <w:keepNext/>
        <w:autoSpaceDE w:val="0"/>
        <w:autoSpaceDN w:val="0"/>
        <w:spacing w:after="0"/>
        <w:jc w:val="center"/>
        <w:rPr>
          <w:rFonts w:asciiTheme="minorHAnsi" w:hAnsiTheme="minorHAnsi"/>
          <w:b/>
        </w:rPr>
      </w:pPr>
      <w:proofErr w:type="gramStart"/>
      <w:r w:rsidRPr="00587BCC">
        <w:rPr>
          <w:rFonts w:asciiTheme="minorHAnsi" w:hAnsiTheme="minorHAnsi"/>
          <w:b/>
        </w:rPr>
        <w:t>calendar</w:t>
      </w:r>
      <w:proofErr w:type="gramEnd"/>
      <w:r w:rsidRPr="00587BCC">
        <w:rPr>
          <w:rFonts w:asciiTheme="minorHAnsi" w:hAnsiTheme="minorHAnsi"/>
          <w:b/>
        </w:rPr>
        <w:t xml:space="preserve"> year </w:t>
      </w:r>
      <w:r w:rsidR="004E5763" w:rsidRPr="00587BCC">
        <w:rPr>
          <w:rFonts w:asciiTheme="minorHAnsi" w:hAnsiTheme="minorHAnsi"/>
          <w:b/>
        </w:rPr>
        <w:t>201</w:t>
      </w:r>
      <w:r w:rsidR="00243028">
        <w:rPr>
          <w:rFonts w:asciiTheme="minorHAnsi" w:hAnsiTheme="minorHAnsi"/>
          <w:b/>
        </w:rPr>
        <w:t>5</w:t>
      </w:r>
    </w:p>
    <w:p w:rsidR="00E70312" w:rsidRPr="00587BCC" w:rsidRDefault="000C1886" w:rsidP="00835484">
      <w:pPr>
        <w:pStyle w:val="ChartGraphic0"/>
        <w:jc w:val="left"/>
        <w:rPr>
          <w:rFonts w:asciiTheme="minorHAnsi" w:hAnsiTheme="minorHAnsi"/>
          <w:kern w:val="2"/>
          <w:sz w:val="16"/>
        </w:rPr>
      </w:pPr>
      <w:r>
        <w:rPr>
          <w:rFonts w:asciiTheme="minorHAnsi" w:hAnsiTheme="minorHAnsi"/>
        </w:rPr>
        <w:object w:dxaOrig="4530" w:dyaOrig="4530">
          <v:shape id="_x0000_i1038" type="#_x0000_t75" style="width:226.5pt;height:226.5pt" o:ole="">
            <v:imagedata r:id="rId52" o:title=""/>
          </v:shape>
          <o:OLEObject Type="Link" ProgID="Excel.Sheet.12" ShapeID="_x0000_i1038" DrawAspect="Content" r:id="rId53" UpdateMode="Always">
            <o:LinkType>EnhancedMetaFile</o:LinkType>
            <o:LockedField>false</o:LockedField>
          </o:OLEObject>
        </w:object>
      </w:r>
      <w:r w:rsidR="00E70312" w:rsidRPr="00587BCC">
        <w:rPr>
          <w:rFonts w:asciiTheme="minorHAnsi" w:hAnsiTheme="minorHAnsi"/>
          <w:color w:val="auto"/>
          <w:kern w:val="2"/>
          <w:sz w:val="16"/>
        </w:rPr>
        <w:t xml:space="preserve">Note: </w:t>
      </w:r>
      <w:r w:rsidR="00DD3CC2" w:rsidRPr="00587BCC">
        <w:rPr>
          <w:rFonts w:asciiTheme="minorHAnsi" w:hAnsiTheme="minorHAnsi"/>
          <w:color w:val="auto"/>
          <w:kern w:val="2"/>
          <w:sz w:val="16"/>
        </w:rPr>
        <w:t xml:space="preserve">Top and bottom line represent </w:t>
      </w:r>
      <w:r w:rsidR="00CD3D09">
        <w:rPr>
          <w:rFonts w:asciiTheme="minorHAnsi" w:hAnsiTheme="minorHAnsi"/>
          <w:color w:val="auto"/>
          <w:kern w:val="2"/>
          <w:sz w:val="16"/>
        </w:rPr>
        <w:t xml:space="preserve">the </w:t>
      </w:r>
      <w:r w:rsidR="00DD3CC2" w:rsidRPr="00587BCC">
        <w:rPr>
          <w:rFonts w:asciiTheme="minorHAnsi" w:hAnsiTheme="minorHAnsi"/>
          <w:color w:val="auto"/>
          <w:kern w:val="2"/>
          <w:sz w:val="16"/>
        </w:rPr>
        <w:t xml:space="preserve">range of </w:t>
      </w:r>
      <w:r w:rsidR="00DD3CC2">
        <w:rPr>
          <w:rFonts w:asciiTheme="minorHAnsi" w:hAnsiTheme="minorHAnsi"/>
          <w:color w:val="auto"/>
          <w:kern w:val="2"/>
          <w:sz w:val="16"/>
        </w:rPr>
        <w:t>Bloomberg</w:t>
      </w:r>
      <w:r w:rsidR="00DD3CC2" w:rsidRPr="00587BCC">
        <w:rPr>
          <w:rFonts w:asciiTheme="minorHAnsi" w:hAnsiTheme="minorHAnsi"/>
          <w:color w:val="auto"/>
          <w:kern w:val="2"/>
          <w:sz w:val="16"/>
        </w:rPr>
        <w:t xml:space="preserve"> forecasts. Centre line represents </w:t>
      </w:r>
      <w:r w:rsidR="00DD3CC2">
        <w:rPr>
          <w:rFonts w:asciiTheme="minorHAnsi" w:hAnsiTheme="minorHAnsi"/>
          <w:color w:val="auto"/>
          <w:kern w:val="2"/>
          <w:sz w:val="16"/>
        </w:rPr>
        <w:t>Bloomberg</w:t>
      </w:r>
      <w:r w:rsidR="00DD3CC2" w:rsidRPr="00587BCC">
        <w:rPr>
          <w:rFonts w:asciiTheme="minorHAnsi" w:hAnsiTheme="minorHAnsi"/>
          <w:color w:val="auto"/>
          <w:kern w:val="2"/>
          <w:sz w:val="16"/>
        </w:rPr>
        <w:t xml:space="preserve"> mean forecast.</w:t>
      </w:r>
    </w:p>
    <w:p w:rsidR="004E5763" w:rsidRPr="00587BCC" w:rsidRDefault="00E70312" w:rsidP="00DE01B0">
      <w:pPr>
        <w:spacing w:line="240" w:lineRule="auto"/>
        <w:jc w:val="left"/>
        <w:rPr>
          <w:rFonts w:asciiTheme="minorHAnsi" w:hAnsiTheme="minorHAnsi" w:cs="Arial"/>
          <w:kern w:val="2"/>
          <w:sz w:val="16"/>
        </w:rPr>
      </w:pPr>
      <w:r w:rsidRPr="00587BCC">
        <w:rPr>
          <w:rFonts w:asciiTheme="minorHAnsi" w:hAnsiTheme="minorHAnsi" w:cs="Arial"/>
          <w:kern w:val="2"/>
          <w:sz w:val="16"/>
        </w:rPr>
        <w:t xml:space="preserve">Source: </w:t>
      </w:r>
      <w:r w:rsidR="00755A06">
        <w:rPr>
          <w:rFonts w:asciiTheme="minorHAnsi" w:hAnsiTheme="minorHAnsi" w:cs="Arial"/>
          <w:kern w:val="2"/>
          <w:sz w:val="16"/>
        </w:rPr>
        <w:t>Bloomberg, RBA</w:t>
      </w:r>
      <w:r w:rsidR="00755A06" w:rsidRPr="00587BCC">
        <w:rPr>
          <w:rFonts w:asciiTheme="minorHAnsi" w:hAnsiTheme="minorHAnsi" w:cs="Arial"/>
          <w:kern w:val="2"/>
          <w:sz w:val="16"/>
        </w:rPr>
        <w:t xml:space="preserve"> </w:t>
      </w:r>
      <w:r w:rsidRPr="00587BCC">
        <w:rPr>
          <w:rFonts w:asciiTheme="minorHAnsi" w:hAnsiTheme="minorHAnsi" w:cs="Arial"/>
          <w:kern w:val="2"/>
          <w:sz w:val="16"/>
        </w:rPr>
        <w:t>and Treasury</w:t>
      </w:r>
      <w:r w:rsidR="004E5763" w:rsidRPr="00587BCC">
        <w:rPr>
          <w:rFonts w:asciiTheme="minorHAnsi" w:hAnsiTheme="minorHAnsi" w:cs="Arial"/>
          <w:kern w:val="2"/>
          <w:sz w:val="16"/>
        </w:rPr>
        <w:t>.</w:t>
      </w:r>
    </w:p>
    <w:p w:rsidR="00725E16" w:rsidRDefault="00725E16" w:rsidP="00124E19">
      <w:pPr>
        <w:pStyle w:val="Bullet"/>
        <w:numPr>
          <w:ilvl w:val="0"/>
          <w:numId w:val="0"/>
        </w:numPr>
        <w:spacing w:line="240" w:lineRule="auto"/>
        <w:rPr>
          <w:rFonts w:asciiTheme="minorHAnsi" w:eastAsiaTheme="minorHAnsi" w:hAnsiTheme="minorHAnsi"/>
          <w:b/>
          <w:color w:val="0000FF"/>
          <w:sz w:val="24"/>
        </w:rPr>
      </w:pPr>
    </w:p>
    <w:p w:rsidR="000C7500" w:rsidRPr="00C92C0C" w:rsidRDefault="007B17C2" w:rsidP="00124E19">
      <w:pPr>
        <w:pStyle w:val="Bullet"/>
        <w:numPr>
          <w:ilvl w:val="0"/>
          <w:numId w:val="0"/>
        </w:numPr>
        <w:spacing w:line="240" w:lineRule="auto"/>
        <w:rPr>
          <w:rFonts w:asciiTheme="minorHAnsi" w:eastAsiaTheme="minorHAnsi" w:hAnsiTheme="minorHAnsi"/>
          <w:b/>
          <w:color w:val="0000FF"/>
          <w:sz w:val="24"/>
        </w:rPr>
      </w:pPr>
      <w:r w:rsidRPr="00C92C0C">
        <w:rPr>
          <w:rFonts w:asciiTheme="minorHAnsi" w:eastAsiaTheme="minorHAnsi" w:hAnsiTheme="minorHAnsi"/>
          <w:b/>
          <w:color w:val="0000FF"/>
          <w:sz w:val="24"/>
        </w:rPr>
        <w:lastRenderedPageBreak/>
        <w:t>…although the forecast u</w:t>
      </w:r>
      <w:r w:rsidR="000C7500" w:rsidRPr="00C92C0C">
        <w:rPr>
          <w:rFonts w:asciiTheme="minorHAnsi" w:eastAsiaTheme="minorHAnsi" w:hAnsiTheme="minorHAnsi"/>
          <w:b/>
          <w:color w:val="0000FF"/>
          <w:sz w:val="24"/>
        </w:rPr>
        <w:t xml:space="preserve">nemployment rate </w:t>
      </w:r>
      <w:r w:rsidR="00BF6A01" w:rsidRPr="00C92C0C">
        <w:rPr>
          <w:rFonts w:asciiTheme="minorHAnsi" w:eastAsiaTheme="minorHAnsi" w:hAnsiTheme="minorHAnsi"/>
          <w:b/>
          <w:color w:val="0000FF"/>
          <w:sz w:val="24"/>
        </w:rPr>
        <w:t>is a little above the me</w:t>
      </w:r>
      <w:r w:rsidR="002E6624">
        <w:rPr>
          <w:rFonts w:asciiTheme="minorHAnsi" w:eastAsiaTheme="minorHAnsi" w:hAnsiTheme="minorHAnsi"/>
          <w:b/>
          <w:color w:val="0000FF"/>
          <w:sz w:val="24"/>
        </w:rPr>
        <w:t>an</w:t>
      </w:r>
      <w:r w:rsidR="00BF6A01" w:rsidRPr="00C92C0C">
        <w:rPr>
          <w:rFonts w:asciiTheme="minorHAnsi" w:eastAsiaTheme="minorHAnsi" w:hAnsiTheme="minorHAnsi"/>
          <w:b/>
          <w:color w:val="0000FF"/>
          <w:sz w:val="24"/>
        </w:rPr>
        <w:t>…</w:t>
      </w:r>
    </w:p>
    <w:p w:rsidR="006A7558" w:rsidRPr="00587BCC" w:rsidRDefault="006A7558" w:rsidP="006A7558">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3</w:t>
      </w:r>
      <w:r w:rsidRPr="00587BCC">
        <w:rPr>
          <w:rFonts w:asciiTheme="minorHAnsi" w:hAnsiTheme="minorHAnsi"/>
          <w:b/>
        </w:rPr>
        <w:t xml:space="preserve">: </w:t>
      </w:r>
      <w:r w:rsidR="00755A06">
        <w:rPr>
          <w:rFonts w:asciiTheme="minorHAnsi" w:hAnsiTheme="minorHAnsi"/>
          <w:b/>
        </w:rPr>
        <w:t>U</w:t>
      </w:r>
      <w:r w:rsidRPr="00587BCC">
        <w:rPr>
          <w:rFonts w:asciiTheme="minorHAnsi" w:hAnsiTheme="minorHAnsi"/>
          <w:b/>
        </w:rPr>
        <w:t xml:space="preserve">nemployment rate forecasts for </w:t>
      </w:r>
      <w:r w:rsidR="009F5663" w:rsidRPr="00587BCC">
        <w:rPr>
          <w:rFonts w:asciiTheme="minorHAnsi" w:hAnsiTheme="minorHAnsi"/>
          <w:b/>
        </w:rPr>
        <w:t xml:space="preserve">calendar year </w:t>
      </w:r>
      <w:r w:rsidRPr="00587BCC">
        <w:rPr>
          <w:rFonts w:asciiTheme="minorHAnsi" w:hAnsiTheme="minorHAnsi"/>
          <w:b/>
        </w:rPr>
        <w:t>201</w:t>
      </w:r>
      <w:r w:rsidR="00243028">
        <w:rPr>
          <w:rFonts w:asciiTheme="minorHAnsi" w:hAnsiTheme="minorHAnsi"/>
          <w:b/>
        </w:rPr>
        <w:t>4</w:t>
      </w:r>
    </w:p>
    <w:p w:rsidR="006A7558" w:rsidRPr="00587BCC" w:rsidRDefault="00585077" w:rsidP="006A7558">
      <w:pPr>
        <w:pStyle w:val="ChartGraphic0"/>
        <w:jc w:val="left"/>
        <w:rPr>
          <w:rFonts w:asciiTheme="minorHAnsi" w:hAnsiTheme="minorHAnsi"/>
          <w:kern w:val="2"/>
          <w:sz w:val="16"/>
        </w:rPr>
      </w:pPr>
      <w:r>
        <w:rPr>
          <w:rFonts w:asciiTheme="minorHAnsi" w:hAnsiTheme="minorHAnsi"/>
        </w:rPr>
        <w:object w:dxaOrig="4546" w:dyaOrig="4515">
          <v:shape id="_x0000_i1039" type="#_x0000_t75" style="width:228pt;height:225.75pt" o:ole="">
            <v:imagedata r:id="rId54" o:title=""/>
          </v:shape>
          <o:OLEObject Type="Link" ProgID="Excel.Sheet.12" ShapeID="_x0000_i1039" DrawAspect="Content" r:id="rId55" UpdateMode="Always">
            <o:LinkType>EnhancedMetaFile</o:LinkType>
            <o:LockedField>false</o:LockedField>
          </o:OLEObject>
        </w:object>
      </w:r>
      <w:r w:rsidR="006A7558" w:rsidRPr="00587BCC">
        <w:rPr>
          <w:rFonts w:asciiTheme="minorHAnsi" w:hAnsiTheme="minorHAnsi"/>
          <w:color w:val="auto"/>
          <w:kern w:val="2"/>
          <w:sz w:val="16"/>
        </w:rPr>
        <w:t xml:space="preserve">Note: </w:t>
      </w:r>
      <w:r w:rsidR="00DD3CC2" w:rsidRPr="00587BCC">
        <w:rPr>
          <w:rFonts w:asciiTheme="minorHAnsi" w:hAnsiTheme="minorHAnsi"/>
          <w:color w:val="auto"/>
          <w:kern w:val="2"/>
          <w:sz w:val="16"/>
        </w:rPr>
        <w:t xml:space="preserve">Top and bottom line represent </w:t>
      </w:r>
      <w:r w:rsidR="00CD3D09">
        <w:rPr>
          <w:rFonts w:asciiTheme="minorHAnsi" w:hAnsiTheme="minorHAnsi"/>
          <w:color w:val="auto"/>
          <w:kern w:val="2"/>
          <w:sz w:val="16"/>
        </w:rPr>
        <w:t xml:space="preserve">the </w:t>
      </w:r>
      <w:r w:rsidR="00DD3CC2" w:rsidRPr="00587BCC">
        <w:rPr>
          <w:rFonts w:asciiTheme="minorHAnsi" w:hAnsiTheme="minorHAnsi"/>
          <w:color w:val="auto"/>
          <w:kern w:val="2"/>
          <w:sz w:val="16"/>
        </w:rPr>
        <w:t xml:space="preserve">range of </w:t>
      </w:r>
      <w:r w:rsidR="00DD3CC2">
        <w:rPr>
          <w:rFonts w:asciiTheme="minorHAnsi" w:hAnsiTheme="minorHAnsi"/>
          <w:color w:val="auto"/>
          <w:kern w:val="2"/>
          <w:sz w:val="16"/>
        </w:rPr>
        <w:t>Bloomberg</w:t>
      </w:r>
      <w:r w:rsidR="00DD3CC2" w:rsidRPr="00587BCC">
        <w:rPr>
          <w:rFonts w:asciiTheme="minorHAnsi" w:hAnsiTheme="minorHAnsi"/>
          <w:color w:val="auto"/>
          <w:kern w:val="2"/>
          <w:sz w:val="16"/>
        </w:rPr>
        <w:t xml:space="preserve"> forecasts. Centre line represents </w:t>
      </w:r>
      <w:r w:rsidR="00DD3CC2">
        <w:rPr>
          <w:rFonts w:asciiTheme="minorHAnsi" w:hAnsiTheme="minorHAnsi"/>
          <w:color w:val="auto"/>
          <w:kern w:val="2"/>
          <w:sz w:val="16"/>
        </w:rPr>
        <w:t>Bloomberg</w:t>
      </w:r>
      <w:r w:rsidR="00DD3CC2" w:rsidRPr="00587BCC">
        <w:rPr>
          <w:rFonts w:asciiTheme="minorHAnsi" w:hAnsiTheme="minorHAnsi"/>
          <w:color w:val="auto"/>
          <w:kern w:val="2"/>
          <w:sz w:val="16"/>
        </w:rPr>
        <w:t xml:space="preserve"> mean forecast.</w:t>
      </w:r>
    </w:p>
    <w:p w:rsidR="00E96A58" w:rsidRPr="00587BCC" w:rsidRDefault="006A7558" w:rsidP="00124E19">
      <w:pPr>
        <w:spacing w:line="240" w:lineRule="auto"/>
        <w:jc w:val="left"/>
        <w:rPr>
          <w:rFonts w:asciiTheme="minorHAnsi" w:hAnsiTheme="minorHAnsi" w:cs="Arial"/>
          <w:kern w:val="2"/>
          <w:sz w:val="16"/>
        </w:rPr>
      </w:pPr>
      <w:r w:rsidRPr="00587BCC">
        <w:rPr>
          <w:rFonts w:asciiTheme="minorHAnsi" w:hAnsiTheme="minorHAnsi" w:cs="Arial"/>
          <w:kern w:val="2"/>
          <w:sz w:val="16"/>
        </w:rPr>
        <w:t xml:space="preserve">Source: </w:t>
      </w:r>
      <w:r w:rsidR="00755A06">
        <w:rPr>
          <w:rFonts w:asciiTheme="minorHAnsi" w:hAnsiTheme="minorHAnsi" w:cs="Arial"/>
          <w:kern w:val="2"/>
          <w:sz w:val="16"/>
        </w:rPr>
        <w:t>Bloomberg</w:t>
      </w:r>
      <w:r w:rsidR="00755A06" w:rsidRPr="00587BCC">
        <w:rPr>
          <w:rFonts w:asciiTheme="minorHAnsi" w:hAnsiTheme="minorHAnsi" w:cs="Arial"/>
          <w:kern w:val="2"/>
          <w:sz w:val="16"/>
        </w:rPr>
        <w:t xml:space="preserve"> </w:t>
      </w:r>
      <w:r w:rsidRPr="00587BCC">
        <w:rPr>
          <w:rFonts w:asciiTheme="minorHAnsi" w:hAnsiTheme="minorHAnsi" w:cs="Arial"/>
          <w:kern w:val="2"/>
          <w:sz w:val="16"/>
        </w:rPr>
        <w:t>and Treasury.</w:t>
      </w:r>
    </w:p>
    <w:p w:rsidR="000C0BA8" w:rsidRDefault="000C0BA8" w:rsidP="006A7558">
      <w:pPr>
        <w:keepNext/>
        <w:autoSpaceDE w:val="0"/>
        <w:autoSpaceDN w:val="0"/>
        <w:spacing w:after="0"/>
        <w:jc w:val="center"/>
        <w:rPr>
          <w:rFonts w:asciiTheme="minorHAnsi" w:hAnsiTheme="minorHAnsi"/>
          <w:b/>
        </w:rPr>
      </w:pPr>
    </w:p>
    <w:p w:rsidR="006A7558" w:rsidRPr="00587BCC" w:rsidRDefault="006A7558" w:rsidP="006A7558">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4</w:t>
      </w:r>
      <w:r w:rsidRPr="00587BCC">
        <w:rPr>
          <w:rFonts w:asciiTheme="minorHAnsi" w:hAnsiTheme="minorHAnsi"/>
          <w:b/>
        </w:rPr>
        <w:t xml:space="preserve">: </w:t>
      </w:r>
      <w:r w:rsidR="00755A06">
        <w:rPr>
          <w:rFonts w:asciiTheme="minorHAnsi" w:hAnsiTheme="minorHAnsi"/>
          <w:b/>
        </w:rPr>
        <w:t>U</w:t>
      </w:r>
      <w:r w:rsidRPr="00587BCC">
        <w:rPr>
          <w:rFonts w:asciiTheme="minorHAnsi" w:hAnsiTheme="minorHAnsi"/>
          <w:b/>
        </w:rPr>
        <w:t>nemployment rate forecasts for</w:t>
      </w:r>
      <w:r w:rsidR="009F5663" w:rsidRPr="00587BCC">
        <w:rPr>
          <w:rFonts w:asciiTheme="minorHAnsi" w:hAnsiTheme="minorHAnsi"/>
          <w:b/>
        </w:rPr>
        <w:t xml:space="preserve"> calendar year</w:t>
      </w:r>
      <w:r w:rsidRPr="00587BCC">
        <w:rPr>
          <w:rFonts w:asciiTheme="minorHAnsi" w:hAnsiTheme="minorHAnsi"/>
          <w:b/>
        </w:rPr>
        <w:t xml:space="preserve"> 201</w:t>
      </w:r>
      <w:r w:rsidR="00243028">
        <w:rPr>
          <w:rFonts w:asciiTheme="minorHAnsi" w:hAnsiTheme="minorHAnsi"/>
          <w:b/>
        </w:rPr>
        <w:t>5</w:t>
      </w:r>
    </w:p>
    <w:p w:rsidR="006A7558" w:rsidRPr="00587BCC" w:rsidRDefault="003D16F3" w:rsidP="006A7558">
      <w:pPr>
        <w:pStyle w:val="ChartGraphic0"/>
        <w:jc w:val="left"/>
        <w:rPr>
          <w:rFonts w:asciiTheme="minorHAnsi" w:hAnsiTheme="minorHAnsi"/>
          <w:kern w:val="2"/>
          <w:sz w:val="16"/>
        </w:rPr>
      </w:pPr>
      <w:r>
        <w:rPr>
          <w:rFonts w:asciiTheme="minorHAnsi" w:hAnsiTheme="minorHAnsi"/>
        </w:rPr>
        <w:object w:dxaOrig="4590" w:dyaOrig="4515">
          <v:shape id="_x0000_i1040" type="#_x0000_t75" style="width:230.25pt;height:225.75pt" o:ole="">
            <v:imagedata r:id="rId56" o:title=""/>
          </v:shape>
          <o:OLEObject Type="Link" ProgID="Excel.Sheet.12" ShapeID="_x0000_i1040" DrawAspect="Content" r:id="rId57" UpdateMode="Always">
            <o:LinkType>EnhancedMetaFile</o:LinkType>
            <o:LockedField>false</o:LockedField>
          </o:OLEObject>
        </w:object>
      </w:r>
      <w:r w:rsidR="006A7558" w:rsidRPr="00587BCC">
        <w:rPr>
          <w:rFonts w:asciiTheme="minorHAnsi" w:hAnsiTheme="minorHAnsi"/>
          <w:color w:val="auto"/>
          <w:kern w:val="2"/>
          <w:sz w:val="16"/>
        </w:rPr>
        <w:t xml:space="preserve">Note: </w:t>
      </w:r>
      <w:r w:rsidR="00DD3CC2" w:rsidRPr="00587BCC">
        <w:rPr>
          <w:rFonts w:asciiTheme="minorHAnsi" w:hAnsiTheme="minorHAnsi"/>
          <w:color w:val="auto"/>
          <w:kern w:val="2"/>
          <w:sz w:val="16"/>
        </w:rPr>
        <w:t xml:space="preserve">Top and bottom line represent </w:t>
      </w:r>
      <w:r w:rsidR="00CD3D09">
        <w:rPr>
          <w:rFonts w:asciiTheme="minorHAnsi" w:hAnsiTheme="minorHAnsi"/>
          <w:color w:val="auto"/>
          <w:kern w:val="2"/>
          <w:sz w:val="16"/>
        </w:rPr>
        <w:t xml:space="preserve">the </w:t>
      </w:r>
      <w:r w:rsidR="00DD3CC2" w:rsidRPr="00587BCC">
        <w:rPr>
          <w:rFonts w:asciiTheme="minorHAnsi" w:hAnsiTheme="minorHAnsi"/>
          <w:color w:val="auto"/>
          <w:kern w:val="2"/>
          <w:sz w:val="16"/>
        </w:rPr>
        <w:t xml:space="preserve">range of </w:t>
      </w:r>
      <w:r w:rsidR="00DD3CC2">
        <w:rPr>
          <w:rFonts w:asciiTheme="minorHAnsi" w:hAnsiTheme="minorHAnsi"/>
          <w:color w:val="auto"/>
          <w:kern w:val="2"/>
          <w:sz w:val="16"/>
        </w:rPr>
        <w:t>Bloomberg</w:t>
      </w:r>
      <w:r w:rsidR="00DD3CC2" w:rsidRPr="00587BCC">
        <w:rPr>
          <w:rFonts w:asciiTheme="minorHAnsi" w:hAnsiTheme="minorHAnsi"/>
          <w:color w:val="auto"/>
          <w:kern w:val="2"/>
          <w:sz w:val="16"/>
        </w:rPr>
        <w:t xml:space="preserve"> forecasts. Centre line represents </w:t>
      </w:r>
      <w:r w:rsidR="00DD3CC2">
        <w:rPr>
          <w:rFonts w:asciiTheme="minorHAnsi" w:hAnsiTheme="minorHAnsi"/>
          <w:color w:val="auto"/>
          <w:kern w:val="2"/>
          <w:sz w:val="16"/>
        </w:rPr>
        <w:t>Bloomberg</w:t>
      </w:r>
      <w:r w:rsidR="00DD3CC2" w:rsidRPr="00587BCC">
        <w:rPr>
          <w:rFonts w:asciiTheme="minorHAnsi" w:hAnsiTheme="minorHAnsi"/>
          <w:color w:val="auto"/>
          <w:kern w:val="2"/>
          <w:sz w:val="16"/>
        </w:rPr>
        <w:t xml:space="preserve"> mean forecast.</w:t>
      </w:r>
    </w:p>
    <w:p w:rsidR="006A7558" w:rsidRPr="00587BCC" w:rsidRDefault="006A7558" w:rsidP="009F5663">
      <w:pPr>
        <w:spacing w:line="240" w:lineRule="auto"/>
        <w:jc w:val="left"/>
        <w:rPr>
          <w:rFonts w:asciiTheme="minorHAnsi" w:hAnsiTheme="minorHAnsi" w:cs="Arial"/>
          <w:kern w:val="2"/>
          <w:sz w:val="16"/>
        </w:rPr>
      </w:pPr>
      <w:r w:rsidRPr="00587BCC">
        <w:rPr>
          <w:rFonts w:asciiTheme="minorHAnsi" w:hAnsiTheme="minorHAnsi" w:cs="Arial"/>
          <w:kern w:val="2"/>
          <w:sz w:val="16"/>
        </w:rPr>
        <w:t xml:space="preserve">Source: </w:t>
      </w:r>
      <w:r w:rsidR="00755A06">
        <w:rPr>
          <w:rFonts w:asciiTheme="minorHAnsi" w:hAnsiTheme="minorHAnsi" w:cs="Arial"/>
          <w:kern w:val="2"/>
          <w:sz w:val="16"/>
        </w:rPr>
        <w:t>Bloomberg</w:t>
      </w:r>
      <w:r w:rsidR="00755A06" w:rsidRPr="00587BCC">
        <w:rPr>
          <w:rFonts w:asciiTheme="minorHAnsi" w:hAnsiTheme="minorHAnsi" w:cs="Arial"/>
          <w:kern w:val="2"/>
          <w:sz w:val="16"/>
        </w:rPr>
        <w:t xml:space="preserve"> </w:t>
      </w:r>
      <w:r w:rsidRPr="00587BCC">
        <w:rPr>
          <w:rFonts w:asciiTheme="minorHAnsi" w:hAnsiTheme="minorHAnsi" w:cs="Arial"/>
          <w:kern w:val="2"/>
          <w:sz w:val="16"/>
        </w:rPr>
        <w:t>and Treasury.</w:t>
      </w:r>
    </w:p>
    <w:p w:rsidR="00725E16" w:rsidRDefault="00725E16" w:rsidP="00BF6A01">
      <w:pPr>
        <w:pStyle w:val="Bullet"/>
        <w:numPr>
          <w:ilvl w:val="0"/>
          <w:numId w:val="0"/>
        </w:numPr>
        <w:spacing w:line="240" w:lineRule="auto"/>
        <w:rPr>
          <w:rFonts w:asciiTheme="minorHAnsi" w:eastAsiaTheme="minorHAnsi" w:hAnsiTheme="minorHAnsi"/>
          <w:b/>
          <w:color w:val="0000FF"/>
          <w:sz w:val="24"/>
        </w:rPr>
      </w:pPr>
    </w:p>
    <w:p w:rsidR="00BE15CD" w:rsidRPr="00C92C0C" w:rsidRDefault="00BF6A01" w:rsidP="00BF6A01">
      <w:pPr>
        <w:pStyle w:val="Bullet"/>
        <w:numPr>
          <w:ilvl w:val="0"/>
          <w:numId w:val="0"/>
        </w:numPr>
        <w:spacing w:line="240" w:lineRule="auto"/>
        <w:rPr>
          <w:rFonts w:asciiTheme="minorHAnsi" w:eastAsiaTheme="minorHAnsi" w:hAnsiTheme="minorHAnsi"/>
          <w:b/>
          <w:color w:val="0000FF"/>
          <w:sz w:val="24"/>
        </w:rPr>
      </w:pPr>
      <w:r w:rsidRPr="00C92C0C">
        <w:rPr>
          <w:rFonts w:asciiTheme="minorHAnsi" w:eastAsiaTheme="minorHAnsi" w:hAnsiTheme="minorHAnsi"/>
          <w:b/>
          <w:color w:val="0000FF"/>
          <w:sz w:val="24"/>
        </w:rPr>
        <w:lastRenderedPageBreak/>
        <w:t>…while b</w:t>
      </w:r>
      <w:r w:rsidR="00CE3728" w:rsidRPr="00C92C0C">
        <w:rPr>
          <w:rFonts w:asciiTheme="minorHAnsi" w:eastAsiaTheme="minorHAnsi" w:hAnsiTheme="minorHAnsi"/>
          <w:b/>
          <w:color w:val="0000FF"/>
          <w:sz w:val="24"/>
        </w:rPr>
        <w:t>ulk c</w:t>
      </w:r>
      <w:r w:rsidR="00BE15CD" w:rsidRPr="00C92C0C">
        <w:rPr>
          <w:rFonts w:asciiTheme="minorHAnsi" w:eastAsiaTheme="minorHAnsi" w:hAnsiTheme="minorHAnsi"/>
          <w:b/>
          <w:color w:val="0000FF"/>
          <w:sz w:val="24"/>
        </w:rPr>
        <w:t>ommodity price forecasts are at the lower end of consensus</w:t>
      </w:r>
      <w:r w:rsidRPr="00C92C0C">
        <w:rPr>
          <w:rFonts w:asciiTheme="minorHAnsi" w:eastAsiaTheme="minorHAnsi" w:hAnsiTheme="minorHAnsi"/>
          <w:b/>
          <w:color w:val="0000FF"/>
          <w:sz w:val="24"/>
        </w:rPr>
        <w:t>.</w:t>
      </w:r>
    </w:p>
    <w:p w:rsidR="00BE15CD" w:rsidRPr="00587BCC" w:rsidRDefault="00BE15CD" w:rsidP="00BE15CD">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5</w:t>
      </w:r>
      <w:r w:rsidRPr="00587BCC">
        <w:rPr>
          <w:rFonts w:asciiTheme="minorHAnsi" w:hAnsiTheme="minorHAnsi"/>
          <w:b/>
        </w:rPr>
        <w:t xml:space="preserve">: </w:t>
      </w:r>
      <w:r w:rsidR="00CC3123" w:rsidRPr="00587BCC">
        <w:rPr>
          <w:rFonts w:asciiTheme="minorHAnsi" w:hAnsiTheme="minorHAnsi"/>
          <w:b/>
        </w:rPr>
        <w:t>Iron ore price forecasts</w:t>
      </w:r>
      <w:r w:rsidR="00A3038F">
        <w:rPr>
          <w:rFonts w:asciiTheme="minorHAnsi" w:hAnsiTheme="minorHAnsi"/>
          <w:b/>
        </w:rPr>
        <w:t xml:space="preserve"> for </w:t>
      </w:r>
      <w:r w:rsidR="00585077">
        <w:rPr>
          <w:rFonts w:asciiTheme="minorHAnsi" w:hAnsiTheme="minorHAnsi"/>
          <w:b/>
        </w:rPr>
        <w:t>June 20</w:t>
      </w:r>
      <w:r w:rsidR="000C5AEC">
        <w:rPr>
          <w:rFonts w:asciiTheme="minorHAnsi" w:hAnsiTheme="minorHAnsi"/>
          <w:b/>
        </w:rPr>
        <w:t>15</w:t>
      </w:r>
    </w:p>
    <w:p w:rsidR="00BE15CD" w:rsidRPr="00587BCC" w:rsidRDefault="00435077" w:rsidP="00BE15CD">
      <w:pPr>
        <w:pStyle w:val="ChartGraphic0"/>
        <w:jc w:val="left"/>
        <w:rPr>
          <w:rFonts w:asciiTheme="minorHAnsi" w:hAnsiTheme="minorHAnsi"/>
          <w:kern w:val="2"/>
          <w:sz w:val="16"/>
        </w:rPr>
      </w:pPr>
      <w:r>
        <w:rPr>
          <w:noProof/>
          <w:lang w:eastAsia="en-AU"/>
        </w:rPr>
        <w:object w:dxaOrig="4516" w:dyaOrig="4515">
          <v:shape id="_x0000_i1041" type="#_x0000_t75" style="width:225.75pt;height:225.75pt" o:ole="">
            <v:imagedata r:id="rId58" o:title=""/>
          </v:shape>
          <o:OLEObject Type="Link" ProgID="Excel.Sheet.12" ShapeID="_x0000_i1041" DrawAspect="Content" r:id="rId59" UpdateMode="Always">
            <o:LinkType>EnhancedMetaFile</o:LinkType>
            <o:LockedField>false</o:LockedField>
          </o:OLEObject>
        </w:object>
      </w:r>
      <w:r w:rsidR="00BE15CD" w:rsidRPr="00587BCC">
        <w:rPr>
          <w:rFonts w:asciiTheme="minorHAnsi" w:hAnsiTheme="minorHAnsi"/>
          <w:color w:val="auto"/>
          <w:kern w:val="2"/>
          <w:sz w:val="16"/>
        </w:rPr>
        <w:t xml:space="preserve">Note: Top and bottom line represent range of </w:t>
      </w:r>
      <w:r w:rsidR="00C75446" w:rsidRPr="00587BCC">
        <w:rPr>
          <w:rFonts w:asciiTheme="minorHAnsi" w:hAnsiTheme="minorHAnsi"/>
          <w:color w:val="auto"/>
          <w:kern w:val="2"/>
          <w:sz w:val="16"/>
        </w:rPr>
        <w:t>c</w:t>
      </w:r>
      <w:r w:rsidR="00BE15CD" w:rsidRPr="00587BCC">
        <w:rPr>
          <w:rFonts w:asciiTheme="minorHAnsi" w:hAnsiTheme="minorHAnsi"/>
          <w:color w:val="auto"/>
          <w:kern w:val="2"/>
          <w:sz w:val="16"/>
        </w:rPr>
        <w:t xml:space="preserve">onsensus forecasts. </w:t>
      </w:r>
      <w:r w:rsidR="00C26546" w:rsidRPr="00587BCC">
        <w:rPr>
          <w:rFonts w:asciiTheme="minorHAnsi" w:hAnsiTheme="minorHAnsi"/>
          <w:color w:val="auto"/>
          <w:kern w:val="2"/>
          <w:sz w:val="16"/>
        </w:rPr>
        <w:t>Centre line represents Consensus median forecast.</w:t>
      </w:r>
    </w:p>
    <w:p w:rsidR="00BE15CD" w:rsidRPr="00587BCC" w:rsidRDefault="00BE15CD" w:rsidP="00C75446">
      <w:pPr>
        <w:spacing w:line="240" w:lineRule="auto"/>
        <w:rPr>
          <w:rFonts w:asciiTheme="minorHAnsi" w:hAnsiTheme="minorHAnsi" w:cs="Arial"/>
          <w:kern w:val="2"/>
          <w:sz w:val="16"/>
        </w:rPr>
      </w:pPr>
      <w:r w:rsidRPr="00587BCC">
        <w:rPr>
          <w:rFonts w:asciiTheme="minorHAnsi" w:hAnsiTheme="minorHAnsi" w:cs="Arial"/>
          <w:kern w:val="2"/>
          <w:sz w:val="16"/>
        </w:rPr>
        <w:t>Source: Consensus Economics</w:t>
      </w:r>
      <w:r w:rsidR="00A3038F">
        <w:rPr>
          <w:rStyle w:val="EndnoteReference"/>
          <w:rFonts w:asciiTheme="minorHAnsi" w:hAnsiTheme="minorHAnsi" w:cs="Arial"/>
          <w:kern w:val="2"/>
          <w:sz w:val="16"/>
        </w:rPr>
        <w:endnoteReference w:id="2"/>
      </w:r>
      <w:r w:rsidRPr="00587BCC">
        <w:rPr>
          <w:rFonts w:asciiTheme="minorHAnsi" w:hAnsiTheme="minorHAnsi" w:cs="Arial"/>
          <w:kern w:val="2"/>
          <w:sz w:val="16"/>
        </w:rPr>
        <w:t xml:space="preserve"> and Treasury.</w:t>
      </w:r>
    </w:p>
    <w:p w:rsidR="00C76C2E" w:rsidRDefault="00C76C2E" w:rsidP="002F39A3">
      <w:pPr>
        <w:keepNext/>
        <w:autoSpaceDE w:val="0"/>
        <w:autoSpaceDN w:val="0"/>
        <w:spacing w:after="0"/>
        <w:jc w:val="center"/>
        <w:rPr>
          <w:rFonts w:asciiTheme="minorHAnsi" w:hAnsiTheme="minorHAnsi"/>
          <w:b/>
        </w:rPr>
      </w:pPr>
    </w:p>
    <w:p w:rsidR="002F39A3" w:rsidRPr="00587BCC" w:rsidRDefault="00CC3123" w:rsidP="00585077">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6</w:t>
      </w:r>
      <w:r w:rsidRPr="00587BCC">
        <w:rPr>
          <w:rFonts w:asciiTheme="minorHAnsi" w:hAnsiTheme="minorHAnsi"/>
          <w:b/>
        </w:rPr>
        <w:t>: Metallurgical coal price forecasts</w:t>
      </w:r>
      <w:r w:rsidR="00A3038F">
        <w:rPr>
          <w:rFonts w:asciiTheme="minorHAnsi" w:hAnsiTheme="minorHAnsi"/>
          <w:b/>
        </w:rPr>
        <w:t xml:space="preserve"> for </w:t>
      </w:r>
      <w:r w:rsidR="00A3038F">
        <w:rPr>
          <w:rFonts w:asciiTheme="minorHAnsi" w:hAnsiTheme="minorHAnsi"/>
          <w:b/>
        </w:rPr>
        <w:br/>
        <w:t>June 201</w:t>
      </w:r>
      <w:r w:rsidR="00585077">
        <w:rPr>
          <w:rFonts w:asciiTheme="minorHAnsi" w:hAnsiTheme="minorHAnsi"/>
          <w:b/>
        </w:rPr>
        <w:t>5</w:t>
      </w:r>
    </w:p>
    <w:p w:rsidR="00CC3123" w:rsidRPr="00587BCC" w:rsidRDefault="00435077" w:rsidP="00585077">
      <w:pPr>
        <w:pStyle w:val="ChartGraphic0"/>
        <w:jc w:val="left"/>
        <w:rPr>
          <w:rFonts w:asciiTheme="minorHAnsi" w:hAnsiTheme="minorHAnsi"/>
          <w:kern w:val="2"/>
          <w:sz w:val="16"/>
        </w:rPr>
      </w:pPr>
      <w:r>
        <w:rPr>
          <w:rFonts w:asciiTheme="minorHAnsi" w:hAnsiTheme="minorHAnsi"/>
          <w:color w:val="auto"/>
          <w:kern w:val="2"/>
          <w:sz w:val="16"/>
        </w:rPr>
        <w:object w:dxaOrig="4516" w:dyaOrig="4515">
          <v:shape id="_x0000_i1042" type="#_x0000_t75" style="width:225.75pt;height:225.75pt" o:ole="">
            <v:imagedata r:id="rId60" o:title=""/>
          </v:shape>
          <o:OLEObject Type="Link" ProgID="Excel.Sheet.12" ShapeID="_x0000_i1042" DrawAspect="Content" r:id="rId61" UpdateMode="Always">
            <o:LinkType>EnhancedMetaFile</o:LinkType>
            <o:LockedField>false</o:LockedField>
          </o:OLEObject>
        </w:object>
      </w:r>
      <w:r w:rsidR="00CC3123" w:rsidRPr="00587BCC">
        <w:rPr>
          <w:rFonts w:asciiTheme="minorHAnsi" w:hAnsiTheme="minorHAnsi"/>
          <w:color w:val="auto"/>
          <w:kern w:val="2"/>
          <w:sz w:val="16"/>
        </w:rPr>
        <w:t xml:space="preserve">Note: Top and bottom line represent range of Consensus forecasts. </w:t>
      </w:r>
      <w:r w:rsidR="00C26546" w:rsidRPr="00587BCC">
        <w:rPr>
          <w:rFonts w:asciiTheme="minorHAnsi" w:hAnsiTheme="minorHAnsi"/>
          <w:color w:val="auto"/>
          <w:kern w:val="2"/>
          <w:sz w:val="16"/>
        </w:rPr>
        <w:t>Centre line represents Consensus median forecast.</w:t>
      </w:r>
    </w:p>
    <w:p w:rsidR="00CC3123" w:rsidRPr="00587BCC" w:rsidRDefault="00CC3123" w:rsidP="00CC3123">
      <w:pPr>
        <w:spacing w:line="240" w:lineRule="auto"/>
        <w:rPr>
          <w:rFonts w:asciiTheme="minorHAnsi" w:hAnsiTheme="minorHAnsi" w:cs="Arial"/>
          <w:kern w:val="2"/>
          <w:sz w:val="16"/>
        </w:rPr>
      </w:pPr>
      <w:r w:rsidRPr="00587BCC">
        <w:rPr>
          <w:rFonts w:asciiTheme="minorHAnsi" w:hAnsiTheme="minorHAnsi" w:cs="Arial"/>
          <w:kern w:val="2"/>
          <w:sz w:val="16"/>
        </w:rPr>
        <w:t>Source: Consensus Economics and Treasury.</w:t>
      </w:r>
    </w:p>
    <w:p w:rsidR="002F39A3" w:rsidRDefault="002F39A3" w:rsidP="00CC3123">
      <w:pPr>
        <w:keepNext/>
        <w:autoSpaceDE w:val="0"/>
        <w:autoSpaceDN w:val="0"/>
        <w:spacing w:after="0"/>
        <w:jc w:val="center"/>
        <w:rPr>
          <w:rFonts w:asciiTheme="minorHAnsi" w:hAnsiTheme="minorHAnsi"/>
          <w:b/>
        </w:rPr>
      </w:pPr>
    </w:p>
    <w:p w:rsidR="0026375B" w:rsidRDefault="0026375B" w:rsidP="00CC3123">
      <w:pPr>
        <w:keepNext/>
        <w:autoSpaceDE w:val="0"/>
        <w:autoSpaceDN w:val="0"/>
        <w:spacing w:after="0"/>
        <w:jc w:val="center"/>
        <w:rPr>
          <w:rFonts w:asciiTheme="minorHAnsi" w:hAnsiTheme="minorHAnsi"/>
          <w:b/>
        </w:rPr>
      </w:pPr>
    </w:p>
    <w:p w:rsidR="0026375B" w:rsidRDefault="0026375B" w:rsidP="00CC3123">
      <w:pPr>
        <w:keepNext/>
        <w:autoSpaceDE w:val="0"/>
        <w:autoSpaceDN w:val="0"/>
        <w:spacing w:after="0"/>
        <w:jc w:val="center"/>
        <w:rPr>
          <w:rFonts w:asciiTheme="minorHAnsi" w:hAnsiTheme="minorHAnsi"/>
          <w:b/>
        </w:rPr>
      </w:pPr>
    </w:p>
    <w:p w:rsidR="00CC3123" w:rsidRPr="00587BCC" w:rsidRDefault="00CC3123" w:rsidP="00CC3123">
      <w:pPr>
        <w:keepNext/>
        <w:autoSpaceDE w:val="0"/>
        <w:autoSpaceDN w:val="0"/>
        <w:spacing w:after="0"/>
        <w:jc w:val="center"/>
        <w:rPr>
          <w:rFonts w:asciiTheme="minorHAnsi" w:hAnsiTheme="minorHAnsi"/>
          <w:b/>
        </w:rPr>
      </w:pPr>
      <w:r w:rsidRPr="00587BCC">
        <w:rPr>
          <w:rFonts w:asciiTheme="minorHAnsi" w:hAnsiTheme="minorHAnsi"/>
          <w:b/>
        </w:rPr>
        <w:t xml:space="preserve">Chart </w:t>
      </w:r>
      <w:r w:rsidR="00D868E2" w:rsidRPr="00587BCC">
        <w:rPr>
          <w:rFonts w:asciiTheme="minorHAnsi" w:hAnsiTheme="minorHAnsi"/>
          <w:b/>
        </w:rPr>
        <w:t>7</w:t>
      </w:r>
      <w:r w:rsidRPr="00587BCC">
        <w:rPr>
          <w:rFonts w:asciiTheme="minorHAnsi" w:hAnsiTheme="minorHAnsi"/>
          <w:b/>
        </w:rPr>
        <w:t>: Thermal coal price forecasts</w:t>
      </w:r>
      <w:r w:rsidR="00A3038F">
        <w:rPr>
          <w:rFonts w:asciiTheme="minorHAnsi" w:hAnsiTheme="minorHAnsi"/>
          <w:b/>
        </w:rPr>
        <w:t xml:space="preserve"> for June 201</w:t>
      </w:r>
      <w:r w:rsidR="00585077">
        <w:rPr>
          <w:rFonts w:asciiTheme="minorHAnsi" w:hAnsiTheme="minorHAnsi"/>
          <w:b/>
        </w:rPr>
        <w:t>5</w:t>
      </w:r>
    </w:p>
    <w:p w:rsidR="00CC3123" w:rsidRPr="00587BCC" w:rsidRDefault="00435077" w:rsidP="00CC3123">
      <w:pPr>
        <w:pStyle w:val="ChartGraphic0"/>
        <w:jc w:val="left"/>
        <w:rPr>
          <w:rFonts w:asciiTheme="minorHAnsi" w:hAnsiTheme="minorHAnsi"/>
          <w:kern w:val="2"/>
          <w:sz w:val="16"/>
        </w:rPr>
      </w:pPr>
      <w:r>
        <w:rPr>
          <w:rFonts w:asciiTheme="minorHAnsi" w:hAnsiTheme="minorHAnsi"/>
          <w:color w:val="auto"/>
          <w:kern w:val="2"/>
          <w:sz w:val="16"/>
        </w:rPr>
        <w:object w:dxaOrig="4516" w:dyaOrig="4515">
          <v:shape id="_x0000_i1043" type="#_x0000_t75" style="width:225.75pt;height:225.75pt" o:ole="">
            <v:imagedata r:id="rId62" o:title=""/>
          </v:shape>
          <o:OLEObject Type="Link" ProgID="Excel.Sheet.12" ShapeID="_x0000_i1043" DrawAspect="Content" r:id="rId63" UpdateMode="Always">
            <o:LinkType>EnhancedMetaFile</o:LinkType>
            <o:LockedField>false</o:LockedField>
          </o:OLEObject>
        </w:object>
      </w:r>
      <w:r w:rsidR="006E482A" w:rsidRPr="00587BCC">
        <w:rPr>
          <w:rFonts w:asciiTheme="minorHAnsi" w:hAnsiTheme="minorHAnsi"/>
          <w:color w:val="auto"/>
          <w:kern w:val="2"/>
          <w:sz w:val="16"/>
        </w:rPr>
        <w:t xml:space="preserve">Note: Top and bottom line represent range of consensus forecasts. </w:t>
      </w:r>
      <w:r w:rsidR="00C26546" w:rsidRPr="00587BCC">
        <w:rPr>
          <w:rFonts w:asciiTheme="minorHAnsi" w:hAnsiTheme="minorHAnsi"/>
          <w:color w:val="auto"/>
          <w:kern w:val="2"/>
          <w:sz w:val="16"/>
        </w:rPr>
        <w:t>Centre line represents Consensus median forecast.</w:t>
      </w:r>
    </w:p>
    <w:p w:rsidR="00BE15CD" w:rsidRPr="00587BCC" w:rsidRDefault="00CC3123" w:rsidP="004038C0">
      <w:pPr>
        <w:spacing w:after="0" w:line="240" w:lineRule="auto"/>
        <w:rPr>
          <w:rFonts w:asciiTheme="minorHAnsi" w:hAnsiTheme="minorHAnsi" w:cs="Arial"/>
          <w:kern w:val="2"/>
          <w:sz w:val="16"/>
        </w:rPr>
      </w:pPr>
      <w:r w:rsidRPr="00587BCC">
        <w:rPr>
          <w:rFonts w:asciiTheme="minorHAnsi" w:hAnsiTheme="minorHAnsi" w:cs="Arial"/>
          <w:kern w:val="2"/>
          <w:sz w:val="16"/>
        </w:rPr>
        <w:t>Source: Consensus Economics and Treasury.</w:t>
      </w:r>
      <w:r w:rsidR="00935486" w:rsidRPr="00935486">
        <w:rPr>
          <w:rStyle w:val="FootnoteReference"/>
          <w:rFonts w:asciiTheme="minorHAnsi" w:hAnsiTheme="minorHAnsi" w:cs="Arial"/>
          <w:kern w:val="2"/>
        </w:rPr>
        <w:t xml:space="preserve"> </w:t>
      </w:r>
    </w:p>
    <w:bookmarkEnd w:id="1"/>
    <w:bookmarkEnd w:id="2"/>
    <w:bookmarkEnd w:id="3"/>
    <w:bookmarkEnd w:id="4"/>
    <w:p w:rsidR="006A7558" w:rsidRPr="00587BCC" w:rsidRDefault="006A7558" w:rsidP="006A7558">
      <w:pPr>
        <w:spacing w:line="240" w:lineRule="auto"/>
        <w:jc w:val="left"/>
        <w:rPr>
          <w:rFonts w:asciiTheme="minorHAnsi" w:hAnsiTheme="minorHAnsi" w:cs="Arial"/>
          <w:kern w:val="2"/>
          <w:sz w:val="16"/>
        </w:rPr>
      </w:pPr>
    </w:p>
    <w:sectPr w:rsidR="006A7558" w:rsidRPr="00587BCC" w:rsidSect="00C92C0C">
      <w:footnotePr>
        <w:pos w:val="beneathText"/>
      </w:footnotePr>
      <w:endnotePr>
        <w:numFmt w:val="decimal"/>
        <w:numStart w:val="3"/>
      </w:endnotePr>
      <w:type w:val="continuous"/>
      <w:pgSz w:w="11907" w:h="16840" w:code="9"/>
      <w:pgMar w:top="1418" w:right="1100" w:bottom="1418" w:left="1100" w:header="567" w:footer="709" w:gutter="0"/>
      <w:cols w:num="2"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D35" w:rsidRDefault="00684D35">
      <w:r>
        <w:separator/>
      </w:r>
    </w:p>
  </w:endnote>
  <w:endnote w:type="continuationSeparator" w:id="0">
    <w:p w:rsidR="00684D35" w:rsidRDefault="00684D35">
      <w:r>
        <w:continuationSeparator/>
      </w:r>
    </w:p>
  </w:endnote>
  <w:endnote w:id="1">
    <w:p w:rsidR="00684D35" w:rsidRPr="00C92C0C" w:rsidRDefault="00684D35" w:rsidP="00873F12">
      <w:pPr>
        <w:pStyle w:val="EndnoteText"/>
        <w:rPr>
          <w:rFonts w:asciiTheme="minorHAnsi" w:hAnsiTheme="minorHAnsi"/>
          <w:i/>
        </w:rPr>
      </w:pPr>
      <w:r w:rsidRPr="00C92C0C">
        <w:rPr>
          <w:rStyle w:val="EndnoteReference"/>
          <w:rFonts w:asciiTheme="minorHAnsi" w:hAnsiTheme="minorHAnsi"/>
          <w:i/>
        </w:rPr>
        <w:endnoteRef/>
      </w:r>
      <w:r w:rsidRPr="00C92C0C">
        <w:rPr>
          <w:rFonts w:asciiTheme="minorHAnsi" w:hAnsiTheme="minorHAnsi"/>
          <w:i/>
        </w:rPr>
        <w:t xml:space="preserve"> </w:t>
      </w:r>
      <w:r w:rsidRPr="00C92C0C">
        <w:rPr>
          <w:rFonts w:asciiTheme="minorHAnsi" w:hAnsiTheme="minorHAnsi"/>
          <w:i/>
        </w:rPr>
        <w:tab/>
      </w:r>
      <w:r>
        <w:rPr>
          <w:rFonts w:asciiTheme="minorHAnsi" w:hAnsiTheme="minorHAnsi"/>
          <w:i/>
        </w:rPr>
        <w:t xml:space="preserve">Bloomberg regularly </w:t>
      </w:r>
      <w:r w:rsidRPr="00C92C0C">
        <w:rPr>
          <w:rFonts w:asciiTheme="minorHAnsi" w:hAnsiTheme="minorHAnsi"/>
          <w:i/>
        </w:rPr>
        <w:t>surveys a range of prominent Australian financial and economic forecasters for their estimates of a range of variables, including future growth,</w:t>
      </w:r>
      <w:r w:rsidRPr="00873F12">
        <w:rPr>
          <w:rFonts w:asciiTheme="minorHAnsi" w:hAnsiTheme="minorHAnsi"/>
          <w:i/>
        </w:rPr>
        <w:t xml:space="preserve"> </w:t>
      </w:r>
      <w:r>
        <w:rPr>
          <w:rFonts w:asciiTheme="minorHAnsi" w:hAnsiTheme="minorHAnsi"/>
          <w:i/>
        </w:rPr>
        <w:t xml:space="preserve">the labour market, inflation and </w:t>
      </w:r>
      <w:r w:rsidRPr="00C92C0C">
        <w:rPr>
          <w:rFonts w:asciiTheme="minorHAnsi" w:hAnsiTheme="minorHAnsi"/>
          <w:i/>
        </w:rPr>
        <w:t>exchange rate</w:t>
      </w:r>
      <w:r>
        <w:rPr>
          <w:rFonts w:asciiTheme="minorHAnsi" w:hAnsiTheme="minorHAnsi"/>
          <w:i/>
        </w:rPr>
        <w:t>s.</w:t>
      </w:r>
    </w:p>
  </w:endnote>
  <w:endnote w:id="2">
    <w:p w:rsidR="00684D35" w:rsidRDefault="00684D35">
      <w:pPr>
        <w:pStyle w:val="EndnoteText"/>
        <w:rPr>
          <w:rFonts w:asciiTheme="minorHAnsi" w:hAnsiTheme="minorHAnsi"/>
          <w:i/>
        </w:rPr>
      </w:pPr>
      <w:r>
        <w:rPr>
          <w:rStyle w:val="EndnoteReference"/>
        </w:rPr>
        <w:endnoteRef/>
      </w:r>
      <w:r>
        <w:t xml:space="preserve"> </w:t>
      </w:r>
      <w:r>
        <w:tab/>
      </w:r>
      <w:r w:rsidRPr="00A3038F">
        <w:rPr>
          <w:rFonts w:asciiTheme="minorHAnsi" w:hAnsiTheme="minorHAnsi"/>
          <w:i/>
        </w:rPr>
        <w:t>Consensus Economic</w:t>
      </w:r>
      <w:r>
        <w:rPr>
          <w:rFonts w:asciiTheme="minorHAnsi" w:hAnsiTheme="minorHAnsi"/>
          <w:i/>
        </w:rPr>
        <w:t>s</w:t>
      </w:r>
      <w:r w:rsidRPr="00A3038F">
        <w:rPr>
          <w:rFonts w:asciiTheme="minorHAnsi" w:hAnsiTheme="minorHAnsi"/>
          <w:i/>
        </w:rPr>
        <w:t xml:space="preserve"> survey</w:t>
      </w:r>
      <w:r>
        <w:rPr>
          <w:rFonts w:asciiTheme="minorHAnsi" w:hAnsiTheme="minorHAnsi"/>
          <w:i/>
        </w:rPr>
        <w:t>s</w:t>
      </w:r>
      <w:r w:rsidRPr="00A3038F">
        <w:rPr>
          <w:rFonts w:asciiTheme="minorHAnsi" w:hAnsiTheme="minorHAnsi"/>
          <w:i/>
        </w:rPr>
        <w:t xml:space="preserve"> commodity price </w:t>
      </w:r>
      <w:r>
        <w:rPr>
          <w:rFonts w:asciiTheme="minorHAnsi" w:hAnsiTheme="minorHAnsi"/>
          <w:i/>
        </w:rPr>
        <w:t xml:space="preserve">forecasters </w:t>
      </w:r>
      <w:r w:rsidRPr="00A3038F">
        <w:rPr>
          <w:rFonts w:asciiTheme="minorHAnsi" w:hAnsiTheme="minorHAnsi"/>
          <w:i/>
        </w:rPr>
        <w:t xml:space="preserve">every </w:t>
      </w:r>
      <w:r>
        <w:rPr>
          <w:rFonts w:asciiTheme="minorHAnsi" w:hAnsiTheme="minorHAnsi"/>
          <w:i/>
        </w:rPr>
        <w:t>two</w:t>
      </w:r>
      <w:r w:rsidRPr="00A3038F">
        <w:rPr>
          <w:rFonts w:asciiTheme="minorHAnsi" w:hAnsiTheme="minorHAnsi"/>
          <w:i/>
        </w:rPr>
        <w:t xml:space="preserve"> months.</w:t>
      </w: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Default="00684D35">
      <w:pPr>
        <w:pStyle w:val="EndnoteText"/>
        <w:rPr>
          <w:rFonts w:asciiTheme="minorHAnsi" w:hAnsiTheme="minorHAnsi"/>
          <w:i/>
        </w:rPr>
      </w:pPr>
    </w:p>
    <w:p w:rsidR="00684D35" w:rsidRPr="001E2A5E" w:rsidRDefault="00684D35">
      <w:pPr>
        <w:pStyle w:val="EndnoteText"/>
        <w:rPr>
          <w:rFonts w:asciiTheme="minorHAnsi" w:hAnsiTheme="minorHAnsi"/>
          <w: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old">
    <w:altName w:val="Times New Roman"/>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D35" w:rsidRDefault="00684D35" w:rsidP="00A377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84D35" w:rsidRDefault="00684D35" w:rsidP="0060744E">
    <w:pPr>
      <w:pStyle w:val="Footer"/>
      <w:ind w:right="360" w:firstLine="360"/>
      <w:jc w:val="center"/>
    </w:pPr>
    <w:r>
      <w:t>PROTECTED</w:t>
    </w:r>
    <w:r>
      <w:fldChar w:fldCharType="begin"/>
    </w:r>
    <w:r>
      <w:instrText xml:space="preserve"> COMMENTS  \* MERGEFORMAT </w:instrText>
    </w:r>
    <w:r>
      <w:fldChar w:fldCharType="end"/>
    </w:r>
  </w:p>
  <w:p w:rsidR="00684D35" w:rsidRDefault="00684D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D35" w:rsidRDefault="00684D35" w:rsidP="00BC45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7A15">
      <w:rPr>
        <w:rStyle w:val="PageNumber"/>
        <w:noProof/>
      </w:rPr>
      <w:t>2</w:t>
    </w:r>
    <w:r>
      <w:rPr>
        <w:rStyle w:val="PageNumber"/>
      </w:rPr>
      <w:fldChar w:fldCharType="end"/>
    </w:r>
  </w:p>
  <w:p w:rsidR="00684D35" w:rsidRPr="00704E0D" w:rsidRDefault="00684D35" w:rsidP="00704E0D">
    <w:pPr>
      <w:pStyle w:val="Classification"/>
    </w:pPr>
    <w:r w:rsidRPr="00704E0D">
      <w:t>PROTECTED</w:t>
    </w:r>
  </w:p>
  <w:p w:rsidR="00684D35" w:rsidRDefault="00684D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FC" w:rsidRDefault="00DD28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D35" w:rsidRDefault="00684D35">
    <w:pPr>
      <w:pStyle w:val="Footer"/>
      <w:rPr>
        <w:color w:val="000000" w:themeColor="text1"/>
        <w:sz w:val="24"/>
      </w:rPr>
    </w:pPr>
    <w:r>
      <w:rPr>
        <w:noProof/>
        <w:lang w:eastAsia="en-AU"/>
      </w:rPr>
      <mc:AlternateContent>
        <mc:Choice Requires="wps">
          <w:drawing>
            <wp:anchor distT="0" distB="0" distL="114300" distR="114300" simplePos="0" relativeHeight="251659264" behindDoc="0" locked="0" layoutInCell="1" allowOverlap="1" wp14:anchorId="67B3389C" wp14:editId="618FAC36">
              <wp:simplePos x="0" y="0"/>
              <wp:positionH relativeFrom="margin">
                <wp:align>right</wp:align>
              </wp:positionH>
              <wp:positionV relativeFrom="bottomMargin">
                <wp:align>top</wp:align>
              </wp:positionV>
              <wp:extent cx="1508760" cy="37147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71475"/>
                      </a:xfrm>
                      <a:prstGeom prst="rect">
                        <a:avLst/>
                      </a:prstGeom>
                      <a:noFill/>
                      <a:ln w="6350">
                        <a:noFill/>
                      </a:ln>
                      <a:effectLst/>
                    </wps:spPr>
                    <wps:txbx>
                      <w:txbxContent>
                        <w:p w:rsidR="00684D35" w:rsidRDefault="00684D35" w:rsidP="003268F4">
                          <w:pPr>
                            <w:pStyle w:val="Footer"/>
                            <w:spacing w:before="120"/>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D28FC">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67.6pt;margin-top:0;width:118.8pt;height:29.2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" filled="f" stroked="f" strokeweight=".5pt">
              <v:textbox>
                <w:txbxContent>
                  <w:p w:rsidR="00684D35" w:rsidRDefault="00684D35" w:rsidP="003268F4">
                    <w:pPr>
                      <w:pStyle w:val="Footer"/>
                      <w:spacing w:before="120"/>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DD28FC">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Pr>
        <w:color w:val="000000" w:themeColor="text1"/>
        <w:sz w:val="24"/>
      </w:rPr>
      <w:t>September 2013 JEFG Report</w:t>
    </w:r>
  </w:p>
  <w:p w:rsidR="00684D35" w:rsidRDefault="00684D35">
    <w:pPr>
      <w:pStyle w:val="Footer"/>
    </w:pPr>
    <w:r>
      <w:rPr>
        <w:noProof/>
        <w:color w:val="4F81BD" w:themeColor="accent1"/>
        <w:lang w:eastAsia="en-AU"/>
      </w:rPr>
      <mc:AlternateContent>
        <mc:Choice Requires="wps">
          <w:drawing>
            <wp:anchor distT="91440" distB="91440" distL="114300" distR="114300" simplePos="0" relativeHeight="251660288" behindDoc="1" locked="0" layoutInCell="1" allowOverlap="1" wp14:anchorId="5FCE70E7" wp14:editId="0DCE2D3B">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D35" w:rsidRDefault="00684D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84D35" w:rsidRDefault="00684D35">
    <w:pPr>
      <w:pStyle w:val="Footer"/>
      <w:ind w:right="360"/>
      <w:jc w:val="right"/>
    </w:pPr>
    <w:r>
      <w:fldChar w:fldCharType="begin"/>
    </w:r>
    <w:r>
      <w:instrText xml:space="preserve"> COMMENTS  \* MERGEFORMAT </w:instrTex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D35" w:rsidRDefault="00684D35">
    <w:pPr>
      <w:pStyle w:val="Footer"/>
      <w:ind w:right="360"/>
      <w:jc w:val="right"/>
    </w:pPr>
    <w:r>
      <w:rPr>
        <w:noProof/>
        <w:lang w:eastAsia="en-AU"/>
      </w:rPr>
      <mc:AlternateContent>
        <mc:Choice Requires="wps">
          <w:drawing>
            <wp:anchor distT="0" distB="0" distL="114300" distR="114300" simplePos="0" relativeHeight="251682816" behindDoc="0" locked="0" layoutInCell="1" allowOverlap="1" wp14:anchorId="1C60BD46" wp14:editId="4649D7A8">
              <wp:simplePos x="0" y="0"/>
              <wp:positionH relativeFrom="column">
                <wp:posOffset>-349250</wp:posOffset>
              </wp:positionH>
              <wp:positionV relativeFrom="paragraph">
                <wp:posOffset>-34290</wp:posOffset>
              </wp:positionV>
              <wp:extent cx="6819900" cy="330200"/>
              <wp:effectExtent l="0" t="0" r="0" b="0"/>
              <wp:wrapNone/>
              <wp:docPr id="23" name="Rectangle 23"/>
              <wp:cNvGraphicFramePr/>
              <a:graphic xmlns:a="http://schemas.openxmlformats.org/drawingml/2006/main">
                <a:graphicData uri="http://schemas.microsoft.com/office/word/2010/wordprocessingShape">
                  <wps:wsp>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rsidR="00684D35" w:rsidRPr="001E61ED" w:rsidRDefault="00684D35" w:rsidP="00755AF7">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 2013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DD28FC">
                            <w:rPr>
                              <w:rFonts w:asciiTheme="minorHAnsi" w:hAnsiTheme="minorHAnsi" w:cs="Arial"/>
                              <w:b/>
                              <w:noProof/>
                              <w:sz w:val="24"/>
                              <w14:props3d w14:extrusionH="57150" w14:contourW="0" w14:prstMaterial="warmMatte">
                                <w14:bevelT w14:w="0" w14:h="0" w14:prst="circle"/>
                                <w14:bevelB w14:w="0" w14:h="0" w14:prst="circle"/>
                              </w14:props3d>
                            </w:rPr>
                            <w:t>4</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3" o:spid="_x0000_s1027" style="position:absolute;left:0;text-align:left;margin-left:-27.5pt;margin-top:-2.7pt;width:537pt;height: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" fillcolor="#404040 [2429]" stroked="f" strokeweight="2pt">
              <v:fill color2="blue" rotate="t" focusposition="1,1" focussize="" colors="0 #404040;11141f window;11141f window;1 blue" focus="100%" type="gradientRadial"/>
              <v:textbox>
                <w:txbxContent>
                  <w:p w:rsidR="00684D35" w:rsidRPr="001E61ED" w:rsidRDefault="00684D35" w:rsidP="00755AF7">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 2013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DD28FC">
                      <w:rPr>
                        <w:rFonts w:asciiTheme="minorHAnsi" w:hAnsiTheme="minorHAnsi" w:cs="Arial"/>
                        <w:b/>
                        <w:noProof/>
                        <w:sz w:val="24"/>
                        <w14:props3d w14:extrusionH="57150" w14:contourW="0" w14:prstMaterial="warmMatte">
                          <w14:bevelT w14:w="0" w14:h="0" w14:prst="circle"/>
                          <w14:bevelB w14:w="0" w14:h="0" w14:prst="circle"/>
                        </w14:props3d>
                      </w:rPr>
                      <w:t>4</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D35" w:rsidRDefault="00684D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84D35" w:rsidRDefault="00684D35">
    <w:pPr>
      <w:pStyle w:val="Footer"/>
      <w:ind w:right="360"/>
      <w:jc w:val="right"/>
    </w:pPr>
    <w:r>
      <w:fldChar w:fldCharType="begin"/>
    </w:r>
    <w:r>
      <w:instrText xml:space="preserve"> COMMENTS  \* MERGEFORMAT </w:instrTex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D35" w:rsidRDefault="00684D35">
    <w:pPr>
      <w:pStyle w:val="Footer"/>
      <w:ind w:right="360"/>
      <w:jc w:val="right"/>
    </w:pPr>
    <w:r>
      <w:rPr>
        <w:noProof/>
        <w:lang w:eastAsia="en-AU"/>
      </w:rPr>
      <mc:AlternateContent>
        <mc:Choice Requires="wps">
          <w:drawing>
            <wp:anchor distT="0" distB="0" distL="114300" distR="114300" simplePos="0" relativeHeight="251686912" behindDoc="0" locked="0" layoutInCell="1" allowOverlap="1" wp14:anchorId="19E32ED6" wp14:editId="3B888350">
              <wp:simplePos x="0" y="0"/>
              <wp:positionH relativeFrom="column">
                <wp:posOffset>-292100</wp:posOffset>
              </wp:positionH>
              <wp:positionV relativeFrom="paragraph">
                <wp:posOffset>-24765</wp:posOffset>
              </wp:positionV>
              <wp:extent cx="6819900" cy="330200"/>
              <wp:effectExtent l="0" t="0" r="0" b="0"/>
              <wp:wrapNone/>
              <wp:docPr id="25" name="Rectangle 25"/>
              <wp:cNvGraphicFramePr/>
              <a:graphic xmlns:a="http://schemas.openxmlformats.org/drawingml/2006/main">
                <a:graphicData uri="http://schemas.microsoft.com/office/word/2010/wordprocessingShape">
                  <wps:wsp>
                    <wps:cNvSpPr/>
                    <wps:spPr>
                      <a:xfrm>
                        <a:off x="0" y="0"/>
                        <a:ext cx="6819900" cy="330200"/>
                      </a:xfrm>
                      <a:prstGeom prst="rect">
                        <a:avLst/>
                      </a:prstGeom>
                      <a:gradFill flip="none" rotWithShape="1">
                        <a:gsLst>
                          <a:gs pos="100000">
                            <a:srgbClr val="0000FF"/>
                          </a:gs>
                          <a:gs pos="0">
                            <a:schemeClr val="tx1">
                              <a:lumMod val="75000"/>
                              <a:lumOff val="25000"/>
                            </a:schemeClr>
                          </a:gs>
                          <a:gs pos="17000">
                            <a:sysClr val="window" lastClr="FFFFFF"/>
                          </a:gs>
                          <a:gs pos="17000">
                            <a:sysClr val="window" lastClr="FFFFFF"/>
                          </a:gs>
                        </a:gsLst>
                        <a:path path="circle">
                          <a:fillToRect l="100000" t="100000"/>
                        </a:path>
                        <a:tileRect r="-100000" b="-100000"/>
                      </a:gradFill>
                      <a:ln w="25400" cap="flat" cmpd="sng" algn="ctr">
                        <a:noFill/>
                        <a:prstDash val="solid"/>
                      </a:ln>
                      <a:effectLst/>
                    </wps:spPr>
                    <wps:txbx>
                      <w:txbxContent>
                        <w:p w:rsidR="00684D35" w:rsidRPr="001E61ED" w:rsidRDefault="00684D35" w:rsidP="00755AF7">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 2013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DD28FC">
                            <w:rPr>
                              <w:rFonts w:asciiTheme="minorHAnsi" w:hAnsiTheme="minorHAnsi" w:cs="Arial"/>
                              <w:b/>
                              <w:noProof/>
                              <w:sz w:val="24"/>
                              <w14:props3d w14:extrusionH="57150" w14:contourW="0" w14:prstMaterial="warmMatte">
                                <w14:bevelT w14:w="0" w14:h="0" w14:prst="circle"/>
                                <w14:bevelB w14:w="0" w14:h="0" w14:prst="circle"/>
                              </w14:props3d>
                            </w:rPr>
                            <w:t>12</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p3d extrusionH="57150">
                        <a:bevelT w="0" h="0"/>
                        <a:bevelB w="0" h="0"/>
                      </a:sp3d>
                    </wps:bodyPr>
                  </wps:wsp>
                </a:graphicData>
              </a:graphic>
              <wp14:sizeRelH relativeFrom="margin">
                <wp14:pctWidth>0</wp14:pctWidth>
              </wp14:sizeRelH>
              <wp14:sizeRelV relativeFrom="margin">
                <wp14:pctHeight>0</wp14:pctHeight>
              </wp14:sizeRelV>
            </wp:anchor>
          </w:drawing>
        </mc:Choice>
        <mc:Fallback>
          <w:pict>
            <v:rect id="Rectangle 25" o:spid="_x0000_s1028" style="position:absolute;left:0;text-align:left;margin-left:-23pt;margin-top:-1.95pt;width:537pt;height: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" fillcolor="#404040 [2429]" stroked="f" strokeweight="2pt">
              <v:fill color2="blue" rotate="t" focusposition="1,1" focussize="" colors="0 #404040;11141f window;11141f window;1 blue" focus="100%" type="gradientRadial"/>
              <v:textbox>
                <w:txbxContent>
                  <w:p w:rsidR="00684D35" w:rsidRPr="001E61ED" w:rsidRDefault="00684D35" w:rsidP="00755AF7">
                    <w:pPr>
                      <w:tabs>
                        <w:tab w:val="left" w:pos="7513"/>
                      </w:tabs>
                      <w:spacing w:after="0"/>
                      <w:ind w:firstLine="142"/>
                      <w:rPr>
                        <w:rFonts w:asciiTheme="minorHAnsi" w:hAnsiTheme="minorHAnsi" w:cs="Arial"/>
                        <w:b/>
                        <w:sz w:val="24"/>
                        <w14:props3d w14:extrusionH="57150" w14:contourW="0" w14:prstMaterial="warmMatte">
                          <w14:bevelT w14:w="0" w14:h="0" w14:prst="circle"/>
                          <w14:bevelB w14:w="0" w14:h="0" w14:prst="circle"/>
                        </w14:props3d>
                      </w:rPr>
                    </w:pPr>
                    <w:r>
                      <w:rPr>
                        <w:rFonts w:asciiTheme="minorHAnsi" w:hAnsiTheme="minorHAnsi" w:cs="Arial"/>
                        <w:b/>
                        <w:color w:val="FFFFFF" w:themeColor="background1"/>
                        <w:szCs w:val="20"/>
                        <w14:props3d w14:extrusionH="57150" w14:contourW="0" w14:prstMaterial="warmMatte">
                          <w14:bevelT w14:w="0" w14:h="0" w14:prst="circle"/>
                          <w14:bevelB w14:w="0" w14:h="0" w14:prst="circle"/>
                        </w14:props3d>
                      </w:rPr>
                      <w:t>September 2013 JEFG Report</w:t>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Pr>
                        <w:rFonts w:ascii="Arial Bold" w:hAnsi="Arial Bold" w:cs="Arial"/>
                        <w:b/>
                        <w:color w:val="7F7F7F" w:themeColor="text1" w:themeTint="80"/>
                        <w14:props3d w14:extrusionH="57150" w14:contourW="0" w14:prstMaterial="warmMatte">
                          <w14:bevelT w14:w="0" w14:h="0" w14:prst="circle"/>
                          <w14:bevelB w14:w="0" w14:h="0" w14:prst="circle"/>
                        </w14:props3d>
                      </w:rPr>
                      <w:tab/>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begin"/>
                    </w:r>
                    <w:r w:rsidRPr="001E61ED">
                      <w:rPr>
                        <w:rFonts w:asciiTheme="minorHAnsi" w:hAnsiTheme="minorHAnsi" w:cs="Arial"/>
                        <w:b/>
                        <w:sz w:val="24"/>
                        <w14:props3d w14:extrusionH="57150" w14:contourW="0" w14:prstMaterial="warmMatte">
                          <w14:bevelT w14:w="0" w14:h="0" w14:prst="circle"/>
                          <w14:bevelB w14:w="0" w14:h="0" w14:prst="circle"/>
                        </w14:props3d>
                      </w:rPr>
                      <w:instrText xml:space="preserve"> PAGE   \* MERGEFORMAT </w:instrText>
                    </w:r>
                    <w:r w:rsidRPr="001E61ED">
                      <w:rPr>
                        <w:rFonts w:asciiTheme="minorHAnsi" w:hAnsiTheme="minorHAnsi" w:cs="Arial"/>
                        <w:b/>
                        <w:sz w:val="24"/>
                        <w14:props3d w14:extrusionH="57150" w14:contourW="0" w14:prstMaterial="warmMatte">
                          <w14:bevelT w14:w="0" w14:h="0" w14:prst="circle"/>
                          <w14:bevelB w14:w="0" w14:h="0" w14:prst="circle"/>
                        </w14:props3d>
                      </w:rPr>
                      <w:fldChar w:fldCharType="separate"/>
                    </w:r>
                    <w:r w:rsidR="00DD28FC">
                      <w:rPr>
                        <w:rFonts w:asciiTheme="minorHAnsi" w:hAnsiTheme="minorHAnsi" w:cs="Arial"/>
                        <w:b/>
                        <w:noProof/>
                        <w:sz w:val="24"/>
                        <w14:props3d w14:extrusionH="57150" w14:contourW="0" w14:prstMaterial="warmMatte">
                          <w14:bevelT w14:w="0" w14:h="0" w14:prst="circle"/>
                          <w14:bevelB w14:w="0" w14:h="0" w14:prst="circle"/>
                        </w14:props3d>
                      </w:rPr>
                      <w:t>12</w:t>
                    </w:r>
                    <w:r w:rsidRPr="001E61ED">
                      <w:rPr>
                        <w:rFonts w:asciiTheme="minorHAnsi" w:hAnsiTheme="minorHAnsi" w:cs="Arial"/>
                        <w:b/>
                        <w:noProof/>
                        <w:sz w:val="24"/>
                        <w14:props3d w14:extrusionH="57150" w14:contourW="0" w14:prstMaterial="warmMatte">
                          <w14:bevelT w14:w="0" w14:h="0" w14:prst="circle"/>
                          <w14:bevelB w14:w="0" w14:h="0" w14:prst="circle"/>
                        </w14:props3d>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D35" w:rsidRDefault="00684D35">
      <w:pPr>
        <w:pStyle w:val="TableBodyText"/>
        <w:spacing w:before="120" w:after="120"/>
      </w:pPr>
      <w:r>
        <w:separator/>
      </w:r>
    </w:p>
  </w:footnote>
  <w:footnote w:type="continuationSeparator" w:id="0">
    <w:p w:rsidR="00684D35" w:rsidRDefault="00684D35">
      <w:r>
        <w:continuationSeparator/>
      </w:r>
    </w:p>
  </w:footnote>
  <w:footnote w:id="1">
    <w:p w:rsidR="00E8319D" w:rsidRDefault="00E8319D">
      <w:pPr>
        <w:pStyle w:val="FootnoteText"/>
      </w:pPr>
      <w:r>
        <w:rPr>
          <w:rStyle w:val="FootnoteReference"/>
        </w:rPr>
        <w:footnoteRef/>
      </w:r>
      <w:r>
        <w:t xml:space="preserve"> </w:t>
      </w:r>
      <w:r>
        <w:tab/>
      </w:r>
      <w:r w:rsidRPr="00A35717">
        <w:rPr>
          <w:rFonts w:asciiTheme="minorHAnsi" w:hAnsiTheme="minorHAnsi"/>
          <w:sz w:val="20"/>
          <w:szCs w:val="20"/>
        </w:rPr>
        <w:t>The RBA’s February Statement on Monetary Policy was based on</w:t>
      </w:r>
      <w:r w:rsidRPr="00A35717">
        <w:rPr>
          <w:rFonts w:asciiTheme="minorHAnsi" w:hAnsiTheme="minorHAnsi"/>
          <w:kern w:val="2"/>
          <w:sz w:val="20"/>
          <w:szCs w:val="20"/>
        </w:rPr>
        <w:t xml:space="preserve"> </w:t>
      </w:r>
      <w:r w:rsidR="00A35717">
        <w:rPr>
          <w:rFonts w:asciiTheme="minorHAnsi" w:hAnsiTheme="minorHAnsi"/>
          <w:kern w:val="2"/>
          <w:sz w:val="20"/>
          <w:szCs w:val="20"/>
        </w:rPr>
        <w:t xml:space="preserve">a </w:t>
      </w:r>
      <w:r w:rsidRPr="00A35717">
        <w:rPr>
          <w:rFonts w:asciiTheme="minorHAnsi" w:hAnsiTheme="minorHAnsi"/>
          <w:kern w:val="2"/>
          <w:sz w:val="20"/>
          <w:szCs w:val="20"/>
        </w:rPr>
        <w:t>trade weighted index</w:t>
      </w:r>
      <w:r w:rsidR="00A35717">
        <w:rPr>
          <w:rFonts w:asciiTheme="minorHAnsi" w:hAnsiTheme="minorHAnsi"/>
          <w:kern w:val="2"/>
          <w:sz w:val="20"/>
          <w:szCs w:val="20"/>
        </w:rPr>
        <w:t xml:space="preserve"> (TWI)</w:t>
      </w:r>
      <w:r w:rsidRPr="00A35717">
        <w:rPr>
          <w:rFonts w:asciiTheme="minorHAnsi" w:hAnsiTheme="minorHAnsi"/>
          <w:kern w:val="2"/>
          <w:sz w:val="20"/>
          <w:szCs w:val="20"/>
        </w:rPr>
        <w:t xml:space="preserve"> of </w:t>
      </w:r>
      <w:r w:rsidR="00A35717">
        <w:rPr>
          <w:rFonts w:asciiTheme="minorHAnsi" w:hAnsiTheme="minorHAnsi"/>
          <w:kern w:val="2"/>
          <w:sz w:val="20"/>
          <w:szCs w:val="20"/>
        </w:rPr>
        <w:t>69</w:t>
      </w:r>
      <w:r w:rsidRPr="00A35717">
        <w:rPr>
          <w:rFonts w:asciiTheme="minorHAnsi" w:hAnsiTheme="minorHAnsi"/>
          <w:kern w:val="2"/>
          <w:sz w:val="20"/>
          <w:szCs w:val="20"/>
        </w:rPr>
        <w:t xml:space="preserve"> and $US exchange rate of </w:t>
      </w:r>
      <w:r w:rsidR="00A35717">
        <w:rPr>
          <w:rFonts w:asciiTheme="minorHAnsi" w:hAnsiTheme="minorHAnsi"/>
          <w:kern w:val="2"/>
          <w:sz w:val="20"/>
          <w:szCs w:val="20"/>
        </w:rPr>
        <w:t>8</w:t>
      </w:r>
      <w:r w:rsidRPr="00A35717">
        <w:rPr>
          <w:rFonts w:asciiTheme="minorHAnsi" w:hAnsiTheme="minorHAnsi"/>
          <w:kern w:val="2"/>
          <w:sz w:val="20"/>
          <w:szCs w:val="20"/>
        </w:rPr>
        <w:t>9 US cents</w:t>
      </w:r>
      <w:r w:rsidRPr="00A35717">
        <w:rPr>
          <w:rFonts w:asciiTheme="minorHAnsi" w:hAnsiTheme="minorHAnsi"/>
          <w:sz w:val="20"/>
          <w:szCs w:val="20"/>
        </w:rPr>
        <w:t xml:space="preserve"> </w:t>
      </w:r>
      <w:r w:rsidR="00A35717">
        <w:rPr>
          <w:rFonts w:asciiTheme="minorHAnsi" w:hAnsiTheme="minorHAnsi"/>
          <w:sz w:val="20"/>
          <w:szCs w:val="20"/>
        </w:rPr>
        <w:t>compared to the December JEFG of TWI at 70</w:t>
      </w:r>
      <w:r w:rsidRPr="00A35717">
        <w:rPr>
          <w:rFonts w:asciiTheme="minorHAnsi" w:hAnsiTheme="minorHAnsi"/>
          <w:sz w:val="20"/>
          <w:szCs w:val="20"/>
        </w:rPr>
        <w:t xml:space="preserve"> </w:t>
      </w:r>
      <w:r w:rsidR="00A35717">
        <w:rPr>
          <w:rFonts w:asciiTheme="minorHAnsi" w:hAnsiTheme="minorHAnsi"/>
          <w:sz w:val="20"/>
          <w:szCs w:val="20"/>
        </w:rPr>
        <w:t>and</w:t>
      </w:r>
      <w:r w:rsidRPr="00A35717">
        <w:rPr>
          <w:rFonts w:asciiTheme="minorHAnsi" w:hAnsiTheme="minorHAnsi"/>
          <w:sz w:val="20"/>
          <w:szCs w:val="20"/>
        </w:rPr>
        <w:t xml:space="preserve"> </w:t>
      </w:r>
      <w:r w:rsidR="00A35717">
        <w:rPr>
          <w:rFonts w:asciiTheme="minorHAnsi" w:hAnsiTheme="minorHAnsi"/>
          <w:sz w:val="20"/>
          <w:szCs w:val="20"/>
        </w:rPr>
        <w:t>91 US</w:t>
      </w:r>
      <w:r w:rsidRPr="00A35717">
        <w:rPr>
          <w:rFonts w:asciiTheme="minorHAnsi" w:hAnsiTheme="minorHAnsi"/>
          <w:sz w:val="20"/>
          <w:szCs w:val="20"/>
        </w:rPr>
        <w:t xml:space="preserve"> cents</w:t>
      </w:r>
      <w:r w:rsidR="00A35717">
        <w:rPr>
          <w:rFonts w:asciiTheme="minorHAnsi" w:hAnsiTheme="minorHAnsi"/>
          <w:sz w:val="20"/>
          <w:szCs w:val="20"/>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FC" w:rsidRDefault="00DD2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FC" w:rsidRDefault="00DD28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FC" w:rsidRDefault="00DD28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D35" w:rsidRDefault="00684D35">
    <w:pPr>
      <w:pStyle w:val="Header"/>
    </w:pPr>
    <w:r>
      <w:rPr>
        <w:noProof/>
        <w:lang w:eastAsia="en-AU"/>
      </w:rPr>
      <w:drawing>
        <wp:anchor distT="0" distB="0" distL="114300" distR="114300" simplePos="0" relativeHeight="251678720" behindDoc="0" locked="0" layoutInCell="1" allowOverlap="1" wp14:anchorId="39A9E5B5" wp14:editId="45DE3036">
          <wp:simplePos x="0" y="0"/>
          <wp:positionH relativeFrom="column">
            <wp:posOffset>-158597</wp:posOffset>
          </wp:positionH>
          <wp:positionV relativeFrom="paragraph">
            <wp:posOffset>41275</wp:posOffset>
          </wp:positionV>
          <wp:extent cx="1228725" cy="765259"/>
          <wp:effectExtent l="0" t="0" r="0" b="0"/>
          <wp:wrapNone/>
          <wp:docPr id="2" name="Picture 2" descr="H:\MCD\Publishing\Graphic Design Services Team\Digital_Assets\Logos\The Treasury\STACKED\PC\The Treasury_stacked_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CD\Publishing\Graphic Design Services Team\Digital_Assets\Logos\The Treasury\STACKED\PC\The Treasury_stacked_R.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65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D35" w:rsidRDefault="00914310">
    <w:pPr>
      <w:framePr w:wrap="around" w:vAnchor="page" w:hAnchor="margin" w:x="14460" w:y="7939" w:anchorLock="1"/>
      <w:rPr>
        <w:rStyle w:val="FramedHeader"/>
      </w:rPr>
    </w:pPr>
    <w:fldSimple w:instr=" TITLE  \* MERGEFORMAT ">
      <w:r w:rsidRPr="00914310">
        <w:rPr>
          <w:rStyle w:val="FramedHeader"/>
        </w:rPr>
        <w:t>March 06 Forecasting Report</w:t>
      </w:r>
    </w:fldSimple>
  </w:p>
  <w:p w:rsidR="00684D35" w:rsidRDefault="00684D35" w:rsidP="0065713E">
    <w:pPr>
      <w:pStyle w:val="Header"/>
      <w:jc w:val="center"/>
      <w:rPr>
        <w:b/>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D35" w:rsidRDefault="00914310">
    <w:pPr>
      <w:framePr w:wrap="around" w:vAnchor="page" w:hAnchor="margin" w:x="14460" w:y="7939" w:anchorLock="1"/>
      <w:rPr>
        <w:rStyle w:val="FramedHeader"/>
      </w:rPr>
    </w:pPr>
    <w:fldSimple w:instr=" TITLE  \* MERGEFORMAT ">
      <w:r w:rsidRPr="00914310">
        <w:rPr>
          <w:rStyle w:val="FramedHeader"/>
        </w:rPr>
        <w:t>March 06 Forecasting Report</w:t>
      </w:r>
    </w:fldSimple>
  </w:p>
  <w:p w:rsidR="00684D35" w:rsidRDefault="00684D35" w:rsidP="0065713E">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E3003"/>
    <w:multiLevelType w:val="multilevel"/>
    <w:tmpl w:val="08E6A296"/>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891232E"/>
    <w:multiLevelType w:val="singleLevel"/>
    <w:tmpl w:val="C4EE5A3C"/>
    <w:lvl w:ilvl="0">
      <w:start w:val="1"/>
      <w:numFmt w:val="lowerLetter"/>
      <w:lvlText w:val="(%1)"/>
      <w:lvlJc w:val="left"/>
      <w:pPr>
        <w:tabs>
          <w:tab w:val="num" w:pos="284"/>
        </w:tabs>
        <w:ind w:left="284" w:hanging="284"/>
      </w:pPr>
      <w:rPr>
        <w:rFonts w:ascii="Arial" w:hAnsi="Arial" w:cs="Arial"/>
        <w:b w:val="0"/>
        <w:i w:val="0"/>
        <w:color w:val="000000"/>
        <w:sz w:val="16"/>
      </w:rPr>
    </w:lvl>
  </w:abstractNum>
  <w:abstractNum w:abstractNumId="2">
    <w:nsid w:val="66022277"/>
    <w:multiLevelType w:val="singleLevel"/>
    <w:tmpl w:val="644063B8"/>
    <w:name w:val="StandardNumberedParagraphList"/>
    <w:lvl w:ilvl="0">
      <w:start w:val="1"/>
      <w:numFmt w:val="lowerLetter"/>
      <w:lvlRestart w:val="0"/>
      <w:lvlText w:val="(%1)"/>
      <w:lvlJc w:val="left"/>
      <w:pPr>
        <w:tabs>
          <w:tab w:val="num" w:pos="283"/>
        </w:tabs>
        <w:ind w:left="283" w:hanging="283"/>
      </w:pPr>
      <w:rPr>
        <w:rFonts w:ascii="Arial" w:hAnsi="Arial" w:hint="default"/>
      </w:rPr>
    </w:lvl>
  </w:abstractNum>
  <w:abstractNum w:abstractNumId="3">
    <w:nsid w:val="6A3F4C17"/>
    <w:multiLevelType w:val="multilevel"/>
    <w:tmpl w:val="4BEAABE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
  </w:num>
  <w:num w:numId="19">
    <w:abstractNumId w:val="0"/>
  </w:num>
  <w:num w:numId="20">
    <w:abstractNumId w:val="0"/>
  </w:num>
  <w:num w:numId="21">
    <w:abstractNumId w:val="0"/>
  </w:num>
  <w:num w:numId="22">
    <w:abstractNumId w:val="0"/>
  </w:num>
  <w:num w:numId="23">
    <w:abstractNumId w:val="0"/>
  </w:num>
  <w:num w:numId="2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4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E6"/>
    <w:rsid w:val="00000421"/>
    <w:rsid w:val="0000078B"/>
    <w:rsid w:val="000007E9"/>
    <w:rsid w:val="00000A26"/>
    <w:rsid w:val="00000E3B"/>
    <w:rsid w:val="00000F89"/>
    <w:rsid w:val="00000FF6"/>
    <w:rsid w:val="0000168C"/>
    <w:rsid w:val="00001847"/>
    <w:rsid w:val="00001ECA"/>
    <w:rsid w:val="00001ED7"/>
    <w:rsid w:val="00001F20"/>
    <w:rsid w:val="000024DE"/>
    <w:rsid w:val="00002B6E"/>
    <w:rsid w:val="000032D9"/>
    <w:rsid w:val="0000336A"/>
    <w:rsid w:val="00003654"/>
    <w:rsid w:val="0000396B"/>
    <w:rsid w:val="00003AB4"/>
    <w:rsid w:val="00003CA8"/>
    <w:rsid w:val="00003D87"/>
    <w:rsid w:val="0000421E"/>
    <w:rsid w:val="000044D9"/>
    <w:rsid w:val="000048F1"/>
    <w:rsid w:val="00004D90"/>
    <w:rsid w:val="00004DC8"/>
    <w:rsid w:val="00004F72"/>
    <w:rsid w:val="000051F3"/>
    <w:rsid w:val="0000520C"/>
    <w:rsid w:val="00005608"/>
    <w:rsid w:val="000058E4"/>
    <w:rsid w:val="00005A9F"/>
    <w:rsid w:val="00005D3C"/>
    <w:rsid w:val="0000609E"/>
    <w:rsid w:val="00006587"/>
    <w:rsid w:val="000066FC"/>
    <w:rsid w:val="00006910"/>
    <w:rsid w:val="00006A6A"/>
    <w:rsid w:val="00006E4D"/>
    <w:rsid w:val="00007037"/>
    <w:rsid w:val="00007138"/>
    <w:rsid w:val="0000744F"/>
    <w:rsid w:val="00007475"/>
    <w:rsid w:val="0000776A"/>
    <w:rsid w:val="00007813"/>
    <w:rsid w:val="0000785F"/>
    <w:rsid w:val="00007DA9"/>
    <w:rsid w:val="0001006B"/>
    <w:rsid w:val="00010F75"/>
    <w:rsid w:val="00010FD8"/>
    <w:rsid w:val="000111F8"/>
    <w:rsid w:val="0001176F"/>
    <w:rsid w:val="00011C71"/>
    <w:rsid w:val="00012704"/>
    <w:rsid w:val="00012A49"/>
    <w:rsid w:val="00012B6C"/>
    <w:rsid w:val="00012B77"/>
    <w:rsid w:val="00012D40"/>
    <w:rsid w:val="00013369"/>
    <w:rsid w:val="000133E2"/>
    <w:rsid w:val="000144FD"/>
    <w:rsid w:val="0001469E"/>
    <w:rsid w:val="00014930"/>
    <w:rsid w:val="00014D9D"/>
    <w:rsid w:val="00014F14"/>
    <w:rsid w:val="00015306"/>
    <w:rsid w:val="000154D0"/>
    <w:rsid w:val="000157E8"/>
    <w:rsid w:val="0001590F"/>
    <w:rsid w:val="00015E50"/>
    <w:rsid w:val="00015F4B"/>
    <w:rsid w:val="000164DE"/>
    <w:rsid w:val="00016578"/>
    <w:rsid w:val="0001662D"/>
    <w:rsid w:val="00016694"/>
    <w:rsid w:val="00016799"/>
    <w:rsid w:val="000168A0"/>
    <w:rsid w:val="00017156"/>
    <w:rsid w:val="0001742B"/>
    <w:rsid w:val="000179D9"/>
    <w:rsid w:val="00017A31"/>
    <w:rsid w:val="00017BF6"/>
    <w:rsid w:val="00017C34"/>
    <w:rsid w:val="00017D72"/>
    <w:rsid w:val="00017F7B"/>
    <w:rsid w:val="00020529"/>
    <w:rsid w:val="000209D4"/>
    <w:rsid w:val="00020A12"/>
    <w:rsid w:val="00020BE0"/>
    <w:rsid w:val="00020C26"/>
    <w:rsid w:val="00020EF0"/>
    <w:rsid w:val="000215D4"/>
    <w:rsid w:val="00021840"/>
    <w:rsid w:val="00021C6A"/>
    <w:rsid w:val="00021D40"/>
    <w:rsid w:val="00021FD2"/>
    <w:rsid w:val="0002203F"/>
    <w:rsid w:val="00022821"/>
    <w:rsid w:val="00022ABD"/>
    <w:rsid w:val="00022BBD"/>
    <w:rsid w:val="00022DE1"/>
    <w:rsid w:val="00023203"/>
    <w:rsid w:val="00023403"/>
    <w:rsid w:val="0002345B"/>
    <w:rsid w:val="000237FC"/>
    <w:rsid w:val="00024381"/>
    <w:rsid w:val="000243A7"/>
    <w:rsid w:val="0002477A"/>
    <w:rsid w:val="00024D6D"/>
    <w:rsid w:val="000250E5"/>
    <w:rsid w:val="00025281"/>
    <w:rsid w:val="000258BF"/>
    <w:rsid w:val="000258CC"/>
    <w:rsid w:val="00025946"/>
    <w:rsid w:val="00025AC6"/>
    <w:rsid w:val="00025AF2"/>
    <w:rsid w:val="00025B16"/>
    <w:rsid w:val="00026305"/>
    <w:rsid w:val="0002670C"/>
    <w:rsid w:val="000268F1"/>
    <w:rsid w:val="00026F4A"/>
    <w:rsid w:val="000278EB"/>
    <w:rsid w:val="00027E91"/>
    <w:rsid w:val="0003024F"/>
    <w:rsid w:val="00030895"/>
    <w:rsid w:val="00030A75"/>
    <w:rsid w:val="00030FEC"/>
    <w:rsid w:val="000312DD"/>
    <w:rsid w:val="000313E0"/>
    <w:rsid w:val="00031628"/>
    <w:rsid w:val="00031965"/>
    <w:rsid w:val="00031BB7"/>
    <w:rsid w:val="00031BF9"/>
    <w:rsid w:val="00032191"/>
    <w:rsid w:val="00032A80"/>
    <w:rsid w:val="00032DA2"/>
    <w:rsid w:val="00032F38"/>
    <w:rsid w:val="000339CA"/>
    <w:rsid w:val="00033B05"/>
    <w:rsid w:val="00033D2A"/>
    <w:rsid w:val="00033DDD"/>
    <w:rsid w:val="0003423D"/>
    <w:rsid w:val="00034450"/>
    <w:rsid w:val="00034755"/>
    <w:rsid w:val="00034B13"/>
    <w:rsid w:val="00034D5E"/>
    <w:rsid w:val="000353BA"/>
    <w:rsid w:val="00035930"/>
    <w:rsid w:val="00035C48"/>
    <w:rsid w:val="00035D8E"/>
    <w:rsid w:val="00035E67"/>
    <w:rsid w:val="00035EA0"/>
    <w:rsid w:val="00035F2D"/>
    <w:rsid w:val="00035F8B"/>
    <w:rsid w:val="00035FCB"/>
    <w:rsid w:val="000360C1"/>
    <w:rsid w:val="000364AD"/>
    <w:rsid w:val="0003672D"/>
    <w:rsid w:val="00036879"/>
    <w:rsid w:val="00036E11"/>
    <w:rsid w:val="00036EEC"/>
    <w:rsid w:val="00036FF1"/>
    <w:rsid w:val="000373FA"/>
    <w:rsid w:val="0003768F"/>
    <w:rsid w:val="0003784F"/>
    <w:rsid w:val="00037861"/>
    <w:rsid w:val="00037DDD"/>
    <w:rsid w:val="000401BC"/>
    <w:rsid w:val="000401DE"/>
    <w:rsid w:val="000403CD"/>
    <w:rsid w:val="000405C7"/>
    <w:rsid w:val="0004081C"/>
    <w:rsid w:val="0004100A"/>
    <w:rsid w:val="000410EF"/>
    <w:rsid w:val="000419A9"/>
    <w:rsid w:val="00041AA5"/>
    <w:rsid w:val="00041E62"/>
    <w:rsid w:val="000426EA"/>
    <w:rsid w:val="00042D41"/>
    <w:rsid w:val="00042E8C"/>
    <w:rsid w:val="00043018"/>
    <w:rsid w:val="000430A2"/>
    <w:rsid w:val="00043EBF"/>
    <w:rsid w:val="00044569"/>
    <w:rsid w:val="00044A73"/>
    <w:rsid w:val="0004510F"/>
    <w:rsid w:val="00045533"/>
    <w:rsid w:val="0004566C"/>
    <w:rsid w:val="000458F6"/>
    <w:rsid w:val="00045976"/>
    <w:rsid w:val="000459F5"/>
    <w:rsid w:val="00046777"/>
    <w:rsid w:val="00046D2C"/>
    <w:rsid w:val="00047102"/>
    <w:rsid w:val="00047449"/>
    <w:rsid w:val="00047628"/>
    <w:rsid w:val="00047F8E"/>
    <w:rsid w:val="0005012C"/>
    <w:rsid w:val="000501BB"/>
    <w:rsid w:val="000501DE"/>
    <w:rsid w:val="00050A71"/>
    <w:rsid w:val="00050FB5"/>
    <w:rsid w:val="0005100D"/>
    <w:rsid w:val="000510A0"/>
    <w:rsid w:val="00051203"/>
    <w:rsid w:val="000516B9"/>
    <w:rsid w:val="00051A70"/>
    <w:rsid w:val="00052210"/>
    <w:rsid w:val="000523D3"/>
    <w:rsid w:val="00052BA9"/>
    <w:rsid w:val="00052D8C"/>
    <w:rsid w:val="00052EAF"/>
    <w:rsid w:val="0005334E"/>
    <w:rsid w:val="000534CA"/>
    <w:rsid w:val="000537A7"/>
    <w:rsid w:val="000537E4"/>
    <w:rsid w:val="0005389A"/>
    <w:rsid w:val="00053DC6"/>
    <w:rsid w:val="00053E4E"/>
    <w:rsid w:val="000544A2"/>
    <w:rsid w:val="00054888"/>
    <w:rsid w:val="000549BC"/>
    <w:rsid w:val="00054D0B"/>
    <w:rsid w:val="00054F4F"/>
    <w:rsid w:val="00055305"/>
    <w:rsid w:val="00055377"/>
    <w:rsid w:val="0005542F"/>
    <w:rsid w:val="00055F8E"/>
    <w:rsid w:val="000561D9"/>
    <w:rsid w:val="0005639B"/>
    <w:rsid w:val="000566BD"/>
    <w:rsid w:val="0005699F"/>
    <w:rsid w:val="000569C4"/>
    <w:rsid w:val="00056AB6"/>
    <w:rsid w:val="00056D2B"/>
    <w:rsid w:val="00056DD5"/>
    <w:rsid w:val="00056ECD"/>
    <w:rsid w:val="00056FA0"/>
    <w:rsid w:val="000570B8"/>
    <w:rsid w:val="00057219"/>
    <w:rsid w:val="00057619"/>
    <w:rsid w:val="00057FEB"/>
    <w:rsid w:val="00060A5D"/>
    <w:rsid w:val="00061239"/>
    <w:rsid w:val="000617F6"/>
    <w:rsid w:val="000618C5"/>
    <w:rsid w:val="000619FA"/>
    <w:rsid w:val="00061E7E"/>
    <w:rsid w:val="00061F06"/>
    <w:rsid w:val="00062179"/>
    <w:rsid w:val="00062296"/>
    <w:rsid w:val="0006236F"/>
    <w:rsid w:val="0006295A"/>
    <w:rsid w:val="00062C40"/>
    <w:rsid w:val="00063A9F"/>
    <w:rsid w:val="00063E62"/>
    <w:rsid w:val="00063FE2"/>
    <w:rsid w:val="00064071"/>
    <w:rsid w:val="00064179"/>
    <w:rsid w:val="00064362"/>
    <w:rsid w:val="00064748"/>
    <w:rsid w:val="00064AB4"/>
    <w:rsid w:val="00065168"/>
    <w:rsid w:val="000656FF"/>
    <w:rsid w:val="000657E9"/>
    <w:rsid w:val="00065811"/>
    <w:rsid w:val="00065CCB"/>
    <w:rsid w:val="00065D28"/>
    <w:rsid w:val="00065EC5"/>
    <w:rsid w:val="000660EC"/>
    <w:rsid w:val="000664B6"/>
    <w:rsid w:val="00066565"/>
    <w:rsid w:val="00066F39"/>
    <w:rsid w:val="00066F40"/>
    <w:rsid w:val="00067383"/>
    <w:rsid w:val="00067981"/>
    <w:rsid w:val="000679BF"/>
    <w:rsid w:val="00067CA6"/>
    <w:rsid w:val="000703AC"/>
    <w:rsid w:val="00070767"/>
    <w:rsid w:val="000707BB"/>
    <w:rsid w:val="000709C8"/>
    <w:rsid w:val="00070B41"/>
    <w:rsid w:val="00070E1C"/>
    <w:rsid w:val="00071129"/>
    <w:rsid w:val="00071AF8"/>
    <w:rsid w:val="00071D8C"/>
    <w:rsid w:val="00073003"/>
    <w:rsid w:val="000736F9"/>
    <w:rsid w:val="00073E40"/>
    <w:rsid w:val="00074186"/>
    <w:rsid w:val="00074216"/>
    <w:rsid w:val="0007428B"/>
    <w:rsid w:val="000742DD"/>
    <w:rsid w:val="0007438D"/>
    <w:rsid w:val="0007444C"/>
    <w:rsid w:val="0007453A"/>
    <w:rsid w:val="0007456F"/>
    <w:rsid w:val="000747B3"/>
    <w:rsid w:val="00074D26"/>
    <w:rsid w:val="000751BC"/>
    <w:rsid w:val="000753F5"/>
    <w:rsid w:val="00075889"/>
    <w:rsid w:val="000763A2"/>
    <w:rsid w:val="000765B4"/>
    <w:rsid w:val="000769DE"/>
    <w:rsid w:val="00076B12"/>
    <w:rsid w:val="00076B2B"/>
    <w:rsid w:val="00076EF4"/>
    <w:rsid w:val="0007712B"/>
    <w:rsid w:val="000773F4"/>
    <w:rsid w:val="000779E7"/>
    <w:rsid w:val="0008026B"/>
    <w:rsid w:val="00080673"/>
    <w:rsid w:val="0008103D"/>
    <w:rsid w:val="00081333"/>
    <w:rsid w:val="0008183C"/>
    <w:rsid w:val="00081C5A"/>
    <w:rsid w:val="00082638"/>
    <w:rsid w:val="00082A9F"/>
    <w:rsid w:val="00082E6A"/>
    <w:rsid w:val="00083320"/>
    <w:rsid w:val="000839BF"/>
    <w:rsid w:val="000839C7"/>
    <w:rsid w:val="00083DC9"/>
    <w:rsid w:val="00083EB5"/>
    <w:rsid w:val="00083EC2"/>
    <w:rsid w:val="00083F62"/>
    <w:rsid w:val="000847D7"/>
    <w:rsid w:val="00084887"/>
    <w:rsid w:val="00084AA3"/>
    <w:rsid w:val="00085741"/>
    <w:rsid w:val="00085A30"/>
    <w:rsid w:val="00085D16"/>
    <w:rsid w:val="00085FEA"/>
    <w:rsid w:val="00086191"/>
    <w:rsid w:val="00086271"/>
    <w:rsid w:val="0008641A"/>
    <w:rsid w:val="000868D7"/>
    <w:rsid w:val="00086BDC"/>
    <w:rsid w:val="00086D25"/>
    <w:rsid w:val="00086D69"/>
    <w:rsid w:val="00087675"/>
    <w:rsid w:val="000903B0"/>
    <w:rsid w:val="00090497"/>
    <w:rsid w:val="00090E63"/>
    <w:rsid w:val="00090F1C"/>
    <w:rsid w:val="0009108E"/>
    <w:rsid w:val="00091161"/>
    <w:rsid w:val="000911BE"/>
    <w:rsid w:val="000912DF"/>
    <w:rsid w:val="000914F6"/>
    <w:rsid w:val="00091589"/>
    <w:rsid w:val="000916F6"/>
    <w:rsid w:val="0009171F"/>
    <w:rsid w:val="000918B2"/>
    <w:rsid w:val="000919AA"/>
    <w:rsid w:val="00091E39"/>
    <w:rsid w:val="00092818"/>
    <w:rsid w:val="00092E11"/>
    <w:rsid w:val="00092EFD"/>
    <w:rsid w:val="00093064"/>
    <w:rsid w:val="0009345A"/>
    <w:rsid w:val="000935EE"/>
    <w:rsid w:val="00093778"/>
    <w:rsid w:val="00093BC7"/>
    <w:rsid w:val="00094375"/>
    <w:rsid w:val="00094ABB"/>
    <w:rsid w:val="00094F7A"/>
    <w:rsid w:val="000954CF"/>
    <w:rsid w:val="000956B3"/>
    <w:rsid w:val="00095781"/>
    <w:rsid w:val="00095839"/>
    <w:rsid w:val="00095F2B"/>
    <w:rsid w:val="00095F4D"/>
    <w:rsid w:val="000962B5"/>
    <w:rsid w:val="00096343"/>
    <w:rsid w:val="00096463"/>
    <w:rsid w:val="000967A8"/>
    <w:rsid w:val="00096846"/>
    <w:rsid w:val="00096D8E"/>
    <w:rsid w:val="0009720F"/>
    <w:rsid w:val="00097478"/>
    <w:rsid w:val="0009771A"/>
    <w:rsid w:val="00097B8F"/>
    <w:rsid w:val="00097EE8"/>
    <w:rsid w:val="000A00EB"/>
    <w:rsid w:val="000A03AA"/>
    <w:rsid w:val="000A0B46"/>
    <w:rsid w:val="000A1CA8"/>
    <w:rsid w:val="000A1E38"/>
    <w:rsid w:val="000A2D08"/>
    <w:rsid w:val="000A2F3B"/>
    <w:rsid w:val="000A3014"/>
    <w:rsid w:val="000A341E"/>
    <w:rsid w:val="000A351A"/>
    <w:rsid w:val="000A35C5"/>
    <w:rsid w:val="000A3E05"/>
    <w:rsid w:val="000A3E4C"/>
    <w:rsid w:val="000A4079"/>
    <w:rsid w:val="000A4C88"/>
    <w:rsid w:val="000A52FF"/>
    <w:rsid w:val="000A53A4"/>
    <w:rsid w:val="000A541C"/>
    <w:rsid w:val="000A5514"/>
    <w:rsid w:val="000A5B4B"/>
    <w:rsid w:val="000A5E00"/>
    <w:rsid w:val="000A5F56"/>
    <w:rsid w:val="000A620D"/>
    <w:rsid w:val="000A63CE"/>
    <w:rsid w:val="000A6C7C"/>
    <w:rsid w:val="000A6E3C"/>
    <w:rsid w:val="000A747F"/>
    <w:rsid w:val="000A74D4"/>
    <w:rsid w:val="000A7696"/>
    <w:rsid w:val="000A77F9"/>
    <w:rsid w:val="000A79FB"/>
    <w:rsid w:val="000A7D5E"/>
    <w:rsid w:val="000B00A1"/>
    <w:rsid w:val="000B050B"/>
    <w:rsid w:val="000B0E3A"/>
    <w:rsid w:val="000B1226"/>
    <w:rsid w:val="000B1CCF"/>
    <w:rsid w:val="000B1DBB"/>
    <w:rsid w:val="000B1DEF"/>
    <w:rsid w:val="000B1E70"/>
    <w:rsid w:val="000B1FEF"/>
    <w:rsid w:val="000B2079"/>
    <w:rsid w:val="000B24BC"/>
    <w:rsid w:val="000B24D3"/>
    <w:rsid w:val="000B2636"/>
    <w:rsid w:val="000B2788"/>
    <w:rsid w:val="000B286A"/>
    <w:rsid w:val="000B2B48"/>
    <w:rsid w:val="000B2CCF"/>
    <w:rsid w:val="000B3011"/>
    <w:rsid w:val="000B36EC"/>
    <w:rsid w:val="000B3C04"/>
    <w:rsid w:val="000B3ED5"/>
    <w:rsid w:val="000B413C"/>
    <w:rsid w:val="000B4418"/>
    <w:rsid w:val="000B4B20"/>
    <w:rsid w:val="000B5084"/>
    <w:rsid w:val="000B5B92"/>
    <w:rsid w:val="000B5C5B"/>
    <w:rsid w:val="000B5C6E"/>
    <w:rsid w:val="000B5D54"/>
    <w:rsid w:val="000B5D87"/>
    <w:rsid w:val="000B5ED5"/>
    <w:rsid w:val="000B629A"/>
    <w:rsid w:val="000B62E0"/>
    <w:rsid w:val="000B65B3"/>
    <w:rsid w:val="000B679B"/>
    <w:rsid w:val="000B67AB"/>
    <w:rsid w:val="000B69FC"/>
    <w:rsid w:val="000B6D16"/>
    <w:rsid w:val="000B6E9D"/>
    <w:rsid w:val="000B74B0"/>
    <w:rsid w:val="000B7B33"/>
    <w:rsid w:val="000C05BC"/>
    <w:rsid w:val="000C0BA8"/>
    <w:rsid w:val="000C0C48"/>
    <w:rsid w:val="000C0F2C"/>
    <w:rsid w:val="000C13C7"/>
    <w:rsid w:val="000C1886"/>
    <w:rsid w:val="000C191E"/>
    <w:rsid w:val="000C1AF1"/>
    <w:rsid w:val="000C1EE1"/>
    <w:rsid w:val="000C212D"/>
    <w:rsid w:val="000C2181"/>
    <w:rsid w:val="000C218E"/>
    <w:rsid w:val="000C29AB"/>
    <w:rsid w:val="000C2E96"/>
    <w:rsid w:val="000C3083"/>
    <w:rsid w:val="000C30AE"/>
    <w:rsid w:val="000C376B"/>
    <w:rsid w:val="000C3B3D"/>
    <w:rsid w:val="000C3CCF"/>
    <w:rsid w:val="000C3E1D"/>
    <w:rsid w:val="000C3F0A"/>
    <w:rsid w:val="000C487A"/>
    <w:rsid w:val="000C4B88"/>
    <w:rsid w:val="000C4E37"/>
    <w:rsid w:val="000C4FF9"/>
    <w:rsid w:val="000C5211"/>
    <w:rsid w:val="000C54DC"/>
    <w:rsid w:val="000C5715"/>
    <w:rsid w:val="000C596E"/>
    <w:rsid w:val="000C5A7B"/>
    <w:rsid w:val="000C5AEC"/>
    <w:rsid w:val="000C61DD"/>
    <w:rsid w:val="000C6596"/>
    <w:rsid w:val="000C6D74"/>
    <w:rsid w:val="000C740B"/>
    <w:rsid w:val="000C7500"/>
    <w:rsid w:val="000C78F1"/>
    <w:rsid w:val="000C7B2E"/>
    <w:rsid w:val="000C7B94"/>
    <w:rsid w:val="000C7C6B"/>
    <w:rsid w:val="000C7D72"/>
    <w:rsid w:val="000C7E81"/>
    <w:rsid w:val="000C7FCE"/>
    <w:rsid w:val="000D01E9"/>
    <w:rsid w:val="000D12E7"/>
    <w:rsid w:val="000D2038"/>
    <w:rsid w:val="000D21D4"/>
    <w:rsid w:val="000D27F6"/>
    <w:rsid w:val="000D2A4B"/>
    <w:rsid w:val="000D335F"/>
    <w:rsid w:val="000D36FA"/>
    <w:rsid w:val="000D3F3F"/>
    <w:rsid w:val="000D48F2"/>
    <w:rsid w:val="000D4A23"/>
    <w:rsid w:val="000D5271"/>
    <w:rsid w:val="000D59B8"/>
    <w:rsid w:val="000D59D3"/>
    <w:rsid w:val="000D5CA0"/>
    <w:rsid w:val="000D5F9F"/>
    <w:rsid w:val="000D63AD"/>
    <w:rsid w:val="000D63DA"/>
    <w:rsid w:val="000D6430"/>
    <w:rsid w:val="000D66DB"/>
    <w:rsid w:val="000D6AA5"/>
    <w:rsid w:val="000D6D5A"/>
    <w:rsid w:val="000D6F29"/>
    <w:rsid w:val="000D6F30"/>
    <w:rsid w:val="000D73E5"/>
    <w:rsid w:val="000D79EB"/>
    <w:rsid w:val="000D7A43"/>
    <w:rsid w:val="000D7D91"/>
    <w:rsid w:val="000E008D"/>
    <w:rsid w:val="000E01E2"/>
    <w:rsid w:val="000E0420"/>
    <w:rsid w:val="000E06FF"/>
    <w:rsid w:val="000E08F9"/>
    <w:rsid w:val="000E1586"/>
    <w:rsid w:val="000E1758"/>
    <w:rsid w:val="000E1BEF"/>
    <w:rsid w:val="000E20D7"/>
    <w:rsid w:val="000E23B5"/>
    <w:rsid w:val="000E24C2"/>
    <w:rsid w:val="000E2D9C"/>
    <w:rsid w:val="000E3149"/>
    <w:rsid w:val="000E32E7"/>
    <w:rsid w:val="000E39CB"/>
    <w:rsid w:val="000E3F46"/>
    <w:rsid w:val="000E446B"/>
    <w:rsid w:val="000E4560"/>
    <w:rsid w:val="000E457E"/>
    <w:rsid w:val="000E4649"/>
    <w:rsid w:val="000E4655"/>
    <w:rsid w:val="000E4ECF"/>
    <w:rsid w:val="000E531D"/>
    <w:rsid w:val="000E5DD8"/>
    <w:rsid w:val="000E60BD"/>
    <w:rsid w:val="000E6802"/>
    <w:rsid w:val="000E6BD6"/>
    <w:rsid w:val="000E6E1A"/>
    <w:rsid w:val="000E6EE6"/>
    <w:rsid w:val="000E7334"/>
    <w:rsid w:val="000E7C00"/>
    <w:rsid w:val="000E7D54"/>
    <w:rsid w:val="000F024D"/>
    <w:rsid w:val="000F03D7"/>
    <w:rsid w:val="000F0522"/>
    <w:rsid w:val="000F139B"/>
    <w:rsid w:val="000F13F7"/>
    <w:rsid w:val="000F18A2"/>
    <w:rsid w:val="000F1C6E"/>
    <w:rsid w:val="000F212F"/>
    <w:rsid w:val="000F2232"/>
    <w:rsid w:val="000F23F0"/>
    <w:rsid w:val="000F246A"/>
    <w:rsid w:val="000F2749"/>
    <w:rsid w:val="000F2994"/>
    <w:rsid w:val="000F2BFD"/>
    <w:rsid w:val="000F303D"/>
    <w:rsid w:val="000F30C2"/>
    <w:rsid w:val="000F3549"/>
    <w:rsid w:val="000F369B"/>
    <w:rsid w:val="000F3B9E"/>
    <w:rsid w:val="000F3DE4"/>
    <w:rsid w:val="000F40BE"/>
    <w:rsid w:val="000F4480"/>
    <w:rsid w:val="000F4AC6"/>
    <w:rsid w:val="000F4C12"/>
    <w:rsid w:val="000F5299"/>
    <w:rsid w:val="000F5600"/>
    <w:rsid w:val="000F59C1"/>
    <w:rsid w:val="000F59DC"/>
    <w:rsid w:val="000F5C54"/>
    <w:rsid w:val="000F5CD5"/>
    <w:rsid w:val="000F5DFE"/>
    <w:rsid w:val="000F608E"/>
    <w:rsid w:val="000F7767"/>
    <w:rsid w:val="000F7B6B"/>
    <w:rsid w:val="001002BA"/>
    <w:rsid w:val="001009BC"/>
    <w:rsid w:val="00100C13"/>
    <w:rsid w:val="00100C44"/>
    <w:rsid w:val="00100CC8"/>
    <w:rsid w:val="0010113D"/>
    <w:rsid w:val="0010175B"/>
    <w:rsid w:val="00101870"/>
    <w:rsid w:val="00101A29"/>
    <w:rsid w:val="00101C87"/>
    <w:rsid w:val="00101DA1"/>
    <w:rsid w:val="00101DE7"/>
    <w:rsid w:val="00101FBE"/>
    <w:rsid w:val="001020BD"/>
    <w:rsid w:val="001022EC"/>
    <w:rsid w:val="0010234C"/>
    <w:rsid w:val="001028D9"/>
    <w:rsid w:val="00102AC8"/>
    <w:rsid w:val="00102F40"/>
    <w:rsid w:val="00102FFE"/>
    <w:rsid w:val="0010366A"/>
    <w:rsid w:val="00103CE5"/>
    <w:rsid w:val="001040A3"/>
    <w:rsid w:val="001043FB"/>
    <w:rsid w:val="0010446B"/>
    <w:rsid w:val="0010447D"/>
    <w:rsid w:val="0010466C"/>
    <w:rsid w:val="0010476D"/>
    <w:rsid w:val="001047B5"/>
    <w:rsid w:val="001049CB"/>
    <w:rsid w:val="00104C74"/>
    <w:rsid w:val="00104F45"/>
    <w:rsid w:val="00104FD0"/>
    <w:rsid w:val="00105300"/>
    <w:rsid w:val="00105306"/>
    <w:rsid w:val="001058A9"/>
    <w:rsid w:val="001068FA"/>
    <w:rsid w:val="00106AE7"/>
    <w:rsid w:val="00106D95"/>
    <w:rsid w:val="00107297"/>
    <w:rsid w:val="001072B2"/>
    <w:rsid w:val="00107593"/>
    <w:rsid w:val="00107901"/>
    <w:rsid w:val="00107C65"/>
    <w:rsid w:val="00110B97"/>
    <w:rsid w:val="00110E11"/>
    <w:rsid w:val="00110E60"/>
    <w:rsid w:val="00110F33"/>
    <w:rsid w:val="00111018"/>
    <w:rsid w:val="00111227"/>
    <w:rsid w:val="0011147D"/>
    <w:rsid w:val="001116C7"/>
    <w:rsid w:val="00111721"/>
    <w:rsid w:val="00111C85"/>
    <w:rsid w:val="00111EBC"/>
    <w:rsid w:val="0011200D"/>
    <w:rsid w:val="001121DD"/>
    <w:rsid w:val="001121E2"/>
    <w:rsid w:val="00112274"/>
    <w:rsid w:val="00112576"/>
    <w:rsid w:val="00112D4D"/>
    <w:rsid w:val="00113390"/>
    <w:rsid w:val="00113519"/>
    <w:rsid w:val="00113590"/>
    <w:rsid w:val="001138AE"/>
    <w:rsid w:val="00113C02"/>
    <w:rsid w:val="00113DC1"/>
    <w:rsid w:val="00114BBB"/>
    <w:rsid w:val="00115129"/>
    <w:rsid w:val="0011517C"/>
    <w:rsid w:val="001156FC"/>
    <w:rsid w:val="001157E3"/>
    <w:rsid w:val="00115AD5"/>
    <w:rsid w:val="00115F68"/>
    <w:rsid w:val="00116561"/>
    <w:rsid w:val="001166D8"/>
    <w:rsid w:val="00116B99"/>
    <w:rsid w:val="00116D4D"/>
    <w:rsid w:val="00116F5A"/>
    <w:rsid w:val="00116F8E"/>
    <w:rsid w:val="00117382"/>
    <w:rsid w:val="00117D6D"/>
    <w:rsid w:val="00117EFB"/>
    <w:rsid w:val="00120719"/>
    <w:rsid w:val="00120E68"/>
    <w:rsid w:val="001216D7"/>
    <w:rsid w:val="00121AC6"/>
    <w:rsid w:val="00122236"/>
    <w:rsid w:val="001225EB"/>
    <w:rsid w:val="001226B7"/>
    <w:rsid w:val="00122747"/>
    <w:rsid w:val="00122CFE"/>
    <w:rsid w:val="00122EFA"/>
    <w:rsid w:val="00123AF5"/>
    <w:rsid w:val="00123C56"/>
    <w:rsid w:val="00123F25"/>
    <w:rsid w:val="00124243"/>
    <w:rsid w:val="00124A24"/>
    <w:rsid w:val="00124CAF"/>
    <w:rsid w:val="00124E19"/>
    <w:rsid w:val="001255A6"/>
    <w:rsid w:val="0012560B"/>
    <w:rsid w:val="00125CC7"/>
    <w:rsid w:val="00125E26"/>
    <w:rsid w:val="001260CC"/>
    <w:rsid w:val="001265E2"/>
    <w:rsid w:val="00126623"/>
    <w:rsid w:val="0012674A"/>
    <w:rsid w:val="00126B2C"/>
    <w:rsid w:val="00126C9C"/>
    <w:rsid w:val="00126EA6"/>
    <w:rsid w:val="00126EEE"/>
    <w:rsid w:val="001270BC"/>
    <w:rsid w:val="0012767B"/>
    <w:rsid w:val="00130004"/>
    <w:rsid w:val="00130221"/>
    <w:rsid w:val="0013065D"/>
    <w:rsid w:val="00131171"/>
    <w:rsid w:val="001311BF"/>
    <w:rsid w:val="00131214"/>
    <w:rsid w:val="001314FE"/>
    <w:rsid w:val="00131818"/>
    <w:rsid w:val="00131D73"/>
    <w:rsid w:val="00132233"/>
    <w:rsid w:val="0013229B"/>
    <w:rsid w:val="00132619"/>
    <w:rsid w:val="00132842"/>
    <w:rsid w:val="00132C59"/>
    <w:rsid w:val="001334AE"/>
    <w:rsid w:val="0013377E"/>
    <w:rsid w:val="001338A1"/>
    <w:rsid w:val="00133985"/>
    <w:rsid w:val="001339AC"/>
    <w:rsid w:val="00133E4A"/>
    <w:rsid w:val="00133FE3"/>
    <w:rsid w:val="00134230"/>
    <w:rsid w:val="00134299"/>
    <w:rsid w:val="0013438D"/>
    <w:rsid w:val="00134486"/>
    <w:rsid w:val="0013465B"/>
    <w:rsid w:val="00134663"/>
    <w:rsid w:val="001348EC"/>
    <w:rsid w:val="00134AEA"/>
    <w:rsid w:val="00135047"/>
    <w:rsid w:val="0013558E"/>
    <w:rsid w:val="001355E1"/>
    <w:rsid w:val="00135FBC"/>
    <w:rsid w:val="00136207"/>
    <w:rsid w:val="0013654B"/>
    <w:rsid w:val="001368E2"/>
    <w:rsid w:val="00136BFF"/>
    <w:rsid w:val="001370D9"/>
    <w:rsid w:val="001370DE"/>
    <w:rsid w:val="00137318"/>
    <w:rsid w:val="001373BC"/>
    <w:rsid w:val="001376F7"/>
    <w:rsid w:val="00137B03"/>
    <w:rsid w:val="00137DB7"/>
    <w:rsid w:val="00137E4E"/>
    <w:rsid w:val="00137FBF"/>
    <w:rsid w:val="00140023"/>
    <w:rsid w:val="001404B4"/>
    <w:rsid w:val="00140C94"/>
    <w:rsid w:val="00141DEC"/>
    <w:rsid w:val="00142CB5"/>
    <w:rsid w:val="00142CCD"/>
    <w:rsid w:val="00142CE6"/>
    <w:rsid w:val="00143827"/>
    <w:rsid w:val="001440B4"/>
    <w:rsid w:val="00144393"/>
    <w:rsid w:val="00144455"/>
    <w:rsid w:val="00144866"/>
    <w:rsid w:val="0014491F"/>
    <w:rsid w:val="00145115"/>
    <w:rsid w:val="00145169"/>
    <w:rsid w:val="0014581D"/>
    <w:rsid w:val="001459BF"/>
    <w:rsid w:val="00145ACD"/>
    <w:rsid w:val="00145F56"/>
    <w:rsid w:val="00146192"/>
    <w:rsid w:val="001469B0"/>
    <w:rsid w:val="00146B6B"/>
    <w:rsid w:val="00147314"/>
    <w:rsid w:val="00147841"/>
    <w:rsid w:val="00147AF3"/>
    <w:rsid w:val="00147D9A"/>
    <w:rsid w:val="00147E10"/>
    <w:rsid w:val="00147EEC"/>
    <w:rsid w:val="00150650"/>
    <w:rsid w:val="00150B9F"/>
    <w:rsid w:val="00151150"/>
    <w:rsid w:val="001515AC"/>
    <w:rsid w:val="00151833"/>
    <w:rsid w:val="001518AF"/>
    <w:rsid w:val="00151958"/>
    <w:rsid w:val="00152144"/>
    <w:rsid w:val="00152592"/>
    <w:rsid w:val="001527DC"/>
    <w:rsid w:val="0015290B"/>
    <w:rsid w:val="00153069"/>
    <w:rsid w:val="00153940"/>
    <w:rsid w:val="00154110"/>
    <w:rsid w:val="001543A4"/>
    <w:rsid w:val="00154807"/>
    <w:rsid w:val="0015498C"/>
    <w:rsid w:val="0015540F"/>
    <w:rsid w:val="001560BA"/>
    <w:rsid w:val="001561EB"/>
    <w:rsid w:val="001571E2"/>
    <w:rsid w:val="001577EB"/>
    <w:rsid w:val="001578A8"/>
    <w:rsid w:val="00157F35"/>
    <w:rsid w:val="00160187"/>
    <w:rsid w:val="00160830"/>
    <w:rsid w:val="00160A54"/>
    <w:rsid w:val="00160B0E"/>
    <w:rsid w:val="00160EFE"/>
    <w:rsid w:val="00161069"/>
    <w:rsid w:val="00161A99"/>
    <w:rsid w:val="00162046"/>
    <w:rsid w:val="0016242C"/>
    <w:rsid w:val="001624E9"/>
    <w:rsid w:val="001625F1"/>
    <w:rsid w:val="00162649"/>
    <w:rsid w:val="0016298D"/>
    <w:rsid w:val="00162B76"/>
    <w:rsid w:val="0016342F"/>
    <w:rsid w:val="00163896"/>
    <w:rsid w:val="00163ABD"/>
    <w:rsid w:val="00163E47"/>
    <w:rsid w:val="00164316"/>
    <w:rsid w:val="001647A1"/>
    <w:rsid w:val="001648FE"/>
    <w:rsid w:val="00164AE8"/>
    <w:rsid w:val="00164C98"/>
    <w:rsid w:val="001652F2"/>
    <w:rsid w:val="001654A9"/>
    <w:rsid w:val="00165860"/>
    <w:rsid w:val="00165CDE"/>
    <w:rsid w:val="00166004"/>
    <w:rsid w:val="00166108"/>
    <w:rsid w:val="00166576"/>
    <w:rsid w:val="001667AC"/>
    <w:rsid w:val="001669BB"/>
    <w:rsid w:val="00166A67"/>
    <w:rsid w:val="001672F6"/>
    <w:rsid w:val="0016771B"/>
    <w:rsid w:val="00167EA5"/>
    <w:rsid w:val="0017044D"/>
    <w:rsid w:val="00170868"/>
    <w:rsid w:val="0017192A"/>
    <w:rsid w:val="00171930"/>
    <w:rsid w:val="00171A03"/>
    <w:rsid w:val="001720C8"/>
    <w:rsid w:val="001724FC"/>
    <w:rsid w:val="00172A53"/>
    <w:rsid w:val="00172A57"/>
    <w:rsid w:val="00172AA9"/>
    <w:rsid w:val="001734AE"/>
    <w:rsid w:val="00173AFD"/>
    <w:rsid w:val="001740DF"/>
    <w:rsid w:val="00174314"/>
    <w:rsid w:val="00174351"/>
    <w:rsid w:val="001743CB"/>
    <w:rsid w:val="00174563"/>
    <w:rsid w:val="001747C0"/>
    <w:rsid w:val="00174BCA"/>
    <w:rsid w:val="00174D62"/>
    <w:rsid w:val="00175934"/>
    <w:rsid w:val="001759C4"/>
    <w:rsid w:val="00175C6B"/>
    <w:rsid w:val="0017614D"/>
    <w:rsid w:val="001763B9"/>
    <w:rsid w:val="00176700"/>
    <w:rsid w:val="001769D4"/>
    <w:rsid w:val="00176B39"/>
    <w:rsid w:val="00176D21"/>
    <w:rsid w:val="001771F7"/>
    <w:rsid w:val="00177899"/>
    <w:rsid w:val="00177A89"/>
    <w:rsid w:val="00180213"/>
    <w:rsid w:val="00180BC5"/>
    <w:rsid w:val="00181017"/>
    <w:rsid w:val="001814C4"/>
    <w:rsid w:val="0018175C"/>
    <w:rsid w:val="00181CC2"/>
    <w:rsid w:val="00181FB1"/>
    <w:rsid w:val="0018269D"/>
    <w:rsid w:val="00182BE5"/>
    <w:rsid w:val="00182FEC"/>
    <w:rsid w:val="00183487"/>
    <w:rsid w:val="00183791"/>
    <w:rsid w:val="001839A5"/>
    <w:rsid w:val="00183BE1"/>
    <w:rsid w:val="00183CCA"/>
    <w:rsid w:val="00184161"/>
    <w:rsid w:val="0018431A"/>
    <w:rsid w:val="001844AA"/>
    <w:rsid w:val="00184C5F"/>
    <w:rsid w:val="00184E3D"/>
    <w:rsid w:val="00184FBD"/>
    <w:rsid w:val="00184FF7"/>
    <w:rsid w:val="001850CB"/>
    <w:rsid w:val="001850FF"/>
    <w:rsid w:val="00185794"/>
    <w:rsid w:val="00185BEE"/>
    <w:rsid w:val="00185DA7"/>
    <w:rsid w:val="00185FEA"/>
    <w:rsid w:val="00186A5A"/>
    <w:rsid w:val="00186B21"/>
    <w:rsid w:val="00186D1D"/>
    <w:rsid w:val="001870A3"/>
    <w:rsid w:val="001902A1"/>
    <w:rsid w:val="00190428"/>
    <w:rsid w:val="0019086F"/>
    <w:rsid w:val="001908CC"/>
    <w:rsid w:val="00190BEC"/>
    <w:rsid w:val="00190C8D"/>
    <w:rsid w:val="00190D60"/>
    <w:rsid w:val="00190D6F"/>
    <w:rsid w:val="00190E46"/>
    <w:rsid w:val="00190E86"/>
    <w:rsid w:val="0019163C"/>
    <w:rsid w:val="00191B9A"/>
    <w:rsid w:val="00191D10"/>
    <w:rsid w:val="00191DE5"/>
    <w:rsid w:val="00191E76"/>
    <w:rsid w:val="001920E2"/>
    <w:rsid w:val="001921FE"/>
    <w:rsid w:val="001928FD"/>
    <w:rsid w:val="00192B96"/>
    <w:rsid w:val="00192EC8"/>
    <w:rsid w:val="00192F45"/>
    <w:rsid w:val="001937D4"/>
    <w:rsid w:val="001937F9"/>
    <w:rsid w:val="00193846"/>
    <w:rsid w:val="00193BA0"/>
    <w:rsid w:val="00194364"/>
    <w:rsid w:val="0019479D"/>
    <w:rsid w:val="0019482D"/>
    <w:rsid w:val="00194A9B"/>
    <w:rsid w:val="00194B60"/>
    <w:rsid w:val="00195060"/>
    <w:rsid w:val="00195218"/>
    <w:rsid w:val="001954D2"/>
    <w:rsid w:val="00195643"/>
    <w:rsid w:val="0019582D"/>
    <w:rsid w:val="00195D78"/>
    <w:rsid w:val="001963AD"/>
    <w:rsid w:val="00196498"/>
    <w:rsid w:val="001966BE"/>
    <w:rsid w:val="00197163"/>
    <w:rsid w:val="001971D5"/>
    <w:rsid w:val="00197342"/>
    <w:rsid w:val="00197E3D"/>
    <w:rsid w:val="00197F16"/>
    <w:rsid w:val="001A08AA"/>
    <w:rsid w:val="001A0DC9"/>
    <w:rsid w:val="001A0F83"/>
    <w:rsid w:val="001A1408"/>
    <w:rsid w:val="001A14A8"/>
    <w:rsid w:val="001A1678"/>
    <w:rsid w:val="001A1B95"/>
    <w:rsid w:val="001A1C88"/>
    <w:rsid w:val="001A1E6F"/>
    <w:rsid w:val="001A2128"/>
    <w:rsid w:val="001A2430"/>
    <w:rsid w:val="001A246E"/>
    <w:rsid w:val="001A2488"/>
    <w:rsid w:val="001A2812"/>
    <w:rsid w:val="001A2F84"/>
    <w:rsid w:val="001A3014"/>
    <w:rsid w:val="001A32A6"/>
    <w:rsid w:val="001A3532"/>
    <w:rsid w:val="001A3755"/>
    <w:rsid w:val="001A3AAA"/>
    <w:rsid w:val="001A40C2"/>
    <w:rsid w:val="001A4307"/>
    <w:rsid w:val="001A43BF"/>
    <w:rsid w:val="001A474C"/>
    <w:rsid w:val="001A4774"/>
    <w:rsid w:val="001A4888"/>
    <w:rsid w:val="001A4B9F"/>
    <w:rsid w:val="001A6537"/>
    <w:rsid w:val="001A6734"/>
    <w:rsid w:val="001A67AA"/>
    <w:rsid w:val="001A68C2"/>
    <w:rsid w:val="001A6B24"/>
    <w:rsid w:val="001A6DA3"/>
    <w:rsid w:val="001A71B5"/>
    <w:rsid w:val="001A7540"/>
    <w:rsid w:val="001A7686"/>
    <w:rsid w:val="001A7754"/>
    <w:rsid w:val="001A7EE0"/>
    <w:rsid w:val="001B0055"/>
    <w:rsid w:val="001B0169"/>
    <w:rsid w:val="001B046D"/>
    <w:rsid w:val="001B08FF"/>
    <w:rsid w:val="001B0CCF"/>
    <w:rsid w:val="001B0DEB"/>
    <w:rsid w:val="001B0E64"/>
    <w:rsid w:val="001B0FCC"/>
    <w:rsid w:val="001B127E"/>
    <w:rsid w:val="001B175E"/>
    <w:rsid w:val="001B22DE"/>
    <w:rsid w:val="001B29DC"/>
    <w:rsid w:val="001B2C06"/>
    <w:rsid w:val="001B2D0A"/>
    <w:rsid w:val="001B353B"/>
    <w:rsid w:val="001B3687"/>
    <w:rsid w:val="001B372F"/>
    <w:rsid w:val="001B3FE1"/>
    <w:rsid w:val="001B4965"/>
    <w:rsid w:val="001B4CAC"/>
    <w:rsid w:val="001B4E1C"/>
    <w:rsid w:val="001B4E89"/>
    <w:rsid w:val="001B4F4D"/>
    <w:rsid w:val="001B55F4"/>
    <w:rsid w:val="001B55FE"/>
    <w:rsid w:val="001B573B"/>
    <w:rsid w:val="001B5C13"/>
    <w:rsid w:val="001B5F39"/>
    <w:rsid w:val="001B604C"/>
    <w:rsid w:val="001B61EC"/>
    <w:rsid w:val="001B6400"/>
    <w:rsid w:val="001B6598"/>
    <w:rsid w:val="001B6765"/>
    <w:rsid w:val="001B6B51"/>
    <w:rsid w:val="001B6DBD"/>
    <w:rsid w:val="001B70D9"/>
    <w:rsid w:val="001B7643"/>
    <w:rsid w:val="001B7970"/>
    <w:rsid w:val="001B7AA2"/>
    <w:rsid w:val="001B7B5E"/>
    <w:rsid w:val="001C0049"/>
    <w:rsid w:val="001C04FA"/>
    <w:rsid w:val="001C0875"/>
    <w:rsid w:val="001C0A89"/>
    <w:rsid w:val="001C0C34"/>
    <w:rsid w:val="001C0EEA"/>
    <w:rsid w:val="001C13C2"/>
    <w:rsid w:val="001C1480"/>
    <w:rsid w:val="001C16A0"/>
    <w:rsid w:val="001C1AF3"/>
    <w:rsid w:val="001C1B89"/>
    <w:rsid w:val="001C1CC6"/>
    <w:rsid w:val="001C1DD8"/>
    <w:rsid w:val="001C2299"/>
    <w:rsid w:val="001C2373"/>
    <w:rsid w:val="001C2A96"/>
    <w:rsid w:val="001C3896"/>
    <w:rsid w:val="001C3D6E"/>
    <w:rsid w:val="001C3E87"/>
    <w:rsid w:val="001C4277"/>
    <w:rsid w:val="001C4319"/>
    <w:rsid w:val="001C43DD"/>
    <w:rsid w:val="001C4BB4"/>
    <w:rsid w:val="001C4CF6"/>
    <w:rsid w:val="001C4D67"/>
    <w:rsid w:val="001C4F40"/>
    <w:rsid w:val="001C520E"/>
    <w:rsid w:val="001C59EC"/>
    <w:rsid w:val="001C5CC5"/>
    <w:rsid w:val="001C63CA"/>
    <w:rsid w:val="001C64DA"/>
    <w:rsid w:val="001C6DA8"/>
    <w:rsid w:val="001C726F"/>
    <w:rsid w:val="001C7606"/>
    <w:rsid w:val="001C79F3"/>
    <w:rsid w:val="001D034C"/>
    <w:rsid w:val="001D0350"/>
    <w:rsid w:val="001D052C"/>
    <w:rsid w:val="001D06F2"/>
    <w:rsid w:val="001D0BC0"/>
    <w:rsid w:val="001D0D39"/>
    <w:rsid w:val="001D0D9F"/>
    <w:rsid w:val="001D1223"/>
    <w:rsid w:val="001D122E"/>
    <w:rsid w:val="001D15C4"/>
    <w:rsid w:val="001D170A"/>
    <w:rsid w:val="001D1D4F"/>
    <w:rsid w:val="001D1DAA"/>
    <w:rsid w:val="001D1EC1"/>
    <w:rsid w:val="001D1F5A"/>
    <w:rsid w:val="001D3124"/>
    <w:rsid w:val="001D318D"/>
    <w:rsid w:val="001D35AA"/>
    <w:rsid w:val="001D372E"/>
    <w:rsid w:val="001D3749"/>
    <w:rsid w:val="001D3CC0"/>
    <w:rsid w:val="001D4DEA"/>
    <w:rsid w:val="001D4E61"/>
    <w:rsid w:val="001D4E67"/>
    <w:rsid w:val="001D505A"/>
    <w:rsid w:val="001D51B6"/>
    <w:rsid w:val="001D56BF"/>
    <w:rsid w:val="001D5775"/>
    <w:rsid w:val="001D5A2A"/>
    <w:rsid w:val="001D5ADC"/>
    <w:rsid w:val="001D5C7B"/>
    <w:rsid w:val="001D5EA6"/>
    <w:rsid w:val="001D6453"/>
    <w:rsid w:val="001D749E"/>
    <w:rsid w:val="001D7A21"/>
    <w:rsid w:val="001E0180"/>
    <w:rsid w:val="001E01BD"/>
    <w:rsid w:val="001E02C4"/>
    <w:rsid w:val="001E02EC"/>
    <w:rsid w:val="001E06F7"/>
    <w:rsid w:val="001E098E"/>
    <w:rsid w:val="001E1162"/>
    <w:rsid w:val="001E1202"/>
    <w:rsid w:val="001E12A8"/>
    <w:rsid w:val="001E16CF"/>
    <w:rsid w:val="001E1860"/>
    <w:rsid w:val="001E1A5B"/>
    <w:rsid w:val="001E1D32"/>
    <w:rsid w:val="001E21DB"/>
    <w:rsid w:val="001E234F"/>
    <w:rsid w:val="001E2971"/>
    <w:rsid w:val="001E2A5E"/>
    <w:rsid w:val="001E2DFD"/>
    <w:rsid w:val="001E31BA"/>
    <w:rsid w:val="001E3D6E"/>
    <w:rsid w:val="001E41D6"/>
    <w:rsid w:val="001E47F3"/>
    <w:rsid w:val="001E4C74"/>
    <w:rsid w:val="001E4D11"/>
    <w:rsid w:val="001E4EF3"/>
    <w:rsid w:val="001E5878"/>
    <w:rsid w:val="001E5917"/>
    <w:rsid w:val="001E61ED"/>
    <w:rsid w:val="001E6346"/>
    <w:rsid w:val="001E6493"/>
    <w:rsid w:val="001E68AE"/>
    <w:rsid w:val="001E6967"/>
    <w:rsid w:val="001E6E6B"/>
    <w:rsid w:val="001E6FAD"/>
    <w:rsid w:val="001E723F"/>
    <w:rsid w:val="001E7371"/>
    <w:rsid w:val="001E79AA"/>
    <w:rsid w:val="001E7CC7"/>
    <w:rsid w:val="001E7E88"/>
    <w:rsid w:val="001E7FD2"/>
    <w:rsid w:val="001F02EB"/>
    <w:rsid w:val="001F0384"/>
    <w:rsid w:val="001F099D"/>
    <w:rsid w:val="001F0AF0"/>
    <w:rsid w:val="001F0B75"/>
    <w:rsid w:val="001F100E"/>
    <w:rsid w:val="001F1298"/>
    <w:rsid w:val="001F133A"/>
    <w:rsid w:val="001F1719"/>
    <w:rsid w:val="001F1878"/>
    <w:rsid w:val="001F18CE"/>
    <w:rsid w:val="001F1C53"/>
    <w:rsid w:val="001F23AE"/>
    <w:rsid w:val="001F3AED"/>
    <w:rsid w:val="001F4E9F"/>
    <w:rsid w:val="001F5265"/>
    <w:rsid w:val="001F5C86"/>
    <w:rsid w:val="001F5F51"/>
    <w:rsid w:val="001F64A6"/>
    <w:rsid w:val="001F6A86"/>
    <w:rsid w:val="001F6B2C"/>
    <w:rsid w:val="001F6BC4"/>
    <w:rsid w:val="001F7193"/>
    <w:rsid w:val="001F72DE"/>
    <w:rsid w:val="001F7388"/>
    <w:rsid w:val="001F783E"/>
    <w:rsid w:val="001F79AC"/>
    <w:rsid w:val="001F79DF"/>
    <w:rsid w:val="00201146"/>
    <w:rsid w:val="00201224"/>
    <w:rsid w:val="0020128B"/>
    <w:rsid w:val="00201370"/>
    <w:rsid w:val="002019E6"/>
    <w:rsid w:val="00201A1F"/>
    <w:rsid w:val="00201C28"/>
    <w:rsid w:val="00201C89"/>
    <w:rsid w:val="00201ED5"/>
    <w:rsid w:val="002020D5"/>
    <w:rsid w:val="002023D2"/>
    <w:rsid w:val="002031C0"/>
    <w:rsid w:val="0020347C"/>
    <w:rsid w:val="002035E5"/>
    <w:rsid w:val="00203901"/>
    <w:rsid w:val="00203AF4"/>
    <w:rsid w:val="00203B13"/>
    <w:rsid w:val="0020425D"/>
    <w:rsid w:val="00204936"/>
    <w:rsid w:val="00204DD1"/>
    <w:rsid w:val="00204E7F"/>
    <w:rsid w:val="00205469"/>
    <w:rsid w:val="002054E5"/>
    <w:rsid w:val="002057EB"/>
    <w:rsid w:val="00205831"/>
    <w:rsid w:val="002059DC"/>
    <w:rsid w:val="00206663"/>
    <w:rsid w:val="00206876"/>
    <w:rsid w:val="00206D9B"/>
    <w:rsid w:val="002072F1"/>
    <w:rsid w:val="00207323"/>
    <w:rsid w:val="00207765"/>
    <w:rsid w:val="00207AE5"/>
    <w:rsid w:val="00207D99"/>
    <w:rsid w:val="00207E1F"/>
    <w:rsid w:val="00210019"/>
    <w:rsid w:val="00210627"/>
    <w:rsid w:val="00210C3C"/>
    <w:rsid w:val="002113E9"/>
    <w:rsid w:val="0021228C"/>
    <w:rsid w:val="0021244C"/>
    <w:rsid w:val="002124A9"/>
    <w:rsid w:val="002125DE"/>
    <w:rsid w:val="002128D6"/>
    <w:rsid w:val="00212CA9"/>
    <w:rsid w:val="00212F0F"/>
    <w:rsid w:val="002134BC"/>
    <w:rsid w:val="00213B70"/>
    <w:rsid w:val="00213C29"/>
    <w:rsid w:val="00213C62"/>
    <w:rsid w:val="00214453"/>
    <w:rsid w:val="0021508E"/>
    <w:rsid w:val="002155F4"/>
    <w:rsid w:val="0021594E"/>
    <w:rsid w:val="0021603A"/>
    <w:rsid w:val="002161EE"/>
    <w:rsid w:val="00216355"/>
    <w:rsid w:val="00216767"/>
    <w:rsid w:val="002169C5"/>
    <w:rsid w:val="00216C30"/>
    <w:rsid w:val="00217722"/>
    <w:rsid w:val="002179EA"/>
    <w:rsid w:val="00217B46"/>
    <w:rsid w:val="00220229"/>
    <w:rsid w:val="002203F0"/>
    <w:rsid w:val="00220690"/>
    <w:rsid w:val="0022086A"/>
    <w:rsid w:val="00220DA7"/>
    <w:rsid w:val="0022108D"/>
    <w:rsid w:val="00221519"/>
    <w:rsid w:val="0022163F"/>
    <w:rsid w:val="002219FA"/>
    <w:rsid w:val="00221CA0"/>
    <w:rsid w:val="00221CCD"/>
    <w:rsid w:val="00221DD8"/>
    <w:rsid w:val="00221EFB"/>
    <w:rsid w:val="00222746"/>
    <w:rsid w:val="0022289A"/>
    <w:rsid w:val="002234D3"/>
    <w:rsid w:val="002237FE"/>
    <w:rsid w:val="002238A2"/>
    <w:rsid w:val="0022412C"/>
    <w:rsid w:val="002241D9"/>
    <w:rsid w:val="00224407"/>
    <w:rsid w:val="0022440C"/>
    <w:rsid w:val="00224D22"/>
    <w:rsid w:val="00225149"/>
    <w:rsid w:val="002256E7"/>
    <w:rsid w:val="002259EA"/>
    <w:rsid w:val="00226194"/>
    <w:rsid w:val="00226397"/>
    <w:rsid w:val="0022679D"/>
    <w:rsid w:val="002267E4"/>
    <w:rsid w:val="00226951"/>
    <w:rsid w:val="00226CB5"/>
    <w:rsid w:val="00226EBA"/>
    <w:rsid w:val="0022716D"/>
    <w:rsid w:val="002271E7"/>
    <w:rsid w:val="00227ABC"/>
    <w:rsid w:val="0023006E"/>
    <w:rsid w:val="002308F0"/>
    <w:rsid w:val="00230ED9"/>
    <w:rsid w:val="00231228"/>
    <w:rsid w:val="0023150F"/>
    <w:rsid w:val="00231C43"/>
    <w:rsid w:val="00231CAF"/>
    <w:rsid w:val="00231DAB"/>
    <w:rsid w:val="002320EF"/>
    <w:rsid w:val="00232184"/>
    <w:rsid w:val="00232A93"/>
    <w:rsid w:val="00233109"/>
    <w:rsid w:val="00233267"/>
    <w:rsid w:val="00233350"/>
    <w:rsid w:val="00233784"/>
    <w:rsid w:val="0023378D"/>
    <w:rsid w:val="00233BA1"/>
    <w:rsid w:val="002344D1"/>
    <w:rsid w:val="00234998"/>
    <w:rsid w:val="00234BDD"/>
    <w:rsid w:val="00234C45"/>
    <w:rsid w:val="00234D4B"/>
    <w:rsid w:val="00235237"/>
    <w:rsid w:val="00235280"/>
    <w:rsid w:val="0023557E"/>
    <w:rsid w:val="00235759"/>
    <w:rsid w:val="00235DC0"/>
    <w:rsid w:val="002366BD"/>
    <w:rsid w:val="00236852"/>
    <w:rsid w:val="002369A3"/>
    <w:rsid w:val="00236B0C"/>
    <w:rsid w:val="00236B60"/>
    <w:rsid w:val="00237635"/>
    <w:rsid w:val="00237A1E"/>
    <w:rsid w:val="00237B5E"/>
    <w:rsid w:val="00237BA9"/>
    <w:rsid w:val="002409B0"/>
    <w:rsid w:val="00240A1D"/>
    <w:rsid w:val="00240AF9"/>
    <w:rsid w:val="00240EC4"/>
    <w:rsid w:val="0024153C"/>
    <w:rsid w:val="002418F9"/>
    <w:rsid w:val="00241B19"/>
    <w:rsid w:val="00241BB5"/>
    <w:rsid w:val="00241CF6"/>
    <w:rsid w:val="00241D24"/>
    <w:rsid w:val="00241E81"/>
    <w:rsid w:val="00242470"/>
    <w:rsid w:val="002425BE"/>
    <w:rsid w:val="002426CB"/>
    <w:rsid w:val="0024287D"/>
    <w:rsid w:val="00242CEE"/>
    <w:rsid w:val="00243028"/>
    <w:rsid w:val="00243428"/>
    <w:rsid w:val="00243506"/>
    <w:rsid w:val="00243964"/>
    <w:rsid w:val="00243B7C"/>
    <w:rsid w:val="00243C9D"/>
    <w:rsid w:val="00243EC4"/>
    <w:rsid w:val="00243EC5"/>
    <w:rsid w:val="002446F9"/>
    <w:rsid w:val="00244FF9"/>
    <w:rsid w:val="00245046"/>
    <w:rsid w:val="002451FA"/>
    <w:rsid w:val="00245339"/>
    <w:rsid w:val="00245C33"/>
    <w:rsid w:val="002460DD"/>
    <w:rsid w:val="002462F1"/>
    <w:rsid w:val="00246F35"/>
    <w:rsid w:val="002471EC"/>
    <w:rsid w:val="0024743D"/>
    <w:rsid w:val="002478FF"/>
    <w:rsid w:val="00247CE2"/>
    <w:rsid w:val="0025019E"/>
    <w:rsid w:val="002501F1"/>
    <w:rsid w:val="002502F9"/>
    <w:rsid w:val="00250634"/>
    <w:rsid w:val="0025082F"/>
    <w:rsid w:val="00250ADF"/>
    <w:rsid w:val="0025101E"/>
    <w:rsid w:val="002516B1"/>
    <w:rsid w:val="00251CAC"/>
    <w:rsid w:val="00251E31"/>
    <w:rsid w:val="0025246E"/>
    <w:rsid w:val="00252704"/>
    <w:rsid w:val="00252DCD"/>
    <w:rsid w:val="00252E8E"/>
    <w:rsid w:val="00253393"/>
    <w:rsid w:val="00253655"/>
    <w:rsid w:val="00253E0D"/>
    <w:rsid w:val="00253F78"/>
    <w:rsid w:val="00254068"/>
    <w:rsid w:val="00254337"/>
    <w:rsid w:val="002543DA"/>
    <w:rsid w:val="0025454A"/>
    <w:rsid w:val="002546A6"/>
    <w:rsid w:val="0025492C"/>
    <w:rsid w:val="00254ADC"/>
    <w:rsid w:val="00254CF9"/>
    <w:rsid w:val="00254CFE"/>
    <w:rsid w:val="00254D75"/>
    <w:rsid w:val="00254E89"/>
    <w:rsid w:val="002550A9"/>
    <w:rsid w:val="002556B2"/>
    <w:rsid w:val="00255A0A"/>
    <w:rsid w:val="00256279"/>
    <w:rsid w:val="00256983"/>
    <w:rsid w:val="002571F3"/>
    <w:rsid w:val="002578C0"/>
    <w:rsid w:val="0025799B"/>
    <w:rsid w:val="00257A2D"/>
    <w:rsid w:val="00257B0C"/>
    <w:rsid w:val="00257C51"/>
    <w:rsid w:val="00257E74"/>
    <w:rsid w:val="002602DC"/>
    <w:rsid w:val="00260371"/>
    <w:rsid w:val="00260428"/>
    <w:rsid w:val="002608C9"/>
    <w:rsid w:val="00260AFE"/>
    <w:rsid w:val="00261200"/>
    <w:rsid w:val="00261478"/>
    <w:rsid w:val="0026167C"/>
    <w:rsid w:val="00261729"/>
    <w:rsid w:val="00261A69"/>
    <w:rsid w:val="00261CC1"/>
    <w:rsid w:val="0026247A"/>
    <w:rsid w:val="0026297E"/>
    <w:rsid w:val="00263088"/>
    <w:rsid w:val="0026375B"/>
    <w:rsid w:val="00263767"/>
    <w:rsid w:val="00263B3E"/>
    <w:rsid w:val="00263DF0"/>
    <w:rsid w:val="002643BE"/>
    <w:rsid w:val="00264992"/>
    <w:rsid w:val="00264BF5"/>
    <w:rsid w:val="00264F69"/>
    <w:rsid w:val="00265379"/>
    <w:rsid w:val="00265494"/>
    <w:rsid w:val="00265C5F"/>
    <w:rsid w:val="0026606D"/>
    <w:rsid w:val="002660ED"/>
    <w:rsid w:val="0026620E"/>
    <w:rsid w:val="00266315"/>
    <w:rsid w:val="0026661D"/>
    <w:rsid w:val="00266C59"/>
    <w:rsid w:val="002670A4"/>
    <w:rsid w:val="00267168"/>
    <w:rsid w:val="002677E8"/>
    <w:rsid w:val="00267A48"/>
    <w:rsid w:val="00267BD5"/>
    <w:rsid w:val="00267E41"/>
    <w:rsid w:val="0027087A"/>
    <w:rsid w:val="00270CEF"/>
    <w:rsid w:val="00270F5E"/>
    <w:rsid w:val="00271494"/>
    <w:rsid w:val="002714BA"/>
    <w:rsid w:val="0027160A"/>
    <w:rsid w:val="00271C65"/>
    <w:rsid w:val="00272246"/>
    <w:rsid w:val="00272443"/>
    <w:rsid w:val="002726FA"/>
    <w:rsid w:val="002728E7"/>
    <w:rsid w:val="00272A1D"/>
    <w:rsid w:val="00272A51"/>
    <w:rsid w:val="00272F28"/>
    <w:rsid w:val="0027352A"/>
    <w:rsid w:val="00273759"/>
    <w:rsid w:val="002739C4"/>
    <w:rsid w:val="00273A21"/>
    <w:rsid w:val="00274017"/>
    <w:rsid w:val="00274141"/>
    <w:rsid w:val="002741C2"/>
    <w:rsid w:val="0027461D"/>
    <w:rsid w:val="0027465D"/>
    <w:rsid w:val="00274997"/>
    <w:rsid w:val="002749BA"/>
    <w:rsid w:val="00274A9B"/>
    <w:rsid w:val="00274BA3"/>
    <w:rsid w:val="002750F9"/>
    <w:rsid w:val="00275399"/>
    <w:rsid w:val="00275740"/>
    <w:rsid w:val="00275BBA"/>
    <w:rsid w:val="00275E93"/>
    <w:rsid w:val="002766ED"/>
    <w:rsid w:val="00276BD4"/>
    <w:rsid w:val="00276D87"/>
    <w:rsid w:val="0027709D"/>
    <w:rsid w:val="002775DA"/>
    <w:rsid w:val="002779E9"/>
    <w:rsid w:val="002802CA"/>
    <w:rsid w:val="00280408"/>
    <w:rsid w:val="002807E3"/>
    <w:rsid w:val="00280EEC"/>
    <w:rsid w:val="0028117F"/>
    <w:rsid w:val="002811AD"/>
    <w:rsid w:val="00281343"/>
    <w:rsid w:val="00281466"/>
    <w:rsid w:val="00281543"/>
    <w:rsid w:val="002815F3"/>
    <w:rsid w:val="00281BDD"/>
    <w:rsid w:val="00281D69"/>
    <w:rsid w:val="0028263C"/>
    <w:rsid w:val="002827A1"/>
    <w:rsid w:val="00282DF2"/>
    <w:rsid w:val="00282F6A"/>
    <w:rsid w:val="002831FB"/>
    <w:rsid w:val="00283701"/>
    <w:rsid w:val="002838BC"/>
    <w:rsid w:val="00283C45"/>
    <w:rsid w:val="00284338"/>
    <w:rsid w:val="002843AF"/>
    <w:rsid w:val="00284409"/>
    <w:rsid w:val="00284565"/>
    <w:rsid w:val="002846EF"/>
    <w:rsid w:val="00284707"/>
    <w:rsid w:val="00284724"/>
    <w:rsid w:val="00284812"/>
    <w:rsid w:val="00284FA5"/>
    <w:rsid w:val="0028544B"/>
    <w:rsid w:val="00285FDE"/>
    <w:rsid w:val="00286036"/>
    <w:rsid w:val="00286222"/>
    <w:rsid w:val="002863A7"/>
    <w:rsid w:val="0028648D"/>
    <w:rsid w:val="002868BF"/>
    <w:rsid w:val="0028724A"/>
    <w:rsid w:val="00287508"/>
    <w:rsid w:val="00287CA7"/>
    <w:rsid w:val="00287F52"/>
    <w:rsid w:val="0029042A"/>
    <w:rsid w:val="002906E6"/>
    <w:rsid w:val="00290C60"/>
    <w:rsid w:val="00290CBB"/>
    <w:rsid w:val="00290D7A"/>
    <w:rsid w:val="002918D5"/>
    <w:rsid w:val="00291A4B"/>
    <w:rsid w:val="00291E8B"/>
    <w:rsid w:val="00291EDD"/>
    <w:rsid w:val="00291F39"/>
    <w:rsid w:val="00291F94"/>
    <w:rsid w:val="00292048"/>
    <w:rsid w:val="0029279F"/>
    <w:rsid w:val="00293562"/>
    <w:rsid w:val="002936DE"/>
    <w:rsid w:val="002939F0"/>
    <w:rsid w:val="002940D6"/>
    <w:rsid w:val="00294545"/>
    <w:rsid w:val="00294889"/>
    <w:rsid w:val="00294ABC"/>
    <w:rsid w:val="00294BBD"/>
    <w:rsid w:val="00295181"/>
    <w:rsid w:val="0029529A"/>
    <w:rsid w:val="00295641"/>
    <w:rsid w:val="00295A99"/>
    <w:rsid w:val="00296249"/>
    <w:rsid w:val="002964B0"/>
    <w:rsid w:val="002965C5"/>
    <w:rsid w:val="002965DF"/>
    <w:rsid w:val="00296DCF"/>
    <w:rsid w:val="002975BA"/>
    <w:rsid w:val="002978F0"/>
    <w:rsid w:val="00297A54"/>
    <w:rsid w:val="00297ED0"/>
    <w:rsid w:val="002A007D"/>
    <w:rsid w:val="002A01CB"/>
    <w:rsid w:val="002A04A4"/>
    <w:rsid w:val="002A07FB"/>
    <w:rsid w:val="002A0B33"/>
    <w:rsid w:val="002A0F01"/>
    <w:rsid w:val="002A158B"/>
    <w:rsid w:val="002A1687"/>
    <w:rsid w:val="002A1774"/>
    <w:rsid w:val="002A18A0"/>
    <w:rsid w:val="002A18E4"/>
    <w:rsid w:val="002A1C98"/>
    <w:rsid w:val="002A208C"/>
    <w:rsid w:val="002A264C"/>
    <w:rsid w:val="002A2950"/>
    <w:rsid w:val="002A30C2"/>
    <w:rsid w:val="002A3483"/>
    <w:rsid w:val="002A3AF2"/>
    <w:rsid w:val="002A45F6"/>
    <w:rsid w:val="002A4E24"/>
    <w:rsid w:val="002A5297"/>
    <w:rsid w:val="002A5A73"/>
    <w:rsid w:val="002A5B24"/>
    <w:rsid w:val="002A6204"/>
    <w:rsid w:val="002A629C"/>
    <w:rsid w:val="002A643B"/>
    <w:rsid w:val="002A649C"/>
    <w:rsid w:val="002A6AAC"/>
    <w:rsid w:val="002A6B09"/>
    <w:rsid w:val="002A6DC4"/>
    <w:rsid w:val="002A6EC6"/>
    <w:rsid w:val="002A7173"/>
    <w:rsid w:val="002A71FE"/>
    <w:rsid w:val="002A7345"/>
    <w:rsid w:val="002B00A3"/>
    <w:rsid w:val="002B0236"/>
    <w:rsid w:val="002B025E"/>
    <w:rsid w:val="002B0374"/>
    <w:rsid w:val="002B06F6"/>
    <w:rsid w:val="002B0946"/>
    <w:rsid w:val="002B0D0E"/>
    <w:rsid w:val="002B0D75"/>
    <w:rsid w:val="002B0E50"/>
    <w:rsid w:val="002B12C4"/>
    <w:rsid w:val="002B12F4"/>
    <w:rsid w:val="002B1FBB"/>
    <w:rsid w:val="002B21B1"/>
    <w:rsid w:val="002B2212"/>
    <w:rsid w:val="002B22C7"/>
    <w:rsid w:val="002B2422"/>
    <w:rsid w:val="002B24D2"/>
    <w:rsid w:val="002B270C"/>
    <w:rsid w:val="002B28E2"/>
    <w:rsid w:val="002B2951"/>
    <w:rsid w:val="002B2A67"/>
    <w:rsid w:val="002B2B70"/>
    <w:rsid w:val="002B2CC6"/>
    <w:rsid w:val="002B2D9B"/>
    <w:rsid w:val="002B2E82"/>
    <w:rsid w:val="002B3249"/>
    <w:rsid w:val="002B336A"/>
    <w:rsid w:val="002B3882"/>
    <w:rsid w:val="002B4975"/>
    <w:rsid w:val="002B50D3"/>
    <w:rsid w:val="002B5111"/>
    <w:rsid w:val="002B512A"/>
    <w:rsid w:val="002B521A"/>
    <w:rsid w:val="002B56D5"/>
    <w:rsid w:val="002B5888"/>
    <w:rsid w:val="002B5AAE"/>
    <w:rsid w:val="002B6C55"/>
    <w:rsid w:val="002B79DF"/>
    <w:rsid w:val="002C001B"/>
    <w:rsid w:val="002C065E"/>
    <w:rsid w:val="002C0705"/>
    <w:rsid w:val="002C07B9"/>
    <w:rsid w:val="002C0B45"/>
    <w:rsid w:val="002C1997"/>
    <w:rsid w:val="002C1B0D"/>
    <w:rsid w:val="002C207D"/>
    <w:rsid w:val="002C20D1"/>
    <w:rsid w:val="002C24C8"/>
    <w:rsid w:val="002C3123"/>
    <w:rsid w:val="002C3A5A"/>
    <w:rsid w:val="002C3D66"/>
    <w:rsid w:val="002C3F0E"/>
    <w:rsid w:val="002C4092"/>
    <w:rsid w:val="002C4620"/>
    <w:rsid w:val="002C473E"/>
    <w:rsid w:val="002C4771"/>
    <w:rsid w:val="002C4ACB"/>
    <w:rsid w:val="002C4E32"/>
    <w:rsid w:val="002C4F3E"/>
    <w:rsid w:val="002C51A6"/>
    <w:rsid w:val="002C56B0"/>
    <w:rsid w:val="002C5989"/>
    <w:rsid w:val="002C5A92"/>
    <w:rsid w:val="002C6015"/>
    <w:rsid w:val="002C716D"/>
    <w:rsid w:val="002C792E"/>
    <w:rsid w:val="002C7FBC"/>
    <w:rsid w:val="002D0039"/>
    <w:rsid w:val="002D028A"/>
    <w:rsid w:val="002D0359"/>
    <w:rsid w:val="002D03C3"/>
    <w:rsid w:val="002D0465"/>
    <w:rsid w:val="002D05BE"/>
    <w:rsid w:val="002D07A2"/>
    <w:rsid w:val="002D0D8F"/>
    <w:rsid w:val="002D11C4"/>
    <w:rsid w:val="002D129C"/>
    <w:rsid w:val="002D164F"/>
    <w:rsid w:val="002D235B"/>
    <w:rsid w:val="002D2788"/>
    <w:rsid w:val="002D283B"/>
    <w:rsid w:val="002D2A0A"/>
    <w:rsid w:val="002D2B00"/>
    <w:rsid w:val="002D3066"/>
    <w:rsid w:val="002D3BED"/>
    <w:rsid w:val="002D3D0F"/>
    <w:rsid w:val="002D4433"/>
    <w:rsid w:val="002D4CB3"/>
    <w:rsid w:val="002D4E04"/>
    <w:rsid w:val="002D4F40"/>
    <w:rsid w:val="002D5269"/>
    <w:rsid w:val="002D54A5"/>
    <w:rsid w:val="002D5EBC"/>
    <w:rsid w:val="002D5ED8"/>
    <w:rsid w:val="002D6310"/>
    <w:rsid w:val="002D666E"/>
    <w:rsid w:val="002D6C2C"/>
    <w:rsid w:val="002D70B7"/>
    <w:rsid w:val="002D718C"/>
    <w:rsid w:val="002D71D0"/>
    <w:rsid w:val="002D7962"/>
    <w:rsid w:val="002D7DA0"/>
    <w:rsid w:val="002E010C"/>
    <w:rsid w:val="002E051F"/>
    <w:rsid w:val="002E060D"/>
    <w:rsid w:val="002E0718"/>
    <w:rsid w:val="002E077C"/>
    <w:rsid w:val="002E0B3C"/>
    <w:rsid w:val="002E1285"/>
    <w:rsid w:val="002E1883"/>
    <w:rsid w:val="002E199E"/>
    <w:rsid w:val="002E1C88"/>
    <w:rsid w:val="002E20E6"/>
    <w:rsid w:val="002E2444"/>
    <w:rsid w:val="002E2DE1"/>
    <w:rsid w:val="002E2E14"/>
    <w:rsid w:val="002E315F"/>
    <w:rsid w:val="002E31A0"/>
    <w:rsid w:val="002E39F6"/>
    <w:rsid w:val="002E4119"/>
    <w:rsid w:val="002E446C"/>
    <w:rsid w:val="002E465C"/>
    <w:rsid w:val="002E4735"/>
    <w:rsid w:val="002E4D36"/>
    <w:rsid w:val="002E4D3D"/>
    <w:rsid w:val="002E4E77"/>
    <w:rsid w:val="002E4FEE"/>
    <w:rsid w:val="002E5132"/>
    <w:rsid w:val="002E5576"/>
    <w:rsid w:val="002E568A"/>
    <w:rsid w:val="002E5742"/>
    <w:rsid w:val="002E5A20"/>
    <w:rsid w:val="002E5AC5"/>
    <w:rsid w:val="002E6624"/>
    <w:rsid w:val="002E6753"/>
    <w:rsid w:val="002E6D48"/>
    <w:rsid w:val="002E6E9B"/>
    <w:rsid w:val="002E6FB8"/>
    <w:rsid w:val="002E73FB"/>
    <w:rsid w:val="002E757D"/>
    <w:rsid w:val="002E77F4"/>
    <w:rsid w:val="002E7B62"/>
    <w:rsid w:val="002E7D04"/>
    <w:rsid w:val="002E7D46"/>
    <w:rsid w:val="002F004C"/>
    <w:rsid w:val="002F0A49"/>
    <w:rsid w:val="002F0AC7"/>
    <w:rsid w:val="002F1275"/>
    <w:rsid w:val="002F1396"/>
    <w:rsid w:val="002F1602"/>
    <w:rsid w:val="002F1742"/>
    <w:rsid w:val="002F1D6E"/>
    <w:rsid w:val="002F271E"/>
    <w:rsid w:val="002F27FE"/>
    <w:rsid w:val="002F2837"/>
    <w:rsid w:val="002F28A7"/>
    <w:rsid w:val="002F3952"/>
    <w:rsid w:val="002F39A3"/>
    <w:rsid w:val="002F406A"/>
    <w:rsid w:val="002F42F8"/>
    <w:rsid w:val="002F4544"/>
    <w:rsid w:val="002F46A5"/>
    <w:rsid w:val="002F49DE"/>
    <w:rsid w:val="002F4C87"/>
    <w:rsid w:val="002F5249"/>
    <w:rsid w:val="002F5A20"/>
    <w:rsid w:val="002F629B"/>
    <w:rsid w:val="002F6550"/>
    <w:rsid w:val="002F65C6"/>
    <w:rsid w:val="002F6658"/>
    <w:rsid w:val="002F66E9"/>
    <w:rsid w:val="002F67DC"/>
    <w:rsid w:val="002F6AD9"/>
    <w:rsid w:val="002F6C56"/>
    <w:rsid w:val="002F70A3"/>
    <w:rsid w:val="002F77A3"/>
    <w:rsid w:val="002F7844"/>
    <w:rsid w:val="002F78EA"/>
    <w:rsid w:val="002F7DE5"/>
    <w:rsid w:val="002F7F30"/>
    <w:rsid w:val="002F7F34"/>
    <w:rsid w:val="002F7F4A"/>
    <w:rsid w:val="003001E5"/>
    <w:rsid w:val="00300B2B"/>
    <w:rsid w:val="00300EA9"/>
    <w:rsid w:val="00301020"/>
    <w:rsid w:val="00301274"/>
    <w:rsid w:val="00301560"/>
    <w:rsid w:val="00301670"/>
    <w:rsid w:val="00301DC7"/>
    <w:rsid w:val="00301EE2"/>
    <w:rsid w:val="0030202F"/>
    <w:rsid w:val="003022B5"/>
    <w:rsid w:val="00302435"/>
    <w:rsid w:val="00302446"/>
    <w:rsid w:val="00302831"/>
    <w:rsid w:val="0030297A"/>
    <w:rsid w:val="00302B18"/>
    <w:rsid w:val="00302D6F"/>
    <w:rsid w:val="00303037"/>
    <w:rsid w:val="0030305C"/>
    <w:rsid w:val="003036E7"/>
    <w:rsid w:val="00303B2D"/>
    <w:rsid w:val="00304B0A"/>
    <w:rsid w:val="00304FBB"/>
    <w:rsid w:val="0030573E"/>
    <w:rsid w:val="003059FF"/>
    <w:rsid w:val="00305E5E"/>
    <w:rsid w:val="00305EB4"/>
    <w:rsid w:val="0030604E"/>
    <w:rsid w:val="003060E6"/>
    <w:rsid w:val="00306292"/>
    <w:rsid w:val="00306357"/>
    <w:rsid w:val="003069D5"/>
    <w:rsid w:val="00306D87"/>
    <w:rsid w:val="003075E9"/>
    <w:rsid w:val="00307800"/>
    <w:rsid w:val="003103E6"/>
    <w:rsid w:val="003104D7"/>
    <w:rsid w:val="003107CF"/>
    <w:rsid w:val="003108EE"/>
    <w:rsid w:val="00310F59"/>
    <w:rsid w:val="0031113A"/>
    <w:rsid w:val="00311556"/>
    <w:rsid w:val="0031167F"/>
    <w:rsid w:val="00311880"/>
    <w:rsid w:val="00311A8F"/>
    <w:rsid w:val="00311F6A"/>
    <w:rsid w:val="003121F6"/>
    <w:rsid w:val="00312203"/>
    <w:rsid w:val="0031229F"/>
    <w:rsid w:val="00312873"/>
    <w:rsid w:val="00312925"/>
    <w:rsid w:val="003129C1"/>
    <w:rsid w:val="00312DF6"/>
    <w:rsid w:val="00313172"/>
    <w:rsid w:val="003132D1"/>
    <w:rsid w:val="0031339E"/>
    <w:rsid w:val="003133B8"/>
    <w:rsid w:val="00313598"/>
    <w:rsid w:val="0031364D"/>
    <w:rsid w:val="00314453"/>
    <w:rsid w:val="003144ED"/>
    <w:rsid w:val="00314A22"/>
    <w:rsid w:val="00314C61"/>
    <w:rsid w:val="003150C0"/>
    <w:rsid w:val="0031510F"/>
    <w:rsid w:val="00315490"/>
    <w:rsid w:val="003156B1"/>
    <w:rsid w:val="00315B07"/>
    <w:rsid w:val="00315D18"/>
    <w:rsid w:val="00315D88"/>
    <w:rsid w:val="0031600F"/>
    <w:rsid w:val="00316A38"/>
    <w:rsid w:val="00316BCA"/>
    <w:rsid w:val="00316CFC"/>
    <w:rsid w:val="00316EEF"/>
    <w:rsid w:val="00316FB5"/>
    <w:rsid w:val="00317596"/>
    <w:rsid w:val="003175C3"/>
    <w:rsid w:val="0031793F"/>
    <w:rsid w:val="0031794F"/>
    <w:rsid w:val="00317CB1"/>
    <w:rsid w:val="00317D8F"/>
    <w:rsid w:val="0032069A"/>
    <w:rsid w:val="003208D8"/>
    <w:rsid w:val="00320C0F"/>
    <w:rsid w:val="00320C29"/>
    <w:rsid w:val="0032157D"/>
    <w:rsid w:val="003219D3"/>
    <w:rsid w:val="00321A1C"/>
    <w:rsid w:val="00321B44"/>
    <w:rsid w:val="00321D8C"/>
    <w:rsid w:val="00321DD4"/>
    <w:rsid w:val="003223FC"/>
    <w:rsid w:val="00322523"/>
    <w:rsid w:val="0032271A"/>
    <w:rsid w:val="00322BB5"/>
    <w:rsid w:val="003235CB"/>
    <w:rsid w:val="00323F36"/>
    <w:rsid w:val="0032410C"/>
    <w:rsid w:val="00324679"/>
    <w:rsid w:val="00324795"/>
    <w:rsid w:val="00324923"/>
    <w:rsid w:val="00324B7A"/>
    <w:rsid w:val="003252CD"/>
    <w:rsid w:val="00325B0C"/>
    <w:rsid w:val="003265A8"/>
    <w:rsid w:val="00326804"/>
    <w:rsid w:val="003268B8"/>
    <w:rsid w:val="003268F4"/>
    <w:rsid w:val="00326D40"/>
    <w:rsid w:val="00327789"/>
    <w:rsid w:val="00327F79"/>
    <w:rsid w:val="003301C2"/>
    <w:rsid w:val="003304CE"/>
    <w:rsid w:val="00330763"/>
    <w:rsid w:val="00330A71"/>
    <w:rsid w:val="00330BA2"/>
    <w:rsid w:val="00330D37"/>
    <w:rsid w:val="00330F6D"/>
    <w:rsid w:val="00331197"/>
    <w:rsid w:val="003312EF"/>
    <w:rsid w:val="00331336"/>
    <w:rsid w:val="0033148A"/>
    <w:rsid w:val="0033153C"/>
    <w:rsid w:val="003319C1"/>
    <w:rsid w:val="0033205D"/>
    <w:rsid w:val="00332066"/>
    <w:rsid w:val="0033223F"/>
    <w:rsid w:val="003326A1"/>
    <w:rsid w:val="00332921"/>
    <w:rsid w:val="00333097"/>
    <w:rsid w:val="003335F0"/>
    <w:rsid w:val="00333926"/>
    <w:rsid w:val="00333DE4"/>
    <w:rsid w:val="00334401"/>
    <w:rsid w:val="003344B0"/>
    <w:rsid w:val="00334D00"/>
    <w:rsid w:val="00335539"/>
    <w:rsid w:val="00336AF3"/>
    <w:rsid w:val="00336E1C"/>
    <w:rsid w:val="00336F88"/>
    <w:rsid w:val="003378E6"/>
    <w:rsid w:val="00337CCA"/>
    <w:rsid w:val="00337E31"/>
    <w:rsid w:val="00340150"/>
    <w:rsid w:val="0034065A"/>
    <w:rsid w:val="00340C74"/>
    <w:rsid w:val="00340D88"/>
    <w:rsid w:val="00340DC9"/>
    <w:rsid w:val="00341215"/>
    <w:rsid w:val="003413E9"/>
    <w:rsid w:val="003418E5"/>
    <w:rsid w:val="00342640"/>
    <w:rsid w:val="00342ED0"/>
    <w:rsid w:val="00343481"/>
    <w:rsid w:val="003434B3"/>
    <w:rsid w:val="0034357B"/>
    <w:rsid w:val="003436BE"/>
    <w:rsid w:val="00343B11"/>
    <w:rsid w:val="00343BF8"/>
    <w:rsid w:val="00343DD3"/>
    <w:rsid w:val="00343DFE"/>
    <w:rsid w:val="00344306"/>
    <w:rsid w:val="00344617"/>
    <w:rsid w:val="00344EF7"/>
    <w:rsid w:val="0034513D"/>
    <w:rsid w:val="0034677C"/>
    <w:rsid w:val="003467D3"/>
    <w:rsid w:val="003468EB"/>
    <w:rsid w:val="003469B5"/>
    <w:rsid w:val="00346B70"/>
    <w:rsid w:val="00347078"/>
    <w:rsid w:val="003472B7"/>
    <w:rsid w:val="0034730F"/>
    <w:rsid w:val="00347564"/>
    <w:rsid w:val="003477B2"/>
    <w:rsid w:val="003477EB"/>
    <w:rsid w:val="003478C2"/>
    <w:rsid w:val="0035048A"/>
    <w:rsid w:val="00350764"/>
    <w:rsid w:val="00350802"/>
    <w:rsid w:val="00350955"/>
    <w:rsid w:val="003510F3"/>
    <w:rsid w:val="0035112A"/>
    <w:rsid w:val="00351458"/>
    <w:rsid w:val="00351AEA"/>
    <w:rsid w:val="00351BDA"/>
    <w:rsid w:val="00351DC8"/>
    <w:rsid w:val="00352389"/>
    <w:rsid w:val="003525BD"/>
    <w:rsid w:val="003527E2"/>
    <w:rsid w:val="00352999"/>
    <w:rsid w:val="00352AAF"/>
    <w:rsid w:val="00352D25"/>
    <w:rsid w:val="00352E49"/>
    <w:rsid w:val="00352EE0"/>
    <w:rsid w:val="00352F36"/>
    <w:rsid w:val="00352F3C"/>
    <w:rsid w:val="0035354C"/>
    <w:rsid w:val="00353835"/>
    <w:rsid w:val="003543A1"/>
    <w:rsid w:val="00354A09"/>
    <w:rsid w:val="00354C03"/>
    <w:rsid w:val="00354D9F"/>
    <w:rsid w:val="003551AC"/>
    <w:rsid w:val="00355740"/>
    <w:rsid w:val="00355CC0"/>
    <w:rsid w:val="00355DA5"/>
    <w:rsid w:val="003563C2"/>
    <w:rsid w:val="003565DD"/>
    <w:rsid w:val="00356850"/>
    <w:rsid w:val="00356CFF"/>
    <w:rsid w:val="00356DAE"/>
    <w:rsid w:val="003573C9"/>
    <w:rsid w:val="00357630"/>
    <w:rsid w:val="003577D6"/>
    <w:rsid w:val="00357D5B"/>
    <w:rsid w:val="00360468"/>
    <w:rsid w:val="003604B1"/>
    <w:rsid w:val="00360B06"/>
    <w:rsid w:val="003611E0"/>
    <w:rsid w:val="0036123E"/>
    <w:rsid w:val="003614B0"/>
    <w:rsid w:val="0036156F"/>
    <w:rsid w:val="00362478"/>
    <w:rsid w:val="003628AD"/>
    <w:rsid w:val="00362988"/>
    <w:rsid w:val="003629D7"/>
    <w:rsid w:val="00362B16"/>
    <w:rsid w:val="00362D9D"/>
    <w:rsid w:val="00362F86"/>
    <w:rsid w:val="0036388B"/>
    <w:rsid w:val="00363A4F"/>
    <w:rsid w:val="00364425"/>
    <w:rsid w:val="00364472"/>
    <w:rsid w:val="0036449F"/>
    <w:rsid w:val="0036504F"/>
    <w:rsid w:val="0036522A"/>
    <w:rsid w:val="0036528D"/>
    <w:rsid w:val="00365836"/>
    <w:rsid w:val="00365A93"/>
    <w:rsid w:val="00365C11"/>
    <w:rsid w:val="0036620C"/>
    <w:rsid w:val="0036635A"/>
    <w:rsid w:val="00366661"/>
    <w:rsid w:val="00366A80"/>
    <w:rsid w:val="00366C32"/>
    <w:rsid w:val="00366C38"/>
    <w:rsid w:val="00366DA0"/>
    <w:rsid w:val="00367621"/>
    <w:rsid w:val="00367A7C"/>
    <w:rsid w:val="00367E97"/>
    <w:rsid w:val="00370116"/>
    <w:rsid w:val="003707EF"/>
    <w:rsid w:val="00370BBB"/>
    <w:rsid w:val="00370C02"/>
    <w:rsid w:val="00370C21"/>
    <w:rsid w:val="00370C7E"/>
    <w:rsid w:val="003714BF"/>
    <w:rsid w:val="00371518"/>
    <w:rsid w:val="00371549"/>
    <w:rsid w:val="0037162D"/>
    <w:rsid w:val="00371770"/>
    <w:rsid w:val="00371EB5"/>
    <w:rsid w:val="00372189"/>
    <w:rsid w:val="003722A0"/>
    <w:rsid w:val="00372BFA"/>
    <w:rsid w:val="00372D4A"/>
    <w:rsid w:val="00372DB4"/>
    <w:rsid w:val="00372F8E"/>
    <w:rsid w:val="00373087"/>
    <w:rsid w:val="0037375A"/>
    <w:rsid w:val="003738C8"/>
    <w:rsid w:val="00373DCE"/>
    <w:rsid w:val="00374548"/>
    <w:rsid w:val="00374903"/>
    <w:rsid w:val="00375108"/>
    <w:rsid w:val="00375201"/>
    <w:rsid w:val="00375D85"/>
    <w:rsid w:val="00375E2A"/>
    <w:rsid w:val="0037665A"/>
    <w:rsid w:val="00376665"/>
    <w:rsid w:val="0037669C"/>
    <w:rsid w:val="00376783"/>
    <w:rsid w:val="003768DC"/>
    <w:rsid w:val="0037700A"/>
    <w:rsid w:val="00377BB7"/>
    <w:rsid w:val="00377F0B"/>
    <w:rsid w:val="00377F1E"/>
    <w:rsid w:val="003803A1"/>
    <w:rsid w:val="00380524"/>
    <w:rsid w:val="003806BA"/>
    <w:rsid w:val="00380DD5"/>
    <w:rsid w:val="00380F20"/>
    <w:rsid w:val="003810FE"/>
    <w:rsid w:val="0038125C"/>
    <w:rsid w:val="003818CA"/>
    <w:rsid w:val="00382174"/>
    <w:rsid w:val="0038252A"/>
    <w:rsid w:val="003826D3"/>
    <w:rsid w:val="003829A8"/>
    <w:rsid w:val="00382CEE"/>
    <w:rsid w:val="00383034"/>
    <w:rsid w:val="0038366F"/>
    <w:rsid w:val="00383989"/>
    <w:rsid w:val="00383BF7"/>
    <w:rsid w:val="0038449A"/>
    <w:rsid w:val="00384808"/>
    <w:rsid w:val="003848FB"/>
    <w:rsid w:val="00384A79"/>
    <w:rsid w:val="00384A87"/>
    <w:rsid w:val="00385048"/>
    <w:rsid w:val="00385758"/>
    <w:rsid w:val="00385FB7"/>
    <w:rsid w:val="00386615"/>
    <w:rsid w:val="0038758E"/>
    <w:rsid w:val="003876AF"/>
    <w:rsid w:val="00387D5A"/>
    <w:rsid w:val="0039018F"/>
    <w:rsid w:val="003907CE"/>
    <w:rsid w:val="0039093B"/>
    <w:rsid w:val="00390AE8"/>
    <w:rsid w:val="003910CE"/>
    <w:rsid w:val="003914DC"/>
    <w:rsid w:val="00391792"/>
    <w:rsid w:val="00391ADB"/>
    <w:rsid w:val="00391E08"/>
    <w:rsid w:val="00391FBF"/>
    <w:rsid w:val="0039211C"/>
    <w:rsid w:val="003921C7"/>
    <w:rsid w:val="003923F4"/>
    <w:rsid w:val="003927A5"/>
    <w:rsid w:val="003927EA"/>
    <w:rsid w:val="00392891"/>
    <w:rsid w:val="00393618"/>
    <w:rsid w:val="00393992"/>
    <w:rsid w:val="00393C5F"/>
    <w:rsid w:val="00393EEC"/>
    <w:rsid w:val="003940DF"/>
    <w:rsid w:val="0039486B"/>
    <w:rsid w:val="003948F1"/>
    <w:rsid w:val="00394A52"/>
    <w:rsid w:val="00394E9A"/>
    <w:rsid w:val="00395164"/>
    <w:rsid w:val="00395AAA"/>
    <w:rsid w:val="0039627A"/>
    <w:rsid w:val="003963B6"/>
    <w:rsid w:val="003963E9"/>
    <w:rsid w:val="003965D3"/>
    <w:rsid w:val="00396B3D"/>
    <w:rsid w:val="00397423"/>
    <w:rsid w:val="00397653"/>
    <w:rsid w:val="0039780D"/>
    <w:rsid w:val="003979E8"/>
    <w:rsid w:val="00397AEC"/>
    <w:rsid w:val="003A0607"/>
    <w:rsid w:val="003A08E5"/>
    <w:rsid w:val="003A0C9E"/>
    <w:rsid w:val="003A1956"/>
    <w:rsid w:val="003A1F2E"/>
    <w:rsid w:val="003A1F4D"/>
    <w:rsid w:val="003A1FAE"/>
    <w:rsid w:val="003A2A86"/>
    <w:rsid w:val="003A341D"/>
    <w:rsid w:val="003A3887"/>
    <w:rsid w:val="003A3AFB"/>
    <w:rsid w:val="003A3C9C"/>
    <w:rsid w:val="003A3FD7"/>
    <w:rsid w:val="003A4C6E"/>
    <w:rsid w:val="003A54B1"/>
    <w:rsid w:val="003A5505"/>
    <w:rsid w:val="003A5B80"/>
    <w:rsid w:val="003A5D91"/>
    <w:rsid w:val="003A6A9C"/>
    <w:rsid w:val="003A6B8E"/>
    <w:rsid w:val="003A6C18"/>
    <w:rsid w:val="003A7C56"/>
    <w:rsid w:val="003A7DBE"/>
    <w:rsid w:val="003B03C9"/>
    <w:rsid w:val="003B04DE"/>
    <w:rsid w:val="003B0A76"/>
    <w:rsid w:val="003B0BB8"/>
    <w:rsid w:val="003B0C33"/>
    <w:rsid w:val="003B0D8F"/>
    <w:rsid w:val="003B0EA4"/>
    <w:rsid w:val="003B0FC8"/>
    <w:rsid w:val="003B1284"/>
    <w:rsid w:val="003B1759"/>
    <w:rsid w:val="003B178E"/>
    <w:rsid w:val="003B1B69"/>
    <w:rsid w:val="003B1EB3"/>
    <w:rsid w:val="003B22FE"/>
    <w:rsid w:val="003B2480"/>
    <w:rsid w:val="003B2AA1"/>
    <w:rsid w:val="003B2C63"/>
    <w:rsid w:val="003B2DDE"/>
    <w:rsid w:val="003B2F1F"/>
    <w:rsid w:val="003B31B4"/>
    <w:rsid w:val="003B3236"/>
    <w:rsid w:val="003B34AF"/>
    <w:rsid w:val="003B3813"/>
    <w:rsid w:val="003B3A9A"/>
    <w:rsid w:val="003B4052"/>
    <w:rsid w:val="003B437B"/>
    <w:rsid w:val="003B4AD0"/>
    <w:rsid w:val="003B5183"/>
    <w:rsid w:val="003B52DF"/>
    <w:rsid w:val="003B535D"/>
    <w:rsid w:val="003B536B"/>
    <w:rsid w:val="003B5489"/>
    <w:rsid w:val="003B550E"/>
    <w:rsid w:val="003B5867"/>
    <w:rsid w:val="003B5B3C"/>
    <w:rsid w:val="003B645E"/>
    <w:rsid w:val="003B6E79"/>
    <w:rsid w:val="003B6F0F"/>
    <w:rsid w:val="003B6FC1"/>
    <w:rsid w:val="003B76F3"/>
    <w:rsid w:val="003B7AD1"/>
    <w:rsid w:val="003B7F63"/>
    <w:rsid w:val="003B7FA6"/>
    <w:rsid w:val="003C094D"/>
    <w:rsid w:val="003C09B6"/>
    <w:rsid w:val="003C1157"/>
    <w:rsid w:val="003C1864"/>
    <w:rsid w:val="003C1E88"/>
    <w:rsid w:val="003C2376"/>
    <w:rsid w:val="003C2378"/>
    <w:rsid w:val="003C280F"/>
    <w:rsid w:val="003C293C"/>
    <w:rsid w:val="003C2E18"/>
    <w:rsid w:val="003C2E93"/>
    <w:rsid w:val="003C38D4"/>
    <w:rsid w:val="003C3930"/>
    <w:rsid w:val="003C3BE7"/>
    <w:rsid w:val="003C4110"/>
    <w:rsid w:val="003C4408"/>
    <w:rsid w:val="003C4D13"/>
    <w:rsid w:val="003C519E"/>
    <w:rsid w:val="003C5528"/>
    <w:rsid w:val="003C55E4"/>
    <w:rsid w:val="003C57C0"/>
    <w:rsid w:val="003C588C"/>
    <w:rsid w:val="003C5F8D"/>
    <w:rsid w:val="003C6A94"/>
    <w:rsid w:val="003C6E0B"/>
    <w:rsid w:val="003C7224"/>
    <w:rsid w:val="003C73B6"/>
    <w:rsid w:val="003C7693"/>
    <w:rsid w:val="003D0298"/>
    <w:rsid w:val="003D0585"/>
    <w:rsid w:val="003D0970"/>
    <w:rsid w:val="003D0A09"/>
    <w:rsid w:val="003D0B0A"/>
    <w:rsid w:val="003D16F3"/>
    <w:rsid w:val="003D16F6"/>
    <w:rsid w:val="003D188D"/>
    <w:rsid w:val="003D18BA"/>
    <w:rsid w:val="003D1A27"/>
    <w:rsid w:val="003D1C26"/>
    <w:rsid w:val="003D1F3E"/>
    <w:rsid w:val="003D2633"/>
    <w:rsid w:val="003D26D2"/>
    <w:rsid w:val="003D2E26"/>
    <w:rsid w:val="003D34C0"/>
    <w:rsid w:val="003D3648"/>
    <w:rsid w:val="003D397E"/>
    <w:rsid w:val="003D3B4E"/>
    <w:rsid w:val="003D5200"/>
    <w:rsid w:val="003D579B"/>
    <w:rsid w:val="003D5868"/>
    <w:rsid w:val="003D59D1"/>
    <w:rsid w:val="003D59EC"/>
    <w:rsid w:val="003D5A65"/>
    <w:rsid w:val="003D5B58"/>
    <w:rsid w:val="003D5BA0"/>
    <w:rsid w:val="003D622E"/>
    <w:rsid w:val="003D69BE"/>
    <w:rsid w:val="003D7409"/>
    <w:rsid w:val="003D7469"/>
    <w:rsid w:val="003D7CAA"/>
    <w:rsid w:val="003D7E44"/>
    <w:rsid w:val="003D7F99"/>
    <w:rsid w:val="003E02A0"/>
    <w:rsid w:val="003E0308"/>
    <w:rsid w:val="003E0833"/>
    <w:rsid w:val="003E0C86"/>
    <w:rsid w:val="003E10EE"/>
    <w:rsid w:val="003E1175"/>
    <w:rsid w:val="003E1459"/>
    <w:rsid w:val="003E176F"/>
    <w:rsid w:val="003E1E5F"/>
    <w:rsid w:val="003E1F3A"/>
    <w:rsid w:val="003E20D0"/>
    <w:rsid w:val="003E21CE"/>
    <w:rsid w:val="003E2554"/>
    <w:rsid w:val="003E297C"/>
    <w:rsid w:val="003E3686"/>
    <w:rsid w:val="003E3EDE"/>
    <w:rsid w:val="003E46AF"/>
    <w:rsid w:val="003E4AC5"/>
    <w:rsid w:val="003E4BA1"/>
    <w:rsid w:val="003E528C"/>
    <w:rsid w:val="003E5766"/>
    <w:rsid w:val="003E57A6"/>
    <w:rsid w:val="003E6258"/>
    <w:rsid w:val="003E663C"/>
    <w:rsid w:val="003E696D"/>
    <w:rsid w:val="003E6B2F"/>
    <w:rsid w:val="003E6C4F"/>
    <w:rsid w:val="003E7526"/>
    <w:rsid w:val="003E785E"/>
    <w:rsid w:val="003F00CC"/>
    <w:rsid w:val="003F0187"/>
    <w:rsid w:val="003F069D"/>
    <w:rsid w:val="003F07AE"/>
    <w:rsid w:val="003F0F13"/>
    <w:rsid w:val="003F129A"/>
    <w:rsid w:val="003F1470"/>
    <w:rsid w:val="003F168F"/>
    <w:rsid w:val="003F18A5"/>
    <w:rsid w:val="003F18A9"/>
    <w:rsid w:val="003F31C9"/>
    <w:rsid w:val="003F3315"/>
    <w:rsid w:val="003F33A5"/>
    <w:rsid w:val="003F3446"/>
    <w:rsid w:val="003F35ED"/>
    <w:rsid w:val="003F36D3"/>
    <w:rsid w:val="003F37D5"/>
    <w:rsid w:val="003F385C"/>
    <w:rsid w:val="003F3B46"/>
    <w:rsid w:val="003F3C5E"/>
    <w:rsid w:val="003F3F97"/>
    <w:rsid w:val="003F3FB4"/>
    <w:rsid w:val="003F40AC"/>
    <w:rsid w:val="003F44F2"/>
    <w:rsid w:val="003F45E1"/>
    <w:rsid w:val="003F45F3"/>
    <w:rsid w:val="003F473B"/>
    <w:rsid w:val="003F4F81"/>
    <w:rsid w:val="003F4FA1"/>
    <w:rsid w:val="003F57B0"/>
    <w:rsid w:val="003F59D4"/>
    <w:rsid w:val="003F6407"/>
    <w:rsid w:val="003F65D1"/>
    <w:rsid w:val="003F70B4"/>
    <w:rsid w:val="003F7143"/>
    <w:rsid w:val="003F76AF"/>
    <w:rsid w:val="003F7AB1"/>
    <w:rsid w:val="0040020E"/>
    <w:rsid w:val="004003F0"/>
    <w:rsid w:val="0040085F"/>
    <w:rsid w:val="00400984"/>
    <w:rsid w:val="004012A4"/>
    <w:rsid w:val="0040136A"/>
    <w:rsid w:val="0040156C"/>
    <w:rsid w:val="00401602"/>
    <w:rsid w:val="004017FB"/>
    <w:rsid w:val="0040199C"/>
    <w:rsid w:val="00401F86"/>
    <w:rsid w:val="0040267F"/>
    <w:rsid w:val="00402C7B"/>
    <w:rsid w:val="004036D1"/>
    <w:rsid w:val="004038C0"/>
    <w:rsid w:val="00404D4F"/>
    <w:rsid w:val="00404F12"/>
    <w:rsid w:val="004050AA"/>
    <w:rsid w:val="004052B3"/>
    <w:rsid w:val="00405AAA"/>
    <w:rsid w:val="00405D5E"/>
    <w:rsid w:val="00405DE2"/>
    <w:rsid w:val="004070DA"/>
    <w:rsid w:val="004073B6"/>
    <w:rsid w:val="00407C5C"/>
    <w:rsid w:val="00407E3D"/>
    <w:rsid w:val="00407ECB"/>
    <w:rsid w:val="00410070"/>
    <w:rsid w:val="004103D0"/>
    <w:rsid w:val="0041062E"/>
    <w:rsid w:val="0041076E"/>
    <w:rsid w:val="0041089F"/>
    <w:rsid w:val="00410A22"/>
    <w:rsid w:val="00410B5D"/>
    <w:rsid w:val="0041121B"/>
    <w:rsid w:val="004112CA"/>
    <w:rsid w:val="0041159C"/>
    <w:rsid w:val="004115AE"/>
    <w:rsid w:val="00411B10"/>
    <w:rsid w:val="00412563"/>
    <w:rsid w:val="00412877"/>
    <w:rsid w:val="00412A18"/>
    <w:rsid w:val="00412C66"/>
    <w:rsid w:val="00413524"/>
    <w:rsid w:val="004135AE"/>
    <w:rsid w:val="004135D0"/>
    <w:rsid w:val="00413668"/>
    <w:rsid w:val="00413E01"/>
    <w:rsid w:val="004142A8"/>
    <w:rsid w:val="00414A16"/>
    <w:rsid w:val="00414D56"/>
    <w:rsid w:val="00414E38"/>
    <w:rsid w:val="00415DB9"/>
    <w:rsid w:val="00415F7C"/>
    <w:rsid w:val="00416762"/>
    <w:rsid w:val="004168FA"/>
    <w:rsid w:val="00416A70"/>
    <w:rsid w:val="00416B3D"/>
    <w:rsid w:val="00416E67"/>
    <w:rsid w:val="0041715A"/>
    <w:rsid w:val="0041786C"/>
    <w:rsid w:val="004202E7"/>
    <w:rsid w:val="0042030F"/>
    <w:rsid w:val="004205AC"/>
    <w:rsid w:val="004214C0"/>
    <w:rsid w:val="004216FE"/>
    <w:rsid w:val="00421D33"/>
    <w:rsid w:val="0042264F"/>
    <w:rsid w:val="00422ED3"/>
    <w:rsid w:val="004235B8"/>
    <w:rsid w:val="00423837"/>
    <w:rsid w:val="0042387B"/>
    <w:rsid w:val="004239E1"/>
    <w:rsid w:val="00423A2A"/>
    <w:rsid w:val="00423ADE"/>
    <w:rsid w:val="0042408A"/>
    <w:rsid w:val="00424329"/>
    <w:rsid w:val="00424E37"/>
    <w:rsid w:val="00425A64"/>
    <w:rsid w:val="00425BCC"/>
    <w:rsid w:val="00425EC3"/>
    <w:rsid w:val="00425F0B"/>
    <w:rsid w:val="004262C0"/>
    <w:rsid w:val="0042672A"/>
    <w:rsid w:val="004268EB"/>
    <w:rsid w:val="00426A6A"/>
    <w:rsid w:val="00426D77"/>
    <w:rsid w:val="0042763F"/>
    <w:rsid w:val="00427697"/>
    <w:rsid w:val="004278A8"/>
    <w:rsid w:val="00427A33"/>
    <w:rsid w:val="00427AB7"/>
    <w:rsid w:val="00427B6A"/>
    <w:rsid w:val="0043045A"/>
    <w:rsid w:val="00430A26"/>
    <w:rsid w:val="00431C4B"/>
    <w:rsid w:val="00432179"/>
    <w:rsid w:val="0043324D"/>
    <w:rsid w:val="00433A60"/>
    <w:rsid w:val="00433AB9"/>
    <w:rsid w:val="00433D06"/>
    <w:rsid w:val="00433F81"/>
    <w:rsid w:val="00434249"/>
    <w:rsid w:val="00434628"/>
    <w:rsid w:val="00434638"/>
    <w:rsid w:val="00434A76"/>
    <w:rsid w:val="00435077"/>
    <w:rsid w:val="0043529A"/>
    <w:rsid w:val="00435307"/>
    <w:rsid w:val="004362B5"/>
    <w:rsid w:val="004363CD"/>
    <w:rsid w:val="00436534"/>
    <w:rsid w:val="004365FD"/>
    <w:rsid w:val="00436856"/>
    <w:rsid w:val="00436AC8"/>
    <w:rsid w:val="00436DF4"/>
    <w:rsid w:val="00437518"/>
    <w:rsid w:val="004376CA"/>
    <w:rsid w:val="004378D9"/>
    <w:rsid w:val="00440B6C"/>
    <w:rsid w:val="00440B9E"/>
    <w:rsid w:val="00440E10"/>
    <w:rsid w:val="00440E81"/>
    <w:rsid w:val="00440EDC"/>
    <w:rsid w:val="00441337"/>
    <w:rsid w:val="004414DB"/>
    <w:rsid w:val="00441812"/>
    <w:rsid w:val="004421A7"/>
    <w:rsid w:val="0044237F"/>
    <w:rsid w:val="00442483"/>
    <w:rsid w:val="00442770"/>
    <w:rsid w:val="00442C6E"/>
    <w:rsid w:val="00442CDB"/>
    <w:rsid w:val="0044312A"/>
    <w:rsid w:val="004432ED"/>
    <w:rsid w:val="00443443"/>
    <w:rsid w:val="004434C3"/>
    <w:rsid w:val="004440EE"/>
    <w:rsid w:val="004444E7"/>
    <w:rsid w:val="004445C7"/>
    <w:rsid w:val="004445CF"/>
    <w:rsid w:val="004445D3"/>
    <w:rsid w:val="00444631"/>
    <w:rsid w:val="00445033"/>
    <w:rsid w:val="0044538F"/>
    <w:rsid w:val="00445531"/>
    <w:rsid w:val="00445681"/>
    <w:rsid w:val="00445856"/>
    <w:rsid w:val="00445B80"/>
    <w:rsid w:val="00445C47"/>
    <w:rsid w:val="00445FE7"/>
    <w:rsid w:val="00446174"/>
    <w:rsid w:val="0044622D"/>
    <w:rsid w:val="0044652B"/>
    <w:rsid w:val="004466C5"/>
    <w:rsid w:val="00446C1B"/>
    <w:rsid w:val="00446C77"/>
    <w:rsid w:val="00446F0D"/>
    <w:rsid w:val="0044702E"/>
    <w:rsid w:val="0044722B"/>
    <w:rsid w:val="00447C2F"/>
    <w:rsid w:val="00447D5B"/>
    <w:rsid w:val="00447F2D"/>
    <w:rsid w:val="00450099"/>
    <w:rsid w:val="004504D4"/>
    <w:rsid w:val="004505F1"/>
    <w:rsid w:val="00450714"/>
    <w:rsid w:val="00450877"/>
    <w:rsid w:val="00450D66"/>
    <w:rsid w:val="0045113B"/>
    <w:rsid w:val="00451442"/>
    <w:rsid w:val="004517D3"/>
    <w:rsid w:val="00451C82"/>
    <w:rsid w:val="00452510"/>
    <w:rsid w:val="0045274A"/>
    <w:rsid w:val="00452ACC"/>
    <w:rsid w:val="00453A46"/>
    <w:rsid w:val="0045438E"/>
    <w:rsid w:val="00454685"/>
    <w:rsid w:val="00454788"/>
    <w:rsid w:val="00455280"/>
    <w:rsid w:val="004554D6"/>
    <w:rsid w:val="00455C1C"/>
    <w:rsid w:val="00455C6C"/>
    <w:rsid w:val="00455CB8"/>
    <w:rsid w:val="004562DB"/>
    <w:rsid w:val="00456C0F"/>
    <w:rsid w:val="00457167"/>
    <w:rsid w:val="004573FB"/>
    <w:rsid w:val="00457654"/>
    <w:rsid w:val="00457E7B"/>
    <w:rsid w:val="00460EF3"/>
    <w:rsid w:val="00460F96"/>
    <w:rsid w:val="00461095"/>
    <w:rsid w:val="004616EB"/>
    <w:rsid w:val="004618A5"/>
    <w:rsid w:val="00461967"/>
    <w:rsid w:val="004621C9"/>
    <w:rsid w:val="00462729"/>
    <w:rsid w:val="00462FB7"/>
    <w:rsid w:val="00463219"/>
    <w:rsid w:val="0046322E"/>
    <w:rsid w:val="0046333F"/>
    <w:rsid w:val="00463EF9"/>
    <w:rsid w:val="004642C0"/>
    <w:rsid w:val="00464400"/>
    <w:rsid w:val="004646EB"/>
    <w:rsid w:val="00464833"/>
    <w:rsid w:val="00464B24"/>
    <w:rsid w:val="00465098"/>
    <w:rsid w:val="00465134"/>
    <w:rsid w:val="00465784"/>
    <w:rsid w:val="0046578B"/>
    <w:rsid w:val="00465DD7"/>
    <w:rsid w:val="00465E01"/>
    <w:rsid w:val="00465FDE"/>
    <w:rsid w:val="004660F8"/>
    <w:rsid w:val="004662DC"/>
    <w:rsid w:val="004664F1"/>
    <w:rsid w:val="004665DD"/>
    <w:rsid w:val="00466741"/>
    <w:rsid w:val="00466956"/>
    <w:rsid w:val="00466DAD"/>
    <w:rsid w:val="00466EC0"/>
    <w:rsid w:val="0046707B"/>
    <w:rsid w:val="004671AB"/>
    <w:rsid w:val="00467C6B"/>
    <w:rsid w:val="00467E76"/>
    <w:rsid w:val="00467FCF"/>
    <w:rsid w:val="004700D7"/>
    <w:rsid w:val="0047026A"/>
    <w:rsid w:val="004706A5"/>
    <w:rsid w:val="00471471"/>
    <w:rsid w:val="00471750"/>
    <w:rsid w:val="00471B0A"/>
    <w:rsid w:val="00471CF3"/>
    <w:rsid w:val="0047218A"/>
    <w:rsid w:val="004722D4"/>
    <w:rsid w:val="0047255E"/>
    <w:rsid w:val="004726BB"/>
    <w:rsid w:val="0047271B"/>
    <w:rsid w:val="00472852"/>
    <w:rsid w:val="00472D97"/>
    <w:rsid w:val="00472FA0"/>
    <w:rsid w:val="00472FAA"/>
    <w:rsid w:val="00473026"/>
    <w:rsid w:val="004739BF"/>
    <w:rsid w:val="004740D8"/>
    <w:rsid w:val="004746B5"/>
    <w:rsid w:val="004748BE"/>
    <w:rsid w:val="004748DA"/>
    <w:rsid w:val="00474B34"/>
    <w:rsid w:val="00474BCF"/>
    <w:rsid w:val="00474C3B"/>
    <w:rsid w:val="00474D83"/>
    <w:rsid w:val="004753AB"/>
    <w:rsid w:val="004755A7"/>
    <w:rsid w:val="004755DC"/>
    <w:rsid w:val="00475A90"/>
    <w:rsid w:val="00476187"/>
    <w:rsid w:val="0047686B"/>
    <w:rsid w:val="00476903"/>
    <w:rsid w:val="00476983"/>
    <w:rsid w:val="0047781B"/>
    <w:rsid w:val="00477D09"/>
    <w:rsid w:val="00477D6E"/>
    <w:rsid w:val="00477F08"/>
    <w:rsid w:val="004801B1"/>
    <w:rsid w:val="00480AF7"/>
    <w:rsid w:val="00480D56"/>
    <w:rsid w:val="0048121F"/>
    <w:rsid w:val="00481452"/>
    <w:rsid w:val="0048178D"/>
    <w:rsid w:val="00481947"/>
    <w:rsid w:val="00481B00"/>
    <w:rsid w:val="00481E7A"/>
    <w:rsid w:val="00481F3B"/>
    <w:rsid w:val="004827AE"/>
    <w:rsid w:val="004828C9"/>
    <w:rsid w:val="00482F0C"/>
    <w:rsid w:val="004832C5"/>
    <w:rsid w:val="004832E5"/>
    <w:rsid w:val="004838EC"/>
    <w:rsid w:val="00483D71"/>
    <w:rsid w:val="004840E9"/>
    <w:rsid w:val="004842C8"/>
    <w:rsid w:val="00484310"/>
    <w:rsid w:val="00484377"/>
    <w:rsid w:val="0048443B"/>
    <w:rsid w:val="00484CAF"/>
    <w:rsid w:val="00484FA7"/>
    <w:rsid w:val="00485970"/>
    <w:rsid w:val="00485B66"/>
    <w:rsid w:val="00485BE6"/>
    <w:rsid w:val="004864EF"/>
    <w:rsid w:val="00486FBD"/>
    <w:rsid w:val="00487131"/>
    <w:rsid w:val="0048743C"/>
    <w:rsid w:val="0048755A"/>
    <w:rsid w:val="00487C12"/>
    <w:rsid w:val="00487CA0"/>
    <w:rsid w:val="00487D60"/>
    <w:rsid w:val="00487EBA"/>
    <w:rsid w:val="004902A5"/>
    <w:rsid w:val="00490304"/>
    <w:rsid w:val="004909A0"/>
    <w:rsid w:val="00490E20"/>
    <w:rsid w:val="0049110A"/>
    <w:rsid w:val="00491189"/>
    <w:rsid w:val="0049140D"/>
    <w:rsid w:val="004917AA"/>
    <w:rsid w:val="00491C99"/>
    <w:rsid w:val="00491D57"/>
    <w:rsid w:val="004922CC"/>
    <w:rsid w:val="004923D6"/>
    <w:rsid w:val="00492A91"/>
    <w:rsid w:val="00492C22"/>
    <w:rsid w:val="00493D49"/>
    <w:rsid w:val="00493E85"/>
    <w:rsid w:val="00493FAF"/>
    <w:rsid w:val="0049408D"/>
    <w:rsid w:val="004947C5"/>
    <w:rsid w:val="004956B4"/>
    <w:rsid w:val="004956FB"/>
    <w:rsid w:val="00495B8D"/>
    <w:rsid w:val="00495C13"/>
    <w:rsid w:val="00495C42"/>
    <w:rsid w:val="00496377"/>
    <w:rsid w:val="00496AA1"/>
    <w:rsid w:val="00496BCA"/>
    <w:rsid w:val="00496FEF"/>
    <w:rsid w:val="00497693"/>
    <w:rsid w:val="0049774F"/>
    <w:rsid w:val="00497786"/>
    <w:rsid w:val="004978A0"/>
    <w:rsid w:val="00497A7E"/>
    <w:rsid w:val="00497D67"/>
    <w:rsid w:val="00497D68"/>
    <w:rsid w:val="004A03F3"/>
    <w:rsid w:val="004A0513"/>
    <w:rsid w:val="004A0D7C"/>
    <w:rsid w:val="004A0E5D"/>
    <w:rsid w:val="004A1047"/>
    <w:rsid w:val="004A11E2"/>
    <w:rsid w:val="004A16E1"/>
    <w:rsid w:val="004A1DC2"/>
    <w:rsid w:val="004A1F17"/>
    <w:rsid w:val="004A1FCF"/>
    <w:rsid w:val="004A247B"/>
    <w:rsid w:val="004A2B47"/>
    <w:rsid w:val="004A2C74"/>
    <w:rsid w:val="004A2D24"/>
    <w:rsid w:val="004A3211"/>
    <w:rsid w:val="004A3B0E"/>
    <w:rsid w:val="004A3E9A"/>
    <w:rsid w:val="004A3F90"/>
    <w:rsid w:val="004A3FB6"/>
    <w:rsid w:val="004A4276"/>
    <w:rsid w:val="004A42C0"/>
    <w:rsid w:val="004A447F"/>
    <w:rsid w:val="004A4608"/>
    <w:rsid w:val="004A5290"/>
    <w:rsid w:val="004A57A9"/>
    <w:rsid w:val="004A5E8A"/>
    <w:rsid w:val="004A6246"/>
    <w:rsid w:val="004A6885"/>
    <w:rsid w:val="004A6A27"/>
    <w:rsid w:val="004A6DED"/>
    <w:rsid w:val="004A6E71"/>
    <w:rsid w:val="004A71BC"/>
    <w:rsid w:val="004A72CC"/>
    <w:rsid w:val="004A739C"/>
    <w:rsid w:val="004A73ED"/>
    <w:rsid w:val="004A758A"/>
    <w:rsid w:val="004A76A0"/>
    <w:rsid w:val="004A76E4"/>
    <w:rsid w:val="004A77DB"/>
    <w:rsid w:val="004A7946"/>
    <w:rsid w:val="004A79AC"/>
    <w:rsid w:val="004B0755"/>
    <w:rsid w:val="004B0896"/>
    <w:rsid w:val="004B0930"/>
    <w:rsid w:val="004B1686"/>
    <w:rsid w:val="004B1BB0"/>
    <w:rsid w:val="004B1E25"/>
    <w:rsid w:val="004B1F38"/>
    <w:rsid w:val="004B2217"/>
    <w:rsid w:val="004B2A54"/>
    <w:rsid w:val="004B2C4B"/>
    <w:rsid w:val="004B2D20"/>
    <w:rsid w:val="004B2EBD"/>
    <w:rsid w:val="004B2FD0"/>
    <w:rsid w:val="004B30BC"/>
    <w:rsid w:val="004B3132"/>
    <w:rsid w:val="004B3835"/>
    <w:rsid w:val="004B3B35"/>
    <w:rsid w:val="004B3E6A"/>
    <w:rsid w:val="004B42B7"/>
    <w:rsid w:val="004B4464"/>
    <w:rsid w:val="004B44DC"/>
    <w:rsid w:val="004B485C"/>
    <w:rsid w:val="004B4A0A"/>
    <w:rsid w:val="004B4D2F"/>
    <w:rsid w:val="004B4E21"/>
    <w:rsid w:val="004B4FE1"/>
    <w:rsid w:val="004B51AF"/>
    <w:rsid w:val="004B530F"/>
    <w:rsid w:val="004B5B04"/>
    <w:rsid w:val="004B607D"/>
    <w:rsid w:val="004B662F"/>
    <w:rsid w:val="004B6712"/>
    <w:rsid w:val="004B7149"/>
    <w:rsid w:val="004B76F0"/>
    <w:rsid w:val="004B779F"/>
    <w:rsid w:val="004B78DC"/>
    <w:rsid w:val="004B797E"/>
    <w:rsid w:val="004B7A52"/>
    <w:rsid w:val="004C03E7"/>
    <w:rsid w:val="004C0813"/>
    <w:rsid w:val="004C0C0B"/>
    <w:rsid w:val="004C10C5"/>
    <w:rsid w:val="004C1335"/>
    <w:rsid w:val="004C1430"/>
    <w:rsid w:val="004C17DF"/>
    <w:rsid w:val="004C1BFA"/>
    <w:rsid w:val="004C238D"/>
    <w:rsid w:val="004C25DF"/>
    <w:rsid w:val="004C308B"/>
    <w:rsid w:val="004C30A9"/>
    <w:rsid w:val="004C351F"/>
    <w:rsid w:val="004C353D"/>
    <w:rsid w:val="004C354D"/>
    <w:rsid w:val="004C38D7"/>
    <w:rsid w:val="004C39EA"/>
    <w:rsid w:val="004C3A81"/>
    <w:rsid w:val="004C3EEC"/>
    <w:rsid w:val="004C3F1E"/>
    <w:rsid w:val="004C43D4"/>
    <w:rsid w:val="004C457E"/>
    <w:rsid w:val="004C4AE1"/>
    <w:rsid w:val="004C537F"/>
    <w:rsid w:val="004C5875"/>
    <w:rsid w:val="004C59F6"/>
    <w:rsid w:val="004C5CA3"/>
    <w:rsid w:val="004C5DFD"/>
    <w:rsid w:val="004C6155"/>
    <w:rsid w:val="004C644C"/>
    <w:rsid w:val="004C6E83"/>
    <w:rsid w:val="004C7A05"/>
    <w:rsid w:val="004C7A39"/>
    <w:rsid w:val="004C7E07"/>
    <w:rsid w:val="004C7E8D"/>
    <w:rsid w:val="004C7F01"/>
    <w:rsid w:val="004C7F6D"/>
    <w:rsid w:val="004D004A"/>
    <w:rsid w:val="004D0F00"/>
    <w:rsid w:val="004D101E"/>
    <w:rsid w:val="004D115F"/>
    <w:rsid w:val="004D1283"/>
    <w:rsid w:val="004D1463"/>
    <w:rsid w:val="004D1CB3"/>
    <w:rsid w:val="004D1DE2"/>
    <w:rsid w:val="004D1DF2"/>
    <w:rsid w:val="004D1E24"/>
    <w:rsid w:val="004D20D9"/>
    <w:rsid w:val="004D2159"/>
    <w:rsid w:val="004D21FE"/>
    <w:rsid w:val="004D293F"/>
    <w:rsid w:val="004D2950"/>
    <w:rsid w:val="004D2D1D"/>
    <w:rsid w:val="004D2D76"/>
    <w:rsid w:val="004D3327"/>
    <w:rsid w:val="004D3379"/>
    <w:rsid w:val="004D3612"/>
    <w:rsid w:val="004D3864"/>
    <w:rsid w:val="004D3A87"/>
    <w:rsid w:val="004D3D53"/>
    <w:rsid w:val="004D4246"/>
    <w:rsid w:val="004D4273"/>
    <w:rsid w:val="004D44A8"/>
    <w:rsid w:val="004D45F6"/>
    <w:rsid w:val="004D47F2"/>
    <w:rsid w:val="004D5414"/>
    <w:rsid w:val="004D5757"/>
    <w:rsid w:val="004D5819"/>
    <w:rsid w:val="004D585F"/>
    <w:rsid w:val="004D5A97"/>
    <w:rsid w:val="004D6046"/>
    <w:rsid w:val="004D61FA"/>
    <w:rsid w:val="004D6EC1"/>
    <w:rsid w:val="004D6F04"/>
    <w:rsid w:val="004D7062"/>
    <w:rsid w:val="004D71FE"/>
    <w:rsid w:val="004D739B"/>
    <w:rsid w:val="004D73FC"/>
    <w:rsid w:val="004D74AF"/>
    <w:rsid w:val="004D7910"/>
    <w:rsid w:val="004E094D"/>
    <w:rsid w:val="004E0BA0"/>
    <w:rsid w:val="004E0CA7"/>
    <w:rsid w:val="004E1021"/>
    <w:rsid w:val="004E1073"/>
    <w:rsid w:val="004E112B"/>
    <w:rsid w:val="004E14B0"/>
    <w:rsid w:val="004E1562"/>
    <w:rsid w:val="004E15C9"/>
    <w:rsid w:val="004E1829"/>
    <w:rsid w:val="004E19C9"/>
    <w:rsid w:val="004E1C22"/>
    <w:rsid w:val="004E1DFA"/>
    <w:rsid w:val="004E1F3A"/>
    <w:rsid w:val="004E2153"/>
    <w:rsid w:val="004E43A0"/>
    <w:rsid w:val="004E4558"/>
    <w:rsid w:val="004E4846"/>
    <w:rsid w:val="004E492C"/>
    <w:rsid w:val="004E4C4F"/>
    <w:rsid w:val="004E4D3E"/>
    <w:rsid w:val="004E5002"/>
    <w:rsid w:val="004E51C8"/>
    <w:rsid w:val="004E5763"/>
    <w:rsid w:val="004E5830"/>
    <w:rsid w:val="004E5C50"/>
    <w:rsid w:val="004E5D1D"/>
    <w:rsid w:val="004E5D60"/>
    <w:rsid w:val="004E5E7A"/>
    <w:rsid w:val="004E5FD5"/>
    <w:rsid w:val="004E6675"/>
    <w:rsid w:val="004E66ED"/>
    <w:rsid w:val="004E67ED"/>
    <w:rsid w:val="004E6815"/>
    <w:rsid w:val="004E6B4D"/>
    <w:rsid w:val="004E6C5C"/>
    <w:rsid w:val="004E7007"/>
    <w:rsid w:val="004E70AA"/>
    <w:rsid w:val="004E7386"/>
    <w:rsid w:val="004E7516"/>
    <w:rsid w:val="004E7EB0"/>
    <w:rsid w:val="004F07D9"/>
    <w:rsid w:val="004F0AC5"/>
    <w:rsid w:val="004F0D23"/>
    <w:rsid w:val="004F103C"/>
    <w:rsid w:val="004F10E7"/>
    <w:rsid w:val="004F1319"/>
    <w:rsid w:val="004F1525"/>
    <w:rsid w:val="004F1843"/>
    <w:rsid w:val="004F1953"/>
    <w:rsid w:val="004F1CE0"/>
    <w:rsid w:val="004F2206"/>
    <w:rsid w:val="004F2C6E"/>
    <w:rsid w:val="004F2F86"/>
    <w:rsid w:val="004F3EC5"/>
    <w:rsid w:val="004F3F60"/>
    <w:rsid w:val="004F41FE"/>
    <w:rsid w:val="004F506E"/>
    <w:rsid w:val="004F52BB"/>
    <w:rsid w:val="004F54DC"/>
    <w:rsid w:val="004F5649"/>
    <w:rsid w:val="004F59B0"/>
    <w:rsid w:val="004F60F5"/>
    <w:rsid w:val="004F63A2"/>
    <w:rsid w:val="004F6466"/>
    <w:rsid w:val="004F6AC8"/>
    <w:rsid w:val="004F6EE4"/>
    <w:rsid w:val="004F713A"/>
    <w:rsid w:val="004F79CB"/>
    <w:rsid w:val="004F7A2F"/>
    <w:rsid w:val="004F7E84"/>
    <w:rsid w:val="00500002"/>
    <w:rsid w:val="00500463"/>
    <w:rsid w:val="00500817"/>
    <w:rsid w:val="00500A0E"/>
    <w:rsid w:val="00500C3F"/>
    <w:rsid w:val="005014AB"/>
    <w:rsid w:val="0050197A"/>
    <w:rsid w:val="00501ABB"/>
    <w:rsid w:val="00501DBB"/>
    <w:rsid w:val="00501F6F"/>
    <w:rsid w:val="005023B0"/>
    <w:rsid w:val="005023E8"/>
    <w:rsid w:val="0050250C"/>
    <w:rsid w:val="00502686"/>
    <w:rsid w:val="00502F45"/>
    <w:rsid w:val="005030CF"/>
    <w:rsid w:val="005033C2"/>
    <w:rsid w:val="0050344B"/>
    <w:rsid w:val="005038F6"/>
    <w:rsid w:val="00503B5F"/>
    <w:rsid w:val="00503B82"/>
    <w:rsid w:val="00503D4C"/>
    <w:rsid w:val="00504156"/>
    <w:rsid w:val="0050460A"/>
    <w:rsid w:val="005047E1"/>
    <w:rsid w:val="00504882"/>
    <w:rsid w:val="00505551"/>
    <w:rsid w:val="0050566D"/>
    <w:rsid w:val="00505A53"/>
    <w:rsid w:val="00505F4C"/>
    <w:rsid w:val="0050609C"/>
    <w:rsid w:val="005060CB"/>
    <w:rsid w:val="0050610B"/>
    <w:rsid w:val="00506307"/>
    <w:rsid w:val="005063B9"/>
    <w:rsid w:val="00506AC0"/>
    <w:rsid w:val="00506D31"/>
    <w:rsid w:val="00506E9C"/>
    <w:rsid w:val="0050711A"/>
    <w:rsid w:val="005072C9"/>
    <w:rsid w:val="00507D19"/>
    <w:rsid w:val="00507D22"/>
    <w:rsid w:val="00510395"/>
    <w:rsid w:val="00510894"/>
    <w:rsid w:val="00510C1E"/>
    <w:rsid w:val="00510CEB"/>
    <w:rsid w:val="00510D01"/>
    <w:rsid w:val="00510DF0"/>
    <w:rsid w:val="00511321"/>
    <w:rsid w:val="00511600"/>
    <w:rsid w:val="0051167B"/>
    <w:rsid w:val="005116EB"/>
    <w:rsid w:val="00511787"/>
    <w:rsid w:val="005119AD"/>
    <w:rsid w:val="00511BA0"/>
    <w:rsid w:val="00511D11"/>
    <w:rsid w:val="00511D31"/>
    <w:rsid w:val="00511E7E"/>
    <w:rsid w:val="00512224"/>
    <w:rsid w:val="00512484"/>
    <w:rsid w:val="00512653"/>
    <w:rsid w:val="005129AB"/>
    <w:rsid w:val="00512BD9"/>
    <w:rsid w:val="00512E29"/>
    <w:rsid w:val="0051322E"/>
    <w:rsid w:val="005134D6"/>
    <w:rsid w:val="005137A4"/>
    <w:rsid w:val="00513822"/>
    <w:rsid w:val="00513E08"/>
    <w:rsid w:val="00513E16"/>
    <w:rsid w:val="00513F68"/>
    <w:rsid w:val="005142DD"/>
    <w:rsid w:val="0051532F"/>
    <w:rsid w:val="00515AA5"/>
    <w:rsid w:val="00515CB9"/>
    <w:rsid w:val="00517820"/>
    <w:rsid w:val="005179E2"/>
    <w:rsid w:val="00517CFC"/>
    <w:rsid w:val="005202E6"/>
    <w:rsid w:val="00520991"/>
    <w:rsid w:val="00520BB5"/>
    <w:rsid w:val="00521231"/>
    <w:rsid w:val="0052126C"/>
    <w:rsid w:val="00521E2E"/>
    <w:rsid w:val="00521F32"/>
    <w:rsid w:val="005224FD"/>
    <w:rsid w:val="005225F4"/>
    <w:rsid w:val="005226A5"/>
    <w:rsid w:val="005228C2"/>
    <w:rsid w:val="00523374"/>
    <w:rsid w:val="0052390F"/>
    <w:rsid w:val="0052398D"/>
    <w:rsid w:val="0052463C"/>
    <w:rsid w:val="00524DE0"/>
    <w:rsid w:val="00524EE5"/>
    <w:rsid w:val="00524F2B"/>
    <w:rsid w:val="0052501C"/>
    <w:rsid w:val="00525576"/>
    <w:rsid w:val="00525718"/>
    <w:rsid w:val="00525758"/>
    <w:rsid w:val="005257C1"/>
    <w:rsid w:val="00525808"/>
    <w:rsid w:val="00525D42"/>
    <w:rsid w:val="00525E77"/>
    <w:rsid w:val="00525F10"/>
    <w:rsid w:val="005263BC"/>
    <w:rsid w:val="0052658B"/>
    <w:rsid w:val="005265EA"/>
    <w:rsid w:val="005266AE"/>
    <w:rsid w:val="00526791"/>
    <w:rsid w:val="00526CEA"/>
    <w:rsid w:val="00527048"/>
    <w:rsid w:val="0052762C"/>
    <w:rsid w:val="00527D14"/>
    <w:rsid w:val="00527DCF"/>
    <w:rsid w:val="00527EB8"/>
    <w:rsid w:val="005303A3"/>
    <w:rsid w:val="0053091D"/>
    <w:rsid w:val="005309B3"/>
    <w:rsid w:val="00530A29"/>
    <w:rsid w:val="00530E7C"/>
    <w:rsid w:val="00531176"/>
    <w:rsid w:val="00531311"/>
    <w:rsid w:val="00531533"/>
    <w:rsid w:val="00531694"/>
    <w:rsid w:val="00531B53"/>
    <w:rsid w:val="00531CD8"/>
    <w:rsid w:val="00531E0C"/>
    <w:rsid w:val="00532043"/>
    <w:rsid w:val="0053251E"/>
    <w:rsid w:val="0053293F"/>
    <w:rsid w:val="00532952"/>
    <w:rsid w:val="00532D4A"/>
    <w:rsid w:val="00532D62"/>
    <w:rsid w:val="00532E3F"/>
    <w:rsid w:val="00532E69"/>
    <w:rsid w:val="00533A87"/>
    <w:rsid w:val="005343AC"/>
    <w:rsid w:val="005346B0"/>
    <w:rsid w:val="00534B65"/>
    <w:rsid w:val="00534D9A"/>
    <w:rsid w:val="00534DA0"/>
    <w:rsid w:val="00534E42"/>
    <w:rsid w:val="00534E63"/>
    <w:rsid w:val="00535588"/>
    <w:rsid w:val="00535CED"/>
    <w:rsid w:val="00535D79"/>
    <w:rsid w:val="0053617A"/>
    <w:rsid w:val="00536266"/>
    <w:rsid w:val="005364CB"/>
    <w:rsid w:val="00536916"/>
    <w:rsid w:val="00537566"/>
    <w:rsid w:val="00537AF3"/>
    <w:rsid w:val="00537D58"/>
    <w:rsid w:val="00540013"/>
    <w:rsid w:val="0054059F"/>
    <w:rsid w:val="005408A2"/>
    <w:rsid w:val="00540D48"/>
    <w:rsid w:val="00540FE4"/>
    <w:rsid w:val="0054165D"/>
    <w:rsid w:val="005420BC"/>
    <w:rsid w:val="0054262E"/>
    <w:rsid w:val="0054289F"/>
    <w:rsid w:val="00542912"/>
    <w:rsid w:val="0054293C"/>
    <w:rsid w:val="00542C20"/>
    <w:rsid w:val="00543267"/>
    <w:rsid w:val="0054345C"/>
    <w:rsid w:val="0054364A"/>
    <w:rsid w:val="005438A2"/>
    <w:rsid w:val="005441D8"/>
    <w:rsid w:val="0054427E"/>
    <w:rsid w:val="005442CA"/>
    <w:rsid w:val="00544BE5"/>
    <w:rsid w:val="00544FE2"/>
    <w:rsid w:val="00545045"/>
    <w:rsid w:val="0054523E"/>
    <w:rsid w:val="00545EA4"/>
    <w:rsid w:val="00546EDE"/>
    <w:rsid w:val="005474C7"/>
    <w:rsid w:val="00547703"/>
    <w:rsid w:val="00547782"/>
    <w:rsid w:val="005479CA"/>
    <w:rsid w:val="00547A76"/>
    <w:rsid w:val="00547B58"/>
    <w:rsid w:val="00547B8B"/>
    <w:rsid w:val="00547E4A"/>
    <w:rsid w:val="00547F9D"/>
    <w:rsid w:val="005504DA"/>
    <w:rsid w:val="0055068A"/>
    <w:rsid w:val="0055079F"/>
    <w:rsid w:val="00550F7B"/>
    <w:rsid w:val="00551813"/>
    <w:rsid w:val="00551945"/>
    <w:rsid w:val="005522E4"/>
    <w:rsid w:val="00552407"/>
    <w:rsid w:val="00552827"/>
    <w:rsid w:val="00552CBF"/>
    <w:rsid w:val="00553773"/>
    <w:rsid w:val="005539BF"/>
    <w:rsid w:val="00553A2F"/>
    <w:rsid w:val="00553DAC"/>
    <w:rsid w:val="005543CC"/>
    <w:rsid w:val="00554541"/>
    <w:rsid w:val="00554CA0"/>
    <w:rsid w:val="00554D9E"/>
    <w:rsid w:val="00554F69"/>
    <w:rsid w:val="00555471"/>
    <w:rsid w:val="00555F43"/>
    <w:rsid w:val="00556835"/>
    <w:rsid w:val="005568EC"/>
    <w:rsid w:val="00556C93"/>
    <w:rsid w:val="005571CA"/>
    <w:rsid w:val="005571F3"/>
    <w:rsid w:val="0055723B"/>
    <w:rsid w:val="0055771B"/>
    <w:rsid w:val="00557A13"/>
    <w:rsid w:val="00557A8B"/>
    <w:rsid w:val="00557C58"/>
    <w:rsid w:val="00557F2F"/>
    <w:rsid w:val="00557FE0"/>
    <w:rsid w:val="005601EF"/>
    <w:rsid w:val="0056036E"/>
    <w:rsid w:val="005605FE"/>
    <w:rsid w:val="00560866"/>
    <w:rsid w:val="00560A05"/>
    <w:rsid w:val="00561599"/>
    <w:rsid w:val="0056194B"/>
    <w:rsid w:val="00561A73"/>
    <w:rsid w:val="0056263D"/>
    <w:rsid w:val="005628FA"/>
    <w:rsid w:val="0056297B"/>
    <w:rsid w:val="00562A3F"/>
    <w:rsid w:val="005633A7"/>
    <w:rsid w:val="00563825"/>
    <w:rsid w:val="00563DC0"/>
    <w:rsid w:val="00563FEC"/>
    <w:rsid w:val="00564419"/>
    <w:rsid w:val="00564A71"/>
    <w:rsid w:val="00564E8E"/>
    <w:rsid w:val="00565027"/>
    <w:rsid w:val="005650C9"/>
    <w:rsid w:val="00565336"/>
    <w:rsid w:val="005658D4"/>
    <w:rsid w:val="005662B2"/>
    <w:rsid w:val="005664AD"/>
    <w:rsid w:val="005668E0"/>
    <w:rsid w:val="00566A8E"/>
    <w:rsid w:val="00566D89"/>
    <w:rsid w:val="00566EDA"/>
    <w:rsid w:val="005674C3"/>
    <w:rsid w:val="0056778B"/>
    <w:rsid w:val="00567C72"/>
    <w:rsid w:val="00567DA3"/>
    <w:rsid w:val="005706BA"/>
    <w:rsid w:val="0057083F"/>
    <w:rsid w:val="005709A3"/>
    <w:rsid w:val="00570F1F"/>
    <w:rsid w:val="005713EF"/>
    <w:rsid w:val="00571772"/>
    <w:rsid w:val="005719AE"/>
    <w:rsid w:val="00571A68"/>
    <w:rsid w:val="00572362"/>
    <w:rsid w:val="005726F8"/>
    <w:rsid w:val="00573493"/>
    <w:rsid w:val="00573571"/>
    <w:rsid w:val="0057368F"/>
    <w:rsid w:val="0057393F"/>
    <w:rsid w:val="00573AC2"/>
    <w:rsid w:val="00573BA3"/>
    <w:rsid w:val="00574246"/>
    <w:rsid w:val="005745F1"/>
    <w:rsid w:val="0057469C"/>
    <w:rsid w:val="005748A0"/>
    <w:rsid w:val="00574AF2"/>
    <w:rsid w:val="00574BF1"/>
    <w:rsid w:val="00574CE5"/>
    <w:rsid w:val="00575164"/>
    <w:rsid w:val="005756C7"/>
    <w:rsid w:val="005760E9"/>
    <w:rsid w:val="00576310"/>
    <w:rsid w:val="005768C1"/>
    <w:rsid w:val="00576D3F"/>
    <w:rsid w:val="0057732F"/>
    <w:rsid w:val="00577992"/>
    <w:rsid w:val="00577F9F"/>
    <w:rsid w:val="005801BF"/>
    <w:rsid w:val="0058028B"/>
    <w:rsid w:val="005802B7"/>
    <w:rsid w:val="005803F7"/>
    <w:rsid w:val="00580E78"/>
    <w:rsid w:val="00581002"/>
    <w:rsid w:val="00581081"/>
    <w:rsid w:val="00581084"/>
    <w:rsid w:val="00581295"/>
    <w:rsid w:val="00581BEB"/>
    <w:rsid w:val="00581DC5"/>
    <w:rsid w:val="00582373"/>
    <w:rsid w:val="00582B4B"/>
    <w:rsid w:val="00582E6D"/>
    <w:rsid w:val="005834AC"/>
    <w:rsid w:val="005836E4"/>
    <w:rsid w:val="00583EFE"/>
    <w:rsid w:val="00584084"/>
    <w:rsid w:val="005843AD"/>
    <w:rsid w:val="0058486B"/>
    <w:rsid w:val="00584997"/>
    <w:rsid w:val="00584BE7"/>
    <w:rsid w:val="00584CC2"/>
    <w:rsid w:val="00584DEA"/>
    <w:rsid w:val="00585077"/>
    <w:rsid w:val="00585195"/>
    <w:rsid w:val="0058526A"/>
    <w:rsid w:val="00585865"/>
    <w:rsid w:val="00585F10"/>
    <w:rsid w:val="00586097"/>
    <w:rsid w:val="0058615E"/>
    <w:rsid w:val="005866D1"/>
    <w:rsid w:val="005868C6"/>
    <w:rsid w:val="00586A3D"/>
    <w:rsid w:val="00586D76"/>
    <w:rsid w:val="005875B2"/>
    <w:rsid w:val="00587BCC"/>
    <w:rsid w:val="00587EC3"/>
    <w:rsid w:val="00587FEB"/>
    <w:rsid w:val="005903D6"/>
    <w:rsid w:val="00590409"/>
    <w:rsid w:val="005909A9"/>
    <w:rsid w:val="00590AF4"/>
    <w:rsid w:val="00590E7E"/>
    <w:rsid w:val="005914E3"/>
    <w:rsid w:val="00591CDB"/>
    <w:rsid w:val="00591D26"/>
    <w:rsid w:val="00591D8F"/>
    <w:rsid w:val="00592028"/>
    <w:rsid w:val="005924B9"/>
    <w:rsid w:val="005924CF"/>
    <w:rsid w:val="00592BE3"/>
    <w:rsid w:val="00592C4F"/>
    <w:rsid w:val="0059309A"/>
    <w:rsid w:val="00593C31"/>
    <w:rsid w:val="00593D49"/>
    <w:rsid w:val="00594077"/>
    <w:rsid w:val="005944C9"/>
    <w:rsid w:val="0059455A"/>
    <w:rsid w:val="00594727"/>
    <w:rsid w:val="00594937"/>
    <w:rsid w:val="00594BAD"/>
    <w:rsid w:val="00594C8A"/>
    <w:rsid w:val="00594E64"/>
    <w:rsid w:val="00594FF6"/>
    <w:rsid w:val="005952AB"/>
    <w:rsid w:val="0059533B"/>
    <w:rsid w:val="005953FC"/>
    <w:rsid w:val="00595402"/>
    <w:rsid w:val="005955AB"/>
    <w:rsid w:val="00595613"/>
    <w:rsid w:val="00595D66"/>
    <w:rsid w:val="00596063"/>
    <w:rsid w:val="0059625B"/>
    <w:rsid w:val="005964C3"/>
    <w:rsid w:val="00596551"/>
    <w:rsid w:val="005968BF"/>
    <w:rsid w:val="00596948"/>
    <w:rsid w:val="00596AB5"/>
    <w:rsid w:val="00596C41"/>
    <w:rsid w:val="00597060"/>
    <w:rsid w:val="005972D0"/>
    <w:rsid w:val="00597309"/>
    <w:rsid w:val="00597516"/>
    <w:rsid w:val="00597915"/>
    <w:rsid w:val="00597A15"/>
    <w:rsid w:val="00597D52"/>
    <w:rsid w:val="00597DC0"/>
    <w:rsid w:val="00597EAF"/>
    <w:rsid w:val="005A024A"/>
    <w:rsid w:val="005A08DF"/>
    <w:rsid w:val="005A1086"/>
    <w:rsid w:val="005A1E0F"/>
    <w:rsid w:val="005A1E19"/>
    <w:rsid w:val="005A2168"/>
    <w:rsid w:val="005A2371"/>
    <w:rsid w:val="005A2798"/>
    <w:rsid w:val="005A2D06"/>
    <w:rsid w:val="005A2D42"/>
    <w:rsid w:val="005A2D4A"/>
    <w:rsid w:val="005A2D9F"/>
    <w:rsid w:val="005A35D3"/>
    <w:rsid w:val="005A3F69"/>
    <w:rsid w:val="005A4378"/>
    <w:rsid w:val="005A4467"/>
    <w:rsid w:val="005A44FB"/>
    <w:rsid w:val="005A4725"/>
    <w:rsid w:val="005A56F0"/>
    <w:rsid w:val="005A5713"/>
    <w:rsid w:val="005A5747"/>
    <w:rsid w:val="005A5977"/>
    <w:rsid w:val="005A643D"/>
    <w:rsid w:val="005A6538"/>
    <w:rsid w:val="005A66E0"/>
    <w:rsid w:val="005A68F9"/>
    <w:rsid w:val="005A6B65"/>
    <w:rsid w:val="005A6D61"/>
    <w:rsid w:val="005A7019"/>
    <w:rsid w:val="005A7134"/>
    <w:rsid w:val="005A71D0"/>
    <w:rsid w:val="005A7276"/>
    <w:rsid w:val="005A72B0"/>
    <w:rsid w:val="005A76BA"/>
    <w:rsid w:val="005A7EAA"/>
    <w:rsid w:val="005B0603"/>
    <w:rsid w:val="005B103B"/>
    <w:rsid w:val="005B10F6"/>
    <w:rsid w:val="005B1134"/>
    <w:rsid w:val="005B130B"/>
    <w:rsid w:val="005B154F"/>
    <w:rsid w:val="005B1562"/>
    <w:rsid w:val="005B18EA"/>
    <w:rsid w:val="005B1A2D"/>
    <w:rsid w:val="005B1BB7"/>
    <w:rsid w:val="005B26D6"/>
    <w:rsid w:val="005B27FC"/>
    <w:rsid w:val="005B29B5"/>
    <w:rsid w:val="005B2A90"/>
    <w:rsid w:val="005B2E64"/>
    <w:rsid w:val="005B354C"/>
    <w:rsid w:val="005B376B"/>
    <w:rsid w:val="005B389D"/>
    <w:rsid w:val="005B38CF"/>
    <w:rsid w:val="005B3C03"/>
    <w:rsid w:val="005B3CD5"/>
    <w:rsid w:val="005B4308"/>
    <w:rsid w:val="005B4376"/>
    <w:rsid w:val="005B442B"/>
    <w:rsid w:val="005B4DE2"/>
    <w:rsid w:val="005B4F59"/>
    <w:rsid w:val="005B5027"/>
    <w:rsid w:val="005B5440"/>
    <w:rsid w:val="005B54C0"/>
    <w:rsid w:val="005B5522"/>
    <w:rsid w:val="005B5B49"/>
    <w:rsid w:val="005B5F38"/>
    <w:rsid w:val="005B64EE"/>
    <w:rsid w:val="005B6B9C"/>
    <w:rsid w:val="005B6FC4"/>
    <w:rsid w:val="005B757A"/>
    <w:rsid w:val="005B7625"/>
    <w:rsid w:val="005B7639"/>
    <w:rsid w:val="005B79E3"/>
    <w:rsid w:val="005C0013"/>
    <w:rsid w:val="005C01EF"/>
    <w:rsid w:val="005C05B5"/>
    <w:rsid w:val="005C06B5"/>
    <w:rsid w:val="005C089D"/>
    <w:rsid w:val="005C11B4"/>
    <w:rsid w:val="005C143D"/>
    <w:rsid w:val="005C1738"/>
    <w:rsid w:val="005C1756"/>
    <w:rsid w:val="005C1BCF"/>
    <w:rsid w:val="005C2127"/>
    <w:rsid w:val="005C2309"/>
    <w:rsid w:val="005C23CF"/>
    <w:rsid w:val="005C257E"/>
    <w:rsid w:val="005C2F7E"/>
    <w:rsid w:val="005C34C2"/>
    <w:rsid w:val="005C3B77"/>
    <w:rsid w:val="005C3D6A"/>
    <w:rsid w:val="005C40DA"/>
    <w:rsid w:val="005C4306"/>
    <w:rsid w:val="005C46B1"/>
    <w:rsid w:val="005C506D"/>
    <w:rsid w:val="005C5586"/>
    <w:rsid w:val="005C56DE"/>
    <w:rsid w:val="005C5761"/>
    <w:rsid w:val="005C655F"/>
    <w:rsid w:val="005C665A"/>
    <w:rsid w:val="005C667B"/>
    <w:rsid w:val="005C6885"/>
    <w:rsid w:val="005C6C33"/>
    <w:rsid w:val="005C708F"/>
    <w:rsid w:val="005C766D"/>
    <w:rsid w:val="005C7750"/>
    <w:rsid w:val="005C7BD0"/>
    <w:rsid w:val="005D007D"/>
    <w:rsid w:val="005D0198"/>
    <w:rsid w:val="005D0CEC"/>
    <w:rsid w:val="005D0CFF"/>
    <w:rsid w:val="005D148D"/>
    <w:rsid w:val="005D1705"/>
    <w:rsid w:val="005D1828"/>
    <w:rsid w:val="005D206F"/>
    <w:rsid w:val="005D2233"/>
    <w:rsid w:val="005D225C"/>
    <w:rsid w:val="005D2266"/>
    <w:rsid w:val="005D232E"/>
    <w:rsid w:val="005D24E7"/>
    <w:rsid w:val="005D2665"/>
    <w:rsid w:val="005D2D11"/>
    <w:rsid w:val="005D2DDE"/>
    <w:rsid w:val="005D323A"/>
    <w:rsid w:val="005D32CB"/>
    <w:rsid w:val="005D34E7"/>
    <w:rsid w:val="005D3A16"/>
    <w:rsid w:val="005D3EAB"/>
    <w:rsid w:val="005D452F"/>
    <w:rsid w:val="005D47E7"/>
    <w:rsid w:val="005D4CB8"/>
    <w:rsid w:val="005D4D47"/>
    <w:rsid w:val="005D52B3"/>
    <w:rsid w:val="005D5A8D"/>
    <w:rsid w:val="005D5D7D"/>
    <w:rsid w:val="005D6798"/>
    <w:rsid w:val="005D6990"/>
    <w:rsid w:val="005D6CD1"/>
    <w:rsid w:val="005D7849"/>
    <w:rsid w:val="005D796D"/>
    <w:rsid w:val="005E045B"/>
    <w:rsid w:val="005E0958"/>
    <w:rsid w:val="005E0FBD"/>
    <w:rsid w:val="005E1672"/>
    <w:rsid w:val="005E170F"/>
    <w:rsid w:val="005E2079"/>
    <w:rsid w:val="005E2957"/>
    <w:rsid w:val="005E2CA6"/>
    <w:rsid w:val="005E2D6F"/>
    <w:rsid w:val="005E2D77"/>
    <w:rsid w:val="005E3137"/>
    <w:rsid w:val="005E316F"/>
    <w:rsid w:val="005E3181"/>
    <w:rsid w:val="005E346F"/>
    <w:rsid w:val="005E355F"/>
    <w:rsid w:val="005E3724"/>
    <w:rsid w:val="005E37D8"/>
    <w:rsid w:val="005E3983"/>
    <w:rsid w:val="005E4518"/>
    <w:rsid w:val="005E4871"/>
    <w:rsid w:val="005E4A87"/>
    <w:rsid w:val="005E4ABB"/>
    <w:rsid w:val="005E4DA8"/>
    <w:rsid w:val="005E4F69"/>
    <w:rsid w:val="005E4FFB"/>
    <w:rsid w:val="005E520B"/>
    <w:rsid w:val="005E53E1"/>
    <w:rsid w:val="005E6551"/>
    <w:rsid w:val="005E7AAA"/>
    <w:rsid w:val="005F0650"/>
    <w:rsid w:val="005F0982"/>
    <w:rsid w:val="005F0A18"/>
    <w:rsid w:val="005F0A88"/>
    <w:rsid w:val="005F0F33"/>
    <w:rsid w:val="005F15B6"/>
    <w:rsid w:val="005F1D8F"/>
    <w:rsid w:val="005F2026"/>
    <w:rsid w:val="005F2729"/>
    <w:rsid w:val="005F2937"/>
    <w:rsid w:val="005F2B29"/>
    <w:rsid w:val="005F2D7D"/>
    <w:rsid w:val="005F2DCE"/>
    <w:rsid w:val="005F3364"/>
    <w:rsid w:val="005F371B"/>
    <w:rsid w:val="005F3AB5"/>
    <w:rsid w:val="005F3D56"/>
    <w:rsid w:val="005F3F59"/>
    <w:rsid w:val="005F4450"/>
    <w:rsid w:val="005F467C"/>
    <w:rsid w:val="005F471E"/>
    <w:rsid w:val="005F48F3"/>
    <w:rsid w:val="005F4A22"/>
    <w:rsid w:val="005F4CA7"/>
    <w:rsid w:val="005F503B"/>
    <w:rsid w:val="005F5688"/>
    <w:rsid w:val="005F591B"/>
    <w:rsid w:val="005F59AE"/>
    <w:rsid w:val="005F5E67"/>
    <w:rsid w:val="005F60DC"/>
    <w:rsid w:val="005F669E"/>
    <w:rsid w:val="005F66A1"/>
    <w:rsid w:val="005F700D"/>
    <w:rsid w:val="005F7AA0"/>
    <w:rsid w:val="005F7BC0"/>
    <w:rsid w:val="005F7DAE"/>
    <w:rsid w:val="00600044"/>
    <w:rsid w:val="006000EE"/>
    <w:rsid w:val="0060045C"/>
    <w:rsid w:val="00600570"/>
    <w:rsid w:val="006005BC"/>
    <w:rsid w:val="006008E4"/>
    <w:rsid w:val="00600BB1"/>
    <w:rsid w:val="00600CD3"/>
    <w:rsid w:val="006013C6"/>
    <w:rsid w:val="006013E9"/>
    <w:rsid w:val="00601FC5"/>
    <w:rsid w:val="00602387"/>
    <w:rsid w:val="00602445"/>
    <w:rsid w:val="0060260E"/>
    <w:rsid w:val="006028EF"/>
    <w:rsid w:val="00602BA3"/>
    <w:rsid w:val="00603003"/>
    <w:rsid w:val="0060341F"/>
    <w:rsid w:val="006039C5"/>
    <w:rsid w:val="00603A05"/>
    <w:rsid w:val="00603AC0"/>
    <w:rsid w:val="00603D84"/>
    <w:rsid w:val="00603ECB"/>
    <w:rsid w:val="0060438F"/>
    <w:rsid w:val="00604C18"/>
    <w:rsid w:val="00604FE3"/>
    <w:rsid w:val="006053C2"/>
    <w:rsid w:val="0060569C"/>
    <w:rsid w:val="00605ABA"/>
    <w:rsid w:val="00605BEB"/>
    <w:rsid w:val="00605DFA"/>
    <w:rsid w:val="00605F25"/>
    <w:rsid w:val="00605FFE"/>
    <w:rsid w:val="006065D8"/>
    <w:rsid w:val="00606A15"/>
    <w:rsid w:val="00606CBD"/>
    <w:rsid w:val="0060744E"/>
    <w:rsid w:val="00607466"/>
    <w:rsid w:val="00607CA9"/>
    <w:rsid w:val="00607D7F"/>
    <w:rsid w:val="006100D1"/>
    <w:rsid w:val="006101FD"/>
    <w:rsid w:val="006104E4"/>
    <w:rsid w:val="00610580"/>
    <w:rsid w:val="00610E0C"/>
    <w:rsid w:val="00611300"/>
    <w:rsid w:val="006118E9"/>
    <w:rsid w:val="00611971"/>
    <w:rsid w:val="006119D4"/>
    <w:rsid w:val="00611AEA"/>
    <w:rsid w:val="00611D49"/>
    <w:rsid w:val="00611DD7"/>
    <w:rsid w:val="0061214C"/>
    <w:rsid w:val="006128B0"/>
    <w:rsid w:val="00612DED"/>
    <w:rsid w:val="00613622"/>
    <w:rsid w:val="00613827"/>
    <w:rsid w:val="00613AFF"/>
    <w:rsid w:val="00614081"/>
    <w:rsid w:val="00614863"/>
    <w:rsid w:val="00614BD9"/>
    <w:rsid w:val="00614D36"/>
    <w:rsid w:val="00614D6C"/>
    <w:rsid w:val="0061517A"/>
    <w:rsid w:val="0061522F"/>
    <w:rsid w:val="00615344"/>
    <w:rsid w:val="00615527"/>
    <w:rsid w:val="006157BF"/>
    <w:rsid w:val="00615CFE"/>
    <w:rsid w:val="00615DB2"/>
    <w:rsid w:val="00616838"/>
    <w:rsid w:val="00616864"/>
    <w:rsid w:val="0061719F"/>
    <w:rsid w:val="006171D1"/>
    <w:rsid w:val="006175B3"/>
    <w:rsid w:val="00617869"/>
    <w:rsid w:val="0061789D"/>
    <w:rsid w:val="006179AC"/>
    <w:rsid w:val="006179D7"/>
    <w:rsid w:val="006204B7"/>
    <w:rsid w:val="0062084A"/>
    <w:rsid w:val="006209D7"/>
    <w:rsid w:val="00620D25"/>
    <w:rsid w:val="0062116B"/>
    <w:rsid w:val="00621221"/>
    <w:rsid w:val="0062124A"/>
    <w:rsid w:val="006213E6"/>
    <w:rsid w:val="006218B8"/>
    <w:rsid w:val="00621A66"/>
    <w:rsid w:val="00621E9F"/>
    <w:rsid w:val="006225CF"/>
    <w:rsid w:val="006226D2"/>
    <w:rsid w:val="00622908"/>
    <w:rsid w:val="00622FF3"/>
    <w:rsid w:val="00623133"/>
    <w:rsid w:val="00623456"/>
    <w:rsid w:val="00623B3A"/>
    <w:rsid w:val="00623BB0"/>
    <w:rsid w:val="00623CBD"/>
    <w:rsid w:val="00623E53"/>
    <w:rsid w:val="00623F5F"/>
    <w:rsid w:val="0062404D"/>
    <w:rsid w:val="00624180"/>
    <w:rsid w:val="0062432D"/>
    <w:rsid w:val="006244D4"/>
    <w:rsid w:val="006246D5"/>
    <w:rsid w:val="00624827"/>
    <w:rsid w:val="00624B5B"/>
    <w:rsid w:val="00625123"/>
    <w:rsid w:val="00625553"/>
    <w:rsid w:val="00625953"/>
    <w:rsid w:val="00625A27"/>
    <w:rsid w:val="00625DE8"/>
    <w:rsid w:val="00625E4D"/>
    <w:rsid w:val="00625EC8"/>
    <w:rsid w:val="00625F55"/>
    <w:rsid w:val="00626031"/>
    <w:rsid w:val="00626681"/>
    <w:rsid w:val="006269E0"/>
    <w:rsid w:val="0062704E"/>
    <w:rsid w:val="0062774D"/>
    <w:rsid w:val="00627DE2"/>
    <w:rsid w:val="00627FC1"/>
    <w:rsid w:val="00630839"/>
    <w:rsid w:val="00630BCC"/>
    <w:rsid w:val="00630E44"/>
    <w:rsid w:val="00630EFF"/>
    <w:rsid w:val="0063102B"/>
    <w:rsid w:val="0063165E"/>
    <w:rsid w:val="00631766"/>
    <w:rsid w:val="00631A39"/>
    <w:rsid w:val="00631E91"/>
    <w:rsid w:val="006322DA"/>
    <w:rsid w:val="0063266B"/>
    <w:rsid w:val="00632A99"/>
    <w:rsid w:val="00632E2F"/>
    <w:rsid w:val="00633169"/>
    <w:rsid w:val="006331D7"/>
    <w:rsid w:val="00633B09"/>
    <w:rsid w:val="00633CB0"/>
    <w:rsid w:val="0063452D"/>
    <w:rsid w:val="00634856"/>
    <w:rsid w:val="006348F0"/>
    <w:rsid w:val="00634917"/>
    <w:rsid w:val="006349BD"/>
    <w:rsid w:val="00634A40"/>
    <w:rsid w:val="00634B44"/>
    <w:rsid w:val="00634C20"/>
    <w:rsid w:val="00635435"/>
    <w:rsid w:val="0063548E"/>
    <w:rsid w:val="00635FCD"/>
    <w:rsid w:val="00636159"/>
    <w:rsid w:val="0063622F"/>
    <w:rsid w:val="0063656A"/>
    <w:rsid w:val="0063661C"/>
    <w:rsid w:val="00636AA2"/>
    <w:rsid w:val="00637638"/>
    <w:rsid w:val="00637801"/>
    <w:rsid w:val="0063784B"/>
    <w:rsid w:val="006378CC"/>
    <w:rsid w:val="00637965"/>
    <w:rsid w:val="00637CBE"/>
    <w:rsid w:val="00637E2D"/>
    <w:rsid w:val="006404AC"/>
    <w:rsid w:val="006406CE"/>
    <w:rsid w:val="00640D70"/>
    <w:rsid w:val="00640E6B"/>
    <w:rsid w:val="006414B8"/>
    <w:rsid w:val="0064163F"/>
    <w:rsid w:val="00641705"/>
    <w:rsid w:val="006419FE"/>
    <w:rsid w:val="00641A39"/>
    <w:rsid w:val="00641FD7"/>
    <w:rsid w:val="0064248A"/>
    <w:rsid w:val="00642649"/>
    <w:rsid w:val="00642B65"/>
    <w:rsid w:val="00643036"/>
    <w:rsid w:val="006436AA"/>
    <w:rsid w:val="00643889"/>
    <w:rsid w:val="00643DB1"/>
    <w:rsid w:val="00643F65"/>
    <w:rsid w:val="00644083"/>
    <w:rsid w:val="00644138"/>
    <w:rsid w:val="00644708"/>
    <w:rsid w:val="00644EE6"/>
    <w:rsid w:val="0064528D"/>
    <w:rsid w:val="006453DD"/>
    <w:rsid w:val="0064580D"/>
    <w:rsid w:val="006458CB"/>
    <w:rsid w:val="00645983"/>
    <w:rsid w:val="00645A33"/>
    <w:rsid w:val="00645BC1"/>
    <w:rsid w:val="00646367"/>
    <w:rsid w:val="00646383"/>
    <w:rsid w:val="00646487"/>
    <w:rsid w:val="00646545"/>
    <w:rsid w:val="00646851"/>
    <w:rsid w:val="00646E33"/>
    <w:rsid w:val="00646E69"/>
    <w:rsid w:val="00647574"/>
    <w:rsid w:val="00647BDC"/>
    <w:rsid w:val="00647CD7"/>
    <w:rsid w:val="00647F60"/>
    <w:rsid w:val="00650112"/>
    <w:rsid w:val="0065012A"/>
    <w:rsid w:val="006506F8"/>
    <w:rsid w:val="006509F2"/>
    <w:rsid w:val="00650B2D"/>
    <w:rsid w:val="00650EFC"/>
    <w:rsid w:val="00651256"/>
    <w:rsid w:val="00651970"/>
    <w:rsid w:val="006519EA"/>
    <w:rsid w:val="00651BA5"/>
    <w:rsid w:val="00651C88"/>
    <w:rsid w:val="00651D3C"/>
    <w:rsid w:val="00651DF1"/>
    <w:rsid w:val="00652082"/>
    <w:rsid w:val="0065243D"/>
    <w:rsid w:val="0065279F"/>
    <w:rsid w:val="00652CF3"/>
    <w:rsid w:val="00653424"/>
    <w:rsid w:val="006535F8"/>
    <w:rsid w:val="00653748"/>
    <w:rsid w:val="00653762"/>
    <w:rsid w:val="006538C5"/>
    <w:rsid w:val="00653AF8"/>
    <w:rsid w:val="00653C3C"/>
    <w:rsid w:val="00653E70"/>
    <w:rsid w:val="00653E9E"/>
    <w:rsid w:val="0065410E"/>
    <w:rsid w:val="00654463"/>
    <w:rsid w:val="00654523"/>
    <w:rsid w:val="0065480B"/>
    <w:rsid w:val="0065483C"/>
    <w:rsid w:val="00654D47"/>
    <w:rsid w:val="006552E8"/>
    <w:rsid w:val="0065572F"/>
    <w:rsid w:val="006557ED"/>
    <w:rsid w:val="00655B05"/>
    <w:rsid w:val="006568F4"/>
    <w:rsid w:val="006569E0"/>
    <w:rsid w:val="00656B1D"/>
    <w:rsid w:val="00656EA7"/>
    <w:rsid w:val="00657138"/>
    <w:rsid w:val="0065713E"/>
    <w:rsid w:val="0065715B"/>
    <w:rsid w:val="00657A4A"/>
    <w:rsid w:val="00660084"/>
    <w:rsid w:val="00660166"/>
    <w:rsid w:val="0066024F"/>
    <w:rsid w:val="00660B84"/>
    <w:rsid w:val="006615DF"/>
    <w:rsid w:val="00661CC7"/>
    <w:rsid w:val="00661F1E"/>
    <w:rsid w:val="00662087"/>
    <w:rsid w:val="00662458"/>
    <w:rsid w:val="006624E3"/>
    <w:rsid w:val="00662DC3"/>
    <w:rsid w:val="006631E0"/>
    <w:rsid w:val="00663457"/>
    <w:rsid w:val="006636A4"/>
    <w:rsid w:val="00663A6F"/>
    <w:rsid w:val="00663C54"/>
    <w:rsid w:val="00663D3C"/>
    <w:rsid w:val="00663F8B"/>
    <w:rsid w:val="006640CF"/>
    <w:rsid w:val="006640EA"/>
    <w:rsid w:val="0066423F"/>
    <w:rsid w:val="00664545"/>
    <w:rsid w:val="00664AB1"/>
    <w:rsid w:val="00664ADF"/>
    <w:rsid w:val="00664C44"/>
    <w:rsid w:val="00664D95"/>
    <w:rsid w:val="006650E5"/>
    <w:rsid w:val="006653DD"/>
    <w:rsid w:val="00665730"/>
    <w:rsid w:val="00665C06"/>
    <w:rsid w:val="00666B16"/>
    <w:rsid w:val="00666C2A"/>
    <w:rsid w:val="00666D89"/>
    <w:rsid w:val="00667614"/>
    <w:rsid w:val="0066769C"/>
    <w:rsid w:val="006679B2"/>
    <w:rsid w:val="00667DFF"/>
    <w:rsid w:val="006704B4"/>
    <w:rsid w:val="006710AC"/>
    <w:rsid w:val="006710CC"/>
    <w:rsid w:val="00671334"/>
    <w:rsid w:val="0067148E"/>
    <w:rsid w:val="0067193F"/>
    <w:rsid w:val="00671977"/>
    <w:rsid w:val="00671B86"/>
    <w:rsid w:val="00671CB2"/>
    <w:rsid w:val="00671ED7"/>
    <w:rsid w:val="00671FF0"/>
    <w:rsid w:val="006723D7"/>
    <w:rsid w:val="00672479"/>
    <w:rsid w:val="006726B6"/>
    <w:rsid w:val="00672B14"/>
    <w:rsid w:val="00672D4C"/>
    <w:rsid w:val="00672FBB"/>
    <w:rsid w:val="006732C2"/>
    <w:rsid w:val="006734B0"/>
    <w:rsid w:val="006734B3"/>
    <w:rsid w:val="00673C3C"/>
    <w:rsid w:val="00673FAD"/>
    <w:rsid w:val="006740BF"/>
    <w:rsid w:val="006742EE"/>
    <w:rsid w:val="00674F90"/>
    <w:rsid w:val="006756F1"/>
    <w:rsid w:val="00675B28"/>
    <w:rsid w:val="006761A5"/>
    <w:rsid w:val="006766EA"/>
    <w:rsid w:val="00676D78"/>
    <w:rsid w:val="006775AB"/>
    <w:rsid w:val="006777F6"/>
    <w:rsid w:val="00677B1C"/>
    <w:rsid w:val="0068016D"/>
    <w:rsid w:val="00680205"/>
    <w:rsid w:val="00680273"/>
    <w:rsid w:val="00680747"/>
    <w:rsid w:val="00680DA1"/>
    <w:rsid w:val="00680E41"/>
    <w:rsid w:val="006811C2"/>
    <w:rsid w:val="00681283"/>
    <w:rsid w:val="00681653"/>
    <w:rsid w:val="0068166A"/>
    <w:rsid w:val="00681751"/>
    <w:rsid w:val="00681EE3"/>
    <w:rsid w:val="0068202D"/>
    <w:rsid w:val="0068279E"/>
    <w:rsid w:val="006831C1"/>
    <w:rsid w:val="0068368A"/>
    <w:rsid w:val="00684022"/>
    <w:rsid w:val="00684167"/>
    <w:rsid w:val="006842E5"/>
    <w:rsid w:val="00684734"/>
    <w:rsid w:val="0068481F"/>
    <w:rsid w:val="0068494F"/>
    <w:rsid w:val="00684D35"/>
    <w:rsid w:val="00684D55"/>
    <w:rsid w:val="00685973"/>
    <w:rsid w:val="00685A4B"/>
    <w:rsid w:val="00685C43"/>
    <w:rsid w:val="00685CA1"/>
    <w:rsid w:val="00685D7D"/>
    <w:rsid w:val="0068635D"/>
    <w:rsid w:val="00686459"/>
    <w:rsid w:val="00686E57"/>
    <w:rsid w:val="00686F13"/>
    <w:rsid w:val="00686F7C"/>
    <w:rsid w:val="0068755D"/>
    <w:rsid w:val="00687596"/>
    <w:rsid w:val="00687947"/>
    <w:rsid w:val="006879C4"/>
    <w:rsid w:val="0069048A"/>
    <w:rsid w:val="00690DD3"/>
    <w:rsid w:val="00690DF0"/>
    <w:rsid w:val="00690F8C"/>
    <w:rsid w:val="006915CB"/>
    <w:rsid w:val="00691ADF"/>
    <w:rsid w:val="00691B50"/>
    <w:rsid w:val="00691F98"/>
    <w:rsid w:val="00692042"/>
    <w:rsid w:val="0069227D"/>
    <w:rsid w:val="00692333"/>
    <w:rsid w:val="0069243E"/>
    <w:rsid w:val="00692A82"/>
    <w:rsid w:val="00692B16"/>
    <w:rsid w:val="00692F4B"/>
    <w:rsid w:val="00693047"/>
    <w:rsid w:val="006932BD"/>
    <w:rsid w:val="00693467"/>
    <w:rsid w:val="0069391B"/>
    <w:rsid w:val="00693AAB"/>
    <w:rsid w:val="0069424D"/>
    <w:rsid w:val="0069454C"/>
    <w:rsid w:val="00695200"/>
    <w:rsid w:val="00695219"/>
    <w:rsid w:val="0069528C"/>
    <w:rsid w:val="00695431"/>
    <w:rsid w:val="006955FB"/>
    <w:rsid w:val="006956D5"/>
    <w:rsid w:val="006957D5"/>
    <w:rsid w:val="006958C2"/>
    <w:rsid w:val="00695A04"/>
    <w:rsid w:val="00695EFF"/>
    <w:rsid w:val="00695F3B"/>
    <w:rsid w:val="00696298"/>
    <w:rsid w:val="006965BA"/>
    <w:rsid w:val="0069694D"/>
    <w:rsid w:val="00697082"/>
    <w:rsid w:val="00697273"/>
    <w:rsid w:val="00697483"/>
    <w:rsid w:val="006978ED"/>
    <w:rsid w:val="006979D2"/>
    <w:rsid w:val="00697B8D"/>
    <w:rsid w:val="00697C21"/>
    <w:rsid w:val="00697FE0"/>
    <w:rsid w:val="006A0055"/>
    <w:rsid w:val="006A0B7F"/>
    <w:rsid w:val="006A15E5"/>
    <w:rsid w:val="006A1C19"/>
    <w:rsid w:val="006A22FA"/>
    <w:rsid w:val="006A2304"/>
    <w:rsid w:val="006A230B"/>
    <w:rsid w:val="006A2DB8"/>
    <w:rsid w:val="006A2DDE"/>
    <w:rsid w:val="006A34E1"/>
    <w:rsid w:val="006A3D49"/>
    <w:rsid w:val="006A3D51"/>
    <w:rsid w:val="006A410E"/>
    <w:rsid w:val="006A41DB"/>
    <w:rsid w:val="006A429C"/>
    <w:rsid w:val="006A4377"/>
    <w:rsid w:val="006A4626"/>
    <w:rsid w:val="006A46E0"/>
    <w:rsid w:val="006A5252"/>
    <w:rsid w:val="006A53D4"/>
    <w:rsid w:val="006A5631"/>
    <w:rsid w:val="006A610A"/>
    <w:rsid w:val="006A611E"/>
    <w:rsid w:val="006A6467"/>
    <w:rsid w:val="006A69F8"/>
    <w:rsid w:val="006A6C5C"/>
    <w:rsid w:val="006A6F7B"/>
    <w:rsid w:val="006A7558"/>
    <w:rsid w:val="006A7BA1"/>
    <w:rsid w:val="006A7E8D"/>
    <w:rsid w:val="006B0116"/>
    <w:rsid w:val="006B0689"/>
    <w:rsid w:val="006B0FB4"/>
    <w:rsid w:val="006B1311"/>
    <w:rsid w:val="006B1665"/>
    <w:rsid w:val="006B19B5"/>
    <w:rsid w:val="006B1C72"/>
    <w:rsid w:val="006B1E1B"/>
    <w:rsid w:val="006B21C3"/>
    <w:rsid w:val="006B22E8"/>
    <w:rsid w:val="006B2B19"/>
    <w:rsid w:val="006B30FE"/>
    <w:rsid w:val="006B3178"/>
    <w:rsid w:val="006B31E6"/>
    <w:rsid w:val="006B321F"/>
    <w:rsid w:val="006B3A74"/>
    <w:rsid w:val="006B3FDC"/>
    <w:rsid w:val="006B4231"/>
    <w:rsid w:val="006B4699"/>
    <w:rsid w:val="006B4D6C"/>
    <w:rsid w:val="006B4DF6"/>
    <w:rsid w:val="006B4E4E"/>
    <w:rsid w:val="006B4FDC"/>
    <w:rsid w:val="006B57E0"/>
    <w:rsid w:val="006B5818"/>
    <w:rsid w:val="006B5977"/>
    <w:rsid w:val="006B5B1C"/>
    <w:rsid w:val="006B60B1"/>
    <w:rsid w:val="006B63C6"/>
    <w:rsid w:val="006B7351"/>
    <w:rsid w:val="006B75E4"/>
    <w:rsid w:val="006C0075"/>
    <w:rsid w:val="006C061C"/>
    <w:rsid w:val="006C0AF8"/>
    <w:rsid w:val="006C1303"/>
    <w:rsid w:val="006C1B20"/>
    <w:rsid w:val="006C1CDF"/>
    <w:rsid w:val="006C1E52"/>
    <w:rsid w:val="006C1EB3"/>
    <w:rsid w:val="006C2561"/>
    <w:rsid w:val="006C257B"/>
    <w:rsid w:val="006C29CC"/>
    <w:rsid w:val="006C2BD6"/>
    <w:rsid w:val="006C2C3D"/>
    <w:rsid w:val="006C30D8"/>
    <w:rsid w:val="006C39DA"/>
    <w:rsid w:val="006C3B49"/>
    <w:rsid w:val="006C3B75"/>
    <w:rsid w:val="006C3DE3"/>
    <w:rsid w:val="006C4089"/>
    <w:rsid w:val="006C4813"/>
    <w:rsid w:val="006C4B0B"/>
    <w:rsid w:val="006C4EE4"/>
    <w:rsid w:val="006C4F23"/>
    <w:rsid w:val="006C5332"/>
    <w:rsid w:val="006C56F7"/>
    <w:rsid w:val="006C575A"/>
    <w:rsid w:val="006C597C"/>
    <w:rsid w:val="006C63D3"/>
    <w:rsid w:val="006C6597"/>
    <w:rsid w:val="006C6DE2"/>
    <w:rsid w:val="006C702F"/>
    <w:rsid w:val="006C7B48"/>
    <w:rsid w:val="006C7CB9"/>
    <w:rsid w:val="006C7CE7"/>
    <w:rsid w:val="006C7F42"/>
    <w:rsid w:val="006C7FF7"/>
    <w:rsid w:val="006D01E0"/>
    <w:rsid w:val="006D0297"/>
    <w:rsid w:val="006D04A6"/>
    <w:rsid w:val="006D04F5"/>
    <w:rsid w:val="006D088A"/>
    <w:rsid w:val="006D09DF"/>
    <w:rsid w:val="006D09E2"/>
    <w:rsid w:val="006D0ADD"/>
    <w:rsid w:val="006D0CCD"/>
    <w:rsid w:val="006D0F8A"/>
    <w:rsid w:val="006D1159"/>
    <w:rsid w:val="006D1384"/>
    <w:rsid w:val="006D19DC"/>
    <w:rsid w:val="006D1A02"/>
    <w:rsid w:val="006D1A7F"/>
    <w:rsid w:val="006D1C07"/>
    <w:rsid w:val="006D1CCC"/>
    <w:rsid w:val="006D1E88"/>
    <w:rsid w:val="006D208B"/>
    <w:rsid w:val="006D22EF"/>
    <w:rsid w:val="006D28AF"/>
    <w:rsid w:val="006D321F"/>
    <w:rsid w:val="006D38F1"/>
    <w:rsid w:val="006D420C"/>
    <w:rsid w:val="006D455F"/>
    <w:rsid w:val="006D4A06"/>
    <w:rsid w:val="006D4E22"/>
    <w:rsid w:val="006D5041"/>
    <w:rsid w:val="006D50F8"/>
    <w:rsid w:val="006D5323"/>
    <w:rsid w:val="006D5944"/>
    <w:rsid w:val="006D5A6E"/>
    <w:rsid w:val="006D5C44"/>
    <w:rsid w:val="006D5E1F"/>
    <w:rsid w:val="006D5E44"/>
    <w:rsid w:val="006D6145"/>
    <w:rsid w:val="006D696A"/>
    <w:rsid w:val="006D6AE3"/>
    <w:rsid w:val="006D6BF8"/>
    <w:rsid w:val="006D6D83"/>
    <w:rsid w:val="006D7295"/>
    <w:rsid w:val="006D7A3D"/>
    <w:rsid w:val="006D7A8F"/>
    <w:rsid w:val="006D7BD8"/>
    <w:rsid w:val="006E0252"/>
    <w:rsid w:val="006E0B5E"/>
    <w:rsid w:val="006E1007"/>
    <w:rsid w:val="006E12F7"/>
    <w:rsid w:val="006E1862"/>
    <w:rsid w:val="006E1ECF"/>
    <w:rsid w:val="006E1FF6"/>
    <w:rsid w:val="006E2260"/>
    <w:rsid w:val="006E2B7D"/>
    <w:rsid w:val="006E3ACE"/>
    <w:rsid w:val="006E3B0B"/>
    <w:rsid w:val="006E4296"/>
    <w:rsid w:val="006E482A"/>
    <w:rsid w:val="006E4972"/>
    <w:rsid w:val="006E4D6A"/>
    <w:rsid w:val="006E4FD6"/>
    <w:rsid w:val="006E5278"/>
    <w:rsid w:val="006E530F"/>
    <w:rsid w:val="006E544E"/>
    <w:rsid w:val="006E57CB"/>
    <w:rsid w:val="006E5A32"/>
    <w:rsid w:val="006E5A96"/>
    <w:rsid w:val="006E5D53"/>
    <w:rsid w:val="006E5EF9"/>
    <w:rsid w:val="006E6019"/>
    <w:rsid w:val="006E6152"/>
    <w:rsid w:val="006E6242"/>
    <w:rsid w:val="006E63C4"/>
    <w:rsid w:val="006E6CF2"/>
    <w:rsid w:val="006E70AF"/>
    <w:rsid w:val="006E72E7"/>
    <w:rsid w:val="006E7640"/>
    <w:rsid w:val="006E7D53"/>
    <w:rsid w:val="006F020B"/>
    <w:rsid w:val="006F09D0"/>
    <w:rsid w:val="006F09E5"/>
    <w:rsid w:val="006F0CD2"/>
    <w:rsid w:val="006F0FAA"/>
    <w:rsid w:val="006F1649"/>
    <w:rsid w:val="006F1982"/>
    <w:rsid w:val="006F1FB9"/>
    <w:rsid w:val="006F2002"/>
    <w:rsid w:val="006F204E"/>
    <w:rsid w:val="006F2237"/>
    <w:rsid w:val="006F2292"/>
    <w:rsid w:val="006F23A2"/>
    <w:rsid w:val="006F23AC"/>
    <w:rsid w:val="006F2870"/>
    <w:rsid w:val="006F2A4F"/>
    <w:rsid w:val="006F3770"/>
    <w:rsid w:val="006F3849"/>
    <w:rsid w:val="006F3A57"/>
    <w:rsid w:val="006F3ADF"/>
    <w:rsid w:val="006F3B83"/>
    <w:rsid w:val="006F3D9B"/>
    <w:rsid w:val="006F40B2"/>
    <w:rsid w:val="006F42A3"/>
    <w:rsid w:val="006F4CD9"/>
    <w:rsid w:val="006F51F9"/>
    <w:rsid w:val="006F53F1"/>
    <w:rsid w:val="006F5903"/>
    <w:rsid w:val="006F5A6E"/>
    <w:rsid w:val="006F5AB5"/>
    <w:rsid w:val="006F5B56"/>
    <w:rsid w:val="006F5BA7"/>
    <w:rsid w:val="006F5D82"/>
    <w:rsid w:val="006F612E"/>
    <w:rsid w:val="006F6727"/>
    <w:rsid w:val="006F6F78"/>
    <w:rsid w:val="006F752C"/>
    <w:rsid w:val="006F7DE7"/>
    <w:rsid w:val="006F7E2B"/>
    <w:rsid w:val="0070033A"/>
    <w:rsid w:val="0070045E"/>
    <w:rsid w:val="007008C8"/>
    <w:rsid w:val="00700D19"/>
    <w:rsid w:val="00700FB0"/>
    <w:rsid w:val="00701309"/>
    <w:rsid w:val="007019D3"/>
    <w:rsid w:val="00701C64"/>
    <w:rsid w:val="00701E44"/>
    <w:rsid w:val="007021E8"/>
    <w:rsid w:val="00703043"/>
    <w:rsid w:val="00703B5C"/>
    <w:rsid w:val="00703D43"/>
    <w:rsid w:val="007040D1"/>
    <w:rsid w:val="0070418D"/>
    <w:rsid w:val="007041DE"/>
    <w:rsid w:val="0070497B"/>
    <w:rsid w:val="00704E0D"/>
    <w:rsid w:val="0070529C"/>
    <w:rsid w:val="00705400"/>
    <w:rsid w:val="00705A22"/>
    <w:rsid w:val="00705F1D"/>
    <w:rsid w:val="007060B5"/>
    <w:rsid w:val="0070611B"/>
    <w:rsid w:val="00706203"/>
    <w:rsid w:val="007066CB"/>
    <w:rsid w:val="00707129"/>
    <w:rsid w:val="00707591"/>
    <w:rsid w:val="00707A47"/>
    <w:rsid w:val="00707D7B"/>
    <w:rsid w:val="00707FED"/>
    <w:rsid w:val="00710033"/>
    <w:rsid w:val="00710095"/>
    <w:rsid w:val="00710201"/>
    <w:rsid w:val="00710D34"/>
    <w:rsid w:val="00711548"/>
    <w:rsid w:val="007116A7"/>
    <w:rsid w:val="00711F96"/>
    <w:rsid w:val="00712524"/>
    <w:rsid w:val="007127F4"/>
    <w:rsid w:val="00712D7A"/>
    <w:rsid w:val="007131AB"/>
    <w:rsid w:val="00713328"/>
    <w:rsid w:val="00713578"/>
    <w:rsid w:val="0071371E"/>
    <w:rsid w:val="007137B3"/>
    <w:rsid w:val="007139FF"/>
    <w:rsid w:val="00713B01"/>
    <w:rsid w:val="00713E7C"/>
    <w:rsid w:val="00714AB3"/>
    <w:rsid w:val="00714C81"/>
    <w:rsid w:val="00714D0C"/>
    <w:rsid w:val="00714DC2"/>
    <w:rsid w:val="00714DED"/>
    <w:rsid w:val="007150C9"/>
    <w:rsid w:val="00715628"/>
    <w:rsid w:val="00715BB5"/>
    <w:rsid w:val="00715F8C"/>
    <w:rsid w:val="007163BB"/>
    <w:rsid w:val="00716BA0"/>
    <w:rsid w:val="00716C92"/>
    <w:rsid w:val="007170E0"/>
    <w:rsid w:val="007172FF"/>
    <w:rsid w:val="00717710"/>
    <w:rsid w:val="00717E0E"/>
    <w:rsid w:val="00717F58"/>
    <w:rsid w:val="00720A9A"/>
    <w:rsid w:val="00720AD9"/>
    <w:rsid w:val="00720D39"/>
    <w:rsid w:val="00720D6E"/>
    <w:rsid w:val="00721085"/>
    <w:rsid w:val="0072111B"/>
    <w:rsid w:val="0072121B"/>
    <w:rsid w:val="00721988"/>
    <w:rsid w:val="00722142"/>
    <w:rsid w:val="0072289D"/>
    <w:rsid w:val="00722B15"/>
    <w:rsid w:val="00722D31"/>
    <w:rsid w:val="00722E09"/>
    <w:rsid w:val="007230FE"/>
    <w:rsid w:val="0072338D"/>
    <w:rsid w:val="007235DD"/>
    <w:rsid w:val="00724109"/>
    <w:rsid w:val="00724112"/>
    <w:rsid w:val="00724409"/>
    <w:rsid w:val="00724440"/>
    <w:rsid w:val="0072453A"/>
    <w:rsid w:val="00724672"/>
    <w:rsid w:val="0072485A"/>
    <w:rsid w:val="0072495C"/>
    <w:rsid w:val="00724A08"/>
    <w:rsid w:val="0072540A"/>
    <w:rsid w:val="00725423"/>
    <w:rsid w:val="0072590B"/>
    <w:rsid w:val="00725A3D"/>
    <w:rsid w:val="00725D34"/>
    <w:rsid w:val="00725E16"/>
    <w:rsid w:val="00726038"/>
    <w:rsid w:val="0072625C"/>
    <w:rsid w:val="00726682"/>
    <w:rsid w:val="007267C5"/>
    <w:rsid w:val="00726B4C"/>
    <w:rsid w:val="00727767"/>
    <w:rsid w:val="007300EA"/>
    <w:rsid w:val="0073046A"/>
    <w:rsid w:val="00730546"/>
    <w:rsid w:val="007308CA"/>
    <w:rsid w:val="00730E45"/>
    <w:rsid w:val="007310C3"/>
    <w:rsid w:val="00731111"/>
    <w:rsid w:val="0073137E"/>
    <w:rsid w:val="007313C9"/>
    <w:rsid w:val="00731B84"/>
    <w:rsid w:val="00731BEB"/>
    <w:rsid w:val="00731D7F"/>
    <w:rsid w:val="00731F48"/>
    <w:rsid w:val="0073246D"/>
    <w:rsid w:val="007324A9"/>
    <w:rsid w:val="00732704"/>
    <w:rsid w:val="00732716"/>
    <w:rsid w:val="0073293E"/>
    <w:rsid w:val="007331A9"/>
    <w:rsid w:val="00733423"/>
    <w:rsid w:val="00733810"/>
    <w:rsid w:val="00733D67"/>
    <w:rsid w:val="007340C7"/>
    <w:rsid w:val="00734238"/>
    <w:rsid w:val="00734498"/>
    <w:rsid w:val="007346F6"/>
    <w:rsid w:val="00734A59"/>
    <w:rsid w:val="0073584B"/>
    <w:rsid w:val="007358DC"/>
    <w:rsid w:val="007359BF"/>
    <w:rsid w:val="00735DA1"/>
    <w:rsid w:val="00735DED"/>
    <w:rsid w:val="00735F82"/>
    <w:rsid w:val="007363DD"/>
    <w:rsid w:val="00736A29"/>
    <w:rsid w:val="00736BAC"/>
    <w:rsid w:val="00736EB3"/>
    <w:rsid w:val="00736F1C"/>
    <w:rsid w:val="00736F39"/>
    <w:rsid w:val="00737151"/>
    <w:rsid w:val="00737238"/>
    <w:rsid w:val="007372D9"/>
    <w:rsid w:val="00737704"/>
    <w:rsid w:val="00740894"/>
    <w:rsid w:val="00740A49"/>
    <w:rsid w:val="00741122"/>
    <w:rsid w:val="0074132B"/>
    <w:rsid w:val="007419AC"/>
    <w:rsid w:val="007419EC"/>
    <w:rsid w:val="00741E40"/>
    <w:rsid w:val="00742B57"/>
    <w:rsid w:val="00742C0C"/>
    <w:rsid w:val="0074305D"/>
    <w:rsid w:val="0074307F"/>
    <w:rsid w:val="0074328D"/>
    <w:rsid w:val="0074363F"/>
    <w:rsid w:val="00743C42"/>
    <w:rsid w:val="00743D32"/>
    <w:rsid w:val="00744537"/>
    <w:rsid w:val="00744F45"/>
    <w:rsid w:val="00745280"/>
    <w:rsid w:val="0074554B"/>
    <w:rsid w:val="00745583"/>
    <w:rsid w:val="007456E8"/>
    <w:rsid w:val="00745939"/>
    <w:rsid w:val="007459B2"/>
    <w:rsid w:val="00745F71"/>
    <w:rsid w:val="00745FB1"/>
    <w:rsid w:val="00746B91"/>
    <w:rsid w:val="00746D8B"/>
    <w:rsid w:val="0074740E"/>
    <w:rsid w:val="00747663"/>
    <w:rsid w:val="00747CDD"/>
    <w:rsid w:val="00747F3B"/>
    <w:rsid w:val="00747FC8"/>
    <w:rsid w:val="00750717"/>
    <w:rsid w:val="00750A72"/>
    <w:rsid w:val="00750F54"/>
    <w:rsid w:val="00751528"/>
    <w:rsid w:val="00751618"/>
    <w:rsid w:val="007518CB"/>
    <w:rsid w:val="007519CB"/>
    <w:rsid w:val="00752394"/>
    <w:rsid w:val="00752499"/>
    <w:rsid w:val="007525CC"/>
    <w:rsid w:val="00752853"/>
    <w:rsid w:val="00752EA4"/>
    <w:rsid w:val="0075342F"/>
    <w:rsid w:val="00754689"/>
    <w:rsid w:val="00754983"/>
    <w:rsid w:val="00754A69"/>
    <w:rsid w:val="00754D6C"/>
    <w:rsid w:val="00754E5E"/>
    <w:rsid w:val="00755198"/>
    <w:rsid w:val="00755211"/>
    <w:rsid w:val="007552A7"/>
    <w:rsid w:val="007559C2"/>
    <w:rsid w:val="00755A00"/>
    <w:rsid w:val="00755A06"/>
    <w:rsid w:val="00755AF7"/>
    <w:rsid w:val="00756ABB"/>
    <w:rsid w:val="00756C0A"/>
    <w:rsid w:val="00757112"/>
    <w:rsid w:val="00757399"/>
    <w:rsid w:val="00757833"/>
    <w:rsid w:val="007578AF"/>
    <w:rsid w:val="00757CAE"/>
    <w:rsid w:val="00757F0A"/>
    <w:rsid w:val="00760371"/>
    <w:rsid w:val="007607A5"/>
    <w:rsid w:val="0076085D"/>
    <w:rsid w:val="00760B26"/>
    <w:rsid w:val="00760BEE"/>
    <w:rsid w:val="0076145C"/>
    <w:rsid w:val="00761B1D"/>
    <w:rsid w:val="00761D1D"/>
    <w:rsid w:val="007622AE"/>
    <w:rsid w:val="00762479"/>
    <w:rsid w:val="007629F2"/>
    <w:rsid w:val="007632B2"/>
    <w:rsid w:val="007634B2"/>
    <w:rsid w:val="007637DF"/>
    <w:rsid w:val="00763EB1"/>
    <w:rsid w:val="00763F66"/>
    <w:rsid w:val="00764154"/>
    <w:rsid w:val="0076448E"/>
    <w:rsid w:val="00764804"/>
    <w:rsid w:val="00764907"/>
    <w:rsid w:val="00764CB7"/>
    <w:rsid w:val="00764F43"/>
    <w:rsid w:val="0076515E"/>
    <w:rsid w:val="00765181"/>
    <w:rsid w:val="007652E9"/>
    <w:rsid w:val="007653FA"/>
    <w:rsid w:val="00765437"/>
    <w:rsid w:val="007655DD"/>
    <w:rsid w:val="0076565E"/>
    <w:rsid w:val="00765909"/>
    <w:rsid w:val="00765E2C"/>
    <w:rsid w:val="007663C8"/>
    <w:rsid w:val="00766762"/>
    <w:rsid w:val="00766B7A"/>
    <w:rsid w:val="00766F6D"/>
    <w:rsid w:val="00767494"/>
    <w:rsid w:val="007675D5"/>
    <w:rsid w:val="00767B52"/>
    <w:rsid w:val="00767C30"/>
    <w:rsid w:val="00770B5F"/>
    <w:rsid w:val="007710EE"/>
    <w:rsid w:val="0077119D"/>
    <w:rsid w:val="007711BC"/>
    <w:rsid w:val="007712E3"/>
    <w:rsid w:val="00771375"/>
    <w:rsid w:val="007717B1"/>
    <w:rsid w:val="0077197F"/>
    <w:rsid w:val="00771E01"/>
    <w:rsid w:val="00771F47"/>
    <w:rsid w:val="00772267"/>
    <w:rsid w:val="007724A6"/>
    <w:rsid w:val="00772759"/>
    <w:rsid w:val="007728F1"/>
    <w:rsid w:val="0077297F"/>
    <w:rsid w:val="00772993"/>
    <w:rsid w:val="00772B18"/>
    <w:rsid w:val="00773413"/>
    <w:rsid w:val="00773537"/>
    <w:rsid w:val="007736B4"/>
    <w:rsid w:val="007737E8"/>
    <w:rsid w:val="0077458C"/>
    <w:rsid w:val="0077487C"/>
    <w:rsid w:val="0077488B"/>
    <w:rsid w:val="00774A16"/>
    <w:rsid w:val="00775014"/>
    <w:rsid w:val="007755BF"/>
    <w:rsid w:val="007757C8"/>
    <w:rsid w:val="007759D9"/>
    <w:rsid w:val="007759E5"/>
    <w:rsid w:val="00775F35"/>
    <w:rsid w:val="007760EF"/>
    <w:rsid w:val="00776264"/>
    <w:rsid w:val="0077633C"/>
    <w:rsid w:val="007764FF"/>
    <w:rsid w:val="00776689"/>
    <w:rsid w:val="007766EB"/>
    <w:rsid w:val="007768BC"/>
    <w:rsid w:val="007772AC"/>
    <w:rsid w:val="007776F0"/>
    <w:rsid w:val="0077790C"/>
    <w:rsid w:val="00777938"/>
    <w:rsid w:val="00777A28"/>
    <w:rsid w:val="00777E59"/>
    <w:rsid w:val="00777F11"/>
    <w:rsid w:val="00780223"/>
    <w:rsid w:val="0078028D"/>
    <w:rsid w:val="007802AC"/>
    <w:rsid w:val="00780F28"/>
    <w:rsid w:val="007811D0"/>
    <w:rsid w:val="007815CE"/>
    <w:rsid w:val="00781F92"/>
    <w:rsid w:val="00782680"/>
    <w:rsid w:val="007829E9"/>
    <w:rsid w:val="007830E5"/>
    <w:rsid w:val="0078387D"/>
    <w:rsid w:val="007839AD"/>
    <w:rsid w:val="00783C6C"/>
    <w:rsid w:val="00784493"/>
    <w:rsid w:val="0078450A"/>
    <w:rsid w:val="007846E7"/>
    <w:rsid w:val="00784712"/>
    <w:rsid w:val="00784E88"/>
    <w:rsid w:val="007850AD"/>
    <w:rsid w:val="00785633"/>
    <w:rsid w:val="0078564D"/>
    <w:rsid w:val="007858FF"/>
    <w:rsid w:val="00785955"/>
    <w:rsid w:val="00785C4A"/>
    <w:rsid w:val="0078676A"/>
    <w:rsid w:val="00786867"/>
    <w:rsid w:val="00786FA9"/>
    <w:rsid w:val="0078722A"/>
    <w:rsid w:val="00787246"/>
    <w:rsid w:val="007877AF"/>
    <w:rsid w:val="007879DC"/>
    <w:rsid w:val="00787A78"/>
    <w:rsid w:val="0079057E"/>
    <w:rsid w:val="007905BF"/>
    <w:rsid w:val="00790DA9"/>
    <w:rsid w:val="00791727"/>
    <w:rsid w:val="0079173A"/>
    <w:rsid w:val="0079197F"/>
    <w:rsid w:val="00791E3E"/>
    <w:rsid w:val="00791F1C"/>
    <w:rsid w:val="00792505"/>
    <w:rsid w:val="00792527"/>
    <w:rsid w:val="007926F9"/>
    <w:rsid w:val="00792A26"/>
    <w:rsid w:val="00792B1A"/>
    <w:rsid w:val="00792C0A"/>
    <w:rsid w:val="0079304A"/>
    <w:rsid w:val="0079375A"/>
    <w:rsid w:val="00793953"/>
    <w:rsid w:val="007939C9"/>
    <w:rsid w:val="00793A3C"/>
    <w:rsid w:val="00793EB3"/>
    <w:rsid w:val="00793EF7"/>
    <w:rsid w:val="00793FD4"/>
    <w:rsid w:val="007945AF"/>
    <w:rsid w:val="00794653"/>
    <w:rsid w:val="00794AB6"/>
    <w:rsid w:val="00794D7F"/>
    <w:rsid w:val="00794EDA"/>
    <w:rsid w:val="00795310"/>
    <w:rsid w:val="00795586"/>
    <w:rsid w:val="00795660"/>
    <w:rsid w:val="00795770"/>
    <w:rsid w:val="0079594B"/>
    <w:rsid w:val="00795C5D"/>
    <w:rsid w:val="007965DA"/>
    <w:rsid w:val="0079668F"/>
    <w:rsid w:val="00796708"/>
    <w:rsid w:val="007970E4"/>
    <w:rsid w:val="00797531"/>
    <w:rsid w:val="00797D4B"/>
    <w:rsid w:val="007A0A4D"/>
    <w:rsid w:val="007A0CFD"/>
    <w:rsid w:val="007A0D65"/>
    <w:rsid w:val="007A0EC1"/>
    <w:rsid w:val="007A1981"/>
    <w:rsid w:val="007A1ACC"/>
    <w:rsid w:val="007A1E35"/>
    <w:rsid w:val="007A1E96"/>
    <w:rsid w:val="007A1EAF"/>
    <w:rsid w:val="007A2013"/>
    <w:rsid w:val="007A2225"/>
    <w:rsid w:val="007A2354"/>
    <w:rsid w:val="007A26AC"/>
    <w:rsid w:val="007A26BA"/>
    <w:rsid w:val="007A2B2A"/>
    <w:rsid w:val="007A2D52"/>
    <w:rsid w:val="007A2F3D"/>
    <w:rsid w:val="007A30E2"/>
    <w:rsid w:val="007A3714"/>
    <w:rsid w:val="007A3D29"/>
    <w:rsid w:val="007A40AD"/>
    <w:rsid w:val="007A40E3"/>
    <w:rsid w:val="007A4456"/>
    <w:rsid w:val="007A45A3"/>
    <w:rsid w:val="007A4EF1"/>
    <w:rsid w:val="007A5017"/>
    <w:rsid w:val="007A507A"/>
    <w:rsid w:val="007A513F"/>
    <w:rsid w:val="007A52CA"/>
    <w:rsid w:val="007A5548"/>
    <w:rsid w:val="007A5C5E"/>
    <w:rsid w:val="007A5D63"/>
    <w:rsid w:val="007A6553"/>
    <w:rsid w:val="007A6C8A"/>
    <w:rsid w:val="007A6D9A"/>
    <w:rsid w:val="007A6E35"/>
    <w:rsid w:val="007A729E"/>
    <w:rsid w:val="007A79F1"/>
    <w:rsid w:val="007A7A7B"/>
    <w:rsid w:val="007A7CD8"/>
    <w:rsid w:val="007B00CD"/>
    <w:rsid w:val="007B0439"/>
    <w:rsid w:val="007B0881"/>
    <w:rsid w:val="007B08B5"/>
    <w:rsid w:val="007B13E7"/>
    <w:rsid w:val="007B15B0"/>
    <w:rsid w:val="007B15C9"/>
    <w:rsid w:val="007B1647"/>
    <w:rsid w:val="007B17C2"/>
    <w:rsid w:val="007B1B32"/>
    <w:rsid w:val="007B1E26"/>
    <w:rsid w:val="007B1E93"/>
    <w:rsid w:val="007B2134"/>
    <w:rsid w:val="007B3074"/>
    <w:rsid w:val="007B3B76"/>
    <w:rsid w:val="007B3DB4"/>
    <w:rsid w:val="007B41DD"/>
    <w:rsid w:val="007B47D5"/>
    <w:rsid w:val="007B4CDA"/>
    <w:rsid w:val="007B4F8F"/>
    <w:rsid w:val="007B52C3"/>
    <w:rsid w:val="007B57B7"/>
    <w:rsid w:val="007B5A5F"/>
    <w:rsid w:val="007B5C3D"/>
    <w:rsid w:val="007B5F05"/>
    <w:rsid w:val="007B62AE"/>
    <w:rsid w:val="007B68CB"/>
    <w:rsid w:val="007B6ACA"/>
    <w:rsid w:val="007B6DF8"/>
    <w:rsid w:val="007B6E0D"/>
    <w:rsid w:val="007B7096"/>
    <w:rsid w:val="007B710E"/>
    <w:rsid w:val="007B7DC8"/>
    <w:rsid w:val="007C01C2"/>
    <w:rsid w:val="007C0381"/>
    <w:rsid w:val="007C0655"/>
    <w:rsid w:val="007C0784"/>
    <w:rsid w:val="007C09B4"/>
    <w:rsid w:val="007C0D8D"/>
    <w:rsid w:val="007C0E3C"/>
    <w:rsid w:val="007C0E9A"/>
    <w:rsid w:val="007C1042"/>
    <w:rsid w:val="007C1562"/>
    <w:rsid w:val="007C1B81"/>
    <w:rsid w:val="007C1DA8"/>
    <w:rsid w:val="007C230B"/>
    <w:rsid w:val="007C25C9"/>
    <w:rsid w:val="007C3220"/>
    <w:rsid w:val="007C322F"/>
    <w:rsid w:val="007C3298"/>
    <w:rsid w:val="007C33A9"/>
    <w:rsid w:val="007C3517"/>
    <w:rsid w:val="007C3D9A"/>
    <w:rsid w:val="007C3E8A"/>
    <w:rsid w:val="007C412E"/>
    <w:rsid w:val="007C47C7"/>
    <w:rsid w:val="007C49C3"/>
    <w:rsid w:val="007C4FDD"/>
    <w:rsid w:val="007C52E1"/>
    <w:rsid w:val="007C55E2"/>
    <w:rsid w:val="007C567E"/>
    <w:rsid w:val="007C5781"/>
    <w:rsid w:val="007C579D"/>
    <w:rsid w:val="007C59D6"/>
    <w:rsid w:val="007C5B34"/>
    <w:rsid w:val="007C5D3D"/>
    <w:rsid w:val="007C5DE3"/>
    <w:rsid w:val="007C5F5B"/>
    <w:rsid w:val="007C6010"/>
    <w:rsid w:val="007C65A0"/>
    <w:rsid w:val="007C6EA0"/>
    <w:rsid w:val="007C6EA5"/>
    <w:rsid w:val="007C6EB2"/>
    <w:rsid w:val="007C7058"/>
    <w:rsid w:val="007C77E8"/>
    <w:rsid w:val="007C7830"/>
    <w:rsid w:val="007C7F3F"/>
    <w:rsid w:val="007D0590"/>
    <w:rsid w:val="007D05E3"/>
    <w:rsid w:val="007D0AA7"/>
    <w:rsid w:val="007D1255"/>
    <w:rsid w:val="007D1A0B"/>
    <w:rsid w:val="007D1A9F"/>
    <w:rsid w:val="007D2A1D"/>
    <w:rsid w:val="007D2A53"/>
    <w:rsid w:val="007D3697"/>
    <w:rsid w:val="007D441A"/>
    <w:rsid w:val="007D443E"/>
    <w:rsid w:val="007D44FA"/>
    <w:rsid w:val="007D48CA"/>
    <w:rsid w:val="007D4ABB"/>
    <w:rsid w:val="007D4B10"/>
    <w:rsid w:val="007D4D0B"/>
    <w:rsid w:val="007D5AC1"/>
    <w:rsid w:val="007D5DE9"/>
    <w:rsid w:val="007D6192"/>
    <w:rsid w:val="007D67FC"/>
    <w:rsid w:val="007D68D1"/>
    <w:rsid w:val="007D6B49"/>
    <w:rsid w:val="007D7561"/>
    <w:rsid w:val="007D75BA"/>
    <w:rsid w:val="007D789B"/>
    <w:rsid w:val="007D7B43"/>
    <w:rsid w:val="007D7B53"/>
    <w:rsid w:val="007D7BFD"/>
    <w:rsid w:val="007D7E0B"/>
    <w:rsid w:val="007D7F92"/>
    <w:rsid w:val="007E00B4"/>
    <w:rsid w:val="007E02F6"/>
    <w:rsid w:val="007E08BA"/>
    <w:rsid w:val="007E08DE"/>
    <w:rsid w:val="007E1212"/>
    <w:rsid w:val="007E1527"/>
    <w:rsid w:val="007E168A"/>
    <w:rsid w:val="007E1A9A"/>
    <w:rsid w:val="007E1D51"/>
    <w:rsid w:val="007E1F32"/>
    <w:rsid w:val="007E25C7"/>
    <w:rsid w:val="007E2719"/>
    <w:rsid w:val="007E2724"/>
    <w:rsid w:val="007E2AA2"/>
    <w:rsid w:val="007E3599"/>
    <w:rsid w:val="007E382D"/>
    <w:rsid w:val="007E3C76"/>
    <w:rsid w:val="007E3CAB"/>
    <w:rsid w:val="007E4053"/>
    <w:rsid w:val="007E425C"/>
    <w:rsid w:val="007E4954"/>
    <w:rsid w:val="007E4A5D"/>
    <w:rsid w:val="007E4BEE"/>
    <w:rsid w:val="007E4E69"/>
    <w:rsid w:val="007E56DF"/>
    <w:rsid w:val="007E5865"/>
    <w:rsid w:val="007E59B2"/>
    <w:rsid w:val="007E5B25"/>
    <w:rsid w:val="007E6CE6"/>
    <w:rsid w:val="007E6F97"/>
    <w:rsid w:val="007E74F8"/>
    <w:rsid w:val="007E7AE5"/>
    <w:rsid w:val="007E7D9E"/>
    <w:rsid w:val="007E7F30"/>
    <w:rsid w:val="007F055B"/>
    <w:rsid w:val="007F10D6"/>
    <w:rsid w:val="007F10EC"/>
    <w:rsid w:val="007F1275"/>
    <w:rsid w:val="007F1E59"/>
    <w:rsid w:val="007F1FF2"/>
    <w:rsid w:val="007F2197"/>
    <w:rsid w:val="007F288B"/>
    <w:rsid w:val="007F2D99"/>
    <w:rsid w:val="007F379B"/>
    <w:rsid w:val="007F380C"/>
    <w:rsid w:val="007F3849"/>
    <w:rsid w:val="007F3EC4"/>
    <w:rsid w:val="007F3F7E"/>
    <w:rsid w:val="007F4456"/>
    <w:rsid w:val="007F4B36"/>
    <w:rsid w:val="007F4C05"/>
    <w:rsid w:val="007F4C2E"/>
    <w:rsid w:val="007F4F9B"/>
    <w:rsid w:val="007F531A"/>
    <w:rsid w:val="007F53EE"/>
    <w:rsid w:val="007F548A"/>
    <w:rsid w:val="007F588D"/>
    <w:rsid w:val="007F58AA"/>
    <w:rsid w:val="007F5A4C"/>
    <w:rsid w:val="007F5B11"/>
    <w:rsid w:val="007F5C32"/>
    <w:rsid w:val="007F63A6"/>
    <w:rsid w:val="007F67A6"/>
    <w:rsid w:val="007F6C41"/>
    <w:rsid w:val="007F6D2C"/>
    <w:rsid w:val="007F6E29"/>
    <w:rsid w:val="007F7324"/>
    <w:rsid w:val="007F7B19"/>
    <w:rsid w:val="007F7BC2"/>
    <w:rsid w:val="00800627"/>
    <w:rsid w:val="00800AB0"/>
    <w:rsid w:val="008011B9"/>
    <w:rsid w:val="008011E0"/>
    <w:rsid w:val="008012FF"/>
    <w:rsid w:val="008014A4"/>
    <w:rsid w:val="00801601"/>
    <w:rsid w:val="00801833"/>
    <w:rsid w:val="00801A02"/>
    <w:rsid w:val="00801D67"/>
    <w:rsid w:val="00801D89"/>
    <w:rsid w:val="0080252F"/>
    <w:rsid w:val="008028B6"/>
    <w:rsid w:val="0080298A"/>
    <w:rsid w:val="00802DCE"/>
    <w:rsid w:val="00803464"/>
    <w:rsid w:val="0080367F"/>
    <w:rsid w:val="008043A8"/>
    <w:rsid w:val="00804A3E"/>
    <w:rsid w:val="00804C8B"/>
    <w:rsid w:val="0080524E"/>
    <w:rsid w:val="00805492"/>
    <w:rsid w:val="00805788"/>
    <w:rsid w:val="00805EE7"/>
    <w:rsid w:val="00806414"/>
    <w:rsid w:val="008064E4"/>
    <w:rsid w:val="00806BA9"/>
    <w:rsid w:val="008072A1"/>
    <w:rsid w:val="00807394"/>
    <w:rsid w:val="00807AEA"/>
    <w:rsid w:val="00810EB3"/>
    <w:rsid w:val="00810FE7"/>
    <w:rsid w:val="008110D9"/>
    <w:rsid w:val="0081119C"/>
    <w:rsid w:val="00811EB1"/>
    <w:rsid w:val="008120DF"/>
    <w:rsid w:val="008124CA"/>
    <w:rsid w:val="00812C0B"/>
    <w:rsid w:val="00812E15"/>
    <w:rsid w:val="00812E7B"/>
    <w:rsid w:val="00813083"/>
    <w:rsid w:val="00813288"/>
    <w:rsid w:val="008132D0"/>
    <w:rsid w:val="0081366E"/>
    <w:rsid w:val="008138B6"/>
    <w:rsid w:val="00813DF8"/>
    <w:rsid w:val="0081446E"/>
    <w:rsid w:val="00814983"/>
    <w:rsid w:val="00814FDF"/>
    <w:rsid w:val="00815018"/>
    <w:rsid w:val="008155F2"/>
    <w:rsid w:val="0081576E"/>
    <w:rsid w:val="00816124"/>
    <w:rsid w:val="008162B3"/>
    <w:rsid w:val="008165D5"/>
    <w:rsid w:val="00816710"/>
    <w:rsid w:val="0081677E"/>
    <w:rsid w:val="008169C0"/>
    <w:rsid w:val="00816B1A"/>
    <w:rsid w:val="0081739D"/>
    <w:rsid w:val="008174C6"/>
    <w:rsid w:val="008176F4"/>
    <w:rsid w:val="008177D1"/>
    <w:rsid w:val="00817826"/>
    <w:rsid w:val="00817940"/>
    <w:rsid w:val="00817A68"/>
    <w:rsid w:val="00817F63"/>
    <w:rsid w:val="00820182"/>
    <w:rsid w:val="008207ED"/>
    <w:rsid w:val="00821313"/>
    <w:rsid w:val="00821326"/>
    <w:rsid w:val="00821560"/>
    <w:rsid w:val="0082192F"/>
    <w:rsid w:val="00821BC3"/>
    <w:rsid w:val="00822366"/>
    <w:rsid w:val="00822B06"/>
    <w:rsid w:val="00823198"/>
    <w:rsid w:val="00823784"/>
    <w:rsid w:val="00823868"/>
    <w:rsid w:val="00823F1E"/>
    <w:rsid w:val="0082426E"/>
    <w:rsid w:val="00824412"/>
    <w:rsid w:val="0082443B"/>
    <w:rsid w:val="0082456C"/>
    <w:rsid w:val="0082480C"/>
    <w:rsid w:val="00824B36"/>
    <w:rsid w:val="00825476"/>
    <w:rsid w:val="008257D2"/>
    <w:rsid w:val="0082592D"/>
    <w:rsid w:val="00825B08"/>
    <w:rsid w:val="00825BEE"/>
    <w:rsid w:val="00826650"/>
    <w:rsid w:val="00826DE5"/>
    <w:rsid w:val="008272BB"/>
    <w:rsid w:val="00827742"/>
    <w:rsid w:val="008279A9"/>
    <w:rsid w:val="00827EC1"/>
    <w:rsid w:val="00830600"/>
    <w:rsid w:val="00830638"/>
    <w:rsid w:val="008311C4"/>
    <w:rsid w:val="00831A49"/>
    <w:rsid w:val="00831BCF"/>
    <w:rsid w:val="00831D5C"/>
    <w:rsid w:val="00831DF0"/>
    <w:rsid w:val="00831E7A"/>
    <w:rsid w:val="00832985"/>
    <w:rsid w:val="008337B5"/>
    <w:rsid w:val="008339F3"/>
    <w:rsid w:val="00833A5D"/>
    <w:rsid w:val="00833B59"/>
    <w:rsid w:val="00834236"/>
    <w:rsid w:val="0083538A"/>
    <w:rsid w:val="00835484"/>
    <w:rsid w:val="008359F2"/>
    <w:rsid w:val="00835BC5"/>
    <w:rsid w:val="00835C0E"/>
    <w:rsid w:val="008364C3"/>
    <w:rsid w:val="0083657F"/>
    <w:rsid w:val="00836C79"/>
    <w:rsid w:val="00837204"/>
    <w:rsid w:val="00837930"/>
    <w:rsid w:val="00837AE6"/>
    <w:rsid w:val="00837AF8"/>
    <w:rsid w:val="00837B8D"/>
    <w:rsid w:val="00840805"/>
    <w:rsid w:val="00840908"/>
    <w:rsid w:val="008409C0"/>
    <w:rsid w:val="008409E5"/>
    <w:rsid w:val="00840D65"/>
    <w:rsid w:val="00840D76"/>
    <w:rsid w:val="00841198"/>
    <w:rsid w:val="0084125B"/>
    <w:rsid w:val="00841780"/>
    <w:rsid w:val="0084243D"/>
    <w:rsid w:val="00842500"/>
    <w:rsid w:val="008428DD"/>
    <w:rsid w:val="00842DE7"/>
    <w:rsid w:val="00842DF2"/>
    <w:rsid w:val="00842E14"/>
    <w:rsid w:val="008436BA"/>
    <w:rsid w:val="00843993"/>
    <w:rsid w:val="008439C9"/>
    <w:rsid w:val="00843A5C"/>
    <w:rsid w:val="00843AF8"/>
    <w:rsid w:val="0084405D"/>
    <w:rsid w:val="008441C7"/>
    <w:rsid w:val="00844B27"/>
    <w:rsid w:val="00844C36"/>
    <w:rsid w:val="008450A8"/>
    <w:rsid w:val="008454C4"/>
    <w:rsid w:val="00845F1E"/>
    <w:rsid w:val="008461CF"/>
    <w:rsid w:val="00846481"/>
    <w:rsid w:val="00846862"/>
    <w:rsid w:val="00846C16"/>
    <w:rsid w:val="00846E5C"/>
    <w:rsid w:val="0084741D"/>
    <w:rsid w:val="00847467"/>
    <w:rsid w:val="00847AC0"/>
    <w:rsid w:val="00847EB8"/>
    <w:rsid w:val="00850138"/>
    <w:rsid w:val="008502D1"/>
    <w:rsid w:val="0085034E"/>
    <w:rsid w:val="00850B25"/>
    <w:rsid w:val="00850C98"/>
    <w:rsid w:val="00850D65"/>
    <w:rsid w:val="00850F2D"/>
    <w:rsid w:val="00851132"/>
    <w:rsid w:val="00851710"/>
    <w:rsid w:val="00851C2E"/>
    <w:rsid w:val="00851D4D"/>
    <w:rsid w:val="00852137"/>
    <w:rsid w:val="0085214D"/>
    <w:rsid w:val="00852197"/>
    <w:rsid w:val="008528CD"/>
    <w:rsid w:val="00852904"/>
    <w:rsid w:val="00853371"/>
    <w:rsid w:val="008533B7"/>
    <w:rsid w:val="00853485"/>
    <w:rsid w:val="00853666"/>
    <w:rsid w:val="00853CFB"/>
    <w:rsid w:val="008540DE"/>
    <w:rsid w:val="008540E2"/>
    <w:rsid w:val="008547A1"/>
    <w:rsid w:val="0085534B"/>
    <w:rsid w:val="0085537A"/>
    <w:rsid w:val="008555A9"/>
    <w:rsid w:val="00855DBC"/>
    <w:rsid w:val="00855F82"/>
    <w:rsid w:val="0085605A"/>
    <w:rsid w:val="008565BC"/>
    <w:rsid w:val="00856909"/>
    <w:rsid w:val="00856BF5"/>
    <w:rsid w:val="00856EF6"/>
    <w:rsid w:val="008570BC"/>
    <w:rsid w:val="008570E1"/>
    <w:rsid w:val="00857813"/>
    <w:rsid w:val="00857873"/>
    <w:rsid w:val="00857980"/>
    <w:rsid w:val="00857A85"/>
    <w:rsid w:val="00860568"/>
    <w:rsid w:val="0086089A"/>
    <w:rsid w:val="00860CD2"/>
    <w:rsid w:val="00860E30"/>
    <w:rsid w:val="00860E4B"/>
    <w:rsid w:val="008616B1"/>
    <w:rsid w:val="008617CE"/>
    <w:rsid w:val="008619F0"/>
    <w:rsid w:val="0086264D"/>
    <w:rsid w:val="00862784"/>
    <w:rsid w:val="00862D87"/>
    <w:rsid w:val="00862F48"/>
    <w:rsid w:val="0086331D"/>
    <w:rsid w:val="008638BD"/>
    <w:rsid w:val="00863AC1"/>
    <w:rsid w:val="00863CB8"/>
    <w:rsid w:val="00864A42"/>
    <w:rsid w:val="00865007"/>
    <w:rsid w:val="0086506E"/>
    <w:rsid w:val="0086526F"/>
    <w:rsid w:val="008653BB"/>
    <w:rsid w:val="00865B6E"/>
    <w:rsid w:val="00865C67"/>
    <w:rsid w:val="00865C92"/>
    <w:rsid w:val="008662BA"/>
    <w:rsid w:val="008665D6"/>
    <w:rsid w:val="00866667"/>
    <w:rsid w:val="00866981"/>
    <w:rsid w:val="00866A7D"/>
    <w:rsid w:val="00866FB2"/>
    <w:rsid w:val="00867010"/>
    <w:rsid w:val="00867121"/>
    <w:rsid w:val="00867369"/>
    <w:rsid w:val="008676CD"/>
    <w:rsid w:val="00867889"/>
    <w:rsid w:val="00867B5F"/>
    <w:rsid w:val="00867E3F"/>
    <w:rsid w:val="00867F5F"/>
    <w:rsid w:val="00870A8B"/>
    <w:rsid w:val="00871073"/>
    <w:rsid w:val="008717C0"/>
    <w:rsid w:val="00871ED9"/>
    <w:rsid w:val="00872443"/>
    <w:rsid w:val="008724F8"/>
    <w:rsid w:val="00872811"/>
    <w:rsid w:val="008728F2"/>
    <w:rsid w:val="00872A88"/>
    <w:rsid w:val="00872BB3"/>
    <w:rsid w:val="00872D5A"/>
    <w:rsid w:val="00872FCA"/>
    <w:rsid w:val="0087345A"/>
    <w:rsid w:val="0087351F"/>
    <w:rsid w:val="0087363C"/>
    <w:rsid w:val="008738E4"/>
    <w:rsid w:val="00873EF2"/>
    <w:rsid w:val="00873F12"/>
    <w:rsid w:val="00874096"/>
    <w:rsid w:val="008746E8"/>
    <w:rsid w:val="008748DD"/>
    <w:rsid w:val="00874C95"/>
    <w:rsid w:val="00874DFD"/>
    <w:rsid w:val="00875210"/>
    <w:rsid w:val="0087592C"/>
    <w:rsid w:val="00875991"/>
    <w:rsid w:val="00876030"/>
    <w:rsid w:val="0087639C"/>
    <w:rsid w:val="008763B0"/>
    <w:rsid w:val="008763EE"/>
    <w:rsid w:val="00876A1F"/>
    <w:rsid w:val="00876BC1"/>
    <w:rsid w:val="00877090"/>
    <w:rsid w:val="008775AD"/>
    <w:rsid w:val="00877784"/>
    <w:rsid w:val="008778AE"/>
    <w:rsid w:val="00877948"/>
    <w:rsid w:val="00877A05"/>
    <w:rsid w:val="008805DB"/>
    <w:rsid w:val="008807FE"/>
    <w:rsid w:val="00880A1B"/>
    <w:rsid w:val="00880C0A"/>
    <w:rsid w:val="00880D51"/>
    <w:rsid w:val="00880D71"/>
    <w:rsid w:val="0088100A"/>
    <w:rsid w:val="0088125A"/>
    <w:rsid w:val="008812E8"/>
    <w:rsid w:val="00881418"/>
    <w:rsid w:val="008814EC"/>
    <w:rsid w:val="0088177D"/>
    <w:rsid w:val="00881D03"/>
    <w:rsid w:val="008821CC"/>
    <w:rsid w:val="008825D3"/>
    <w:rsid w:val="0088296E"/>
    <w:rsid w:val="00882BF0"/>
    <w:rsid w:val="008830F3"/>
    <w:rsid w:val="008833DF"/>
    <w:rsid w:val="00883A05"/>
    <w:rsid w:val="0088426B"/>
    <w:rsid w:val="0088460B"/>
    <w:rsid w:val="008846A4"/>
    <w:rsid w:val="00885129"/>
    <w:rsid w:val="00885161"/>
    <w:rsid w:val="00885305"/>
    <w:rsid w:val="008853EA"/>
    <w:rsid w:val="00885589"/>
    <w:rsid w:val="00885764"/>
    <w:rsid w:val="00885784"/>
    <w:rsid w:val="008857CF"/>
    <w:rsid w:val="00885807"/>
    <w:rsid w:val="00885987"/>
    <w:rsid w:val="00885A8D"/>
    <w:rsid w:val="00885DAA"/>
    <w:rsid w:val="00885DE9"/>
    <w:rsid w:val="00886002"/>
    <w:rsid w:val="008860CF"/>
    <w:rsid w:val="0088611C"/>
    <w:rsid w:val="008864C4"/>
    <w:rsid w:val="008864ED"/>
    <w:rsid w:val="0088653D"/>
    <w:rsid w:val="00886971"/>
    <w:rsid w:val="00886A4E"/>
    <w:rsid w:val="00886C57"/>
    <w:rsid w:val="008871E3"/>
    <w:rsid w:val="00887223"/>
    <w:rsid w:val="008873A7"/>
    <w:rsid w:val="008878D7"/>
    <w:rsid w:val="008879AB"/>
    <w:rsid w:val="00887A37"/>
    <w:rsid w:val="00887CCD"/>
    <w:rsid w:val="00887EEB"/>
    <w:rsid w:val="0089003C"/>
    <w:rsid w:val="00890681"/>
    <w:rsid w:val="008909B6"/>
    <w:rsid w:val="008909E4"/>
    <w:rsid w:val="00891215"/>
    <w:rsid w:val="00891360"/>
    <w:rsid w:val="00891807"/>
    <w:rsid w:val="00891992"/>
    <w:rsid w:val="0089212C"/>
    <w:rsid w:val="00892989"/>
    <w:rsid w:val="00892D54"/>
    <w:rsid w:val="008930B9"/>
    <w:rsid w:val="00893AC9"/>
    <w:rsid w:val="00893BBA"/>
    <w:rsid w:val="008941DE"/>
    <w:rsid w:val="00894524"/>
    <w:rsid w:val="0089481C"/>
    <w:rsid w:val="00894C98"/>
    <w:rsid w:val="00894D2F"/>
    <w:rsid w:val="00895483"/>
    <w:rsid w:val="00895691"/>
    <w:rsid w:val="00895807"/>
    <w:rsid w:val="008958D4"/>
    <w:rsid w:val="00895DF3"/>
    <w:rsid w:val="00896059"/>
    <w:rsid w:val="00896132"/>
    <w:rsid w:val="008964EA"/>
    <w:rsid w:val="008966B6"/>
    <w:rsid w:val="008967D1"/>
    <w:rsid w:val="00896907"/>
    <w:rsid w:val="00896E2D"/>
    <w:rsid w:val="008971A7"/>
    <w:rsid w:val="008971F8"/>
    <w:rsid w:val="008974CD"/>
    <w:rsid w:val="00897852"/>
    <w:rsid w:val="00897E6E"/>
    <w:rsid w:val="008A03BC"/>
    <w:rsid w:val="008A08F5"/>
    <w:rsid w:val="008A1761"/>
    <w:rsid w:val="008A1964"/>
    <w:rsid w:val="008A1C66"/>
    <w:rsid w:val="008A1CB0"/>
    <w:rsid w:val="008A1D76"/>
    <w:rsid w:val="008A23D6"/>
    <w:rsid w:val="008A2473"/>
    <w:rsid w:val="008A2780"/>
    <w:rsid w:val="008A2917"/>
    <w:rsid w:val="008A2C46"/>
    <w:rsid w:val="008A39F8"/>
    <w:rsid w:val="008A4533"/>
    <w:rsid w:val="008A4A43"/>
    <w:rsid w:val="008A4B01"/>
    <w:rsid w:val="008A4CB9"/>
    <w:rsid w:val="008A4D1D"/>
    <w:rsid w:val="008A4D4A"/>
    <w:rsid w:val="008A534D"/>
    <w:rsid w:val="008A69FA"/>
    <w:rsid w:val="008A6C7B"/>
    <w:rsid w:val="008A6D25"/>
    <w:rsid w:val="008A6DC6"/>
    <w:rsid w:val="008A70C6"/>
    <w:rsid w:val="008A71CC"/>
    <w:rsid w:val="008A7371"/>
    <w:rsid w:val="008A74DD"/>
    <w:rsid w:val="008A75A0"/>
    <w:rsid w:val="008A7848"/>
    <w:rsid w:val="008B0C13"/>
    <w:rsid w:val="008B123E"/>
    <w:rsid w:val="008B14F2"/>
    <w:rsid w:val="008B2063"/>
    <w:rsid w:val="008B218E"/>
    <w:rsid w:val="008B27AF"/>
    <w:rsid w:val="008B29D5"/>
    <w:rsid w:val="008B35E0"/>
    <w:rsid w:val="008B364E"/>
    <w:rsid w:val="008B369A"/>
    <w:rsid w:val="008B36E5"/>
    <w:rsid w:val="008B3993"/>
    <w:rsid w:val="008B3B2B"/>
    <w:rsid w:val="008B4BD2"/>
    <w:rsid w:val="008B4CD9"/>
    <w:rsid w:val="008B5100"/>
    <w:rsid w:val="008B51FA"/>
    <w:rsid w:val="008B542E"/>
    <w:rsid w:val="008B5792"/>
    <w:rsid w:val="008B58D3"/>
    <w:rsid w:val="008B58F6"/>
    <w:rsid w:val="008B5C63"/>
    <w:rsid w:val="008B5D90"/>
    <w:rsid w:val="008B6102"/>
    <w:rsid w:val="008B68AF"/>
    <w:rsid w:val="008B7729"/>
    <w:rsid w:val="008B78B7"/>
    <w:rsid w:val="008B7D99"/>
    <w:rsid w:val="008C06EF"/>
    <w:rsid w:val="008C09DD"/>
    <w:rsid w:val="008C1229"/>
    <w:rsid w:val="008C1687"/>
    <w:rsid w:val="008C1B16"/>
    <w:rsid w:val="008C1BE5"/>
    <w:rsid w:val="008C1C40"/>
    <w:rsid w:val="008C1F34"/>
    <w:rsid w:val="008C252F"/>
    <w:rsid w:val="008C2981"/>
    <w:rsid w:val="008C3A94"/>
    <w:rsid w:val="008C3C1C"/>
    <w:rsid w:val="008C3D09"/>
    <w:rsid w:val="008C3F37"/>
    <w:rsid w:val="008C47AE"/>
    <w:rsid w:val="008C497F"/>
    <w:rsid w:val="008C49EB"/>
    <w:rsid w:val="008C4BC8"/>
    <w:rsid w:val="008C4E98"/>
    <w:rsid w:val="008C5251"/>
    <w:rsid w:val="008C56BD"/>
    <w:rsid w:val="008C58DA"/>
    <w:rsid w:val="008C5E13"/>
    <w:rsid w:val="008C5E68"/>
    <w:rsid w:val="008C5E8F"/>
    <w:rsid w:val="008C6146"/>
    <w:rsid w:val="008C6251"/>
    <w:rsid w:val="008C637A"/>
    <w:rsid w:val="008C6601"/>
    <w:rsid w:val="008C6D8F"/>
    <w:rsid w:val="008C6EC6"/>
    <w:rsid w:val="008C74AA"/>
    <w:rsid w:val="008C7533"/>
    <w:rsid w:val="008C7731"/>
    <w:rsid w:val="008C7DBC"/>
    <w:rsid w:val="008C7E21"/>
    <w:rsid w:val="008C7FE2"/>
    <w:rsid w:val="008D03EB"/>
    <w:rsid w:val="008D0AE3"/>
    <w:rsid w:val="008D12D5"/>
    <w:rsid w:val="008D196A"/>
    <w:rsid w:val="008D1970"/>
    <w:rsid w:val="008D1D09"/>
    <w:rsid w:val="008D1F6F"/>
    <w:rsid w:val="008D27DE"/>
    <w:rsid w:val="008D3179"/>
    <w:rsid w:val="008D3477"/>
    <w:rsid w:val="008D3ADA"/>
    <w:rsid w:val="008D3D2C"/>
    <w:rsid w:val="008D3D4B"/>
    <w:rsid w:val="008D3DF2"/>
    <w:rsid w:val="008D40F6"/>
    <w:rsid w:val="008D472C"/>
    <w:rsid w:val="008D4A99"/>
    <w:rsid w:val="008D4B8E"/>
    <w:rsid w:val="008D507A"/>
    <w:rsid w:val="008D55A3"/>
    <w:rsid w:val="008D5B11"/>
    <w:rsid w:val="008D5C20"/>
    <w:rsid w:val="008D5DEC"/>
    <w:rsid w:val="008D5FD4"/>
    <w:rsid w:val="008D61B6"/>
    <w:rsid w:val="008D61EB"/>
    <w:rsid w:val="008D64FA"/>
    <w:rsid w:val="008D6501"/>
    <w:rsid w:val="008D6788"/>
    <w:rsid w:val="008D6BBA"/>
    <w:rsid w:val="008D7386"/>
    <w:rsid w:val="008D76C0"/>
    <w:rsid w:val="008D7784"/>
    <w:rsid w:val="008E0000"/>
    <w:rsid w:val="008E063A"/>
    <w:rsid w:val="008E0A4C"/>
    <w:rsid w:val="008E1385"/>
    <w:rsid w:val="008E15E4"/>
    <w:rsid w:val="008E1744"/>
    <w:rsid w:val="008E183D"/>
    <w:rsid w:val="008E1AFA"/>
    <w:rsid w:val="008E1C53"/>
    <w:rsid w:val="008E23C7"/>
    <w:rsid w:val="008E264E"/>
    <w:rsid w:val="008E28DB"/>
    <w:rsid w:val="008E2947"/>
    <w:rsid w:val="008E2A47"/>
    <w:rsid w:val="008E2D38"/>
    <w:rsid w:val="008E3A8E"/>
    <w:rsid w:val="008E3C3F"/>
    <w:rsid w:val="008E4210"/>
    <w:rsid w:val="008E441F"/>
    <w:rsid w:val="008E4646"/>
    <w:rsid w:val="008E4870"/>
    <w:rsid w:val="008E4BBA"/>
    <w:rsid w:val="008E4D7E"/>
    <w:rsid w:val="008E519E"/>
    <w:rsid w:val="008E52E6"/>
    <w:rsid w:val="008E58F1"/>
    <w:rsid w:val="008E5ADF"/>
    <w:rsid w:val="008E5CB3"/>
    <w:rsid w:val="008E5DC2"/>
    <w:rsid w:val="008E5DFF"/>
    <w:rsid w:val="008E65A1"/>
    <w:rsid w:val="008E6A40"/>
    <w:rsid w:val="008E6FBD"/>
    <w:rsid w:val="008E7284"/>
    <w:rsid w:val="008E7348"/>
    <w:rsid w:val="008E74BF"/>
    <w:rsid w:val="008E75DD"/>
    <w:rsid w:val="008E7895"/>
    <w:rsid w:val="008E7948"/>
    <w:rsid w:val="008E7FD6"/>
    <w:rsid w:val="008F0229"/>
    <w:rsid w:val="008F025D"/>
    <w:rsid w:val="008F02A1"/>
    <w:rsid w:val="008F043B"/>
    <w:rsid w:val="008F07C0"/>
    <w:rsid w:val="008F1225"/>
    <w:rsid w:val="008F13CC"/>
    <w:rsid w:val="008F1425"/>
    <w:rsid w:val="008F14E1"/>
    <w:rsid w:val="008F16B2"/>
    <w:rsid w:val="008F1A28"/>
    <w:rsid w:val="008F1D9C"/>
    <w:rsid w:val="008F20F1"/>
    <w:rsid w:val="008F280C"/>
    <w:rsid w:val="008F2B23"/>
    <w:rsid w:val="008F2DE8"/>
    <w:rsid w:val="008F307F"/>
    <w:rsid w:val="008F3B21"/>
    <w:rsid w:val="008F3F33"/>
    <w:rsid w:val="008F3F92"/>
    <w:rsid w:val="008F4108"/>
    <w:rsid w:val="008F424A"/>
    <w:rsid w:val="008F4947"/>
    <w:rsid w:val="008F4BC6"/>
    <w:rsid w:val="008F526E"/>
    <w:rsid w:val="008F52AD"/>
    <w:rsid w:val="008F57CC"/>
    <w:rsid w:val="008F5D23"/>
    <w:rsid w:val="008F60F2"/>
    <w:rsid w:val="008F6555"/>
    <w:rsid w:val="008F6656"/>
    <w:rsid w:val="008F686F"/>
    <w:rsid w:val="008F688A"/>
    <w:rsid w:val="008F6973"/>
    <w:rsid w:val="008F72BF"/>
    <w:rsid w:val="008F77AD"/>
    <w:rsid w:val="008F7C5A"/>
    <w:rsid w:val="009001C6"/>
    <w:rsid w:val="009001DE"/>
    <w:rsid w:val="009005BC"/>
    <w:rsid w:val="0090076E"/>
    <w:rsid w:val="009008DD"/>
    <w:rsid w:val="00900E60"/>
    <w:rsid w:val="00900FA9"/>
    <w:rsid w:val="0090101C"/>
    <w:rsid w:val="009016AE"/>
    <w:rsid w:val="0090175B"/>
    <w:rsid w:val="00901803"/>
    <w:rsid w:val="00901EDD"/>
    <w:rsid w:val="00902509"/>
    <w:rsid w:val="009026B8"/>
    <w:rsid w:val="0090274D"/>
    <w:rsid w:val="00902805"/>
    <w:rsid w:val="00902FD7"/>
    <w:rsid w:val="00903157"/>
    <w:rsid w:val="00903484"/>
    <w:rsid w:val="009034BF"/>
    <w:rsid w:val="00903692"/>
    <w:rsid w:val="00903A01"/>
    <w:rsid w:val="00903AEA"/>
    <w:rsid w:val="00903B2F"/>
    <w:rsid w:val="00903BBA"/>
    <w:rsid w:val="00903E1D"/>
    <w:rsid w:val="00904888"/>
    <w:rsid w:val="009048F7"/>
    <w:rsid w:val="00904A91"/>
    <w:rsid w:val="00904AB7"/>
    <w:rsid w:val="00904FDD"/>
    <w:rsid w:val="009059C3"/>
    <w:rsid w:val="009060EB"/>
    <w:rsid w:val="009065B5"/>
    <w:rsid w:val="00906779"/>
    <w:rsid w:val="009068F0"/>
    <w:rsid w:val="009069BA"/>
    <w:rsid w:val="00906B85"/>
    <w:rsid w:val="0090764B"/>
    <w:rsid w:val="0090769A"/>
    <w:rsid w:val="009079D9"/>
    <w:rsid w:val="009079F8"/>
    <w:rsid w:val="00907CF3"/>
    <w:rsid w:val="00907CFA"/>
    <w:rsid w:val="00907D61"/>
    <w:rsid w:val="0091023F"/>
    <w:rsid w:val="00910358"/>
    <w:rsid w:val="0091056D"/>
    <w:rsid w:val="0091081E"/>
    <w:rsid w:val="0091117E"/>
    <w:rsid w:val="00911450"/>
    <w:rsid w:val="009116C4"/>
    <w:rsid w:val="00911947"/>
    <w:rsid w:val="0091223F"/>
    <w:rsid w:val="00912EF6"/>
    <w:rsid w:val="00912F2F"/>
    <w:rsid w:val="009130CD"/>
    <w:rsid w:val="009137A4"/>
    <w:rsid w:val="009137EE"/>
    <w:rsid w:val="00913C45"/>
    <w:rsid w:val="00914310"/>
    <w:rsid w:val="009146FE"/>
    <w:rsid w:val="00914853"/>
    <w:rsid w:val="00914D5F"/>
    <w:rsid w:val="00915036"/>
    <w:rsid w:val="00915064"/>
    <w:rsid w:val="009150BD"/>
    <w:rsid w:val="009150F0"/>
    <w:rsid w:val="00915DCF"/>
    <w:rsid w:val="00916B39"/>
    <w:rsid w:val="00916EA9"/>
    <w:rsid w:val="00920588"/>
    <w:rsid w:val="009206EA"/>
    <w:rsid w:val="00920A18"/>
    <w:rsid w:val="00920B31"/>
    <w:rsid w:val="00920DC4"/>
    <w:rsid w:val="00920E50"/>
    <w:rsid w:val="009211FB"/>
    <w:rsid w:val="009213B9"/>
    <w:rsid w:val="00921430"/>
    <w:rsid w:val="00921445"/>
    <w:rsid w:val="009218E6"/>
    <w:rsid w:val="00921CA1"/>
    <w:rsid w:val="00921FBE"/>
    <w:rsid w:val="00922022"/>
    <w:rsid w:val="00922ECF"/>
    <w:rsid w:val="00923519"/>
    <w:rsid w:val="009241E5"/>
    <w:rsid w:val="009242E9"/>
    <w:rsid w:val="0092433C"/>
    <w:rsid w:val="00924407"/>
    <w:rsid w:val="009245B4"/>
    <w:rsid w:val="009245EB"/>
    <w:rsid w:val="00924981"/>
    <w:rsid w:val="00924A32"/>
    <w:rsid w:val="00924F92"/>
    <w:rsid w:val="00925222"/>
    <w:rsid w:val="00925619"/>
    <w:rsid w:val="009260AD"/>
    <w:rsid w:val="00926132"/>
    <w:rsid w:val="0092613B"/>
    <w:rsid w:val="00926329"/>
    <w:rsid w:val="00926CCD"/>
    <w:rsid w:val="00927110"/>
    <w:rsid w:val="009273C7"/>
    <w:rsid w:val="009273FA"/>
    <w:rsid w:val="00927749"/>
    <w:rsid w:val="00927C01"/>
    <w:rsid w:val="00927DE2"/>
    <w:rsid w:val="00930260"/>
    <w:rsid w:val="0093044E"/>
    <w:rsid w:val="0093074A"/>
    <w:rsid w:val="00930A1F"/>
    <w:rsid w:val="00930CF7"/>
    <w:rsid w:val="009313A9"/>
    <w:rsid w:val="009313D7"/>
    <w:rsid w:val="00931653"/>
    <w:rsid w:val="00931F50"/>
    <w:rsid w:val="00932098"/>
    <w:rsid w:val="009325FB"/>
    <w:rsid w:val="00932662"/>
    <w:rsid w:val="00932767"/>
    <w:rsid w:val="00932818"/>
    <w:rsid w:val="009328D0"/>
    <w:rsid w:val="00932985"/>
    <w:rsid w:val="00932E57"/>
    <w:rsid w:val="0093351D"/>
    <w:rsid w:val="009339EB"/>
    <w:rsid w:val="00933B5A"/>
    <w:rsid w:val="00933CAD"/>
    <w:rsid w:val="00934062"/>
    <w:rsid w:val="0093479D"/>
    <w:rsid w:val="00934829"/>
    <w:rsid w:val="00934A2E"/>
    <w:rsid w:val="00934D4C"/>
    <w:rsid w:val="0093540A"/>
    <w:rsid w:val="00935486"/>
    <w:rsid w:val="00935520"/>
    <w:rsid w:val="00935840"/>
    <w:rsid w:val="00935896"/>
    <w:rsid w:val="00935897"/>
    <w:rsid w:val="00936095"/>
    <w:rsid w:val="00936461"/>
    <w:rsid w:val="00936B35"/>
    <w:rsid w:val="0093709D"/>
    <w:rsid w:val="009371BB"/>
    <w:rsid w:val="00937399"/>
    <w:rsid w:val="00937935"/>
    <w:rsid w:val="009379AF"/>
    <w:rsid w:val="009379F4"/>
    <w:rsid w:val="009401DE"/>
    <w:rsid w:val="009401ED"/>
    <w:rsid w:val="00940453"/>
    <w:rsid w:val="009404DA"/>
    <w:rsid w:val="00940523"/>
    <w:rsid w:val="009407F9"/>
    <w:rsid w:val="00940856"/>
    <w:rsid w:val="00940A90"/>
    <w:rsid w:val="00940DB9"/>
    <w:rsid w:val="00941A29"/>
    <w:rsid w:val="00942543"/>
    <w:rsid w:val="00942730"/>
    <w:rsid w:val="0094291F"/>
    <w:rsid w:val="00942BB9"/>
    <w:rsid w:val="00942BBE"/>
    <w:rsid w:val="00942D2B"/>
    <w:rsid w:val="0094363D"/>
    <w:rsid w:val="00943A2E"/>
    <w:rsid w:val="00944110"/>
    <w:rsid w:val="009442CC"/>
    <w:rsid w:val="009442D0"/>
    <w:rsid w:val="009447A6"/>
    <w:rsid w:val="00944FC2"/>
    <w:rsid w:val="0094529B"/>
    <w:rsid w:val="009452DF"/>
    <w:rsid w:val="00945330"/>
    <w:rsid w:val="00945365"/>
    <w:rsid w:val="0094580E"/>
    <w:rsid w:val="009459C0"/>
    <w:rsid w:val="00945F73"/>
    <w:rsid w:val="00946027"/>
    <w:rsid w:val="009462D4"/>
    <w:rsid w:val="0094639B"/>
    <w:rsid w:val="00946A41"/>
    <w:rsid w:val="00946B9D"/>
    <w:rsid w:val="0094725A"/>
    <w:rsid w:val="00950096"/>
    <w:rsid w:val="00950433"/>
    <w:rsid w:val="009508B3"/>
    <w:rsid w:val="00950A26"/>
    <w:rsid w:val="00950C97"/>
    <w:rsid w:val="00950E17"/>
    <w:rsid w:val="00950FDD"/>
    <w:rsid w:val="009513B7"/>
    <w:rsid w:val="009514F5"/>
    <w:rsid w:val="0095154B"/>
    <w:rsid w:val="00951BD0"/>
    <w:rsid w:val="00951D3D"/>
    <w:rsid w:val="00951ED2"/>
    <w:rsid w:val="009522F5"/>
    <w:rsid w:val="00952B16"/>
    <w:rsid w:val="009530A8"/>
    <w:rsid w:val="009531B9"/>
    <w:rsid w:val="00953840"/>
    <w:rsid w:val="00953B74"/>
    <w:rsid w:val="009549CC"/>
    <w:rsid w:val="00954D0A"/>
    <w:rsid w:val="00955465"/>
    <w:rsid w:val="009557F2"/>
    <w:rsid w:val="00955E59"/>
    <w:rsid w:val="009564DD"/>
    <w:rsid w:val="00956577"/>
    <w:rsid w:val="0095677B"/>
    <w:rsid w:val="009567CF"/>
    <w:rsid w:val="00956E7A"/>
    <w:rsid w:val="0095727F"/>
    <w:rsid w:val="00957F44"/>
    <w:rsid w:val="00960064"/>
    <w:rsid w:val="009606C6"/>
    <w:rsid w:val="00960AAB"/>
    <w:rsid w:val="00960AC0"/>
    <w:rsid w:val="009617BD"/>
    <w:rsid w:val="00961831"/>
    <w:rsid w:val="0096202B"/>
    <w:rsid w:val="009626DB"/>
    <w:rsid w:val="009627EF"/>
    <w:rsid w:val="0096294B"/>
    <w:rsid w:val="00963177"/>
    <w:rsid w:val="0096351E"/>
    <w:rsid w:val="0096420C"/>
    <w:rsid w:val="00964752"/>
    <w:rsid w:val="00964A51"/>
    <w:rsid w:val="00964EF8"/>
    <w:rsid w:val="0096501C"/>
    <w:rsid w:val="0096530D"/>
    <w:rsid w:val="00965416"/>
    <w:rsid w:val="009654B1"/>
    <w:rsid w:val="009655E8"/>
    <w:rsid w:val="00965735"/>
    <w:rsid w:val="00965FAD"/>
    <w:rsid w:val="0096605D"/>
    <w:rsid w:val="009662BE"/>
    <w:rsid w:val="009665D6"/>
    <w:rsid w:val="00966630"/>
    <w:rsid w:val="0096665C"/>
    <w:rsid w:val="009666BD"/>
    <w:rsid w:val="00966700"/>
    <w:rsid w:val="00966776"/>
    <w:rsid w:val="00966944"/>
    <w:rsid w:val="00966CFB"/>
    <w:rsid w:val="00966D63"/>
    <w:rsid w:val="0096776D"/>
    <w:rsid w:val="00967DD4"/>
    <w:rsid w:val="00967FB4"/>
    <w:rsid w:val="00970D37"/>
    <w:rsid w:val="00970FC0"/>
    <w:rsid w:val="00970FED"/>
    <w:rsid w:val="00971189"/>
    <w:rsid w:val="009711AD"/>
    <w:rsid w:val="00971350"/>
    <w:rsid w:val="009717C0"/>
    <w:rsid w:val="00971B20"/>
    <w:rsid w:val="00971EC9"/>
    <w:rsid w:val="00971F61"/>
    <w:rsid w:val="0097202B"/>
    <w:rsid w:val="009720C7"/>
    <w:rsid w:val="0097216D"/>
    <w:rsid w:val="00972467"/>
    <w:rsid w:val="00972660"/>
    <w:rsid w:val="0097292A"/>
    <w:rsid w:val="00972BF5"/>
    <w:rsid w:val="00972E3F"/>
    <w:rsid w:val="00972E75"/>
    <w:rsid w:val="00973D63"/>
    <w:rsid w:val="00974223"/>
    <w:rsid w:val="009743A7"/>
    <w:rsid w:val="00974531"/>
    <w:rsid w:val="00974623"/>
    <w:rsid w:val="009747AA"/>
    <w:rsid w:val="00974BAD"/>
    <w:rsid w:val="00974DC3"/>
    <w:rsid w:val="00974E04"/>
    <w:rsid w:val="009752BD"/>
    <w:rsid w:val="00975560"/>
    <w:rsid w:val="0097558A"/>
    <w:rsid w:val="009759FF"/>
    <w:rsid w:val="00975A03"/>
    <w:rsid w:val="00975A8C"/>
    <w:rsid w:val="00975AAD"/>
    <w:rsid w:val="00976272"/>
    <w:rsid w:val="009769B3"/>
    <w:rsid w:val="00976B4E"/>
    <w:rsid w:val="00976C29"/>
    <w:rsid w:val="00977DA6"/>
    <w:rsid w:val="009806A3"/>
    <w:rsid w:val="00980DD9"/>
    <w:rsid w:val="00981253"/>
    <w:rsid w:val="009816FD"/>
    <w:rsid w:val="00981DDD"/>
    <w:rsid w:val="00981EE6"/>
    <w:rsid w:val="00982338"/>
    <w:rsid w:val="009828EA"/>
    <w:rsid w:val="00982950"/>
    <w:rsid w:val="00982C6B"/>
    <w:rsid w:val="00982EF8"/>
    <w:rsid w:val="0098300A"/>
    <w:rsid w:val="00983354"/>
    <w:rsid w:val="00983B3E"/>
    <w:rsid w:val="00983B5A"/>
    <w:rsid w:val="00983E2C"/>
    <w:rsid w:val="00984065"/>
    <w:rsid w:val="00984256"/>
    <w:rsid w:val="00984D4C"/>
    <w:rsid w:val="00984D92"/>
    <w:rsid w:val="009856BC"/>
    <w:rsid w:val="00986019"/>
    <w:rsid w:val="00986514"/>
    <w:rsid w:val="009865D0"/>
    <w:rsid w:val="00986953"/>
    <w:rsid w:val="00986AF8"/>
    <w:rsid w:val="00986F5A"/>
    <w:rsid w:val="00987172"/>
    <w:rsid w:val="0098734C"/>
    <w:rsid w:val="00987543"/>
    <w:rsid w:val="00987838"/>
    <w:rsid w:val="00987A06"/>
    <w:rsid w:val="00990C1B"/>
    <w:rsid w:val="00990F4F"/>
    <w:rsid w:val="00991A15"/>
    <w:rsid w:val="00991D21"/>
    <w:rsid w:val="00991E93"/>
    <w:rsid w:val="00992158"/>
    <w:rsid w:val="00992499"/>
    <w:rsid w:val="009924E5"/>
    <w:rsid w:val="00992CA8"/>
    <w:rsid w:val="00992F50"/>
    <w:rsid w:val="0099350C"/>
    <w:rsid w:val="009935AB"/>
    <w:rsid w:val="00993862"/>
    <w:rsid w:val="00993A64"/>
    <w:rsid w:val="00993ADA"/>
    <w:rsid w:val="00994547"/>
    <w:rsid w:val="00994654"/>
    <w:rsid w:val="009949A7"/>
    <w:rsid w:val="0099500B"/>
    <w:rsid w:val="00995893"/>
    <w:rsid w:val="00995A94"/>
    <w:rsid w:val="00995CE3"/>
    <w:rsid w:val="009961E4"/>
    <w:rsid w:val="00996304"/>
    <w:rsid w:val="00996312"/>
    <w:rsid w:val="0099699A"/>
    <w:rsid w:val="0099716C"/>
    <w:rsid w:val="00997561"/>
    <w:rsid w:val="009975DC"/>
    <w:rsid w:val="00997B5C"/>
    <w:rsid w:val="00997D2B"/>
    <w:rsid w:val="00997DD1"/>
    <w:rsid w:val="009A05A3"/>
    <w:rsid w:val="009A0A19"/>
    <w:rsid w:val="009A0AC1"/>
    <w:rsid w:val="009A0DAB"/>
    <w:rsid w:val="009A0F2D"/>
    <w:rsid w:val="009A1216"/>
    <w:rsid w:val="009A210D"/>
    <w:rsid w:val="009A2385"/>
    <w:rsid w:val="009A23CD"/>
    <w:rsid w:val="009A28FA"/>
    <w:rsid w:val="009A2BA4"/>
    <w:rsid w:val="009A2E43"/>
    <w:rsid w:val="009A38A4"/>
    <w:rsid w:val="009A394C"/>
    <w:rsid w:val="009A3B1E"/>
    <w:rsid w:val="009A3D37"/>
    <w:rsid w:val="009A3D4E"/>
    <w:rsid w:val="009A42C5"/>
    <w:rsid w:val="009A4470"/>
    <w:rsid w:val="009A44D2"/>
    <w:rsid w:val="009A4A9A"/>
    <w:rsid w:val="009A4AAD"/>
    <w:rsid w:val="009A4B3A"/>
    <w:rsid w:val="009A4BC8"/>
    <w:rsid w:val="009A50FF"/>
    <w:rsid w:val="009A5CAC"/>
    <w:rsid w:val="009A6110"/>
    <w:rsid w:val="009A657E"/>
    <w:rsid w:val="009A6676"/>
    <w:rsid w:val="009A6DB4"/>
    <w:rsid w:val="009A79E9"/>
    <w:rsid w:val="009B0933"/>
    <w:rsid w:val="009B0B08"/>
    <w:rsid w:val="009B0C53"/>
    <w:rsid w:val="009B0E66"/>
    <w:rsid w:val="009B0F02"/>
    <w:rsid w:val="009B10AA"/>
    <w:rsid w:val="009B12EB"/>
    <w:rsid w:val="009B173F"/>
    <w:rsid w:val="009B24D6"/>
    <w:rsid w:val="009B2504"/>
    <w:rsid w:val="009B26CA"/>
    <w:rsid w:val="009B29B5"/>
    <w:rsid w:val="009B2D98"/>
    <w:rsid w:val="009B2E69"/>
    <w:rsid w:val="009B2FF4"/>
    <w:rsid w:val="009B2FFD"/>
    <w:rsid w:val="009B3306"/>
    <w:rsid w:val="009B39D1"/>
    <w:rsid w:val="009B3AA1"/>
    <w:rsid w:val="009B3BCE"/>
    <w:rsid w:val="009B429E"/>
    <w:rsid w:val="009B43D0"/>
    <w:rsid w:val="009B4B61"/>
    <w:rsid w:val="009B4C6E"/>
    <w:rsid w:val="009B5228"/>
    <w:rsid w:val="009B5ADE"/>
    <w:rsid w:val="009B5B3F"/>
    <w:rsid w:val="009B63D1"/>
    <w:rsid w:val="009B63DA"/>
    <w:rsid w:val="009B6736"/>
    <w:rsid w:val="009B695C"/>
    <w:rsid w:val="009B6BD3"/>
    <w:rsid w:val="009B6BDB"/>
    <w:rsid w:val="009B714D"/>
    <w:rsid w:val="009B756A"/>
    <w:rsid w:val="009B7591"/>
    <w:rsid w:val="009B77F2"/>
    <w:rsid w:val="009B7ABF"/>
    <w:rsid w:val="009B7BA7"/>
    <w:rsid w:val="009C08BD"/>
    <w:rsid w:val="009C09C2"/>
    <w:rsid w:val="009C0BAB"/>
    <w:rsid w:val="009C0BBE"/>
    <w:rsid w:val="009C0F2C"/>
    <w:rsid w:val="009C0F43"/>
    <w:rsid w:val="009C1BD4"/>
    <w:rsid w:val="009C1D69"/>
    <w:rsid w:val="009C1EAD"/>
    <w:rsid w:val="009C223D"/>
    <w:rsid w:val="009C246A"/>
    <w:rsid w:val="009C2625"/>
    <w:rsid w:val="009C281D"/>
    <w:rsid w:val="009C2837"/>
    <w:rsid w:val="009C2FF5"/>
    <w:rsid w:val="009C3047"/>
    <w:rsid w:val="009C30E9"/>
    <w:rsid w:val="009C316F"/>
    <w:rsid w:val="009C34DD"/>
    <w:rsid w:val="009C3590"/>
    <w:rsid w:val="009C399F"/>
    <w:rsid w:val="009C3B3D"/>
    <w:rsid w:val="009C3CD5"/>
    <w:rsid w:val="009C3DF9"/>
    <w:rsid w:val="009C49BA"/>
    <w:rsid w:val="009C4B28"/>
    <w:rsid w:val="009C514D"/>
    <w:rsid w:val="009C5C87"/>
    <w:rsid w:val="009C5ED3"/>
    <w:rsid w:val="009C6772"/>
    <w:rsid w:val="009C692C"/>
    <w:rsid w:val="009C71E4"/>
    <w:rsid w:val="009C7500"/>
    <w:rsid w:val="009C7650"/>
    <w:rsid w:val="009C76C8"/>
    <w:rsid w:val="009C7809"/>
    <w:rsid w:val="009C7C5C"/>
    <w:rsid w:val="009C7C9A"/>
    <w:rsid w:val="009D01E5"/>
    <w:rsid w:val="009D0732"/>
    <w:rsid w:val="009D0D33"/>
    <w:rsid w:val="009D1366"/>
    <w:rsid w:val="009D1912"/>
    <w:rsid w:val="009D19ED"/>
    <w:rsid w:val="009D1B2F"/>
    <w:rsid w:val="009D21E6"/>
    <w:rsid w:val="009D2BE8"/>
    <w:rsid w:val="009D2EC9"/>
    <w:rsid w:val="009D321F"/>
    <w:rsid w:val="009D35BC"/>
    <w:rsid w:val="009D3669"/>
    <w:rsid w:val="009D378C"/>
    <w:rsid w:val="009D3926"/>
    <w:rsid w:val="009D48E1"/>
    <w:rsid w:val="009D4D7B"/>
    <w:rsid w:val="009D5719"/>
    <w:rsid w:val="009D5A13"/>
    <w:rsid w:val="009D64B3"/>
    <w:rsid w:val="009D6610"/>
    <w:rsid w:val="009D66FC"/>
    <w:rsid w:val="009D6A07"/>
    <w:rsid w:val="009D6A3A"/>
    <w:rsid w:val="009D6AA8"/>
    <w:rsid w:val="009D6B0E"/>
    <w:rsid w:val="009D6BB3"/>
    <w:rsid w:val="009D6EFA"/>
    <w:rsid w:val="009D7552"/>
    <w:rsid w:val="009D75AE"/>
    <w:rsid w:val="009D7882"/>
    <w:rsid w:val="009D78C7"/>
    <w:rsid w:val="009D78FA"/>
    <w:rsid w:val="009D7BEB"/>
    <w:rsid w:val="009D7C02"/>
    <w:rsid w:val="009D7DF9"/>
    <w:rsid w:val="009D7E94"/>
    <w:rsid w:val="009E03C0"/>
    <w:rsid w:val="009E0963"/>
    <w:rsid w:val="009E0C31"/>
    <w:rsid w:val="009E0D19"/>
    <w:rsid w:val="009E0D2B"/>
    <w:rsid w:val="009E0EC3"/>
    <w:rsid w:val="009E0F24"/>
    <w:rsid w:val="009E118C"/>
    <w:rsid w:val="009E1263"/>
    <w:rsid w:val="009E16CD"/>
    <w:rsid w:val="009E1B89"/>
    <w:rsid w:val="009E2071"/>
    <w:rsid w:val="009E24BB"/>
    <w:rsid w:val="009E2B57"/>
    <w:rsid w:val="009E2FEC"/>
    <w:rsid w:val="009E31A2"/>
    <w:rsid w:val="009E32BE"/>
    <w:rsid w:val="009E3373"/>
    <w:rsid w:val="009E348B"/>
    <w:rsid w:val="009E3943"/>
    <w:rsid w:val="009E39B7"/>
    <w:rsid w:val="009E3A74"/>
    <w:rsid w:val="009E4476"/>
    <w:rsid w:val="009E47AF"/>
    <w:rsid w:val="009E4957"/>
    <w:rsid w:val="009E49C4"/>
    <w:rsid w:val="009E5056"/>
    <w:rsid w:val="009E51FF"/>
    <w:rsid w:val="009E5464"/>
    <w:rsid w:val="009E546D"/>
    <w:rsid w:val="009E5634"/>
    <w:rsid w:val="009E5DA6"/>
    <w:rsid w:val="009E5DB2"/>
    <w:rsid w:val="009E60CF"/>
    <w:rsid w:val="009E60D5"/>
    <w:rsid w:val="009E61F6"/>
    <w:rsid w:val="009E6315"/>
    <w:rsid w:val="009E6787"/>
    <w:rsid w:val="009E697F"/>
    <w:rsid w:val="009E6989"/>
    <w:rsid w:val="009E6E4D"/>
    <w:rsid w:val="009E7271"/>
    <w:rsid w:val="009E72ED"/>
    <w:rsid w:val="009E77E1"/>
    <w:rsid w:val="009E7F55"/>
    <w:rsid w:val="009F011A"/>
    <w:rsid w:val="009F0286"/>
    <w:rsid w:val="009F036F"/>
    <w:rsid w:val="009F040F"/>
    <w:rsid w:val="009F12CC"/>
    <w:rsid w:val="009F1931"/>
    <w:rsid w:val="009F1BE6"/>
    <w:rsid w:val="009F1CE1"/>
    <w:rsid w:val="009F2A72"/>
    <w:rsid w:val="009F2A84"/>
    <w:rsid w:val="009F2DE4"/>
    <w:rsid w:val="009F30FB"/>
    <w:rsid w:val="009F312E"/>
    <w:rsid w:val="009F33C3"/>
    <w:rsid w:val="009F366F"/>
    <w:rsid w:val="009F3AE5"/>
    <w:rsid w:val="009F455B"/>
    <w:rsid w:val="009F4BB0"/>
    <w:rsid w:val="009F4BBA"/>
    <w:rsid w:val="009F4E0D"/>
    <w:rsid w:val="009F4E89"/>
    <w:rsid w:val="009F53E8"/>
    <w:rsid w:val="009F55AD"/>
    <w:rsid w:val="009F5663"/>
    <w:rsid w:val="009F5D43"/>
    <w:rsid w:val="009F705E"/>
    <w:rsid w:val="009F70A8"/>
    <w:rsid w:val="009F7390"/>
    <w:rsid w:val="009F749F"/>
    <w:rsid w:val="009F75D5"/>
    <w:rsid w:val="009F7676"/>
    <w:rsid w:val="009F7CAC"/>
    <w:rsid w:val="00A00C3F"/>
    <w:rsid w:val="00A00DC8"/>
    <w:rsid w:val="00A00F4C"/>
    <w:rsid w:val="00A0128F"/>
    <w:rsid w:val="00A012F4"/>
    <w:rsid w:val="00A01787"/>
    <w:rsid w:val="00A01B7B"/>
    <w:rsid w:val="00A02038"/>
    <w:rsid w:val="00A023DE"/>
    <w:rsid w:val="00A02996"/>
    <w:rsid w:val="00A02C1A"/>
    <w:rsid w:val="00A031C0"/>
    <w:rsid w:val="00A033D4"/>
    <w:rsid w:val="00A034F9"/>
    <w:rsid w:val="00A03CF2"/>
    <w:rsid w:val="00A03D61"/>
    <w:rsid w:val="00A043AB"/>
    <w:rsid w:val="00A043FD"/>
    <w:rsid w:val="00A04402"/>
    <w:rsid w:val="00A049AE"/>
    <w:rsid w:val="00A04AB5"/>
    <w:rsid w:val="00A04FA1"/>
    <w:rsid w:val="00A05006"/>
    <w:rsid w:val="00A05A87"/>
    <w:rsid w:val="00A06086"/>
    <w:rsid w:val="00A060ED"/>
    <w:rsid w:val="00A064D8"/>
    <w:rsid w:val="00A064D9"/>
    <w:rsid w:val="00A06546"/>
    <w:rsid w:val="00A06A5C"/>
    <w:rsid w:val="00A06AA5"/>
    <w:rsid w:val="00A06EA7"/>
    <w:rsid w:val="00A06F58"/>
    <w:rsid w:val="00A071C8"/>
    <w:rsid w:val="00A075BA"/>
    <w:rsid w:val="00A07715"/>
    <w:rsid w:val="00A079AA"/>
    <w:rsid w:val="00A07ABC"/>
    <w:rsid w:val="00A07CD2"/>
    <w:rsid w:val="00A10445"/>
    <w:rsid w:val="00A10847"/>
    <w:rsid w:val="00A1193E"/>
    <w:rsid w:val="00A11A17"/>
    <w:rsid w:val="00A11A8C"/>
    <w:rsid w:val="00A11DA3"/>
    <w:rsid w:val="00A11F96"/>
    <w:rsid w:val="00A123DC"/>
    <w:rsid w:val="00A1246A"/>
    <w:rsid w:val="00A12637"/>
    <w:rsid w:val="00A12A19"/>
    <w:rsid w:val="00A12CAC"/>
    <w:rsid w:val="00A12EA4"/>
    <w:rsid w:val="00A138CF"/>
    <w:rsid w:val="00A139AE"/>
    <w:rsid w:val="00A14166"/>
    <w:rsid w:val="00A1421B"/>
    <w:rsid w:val="00A144C0"/>
    <w:rsid w:val="00A14660"/>
    <w:rsid w:val="00A14797"/>
    <w:rsid w:val="00A14C9C"/>
    <w:rsid w:val="00A15942"/>
    <w:rsid w:val="00A165A3"/>
    <w:rsid w:val="00A16CF7"/>
    <w:rsid w:val="00A16D2B"/>
    <w:rsid w:val="00A16F7F"/>
    <w:rsid w:val="00A17241"/>
    <w:rsid w:val="00A17378"/>
    <w:rsid w:val="00A17668"/>
    <w:rsid w:val="00A178D4"/>
    <w:rsid w:val="00A17908"/>
    <w:rsid w:val="00A17919"/>
    <w:rsid w:val="00A17AA8"/>
    <w:rsid w:val="00A20204"/>
    <w:rsid w:val="00A20290"/>
    <w:rsid w:val="00A2040F"/>
    <w:rsid w:val="00A20F9A"/>
    <w:rsid w:val="00A21102"/>
    <w:rsid w:val="00A216F0"/>
    <w:rsid w:val="00A219EB"/>
    <w:rsid w:val="00A22190"/>
    <w:rsid w:val="00A22430"/>
    <w:rsid w:val="00A22D06"/>
    <w:rsid w:val="00A231C6"/>
    <w:rsid w:val="00A23259"/>
    <w:rsid w:val="00A233EA"/>
    <w:rsid w:val="00A2358E"/>
    <w:rsid w:val="00A2471F"/>
    <w:rsid w:val="00A247ED"/>
    <w:rsid w:val="00A2490D"/>
    <w:rsid w:val="00A24931"/>
    <w:rsid w:val="00A24FC3"/>
    <w:rsid w:val="00A25300"/>
    <w:rsid w:val="00A2543E"/>
    <w:rsid w:val="00A25BD9"/>
    <w:rsid w:val="00A262F2"/>
    <w:rsid w:val="00A263DF"/>
    <w:rsid w:val="00A2672B"/>
    <w:rsid w:val="00A26793"/>
    <w:rsid w:val="00A267F3"/>
    <w:rsid w:val="00A26A5B"/>
    <w:rsid w:val="00A26B6A"/>
    <w:rsid w:val="00A26B95"/>
    <w:rsid w:val="00A274F7"/>
    <w:rsid w:val="00A2770B"/>
    <w:rsid w:val="00A27F33"/>
    <w:rsid w:val="00A30063"/>
    <w:rsid w:val="00A301FE"/>
    <w:rsid w:val="00A3038F"/>
    <w:rsid w:val="00A310A7"/>
    <w:rsid w:val="00A310F0"/>
    <w:rsid w:val="00A31704"/>
    <w:rsid w:val="00A31718"/>
    <w:rsid w:val="00A32042"/>
    <w:rsid w:val="00A32173"/>
    <w:rsid w:val="00A323E3"/>
    <w:rsid w:val="00A324E2"/>
    <w:rsid w:val="00A32672"/>
    <w:rsid w:val="00A33AE0"/>
    <w:rsid w:val="00A33DD4"/>
    <w:rsid w:val="00A347FA"/>
    <w:rsid w:val="00A3496A"/>
    <w:rsid w:val="00A34D96"/>
    <w:rsid w:val="00A34DED"/>
    <w:rsid w:val="00A34F40"/>
    <w:rsid w:val="00A35202"/>
    <w:rsid w:val="00A35717"/>
    <w:rsid w:val="00A35963"/>
    <w:rsid w:val="00A35FC0"/>
    <w:rsid w:val="00A36315"/>
    <w:rsid w:val="00A363B0"/>
    <w:rsid w:val="00A363C6"/>
    <w:rsid w:val="00A36572"/>
    <w:rsid w:val="00A365D9"/>
    <w:rsid w:val="00A36D68"/>
    <w:rsid w:val="00A36DC1"/>
    <w:rsid w:val="00A370C5"/>
    <w:rsid w:val="00A372E8"/>
    <w:rsid w:val="00A37539"/>
    <w:rsid w:val="00A37748"/>
    <w:rsid w:val="00A37CCD"/>
    <w:rsid w:val="00A40C4F"/>
    <w:rsid w:val="00A40F25"/>
    <w:rsid w:val="00A41143"/>
    <w:rsid w:val="00A4143E"/>
    <w:rsid w:val="00A41751"/>
    <w:rsid w:val="00A4187E"/>
    <w:rsid w:val="00A41A89"/>
    <w:rsid w:val="00A428D1"/>
    <w:rsid w:val="00A42956"/>
    <w:rsid w:val="00A42B48"/>
    <w:rsid w:val="00A42E52"/>
    <w:rsid w:val="00A42FEC"/>
    <w:rsid w:val="00A4368F"/>
    <w:rsid w:val="00A4391A"/>
    <w:rsid w:val="00A43CB7"/>
    <w:rsid w:val="00A43DCA"/>
    <w:rsid w:val="00A440BE"/>
    <w:rsid w:val="00A4471D"/>
    <w:rsid w:val="00A448E1"/>
    <w:rsid w:val="00A44E7B"/>
    <w:rsid w:val="00A452B3"/>
    <w:rsid w:val="00A4550D"/>
    <w:rsid w:val="00A458F5"/>
    <w:rsid w:val="00A45DD8"/>
    <w:rsid w:val="00A45EE4"/>
    <w:rsid w:val="00A46223"/>
    <w:rsid w:val="00A463DF"/>
    <w:rsid w:val="00A4643E"/>
    <w:rsid w:val="00A46590"/>
    <w:rsid w:val="00A46683"/>
    <w:rsid w:val="00A46CC6"/>
    <w:rsid w:val="00A46EC5"/>
    <w:rsid w:val="00A4721E"/>
    <w:rsid w:val="00A472A1"/>
    <w:rsid w:val="00A473F8"/>
    <w:rsid w:val="00A475F5"/>
    <w:rsid w:val="00A478E8"/>
    <w:rsid w:val="00A500C0"/>
    <w:rsid w:val="00A5076D"/>
    <w:rsid w:val="00A507C2"/>
    <w:rsid w:val="00A5082C"/>
    <w:rsid w:val="00A50B2D"/>
    <w:rsid w:val="00A50C94"/>
    <w:rsid w:val="00A5146B"/>
    <w:rsid w:val="00A514F4"/>
    <w:rsid w:val="00A518CF"/>
    <w:rsid w:val="00A51C1E"/>
    <w:rsid w:val="00A51CFB"/>
    <w:rsid w:val="00A51E3C"/>
    <w:rsid w:val="00A52155"/>
    <w:rsid w:val="00A52401"/>
    <w:rsid w:val="00A52A7B"/>
    <w:rsid w:val="00A52EB3"/>
    <w:rsid w:val="00A53012"/>
    <w:rsid w:val="00A530DF"/>
    <w:rsid w:val="00A5313B"/>
    <w:rsid w:val="00A533A3"/>
    <w:rsid w:val="00A5396B"/>
    <w:rsid w:val="00A53993"/>
    <w:rsid w:val="00A5411F"/>
    <w:rsid w:val="00A542A2"/>
    <w:rsid w:val="00A544FD"/>
    <w:rsid w:val="00A54663"/>
    <w:rsid w:val="00A54766"/>
    <w:rsid w:val="00A5492D"/>
    <w:rsid w:val="00A54B30"/>
    <w:rsid w:val="00A54C3A"/>
    <w:rsid w:val="00A55216"/>
    <w:rsid w:val="00A56210"/>
    <w:rsid w:val="00A56225"/>
    <w:rsid w:val="00A56688"/>
    <w:rsid w:val="00A56A22"/>
    <w:rsid w:val="00A56D88"/>
    <w:rsid w:val="00A572B4"/>
    <w:rsid w:val="00A57314"/>
    <w:rsid w:val="00A57411"/>
    <w:rsid w:val="00A57812"/>
    <w:rsid w:val="00A605E4"/>
    <w:rsid w:val="00A605F4"/>
    <w:rsid w:val="00A60B01"/>
    <w:rsid w:val="00A60E1A"/>
    <w:rsid w:val="00A618DC"/>
    <w:rsid w:val="00A61BEA"/>
    <w:rsid w:val="00A62637"/>
    <w:rsid w:val="00A627DA"/>
    <w:rsid w:val="00A62D46"/>
    <w:rsid w:val="00A63156"/>
    <w:rsid w:val="00A63178"/>
    <w:rsid w:val="00A63840"/>
    <w:rsid w:val="00A63B36"/>
    <w:rsid w:val="00A63E68"/>
    <w:rsid w:val="00A640F1"/>
    <w:rsid w:val="00A642DA"/>
    <w:rsid w:val="00A64748"/>
    <w:rsid w:val="00A647D5"/>
    <w:rsid w:val="00A64892"/>
    <w:rsid w:val="00A65160"/>
    <w:rsid w:val="00A652C0"/>
    <w:rsid w:val="00A65490"/>
    <w:rsid w:val="00A65CB1"/>
    <w:rsid w:val="00A65D80"/>
    <w:rsid w:val="00A65F2E"/>
    <w:rsid w:val="00A66435"/>
    <w:rsid w:val="00A66857"/>
    <w:rsid w:val="00A66887"/>
    <w:rsid w:val="00A66C5E"/>
    <w:rsid w:val="00A670E2"/>
    <w:rsid w:val="00A674A2"/>
    <w:rsid w:val="00A67838"/>
    <w:rsid w:val="00A678D2"/>
    <w:rsid w:val="00A679B5"/>
    <w:rsid w:val="00A67D31"/>
    <w:rsid w:val="00A70276"/>
    <w:rsid w:val="00A704A0"/>
    <w:rsid w:val="00A70860"/>
    <w:rsid w:val="00A70992"/>
    <w:rsid w:val="00A70CF3"/>
    <w:rsid w:val="00A70E0A"/>
    <w:rsid w:val="00A716C0"/>
    <w:rsid w:val="00A71736"/>
    <w:rsid w:val="00A718B6"/>
    <w:rsid w:val="00A7215C"/>
    <w:rsid w:val="00A7256F"/>
    <w:rsid w:val="00A72807"/>
    <w:rsid w:val="00A72907"/>
    <w:rsid w:val="00A72B0D"/>
    <w:rsid w:val="00A730F7"/>
    <w:rsid w:val="00A731FC"/>
    <w:rsid w:val="00A73557"/>
    <w:rsid w:val="00A740B8"/>
    <w:rsid w:val="00A74256"/>
    <w:rsid w:val="00A74974"/>
    <w:rsid w:val="00A74B2F"/>
    <w:rsid w:val="00A74FDF"/>
    <w:rsid w:val="00A75396"/>
    <w:rsid w:val="00A7539B"/>
    <w:rsid w:val="00A755C1"/>
    <w:rsid w:val="00A75DE8"/>
    <w:rsid w:val="00A75EF3"/>
    <w:rsid w:val="00A7629F"/>
    <w:rsid w:val="00A7646D"/>
    <w:rsid w:val="00A76851"/>
    <w:rsid w:val="00A76CDF"/>
    <w:rsid w:val="00A7707D"/>
    <w:rsid w:val="00A775E9"/>
    <w:rsid w:val="00A776BC"/>
    <w:rsid w:val="00A77A1E"/>
    <w:rsid w:val="00A77A20"/>
    <w:rsid w:val="00A77EB2"/>
    <w:rsid w:val="00A8031F"/>
    <w:rsid w:val="00A804DA"/>
    <w:rsid w:val="00A804FE"/>
    <w:rsid w:val="00A80E3F"/>
    <w:rsid w:val="00A819C2"/>
    <w:rsid w:val="00A81BDD"/>
    <w:rsid w:val="00A81CA0"/>
    <w:rsid w:val="00A81D95"/>
    <w:rsid w:val="00A81DF5"/>
    <w:rsid w:val="00A82404"/>
    <w:rsid w:val="00A827BB"/>
    <w:rsid w:val="00A829C4"/>
    <w:rsid w:val="00A8311A"/>
    <w:rsid w:val="00A832B0"/>
    <w:rsid w:val="00A8334E"/>
    <w:rsid w:val="00A8359A"/>
    <w:rsid w:val="00A83694"/>
    <w:rsid w:val="00A83DAF"/>
    <w:rsid w:val="00A83E41"/>
    <w:rsid w:val="00A83EF4"/>
    <w:rsid w:val="00A8403D"/>
    <w:rsid w:val="00A84205"/>
    <w:rsid w:val="00A842C6"/>
    <w:rsid w:val="00A8436F"/>
    <w:rsid w:val="00A84FCC"/>
    <w:rsid w:val="00A8511B"/>
    <w:rsid w:val="00A85AE2"/>
    <w:rsid w:val="00A85C13"/>
    <w:rsid w:val="00A85C63"/>
    <w:rsid w:val="00A85D7B"/>
    <w:rsid w:val="00A85FD5"/>
    <w:rsid w:val="00A86221"/>
    <w:rsid w:val="00A864CE"/>
    <w:rsid w:val="00A8671C"/>
    <w:rsid w:val="00A86EC7"/>
    <w:rsid w:val="00A87003"/>
    <w:rsid w:val="00A87105"/>
    <w:rsid w:val="00A87EDA"/>
    <w:rsid w:val="00A90753"/>
    <w:rsid w:val="00A90A45"/>
    <w:rsid w:val="00A90F36"/>
    <w:rsid w:val="00A91507"/>
    <w:rsid w:val="00A91C99"/>
    <w:rsid w:val="00A920EB"/>
    <w:rsid w:val="00A921C8"/>
    <w:rsid w:val="00A9238C"/>
    <w:rsid w:val="00A92885"/>
    <w:rsid w:val="00A92AE2"/>
    <w:rsid w:val="00A92F66"/>
    <w:rsid w:val="00A932CE"/>
    <w:rsid w:val="00A937B9"/>
    <w:rsid w:val="00A93BBF"/>
    <w:rsid w:val="00A93CFA"/>
    <w:rsid w:val="00A93FF2"/>
    <w:rsid w:val="00A9438C"/>
    <w:rsid w:val="00A94C6C"/>
    <w:rsid w:val="00A94DFB"/>
    <w:rsid w:val="00A94FF6"/>
    <w:rsid w:val="00A951DB"/>
    <w:rsid w:val="00A95B4D"/>
    <w:rsid w:val="00A96474"/>
    <w:rsid w:val="00A964ED"/>
    <w:rsid w:val="00A969D1"/>
    <w:rsid w:val="00A9729B"/>
    <w:rsid w:val="00A9792F"/>
    <w:rsid w:val="00A97AB6"/>
    <w:rsid w:val="00A97BE3"/>
    <w:rsid w:val="00A97F8E"/>
    <w:rsid w:val="00AA03BC"/>
    <w:rsid w:val="00AA0905"/>
    <w:rsid w:val="00AA2709"/>
    <w:rsid w:val="00AA28E8"/>
    <w:rsid w:val="00AA2958"/>
    <w:rsid w:val="00AA2D6C"/>
    <w:rsid w:val="00AA393E"/>
    <w:rsid w:val="00AA39B5"/>
    <w:rsid w:val="00AA430F"/>
    <w:rsid w:val="00AA44B4"/>
    <w:rsid w:val="00AA4571"/>
    <w:rsid w:val="00AA462B"/>
    <w:rsid w:val="00AA4B8D"/>
    <w:rsid w:val="00AA4CBA"/>
    <w:rsid w:val="00AA4DD2"/>
    <w:rsid w:val="00AA5053"/>
    <w:rsid w:val="00AA506F"/>
    <w:rsid w:val="00AA6C60"/>
    <w:rsid w:val="00AA6EF2"/>
    <w:rsid w:val="00AA6F15"/>
    <w:rsid w:val="00AA78B9"/>
    <w:rsid w:val="00AA7A07"/>
    <w:rsid w:val="00AA7C6D"/>
    <w:rsid w:val="00AB0049"/>
    <w:rsid w:val="00AB0063"/>
    <w:rsid w:val="00AB0583"/>
    <w:rsid w:val="00AB0E2B"/>
    <w:rsid w:val="00AB0EA3"/>
    <w:rsid w:val="00AB104A"/>
    <w:rsid w:val="00AB17F9"/>
    <w:rsid w:val="00AB18D9"/>
    <w:rsid w:val="00AB1BA8"/>
    <w:rsid w:val="00AB1C6B"/>
    <w:rsid w:val="00AB1E50"/>
    <w:rsid w:val="00AB20DE"/>
    <w:rsid w:val="00AB2666"/>
    <w:rsid w:val="00AB27A0"/>
    <w:rsid w:val="00AB2D5F"/>
    <w:rsid w:val="00AB316A"/>
    <w:rsid w:val="00AB31E8"/>
    <w:rsid w:val="00AB344F"/>
    <w:rsid w:val="00AB3527"/>
    <w:rsid w:val="00AB35AB"/>
    <w:rsid w:val="00AB38F0"/>
    <w:rsid w:val="00AB38FB"/>
    <w:rsid w:val="00AB3966"/>
    <w:rsid w:val="00AB3C22"/>
    <w:rsid w:val="00AB3DA2"/>
    <w:rsid w:val="00AB3F3B"/>
    <w:rsid w:val="00AB41EC"/>
    <w:rsid w:val="00AB4A4B"/>
    <w:rsid w:val="00AB4B55"/>
    <w:rsid w:val="00AB50CF"/>
    <w:rsid w:val="00AB5193"/>
    <w:rsid w:val="00AB5FB8"/>
    <w:rsid w:val="00AB60E5"/>
    <w:rsid w:val="00AB617F"/>
    <w:rsid w:val="00AB64FC"/>
    <w:rsid w:val="00AB6592"/>
    <w:rsid w:val="00AB67CA"/>
    <w:rsid w:val="00AB6918"/>
    <w:rsid w:val="00AB692A"/>
    <w:rsid w:val="00AB6D92"/>
    <w:rsid w:val="00AB75CA"/>
    <w:rsid w:val="00AB767F"/>
    <w:rsid w:val="00AB76CC"/>
    <w:rsid w:val="00AB79A2"/>
    <w:rsid w:val="00AB7FC6"/>
    <w:rsid w:val="00AC02EA"/>
    <w:rsid w:val="00AC047B"/>
    <w:rsid w:val="00AC09F0"/>
    <w:rsid w:val="00AC0EAB"/>
    <w:rsid w:val="00AC1616"/>
    <w:rsid w:val="00AC19B3"/>
    <w:rsid w:val="00AC206F"/>
    <w:rsid w:val="00AC239F"/>
    <w:rsid w:val="00AC26A6"/>
    <w:rsid w:val="00AC2AD6"/>
    <w:rsid w:val="00AC2E0A"/>
    <w:rsid w:val="00AC2F3B"/>
    <w:rsid w:val="00AC3241"/>
    <w:rsid w:val="00AC36C4"/>
    <w:rsid w:val="00AC38C1"/>
    <w:rsid w:val="00AC461C"/>
    <w:rsid w:val="00AC49E3"/>
    <w:rsid w:val="00AC4B2A"/>
    <w:rsid w:val="00AC50B4"/>
    <w:rsid w:val="00AC512C"/>
    <w:rsid w:val="00AC5D6C"/>
    <w:rsid w:val="00AC5F66"/>
    <w:rsid w:val="00AC6212"/>
    <w:rsid w:val="00AC62C4"/>
    <w:rsid w:val="00AC72AF"/>
    <w:rsid w:val="00AC7550"/>
    <w:rsid w:val="00AC78BB"/>
    <w:rsid w:val="00AC7C30"/>
    <w:rsid w:val="00AD0387"/>
    <w:rsid w:val="00AD0501"/>
    <w:rsid w:val="00AD05AE"/>
    <w:rsid w:val="00AD0BC2"/>
    <w:rsid w:val="00AD0CDE"/>
    <w:rsid w:val="00AD0CED"/>
    <w:rsid w:val="00AD0DD4"/>
    <w:rsid w:val="00AD1595"/>
    <w:rsid w:val="00AD1CF7"/>
    <w:rsid w:val="00AD2871"/>
    <w:rsid w:val="00AD2D11"/>
    <w:rsid w:val="00AD2FB7"/>
    <w:rsid w:val="00AD2FED"/>
    <w:rsid w:val="00AD30FF"/>
    <w:rsid w:val="00AD380A"/>
    <w:rsid w:val="00AD3D30"/>
    <w:rsid w:val="00AD3D7E"/>
    <w:rsid w:val="00AD3FA2"/>
    <w:rsid w:val="00AD4780"/>
    <w:rsid w:val="00AD4877"/>
    <w:rsid w:val="00AD4C81"/>
    <w:rsid w:val="00AD5190"/>
    <w:rsid w:val="00AD52E7"/>
    <w:rsid w:val="00AD5439"/>
    <w:rsid w:val="00AD54A1"/>
    <w:rsid w:val="00AD55D2"/>
    <w:rsid w:val="00AD5959"/>
    <w:rsid w:val="00AD5AD9"/>
    <w:rsid w:val="00AD5BE4"/>
    <w:rsid w:val="00AD6001"/>
    <w:rsid w:val="00AD6D50"/>
    <w:rsid w:val="00AD6E06"/>
    <w:rsid w:val="00AD6F71"/>
    <w:rsid w:val="00AD72E8"/>
    <w:rsid w:val="00AD747B"/>
    <w:rsid w:val="00AD74F4"/>
    <w:rsid w:val="00AD7549"/>
    <w:rsid w:val="00AD7703"/>
    <w:rsid w:val="00AD773F"/>
    <w:rsid w:val="00AD7762"/>
    <w:rsid w:val="00AD7961"/>
    <w:rsid w:val="00AD7A24"/>
    <w:rsid w:val="00AE0691"/>
    <w:rsid w:val="00AE0C5B"/>
    <w:rsid w:val="00AE11E0"/>
    <w:rsid w:val="00AE1991"/>
    <w:rsid w:val="00AE1F71"/>
    <w:rsid w:val="00AE20D3"/>
    <w:rsid w:val="00AE22FF"/>
    <w:rsid w:val="00AE2424"/>
    <w:rsid w:val="00AE2B41"/>
    <w:rsid w:val="00AE2F26"/>
    <w:rsid w:val="00AE309A"/>
    <w:rsid w:val="00AE334F"/>
    <w:rsid w:val="00AE354E"/>
    <w:rsid w:val="00AE3745"/>
    <w:rsid w:val="00AE3859"/>
    <w:rsid w:val="00AE3C29"/>
    <w:rsid w:val="00AE3FAB"/>
    <w:rsid w:val="00AE4122"/>
    <w:rsid w:val="00AE4383"/>
    <w:rsid w:val="00AE43E5"/>
    <w:rsid w:val="00AE45E3"/>
    <w:rsid w:val="00AE4970"/>
    <w:rsid w:val="00AE4C0A"/>
    <w:rsid w:val="00AE55D2"/>
    <w:rsid w:val="00AE59C8"/>
    <w:rsid w:val="00AE5A70"/>
    <w:rsid w:val="00AE5B12"/>
    <w:rsid w:val="00AE5B4E"/>
    <w:rsid w:val="00AE5FB4"/>
    <w:rsid w:val="00AE608B"/>
    <w:rsid w:val="00AE6152"/>
    <w:rsid w:val="00AE651F"/>
    <w:rsid w:val="00AE653F"/>
    <w:rsid w:val="00AE6543"/>
    <w:rsid w:val="00AE72CF"/>
    <w:rsid w:val="00AE73F4"/>
    <w:rsid w:val="00AE7419"/>
    <w:rsid w:val="00AE7704"/>
    <w:rsid w:val="00AE7822"/>
    <w:rsid w:val="00AE78F4"/>
    <w:rsid w:val="00AE7957"/>
    <w:rsid w:val="00AE79D1"/>
    <w:rsid w:val="00AE7C3A"/>
    <w:rsid w:val="00AE7D41"/>
    <w:rsid w:val="00AE7E12"/>
    <w:rsid w:val="00AE7E1F"/>
    <w:rsid w:val="00AE7EC5"/>
    <w:rsid w:val="00AF0172"/>
    <w:rsid w:val="00AF038D"/>
    <w:rsid w:val="00AF0A5A"/>
    <w:rsid w:val="00AF0B5C"/>
    <w:rsid w:val="00AF101F"/>
    <w:rsid w:val="00AF15D2"/>
    <w:rsid w:val="00AF19B7"/>
    <w:rsid w:val="00AF1D19"/>
    <w:rsid w:val="00AF1E0B"/>
    <w:rsid w:val="00AF24A3"/>
    <w:rsid w:val="00AF2CFE"/>
    <w:rsid w:val="00AF2F17"/>
    <w:rsid w:val="00AF33E2"/>
    <w:rsid w:val="00AF3413"/>
    <w:rsid w:val="00AF3475"/>
    <w:rsid w:val="00AF3628"/>
    <w:rsid w:val="00AF3E3A"/>
    <w:rsid w:val="00AF4084"/>
    <w:rsid w:val="00AF48D7"/>
    <w:rsid w:val="00AF48F5"/>
    <w:rsid w:val="00AF4C4E"/>
    <w:rsid w:val="00AF55BC"/>
    <w:rsid w:val="00AF57FF"/>
    <w:rsid w:val="00AF59F2"/>
    <w:rsid w:val="00AF6BBE"/>
    <w:rsid w:val="00AF7193"/>
    <w:rsid w:val="00AF7497"/>
    <w:rsid w:val="00AF7582"/>
    <w:rsid w:val="00AF75E3"/>
    <w:rsid w:val="00AF7761"/>
    <w:rsid w:val="00AF7DED"/>
    <w:rsid w:val="00AF7EDA"/>
    <w:rsid w:val="00AF7FC9"/>
    <w:rsid w:val="00B000CD"/>
    <w:rsid w:val="00B001D9"/>
    <w:rsid w:val="00B007E9"/>
    <w:rsid w:val="00B00998"/>
    <w:rsid w:val="00B01707"/>
    <w:rsid w:val="00B01C0A"/>
    <w:rsid w:val="00B01FB2"/>
    <w:rsid w:val="00B027F0"/>
    <w:rsid w:val="00B02A99"/>
    <w:rsid w:val="00B02B00"/>
    <w:rsid w:val="00B02E36"/>
    <w:rsid w:val="00B03079"/>
    <w:rsid w:val="00B031BB"/>
    <w:rsid w:val="00B031E9"/>
    <w:rsid w:val="00B032B7"/>
    <w:rsid w:val="00B03A76"/>
    <w:rsid w:val="00B03B24"/>
    <w:rsid w:val="00B04570"/>
    <w:rsid w:val="00B0461A"/>
    <w:rsid w:val="00B046A4"/>
    <w:rsid w:val="00B05208"/>
    <w:rsid w:val="00B05EDF"/>
    <w:rsid w:val="00B062A3"/>
    <w:rsid w:val="00B06B38"/>
    <w:rsid w:val="00B06BD5"/>
    <w:rsid w:val="00B06C2B"/>
    <w:rsid w:val="00B06F6A"/>
    <w:rsid w:val="00B10500"/>
    <w:rsid w:val="00B106D9"/>
    <w:rsid w:val="00B10ED8"/>
    <w:rsid w:val="00B11651"/>
    <w:rsid w:val="00B11933"/>
    <w:rsid w:val="00B11C22"/>
    <w:rsid w:val="00B11E54"/>
    <w:rsid w:val="00B11E9F"/>
    <w:rsid w:val="00B12933"/>
    <w:rsid w:val="00B12978"/>
    <w:rsid w:val="00B12D84"/>
    <w:rsid w:val="00B12FF7"/>
    <w:rsid w:val="00B12FFA"/>
    <w:rsid w:val="00B136B6"/>
    <w:rsid w:val="00B13EB6"/>
    <w:rsid w:val="00B13F3D"/>
    <w:rsid w:val="00B149F3"/>
    <w:rsid w:val="00B149F8"/>
    <w:rsid w:val="00B15289"/>
    <w:rsid w:val="00B1547A"/>
    <w:rsid w:val="00B1549B"/>
    <w:rsid w:val="00B1577B"/>
    <w:rsid w:val="00B15D39"/>
    <w:rsid w:val="00B15D73"/>
    <w:rsid w:val="00B160EA"/>
    <w:rsid w:val="00B162C1"/>
    <w:rsid w:val="00B16CB7"/>
    <w:rsid w:val="00B1710C"/>
    <w:rsid w:val="00B171A6"/>
    <w:rsid w:val="00B1725E"/>
    <w:rsid w:val="00B17382"/>
    <w:rsid w:val="00B17CBD"/>
    <w:rsid w:val="00B17DC6"/>
    <w:rsid w:val="00B17E12"/>
    <w:rsid w:val="00B20790"/>
    <w:rsid w:val="00B208D8"/>
    <w:rsid w:val="00B20B9F"/>
    <w:rsid w:val="00B20D78"/>
    <w:rsid w:val="00B20F2E"/>
    <w:rsid w:val="00B2136D"/>
    <w:rsid w:val="00B2187E"/>
    <w:rsid w:val="00B2194D"/>
    <w:rsid w:val="00B219C1"/>
    <w:rsid w:val="00B21DF9"/>
    <w:rsid w:val="00B21F02"/>
    <w:rsid w:val="00B2283A"/>
    <w:rsid w:val="00B229CC"/>
    <w:rsid w:val="00B234C4"/>
    <w:rsid w:val="00B23540"/>
    <w:rsid w:val="00B237EE"/>
    <w:rsid w:val="00B23BE8"/>
    <w:rsid w:val="00B23D7E"/>
    <w:rsid w:val="00B24559"/>
    <w:rsid w:val="00B24A16"/>
    <w:rsid w:val="00B24C6D"/>
    <w:rsid w:val="00B24DD8"/>
    <w:rsid w:val="00B25416"/>
    <w:rsid w:val="00B2551A"/>
    <w:rsid w:val="00B25B2B"/>
    <w:rsid w:val="00B25B4F"/>
    <w:rsid w:val="00B260AE"/>
    <w:rsid w:val="00B26F05"/>
    <w:rsid w:val="00B27030"/>
    <w:rsid w:val="00B275A0"/>
    <w:rsid w:val="00B27A68"/>
    <w:rsid w:val="00B27BC5"/>
    <w:rsid w:val="00B3078E"/>
    <w:rsid w:val="00B30AAD"/>
    <w:rsid w:val="00B310D4"/>
    <w:rsid w:val="00B31276"/>
    <w:rsid w:val="00B31885"/>
    <w:rsid w:val="00B323E8"/>
    <w:rsid w:val="00B323F7"/>
    <w:rsid w:val="00B32428"/>
    <w:rsid w:val="00B326AD"/>
    <w:rsid w:val="00B32D6B"/>
    <w:rsid w:val="00B33273"/>
    <w:rsid w:val="00B33700"/>
    <w:rsid w:val="00B3383B"/>
    <w:rsid w:val="00B33C88"/>
    <w:rsid w:val="00B33EC4"/>
    <w:rsid w:val="00B34444"/>
    <w:rsid w:val="00B34AAC"/>
    <w:rsid w:val="00B34E13"/>
    <w:rsid w:val="00B3506C"/>
    <w:rsid w:val="00B35588"/>
    <w:rsid w:val="00B35BE8"/>
    <w:rsid w:val="00B363D8"/>
    <w:rsid w:val="00B365E4"/>
    <w:rsid w:val="00B36A7B"/>
    <w:rsid w:val="00B36B86"/>
    <w:rsid w:val="00B370E8"/>
    <w:rsid w:val="00B37904"/>
    <w:rsid w:val="00B37BCF"/>
    <w:rsid w:val="00B37C34"/>
    <w:rsid w:val="00B40204"/>
    <w:rsid w:val="00B4064E"/>
    <w:rsid w:val="00B407CD"/>
    <w:rsid w:val="00B40A36"/>
    <w:rsid w:val="00B40AA4"/>
    <w:rsid w:val="00B40EEA"/>
    <w:rsid w:val="00B41347"/>
    <w:rsid w:val="00B41475"/>
    <w:rsid w:val="00B42036"/>
    <w:rsid w:val="00B424D3"/>
    <w:rsid w:val="00B42595"/>
    <w:rsid w:val="00B4276C"/>
    <w:rsid w:val="00B429A3"/>
    <w:rsid w:val="00B42DB1"/>
    <w:rsid w:val="00B42F8B"/>
    <w:rsid w:val="00B430E0"/>
    <w:rsid w:val="00B442B0"/>
    <w:rsid w:val="00B443D0"/>
    <w:rsid w:val="00B444BF"/>
    <w:rsid w:val="00B44522"/>
    <w:rsid w:val="00B4465B"/>
    <w:rsid w:val="00B4467D"/>
    <w:rsid w:val="00B446BD"/>
    <w:rsid w:val="00B449AD"/>
    <w:rsid w:val="00B44B36"/>
    <w:rsid w:val="00B451D3"/>
    <w:rsid w:val="00B453A2"/>
    <w:rsid w:val="00B456A3"/>
    <w:rsid w:val="00B45A54"/>
    <w:rsid w:val="00B45BF6"/>
    <w:rsid w:val="00B45F03"/>
    <w:rsid w:val="00B46086"/>
    <w:rsid w:val="00B460DF"/>
    <w:rsid w:val="00B4650A"/>
    <w:rsid w:val="00B46523"/>
    <w:rsid w:val="00B46759"/>
    <w:rsid w:val="00B467D1"/>
    <w:rsid w:val="00B468B0"/>
    <w:rsid w:val="00B46D2C"/>
    <w:rsid w:val="00B471BB"/>
    <w:rsid w:val="00B47395"/>
    <w:rsid w:val="00B47B98"/>
    <w:rsid w:val="00B47E13"/>
    <w:rsid w:val="00B500D0"/>
    <w:rsid w:val="00B5019A"/>
    <w:rsid w:val="00B50303"/>
    <w:rsid w:val="00B5052D"/>
    <w:rsid w:val="00B5073C"/>
    <w:rsid w:val="00B507A9"/>
    <w:rsid w:val="00B5080B"/>
    <w:rsid w:val="00B50919"/>
    <w:rsid w:val="00B51022"/>
    <w:rsid w:val="00B51129"/>
    <w:rsid w:val="00B5180B"/>
    <w:rsid w:val="00B51840"/>
    <w:rsid w:val="00B51A08"/>
    <w:rsid w:val="00B51AF0"/>
    <w:rsid w:val="00B51D50"/>
    <w:rsid w:val="00B51D59"/>
    <w:rsid w:val="00B51E29"/>
    <w:rsid w:val="00B52294"/>
    <w:rsid w:val="00B52D5C"/>
    <w:rsid w:val="00B52FE9"/>
    <w:rsid w:val="00B5344E"/>
    <w:rsid w:val="00B5358E"/>
    <w:rsid w:val="00B536B7"/>
    <w:rsid w:val="00B53730"/>
    <w:rsid w:val="00B5385E"/>
    <w:rsid w:val="00B53AE5"/>
    <w:rsid w:val="00B53B21"/>
    <w:rsid w:val="00B53BB2"/>
    <w:rsid w:val="00B53BE3"/>
    <w:rsid w:val="00B53D89"/>
    <w:rsid w:val="00B544B7"/>
    <w:rsid w:val="00B545A2"/>
    <w:rsid w:val="00B54EF7"/>
    <w:rsid w:val="00B55069"/>
    <w:rsid w:val="00B5556F"/>
    <w:rsid w:val="00B5562C"/>
    <w:rsid w:val="00B5584A"/>
    <w:rsid w:val="00B55CCC"/>
    <w:rsid w:val="00B56929"/>
    <w:rsid w:val="00B56C44"/>
    <w:rsid w:val="00B571EB"/>
    <w:rsid w:val="00B57277"/>
    <w:rsid w:val="00B579BD"/>
    <w:rsid w:val="00B57E19"/>
    <w:rsid w:val="00B57F51"/>
    <w:rsid w:val="00B6000E"/>
    <w:rsid w:val="00B6031F"/>
    <w:rsid w:val="00B60863"/>
    <w:rsid w:val="00B6151A"/>
    <w:rsid w:val="00B6186E"/>
    <w:rsid w:val="00B6307B"/>
    <w:rsid w:val="00B63639"/>
    <w:rsid w:val="00B63DE3"/>
    <w:rsid w:val="00B640E4"/>
    <w:rsid w:val="00B647F5"/>
    <w:rsid w:val="00B649C8"/>
    <w:rsid w:val="00B64AAD"/>
    <w:rsid w:val="00B64BFA"/>
    <w:rsid w:val="00B64CAA"/>
    <w:rsid w:val="00B64F8F"/>
    <w:rsid w:val="00B6506E"/>
    <w:rsid w:val="00B65764"/>
    <w:rsid w:val="00B65A6B"/>
    <w:rsid w:val="00B65D9E"/>
    <w:rsid w:val="00B65DDD"/>
    <w:rsid w:val="00B660C9"/>
    <w:rsid w:val="00B66396"/>
    <w:rsid w:val="00B66B90"/>
    <w:rsid w:val="00B67183"/>
    <w:rsid w:val="00B6764C"/>
    <w:rsid w:val="00B6791D"/>
    <w:rsid w:val="00B67A67"/>
    <w:rsid w:val="00B70033"/>
    <w:rsid w:val="00B7047D"/>
    <w:rsid w:val="00B706C8"/>
    <w:rsid w:val="00B70886"/>
    <w:rsid w:val="00B7091D"/>
    <w:rsid w:val="00B70B1A"/>
    <w:rsid w:val="00B71112"/>
    <w:rsid w:val="00B7210F"/>
    <w:rsid w:val="00B72520"/>
    <w:rsid w:val="00B72ABA"/>
    <w:rsid w:val="00B72EA7"/>
    <w:rsid w:val="00B72FAF"/>
    <w:rsid w:val="00B7340E"/>
    <w:rsid w:val="00B73661"/>
    <w:rsid w:val="00B73974"/>
    <w:rsid w:val="00B740B5"/>
    <w:rsid w:val="00B74987"/>
    <w:rsid w:val="00B74DD4"/>
    <w:rsid w:val="00B75031"/>
    <w:rsid w:val="00B753E0"/>
    <w:rsid w:val="00B75A5D"/>
    <w:rsid w:val="00B75EF4"/>
    <w:rsid w:val="00B75FB9"/>
    <w:rsid w:val="00B7613C"/>
    <w:rsid w:val="00B76268"/>
    <w:rsid w:val="00B766B9"/>
    <w:rsid w:val="00B768DA"/>
    <w:rsid w:val="00B772C4"/>
    <w:rsid w:val="00B7764E"/>
    <w:rsid w:val="00B77CBB"/>
    <w:rsid w:val="00B77F2F"/>
    <w:rsid w:val="00B8091A"/>
    <w:rsid w:val="00B80AA5"/>
    <w:rsid w:val="00B80E1F"/>
    <w:rsid w:val="00B81937"/>
    <w:rsid w:val="00B8193F"/>
    <w:rsid w:val="00B819A0"/>
    <w:rsid w:val="00B81B65"/>
    <w:rsid w:val="00B81BF1"/>
    <w:rsid w:val="00B81C0D"/>
    <w:rsid w:val="00B81C67"/>
    <w:rsid w:val="00B81CA0"/>
    <w:rsid w:val="00B81E31"/>
    <w:rsid w:val="00B81ED1"/>
    <w:rsid w:val="00B81FA8"/>
    <w:rsid w:val="00B81FD5"/>
    <w:rsid w:val="00B82086"/>
    <w:rsid w:val="00B82350"/>
    <w:rsid w:val="00B82D50"/>
    <w:rsid w:val="00B83369"/>
    <w:rsid w:val="00B834D5"/>
    <w:rsid w:val="00B83AAC"/>
    <w:rsid w:val="00B8412B"/>
    <w:rsid w:val="00B8421F"/>
    <w:rsid w:val="00B842DF"/>
    <w:rsid w:val="00B845F5"/>
    <w:rsid w:val="00B84C65"/>
    <w:rsid w:val="00B85151"/>
    <w:rsid w:val="00B8519A"/>
    <w:rsid w:val="00B85354"/>
    <w:rsid w:val="00B85359"/>
    <w:rsid w:val="00B85E50"/>
    <w:rsid w:val="00B860FF"/>
    <w:rsid w:val="00B86547"/>
    <w:rsid w:val="00B86570"/>
    <w:rsid w:val="00B867CF"/>
    <w:rsid w:val="00B86885"/>
    <w:rsid w:val="00B86B07"/>
    <w:rsid w:val="00B86E63"/>
    <w:rsid w:val="00B8717B"/>
    <w:rsid w:val="00B87A2B"/>
    <w:rsid w:val="00B87E38"/>
    <w:rsid w:val="00B90393"/>
    <w:rsid w:val="00B9119C"/>
    <w:rsid w:val="00B912B8"/>
    <w:rsid w:val="00B919E5"/>
    <w:rsid w:val="00B91D51"/>
    <w:rsid w:val="00B91E3E"/>
    <w:rsid w:val="00B9252F"/>
    <w:rsid w:val="00B9256A"/>
    <w:rsid w:val="00B93ABA"/>
    <w:rsid w:val="00B93B03"/>
    <w:rsid w:val="00B93B9D"/>
    <w:rsid w:val="00B93C54"/>
    <w:rsid w:val="00B94015"/>
    <w:rsid w:val="00B941CB"/>
    <w:rsid w:val="00B9434F"/>
    <w:rsid w:val="00B94389"/>
    <w:rsid w:val="00B948D2"/>
    <w:rsid w:val="00B94B78"/>
    <w:rsid w:val="00B94F23"/>
    <w:rsid w:val="00B956E2"/>
    <w:rsid w:val="00B95C93"/>
    <w:rsid w:val="00B95CFE"/>
    <w:rsid w:val="00B95EB9"/>
    <w:rsid w:val="00B95F13"/>
    <w:rsid w:val="00B95F88"/>
    <w:rsid w:val="00B96732"/>
    <w:rsid w:val="00B9695D"/>
    <w:rsid w:val="00B969C8"/>
    <w:rsid w:val="00B96C41"/>
    <w:rsid w:val="00B9712D"/>
    <w:rsid w:val="00B9797F"/>
    <w:rsid w:val="00B97B95"/>
    <w:rsid w:val="00B97D07"/>
    <w:rsid w:val="00B97D9A"/>
    <w:rsid w:val="00B97F08"/>
    <w:rsid w:val="00BA08C9"/>
    <w:rsid w:val="00BA0BFB"/>
    <w:rsid w:val="00BA11F2"/>
    <w:rsid w:val="00BA12E8"/>
    <w:rsid w:val="00BA152B"/>
    <w:rsid w:val="00BA1678"/>
    <w:rsid w:val="00BA1EF2"/>
    <w:rsid w:val="00BA23E1"/>
    <w:rsid w:val="00BA246A"/>
    <w:rsid w:val="00BA340C"/>
    <w:rsid w:val="00BA376F"/>
    <w:rsid w:val="00BA3ABD"/>
    <w:rsid w:val="00BA3B80"/>
    <w:rsid w:val="00BA3FAA"/>
    <w:rsid w:val="00BA423C"/>
    <w:rsid w:val="00BA429E"/>
    <w:rsid w:val="00BA45C7"/>
    <w:rsid w:val="00BA45EB"/>
    <w:rsid w:val="00BA46A9"/>
    <w:rsid w:val="00BA48C5"/>
    <w:rsid w:val="00BA4E06"/>
    <w:rsid w:val="00BA50EA"/>
    <w:rsid w:val="00BA5233"/>
    <w:rsid w:val="00BA52BC"/>
    <w:rsid w:val="00BA539D"/>
    <w:rsid w:val="00BA53F3"/>
    <w:rsid w:val="00BA54CB"/>
    <w:rsid w:val="00BA5A1C"/>
    <w:rsid w:val="00BA5B9E"/>
    <w:rsid w:val="00BA60D1"/>
    <w:rsid w:val="00BA61F2"/>
    <w:rsid w:val="00BA6308"/>
    <w:rsid w:val="00BA651B"/>
    <w:rsid w:val="00BA667B"/>
    <w:rsid w:val="00BA6BEC"/>
    <w:rsid w:val="00BA72BC"/>
    <w:rsid w:val="00BA7414"/>
    <w:rsid w:val="00BA7B99"/>
    <w:rsid w:val="00BA7CC6"/>
    <w:rsid w:val="00BB0029"/>
    <w:rsid w:val="00BB09AA"/>
    <w:rsid w:val="00BB0A68"/>
    <w:rsid w:val="00BB0C4F"/>
    <w:rsid w:val="00BB0FEB"/>
    <w:rsid w:val="00BB0FEF"/>
    <w:rsid w:val="00BB1209"/>
    <w:rsid w:val="00BB1301"/>
    <w:rsid w:val="00BB1479"/>
    <w:rsid w:val="00BB15C1"/>
    <w:rsid w:val="00BB192A"/>
    <w:rsid w:val="00BB1CC8"/>
    <w:rsid w:val="00BB1E31"/>
    <w:rsid w:val="00BB2616"/>
    <w:rsid w:val="00BB2CE9"/>
    <w:rsid w:val="00BB2D45"/>
    <w:rsid w:val="00BB2F6A"/>
    <w:rsid w:val="00BB305D"/>
    <w:rsid w:val="00BB359D"/>
    <w:rsid w:val="00BB3833"/>
    <w:rsid w:val="00BB3961"/>
    <w:rsid w:val="00BB3E97"/>
    <w:rsid w:val="00BB4DC4"/>
    <w:rsid w:val="00BB4E3E"/>
    <w:rsid w:val="00BB4FFA"/>
    <w:rsid w:val="00BB53D9"/>
    <w:rsid w:val="00BB55F2"/>
    <w:rsid w:val="00BB5C0B"/>
    <w:rsid w:val="00BB6B84"/>
    <w:rsid w:val="00BB6D1A"/>
    <w:rsid w:val="00BB6EF9"/>
    <w:rsid w:val="00BB766E"/>
    <w:rsid w:val="00BB7732"/>
    <w:rsid w:val="00BB773C"/>
    <w:rsid w:val="00BB77E8"/>
    <w:rsid w:val="00BB79C6"/>
    <w:rsid w:val="00BB7DCA"/>
    <w:rsid w:val="00BC0043"/>
    <w:rsid w:val="00BC1283"/>
    <w:rsid w:val="00BC1887"/>
    <w:rsid w:val="00BC1894"/>
    <w:rsid w:val="00BC1943"/>
    <w:rsid w:val="00BC1A15"/>
    <w:rsid w:val="00BC1B6D"/>
    <w:rsid w:val="00BC1F06"/>
    <w:rsid w:val="00BC1FF8"/>
    <w:rsid w:val="00BC235A"/>
    <w:rsid w:val="00BC2405"/>
    <w:rsid w:val="00BC2868"/>
    <w:rsid w:val="00BC2D22"/>
    <w:rsid w:val="00BC2FD9"/>
    <w:rsid w:val="00BC310E"/>
    <w:rsid w:val="00BC3327"/>
    <w:rsid w:val="00BC41F2"/>
    <w:rsid w:val="00BC450E"/>
    <w:rsid w:val="00BC45CD"/>
    <w:rsid w:val="00BC45FB"/>
    <w:rsid w:val="00BC47A6"/>
    <w:rsid w:val="00BC4AE8"/>
    <w:rsid w:val="00BC4B41"/>
    <w:rsid w:val="00BC4C8D"/>
    <w:rsid w:val="00BC55E5"/>
    <w:rsid w:val="00BC58B6"/>
    <w:rsid w:val="00BC59B9"/>
    <w:rsid w:val="00BC5ABE"/>
    <w:rsid w:val="00BC5C7E"/>
    <w:rsid w:val="00BC5E3E"/>
    <w:rsid w:val="00BC5EBB"/>
    <w:rsid w:val="00BC6291"/>
    <w:rsid w:val="00BC64A5"/>
    <w:rsid w:val="00BC6640"/>
    <w:rsid w:val="00BC68FB"/>
    <w:rsid w:val="00BC7600"/>
    <w:rsid w:val="00BC76D7"/>
    <w:rsid w:val="00BC7923"/>
    <w:rsid w:val="00BC7A03"/>
    <w:rsid w:val="00BD08E5"/>
    <w:rsid w:val="00BD11FA"/>
    <w:rsid w:val="00BD1380"/>
    <w:rsid w:val="00BD14F5"/>
    <w:rsid w:val="00BD186E"/>
    <w:rsid w:val="00BD1DFE"/>
    <w:rsid w:val="00BD257E"/>
    <w:rsid w:val="00BD2833"/>
    <w:rsid w:val="00BD295A"/>
    <w:rsid w:val="00BD2BE6"/>
    <w:rsid w:val="00BD2C6A"/>
    <w:rsid w:val="00BD2E27"/>
    <w:rsid w:val="00BD2FC5"/>
    <w:rsid w:val="00BD3483"/>
    <w:rsid w:val="00BD3BCF"/>
    <w:rsid w:val="00BD3D97"/>
    <w:rsid w:val="00BD4341"/>
    <w:rsid w:val="00BD43F5"/>
    <w:rsid w:val="00BD46CF"/>
    <w:rsid w:val="00BD4924"/>
    <w:rsid w:val="00BD52EE"/>
    <w:rsid w:val="00BD536A"/>
    <w:rsid w:val="00BD5701"/>
    <w:rsid w:val="00BD63DE"/>
    <w:rsid w:val="00BD65DA"/>
    <w:rsid w:val="00BD6C2F"/>
    <w:rsid w:val="00BD6C8C"/>
    <w:rsid w:val="00BD6D77"/>
    <w:rsid w:val="00BD6E45"/>
    <w:rsid w:val="00BD70DE"/>
    <w:rsid w:val="00BD795A"/>
    <w:rsid w:val="00BD7F86"/>
    <w:rsid w:val="00BE0465"/>
    <w:rsid w:val="00BE05DD"/>
    <w:rsid w:val="00BE0766"/>
    <w:rsid w:val="00BE1007"/>
    <w:rsid w:val="00BE1482"/>
    <w:rsid w:val="00BE154C"/>
    <w:rsid w:val="00BE15CD"/>
    <w:rsid w:val="00BE23C3"/>
    <w:rsid w:val="00BE2A25"/>
    <w:rsid w:val="00BE2C46"/>
    <w:rsid w:val="00BE2F37"/>
    <w:rsid w:val="00BE3807"/>
    <w:rsid w:val="00BE3BFC"/>
    <w:rsid w:val="00BE40AB"/>
    <w:rsid w:val="00BE4809"/>
    <w:rsid w:val="00BE48B9"/>
    <w:rsid w:val="00BE48CD"/>
    <w:rsid w:val="00BE4B99"/>
    <w:rsid w:val="00BE4BE9"/>
    <w:rsid w:val="00BE4F21"/>
    <w:rsid w:val="00BE5148"/>
    <w:rsid w:val="00BE5E67"/>
    <w:rsid w:val="00BE6061"/>
    <w:rsid w:val="00BE6B3B"/>
    <w:rsid w:val="00BE753C"/>
    <w:rsid w:val="00BE787D"/>
    <w:rsid w:val="00BE7935"/>
    <w:rsid w:val="00BE7AC4"/>
    <w:rsid w:val="00BE7B50"/>
    <w:rsid w:val="00BE7C72"/>
    <w:rsid w:val="00BE7D5D"/>
    <w:rsid w:val="00BE7E7F"/>
    <w:rsid w:val="00BF0B62"/>
    <w:rsid w:val="00BF1080"/>
    <w:rsid w:val="00BF1AF4"/>
    <w:rsid w:val="00BF1BBA"/>
    <w:rsid w:val="00BF21CA"/>
    <w:rsid w:val="00BF224A"/>
    <w:rsid w:val="00BF2262"/>
    <w:rsid w:val="00BF34C0"/>
    <w:rsid w:val="00BF3FF9"/>
    <w:rsid w:val="00BF4ADF"/>
    <w:rsid w:val="00BF4F19"/>
    <w:rsid w:val="00BF4F7A"/>
    <w:rsid w:val="00BF4FF6"/>
    <w:rsid w:val="00BF51AB"/>
    <w:rsid w:val="00BF5315"/>
    <w:rsid w:val="00BF5BD4"/>
    <w:rsid w:val="00BF5BFC"/>
    <w:rsid w:val="00BF607A"/>
    <w:rsid w:val="00BF607D"/>
    <w:rsid w:val="00BF6142"/>
    <w:rsid w:val="00BF6148"/>
    <w:rsid w:val="00BF64D4"/>
    <w:rsid w:val="00BF667B"/>
    <w:rsid w:val="00BF677F"/>
    <w:rsid w:val="00BF699B"/>
    <w:rsid w:val="00BF6A01"/>
    <w:rsid w:val="00BF6F55"/>
    <w:rsid w:val="00BF7429"/>
    <w:rsid w:val="00BF752F"/>
    <w:rsid w:val="00BF7E25"/>
    <w:rsid w:val="00C000D4"/>
    <w:rsid w:val="00C00220"/>
    <w:rsid w:val="00C00AB9"/>
    <w:rsid w:val="00C00BFB"/>
    <w:rsid w:val="00C01486"/>
    <w:rsid w:val="00C014D8"/>
    <w:rsid w:val="00C01A7B"/>
    <w:rsid w:val="00C01BF1"/>
    <w:rsid w:val="00C01E4A"/>
    <w:rsid w:val="00C021B0"/>
    <w:rsid w:val="00C02301"/>
    <w:rsid w:val="00C02613"/>
    <w:rsid w:val="00C02A89"/>
    <w:rsid w:val="00C035BF"/>
    <w:rsid w:val="00C039C2"/>
    <w:rsid w:val="00C041B8"/>
    <w:rsid w:val="00C0425B"/>
    <w:rsid w:val="00C04261"/>
    <w:rsid w:val="00C04319"/>
    <w:rsid w:val="00C04BC4"/>
    <w:rsid w:val="00C05066"/>
    <w:rsid w:val="00C05258"/>
    <w:rsid w:val="00C05369"/>
    <w:rsid w:val="00C057C4"/>
    <w:rsid w:val="00C059FB"/>
    <w:rsid w:val="00C05ED2"/>
    <w:rsid w:val="00C060DA"/>
    <w:rsid w:val="00C06860"/>
    <w:rsid w:val="00C068B2"/>
    <w:rsid w:val="00C06939"/>
    <w:rsid w:val="00C06B8B"/>
    <w:rsid w:val="00C06FEC"/>
    <w:rsid w:val="00C07206"/>
    <w:rsid w:val="00C07431"/>
    <w:rsid w:val="00C07566"/>
    <w:rsid w:val="00C07606"/>
    <w:rsid w:val="00C07717"/>
    <w:rsid w:val="00C077C5"/>
    <w:rsid w:val="00C07A94"/>
    <w:rsid w:val="00C07E4C"/>
    <w:rsid w:val="00C07EDF"/>
    <w:rsid w:val="00C1023F"/>
    <w:rsid w:val="00C1042E"/>
    <w:rsid w:val="00C106CC"/>
    <w:rsid w:val="00C1166A"/>
    <w:rsid w:val="00C117C0"/>
    <w:rsid w:val="00C118D7"/>
    <w:rsid w:val="00C11BBC"/>
    <w:rsid w:val="00C124F7"/>
    <w:rsid w:val="00C127CC"/>
    <w:rsid w:val="00C12C6C"/>
    <w:rsid w:val="00C12E79"/>
    <w:rsid w:val="00C1329F"/>
    <w:rsid w:val="00C132AB"/>
    <w:rsid w:val="00C136DE"/>
    <w:rsid w:val="00C13A3C"/>
    <w:rsid w:val="00C13E58"/>
    <w:rsid w:val="00C13E68"/>
    <w:rsid w:val="00C1411E"/>
    <w:rsid w:val="00C14207"/>
    <w:rsid w:val="00C143AC"/>
    <w:rsid w:val="00C143E2"/>
    <w:rsid w:val="00C14479"/>
    <w:rsid w:val="00C146F0"/>
    <w:rsid w:val="00C14E46"/>
    <w:rsid w:val="00C1535E"/>
    <w:rsid w:val="00C15ABB"/>
    <w:rsid w:val="00C15FC0"/>
    <w:rsid w:val="00C161FD"/>
    <w:rsid w:val="00C162A0"/>
    <w:rsid w:val="00C16720"/>
    <w:rsid w:val="00C16ADD"/>
    <w:rsid w:val="00C16BF0"/>
    <w:rsid w:val="00C16E79"/>
    <w:rsid w:val="00C171BA"/>
    <w:rsid w:val="00C1796F"/>
    <w:rsid w:val="00C17C56"/>
    <w:rsid w:val="00C20253"/>
    <w:rsid w:val="00C2034B"/>
    <w:rsid w:val="00C20371"/>
    <w:rsid w:val="00C2045D"/>
    <w:rsid w:val="00C20732"/>
    <w:rsid w:val="00C20CD9"/>
    <w:rsid w:val="00C210FA"/>
    <w:rsid w:val="00C21418"/>
    <w:rsid w:val="00C21550"/>
    <w:rsid w:val="00C21789"/>
    <w:rsid w:val="00C217B8"/>
    <w:rsid w:val="00C218AB"/>
    <w:rsid w:val="00C218E4"/>
    <w:rsid w:val="00C21E95"/>
    <w:rsid w:val="00C227EE"/>
    <w:rsid w:val="00C2311E"/>
    <w:rsid w:val="00C235AD"/>
    <w:rsid w:val="00C238C3"/>
    <w:rsid w:val="00C23ABF"/>
    <w:rsid w:val="00C23ACD"/>
    <w:rsid w:val="00C23B71"/>
    <w:rsid w:val="00C24063"/>
    <w:rsid w:val="00C24902"/>
    <w:rsid w:val="00C24B39"/>
    <w:rsid w:val="00C24BA0"/>
    <w:rsid w:val="00C24D90"/>
    <w:rsid w:val="00C24FBC"/>
    <w:rsid w:val="00C25260"/>
    <w:rsid w:val="00C253E6"/>
    <w:rsid w:val="00C25475"/>
    <w:rsid w:val="00C2586D"/>
    <w:rsid w:val="00C2653B"/>
    <w:rsid w:val="00C26546"/>
    <w:rsid w:val="00C26980"/>
    <w:rsid w:val="00C26FB5"/>
    <w:rsid w:val="00C27616"/>
    <w:rsid w:val="00C278CA"/>
    <w:rsid w:val="00C278D0"/>
    <w:rsid w:val="00C2799E"/>
    <w:rsid w:val="00C27F01"/>
    <w:rsid w:val="00C30604"/>
    <w:rsid w:val="00C3067B"/>
    <w:rsid w:val="00C3081C"/>
    <w:rsid w:val="00C3092B"/>
    <w:rsid w:val="00C30993"/>
    <w:rsid w:val="00C30C3F"/>
    <w:rsid w:val="00C30D15"/>
    <w:rsid w:val="00C30D36"/>
    <w:rsid w:val="00C30E15"/>
    <w:rsid w:val="00C30E7D"/>
    <w:rsid w:val="00C31056"/>
    <w:rsid w:val="00C310A7"/>
    <w:rsid w:val="00C312FB"/>
    <w:rsid w:val="00C3132B"/>
    <w:rsid w:val="00C3153E"/>
    <w:rsid w:val="00C315CA"/>
    <w:rsid w:val="00C3185F"/>
    <w:rsid w:val="00C3186B"/>
    <w:rsid w:val="00C31B83"/>
    <w:rsid w:val="00C31D37"/>
    <w:rsid w:val="00C3206C"/>
    <w:rsid w:val="00C32224"/>
    <w:rsid w:val="00C324B1"/>
    <w:rsid w:val="00C32B3A"/>
    <w:rsid w:val="00C33020"/>
    <w:rsid w:val="00C33691"/>
    <w:rsid w:val="00C338B4"/>
    <w:rsid w:val="00C3395D"/>
    <w:rsid w:val="00C33F6B"/>
    <w:rsid w:val="00C33FBE"/>
    <w:rsid w:val="00C34435"/>
    <w:rsid w:val="00C34607"/>
    <w:rsid w:val="00C346D2"/>
    <w:rsid w:val="00C3485A"/>
    <w:rsid w:val="00C34DB1"/>
    <w:rsid w:val="00C34DEE"/>
    <w:rsid w:val="00C3580A"/>
    <w:rsid w:val="00C35905"/>
    <w:rsid w:val="00C35D05"/>
    <w:rsid w:val="00C35E4C"/>
    <w:rsid w:val="00C36479"/>
    <w:rsid w:val="00C36574"/>
    <w:rsid w:val="00C36629"/>
    <w:rsid w:val="00C36796"/>
    <w:rsid w:val="00C36844"/>
    <w:rsid w:val="00C40384"/>
    <w:rsid w:val="00C40675"/>
    <w:rsid w:val="00C4074D"/>
    <w:rsid w:val="00C40CDB"/>
    <w:rsid w:val="00C40D4E"/>
    <w:rsid w:val="00C41161"/>
    <w:rsid w:val="00C4126F"/>
    <w:rsid w:val="00C412A3"/>
    <w:rsid w:val="00C412D1"/>
    <w:rsid w:val="00C417FB"/>
    <w:rsid w:val="00C41CA9"/>
    <w:rsid w:val="00C41FA0"/>
    <w:rsid w:val="00C41FC4"/>
    <w:rsid w:val="00C426E2"/>
    <w:rsid w:val="00C42966"/>
    <w:rsid w:val="00C42A8A"/>
    <w:rsid w:val="00C42DAF"/>
    <w:rsid w:val="00C433C2"/>
    <w:rsid w:val="00C4402A"/>
    <w:rsid w:val="00C444E3"/>
    <w:rsid w:val="00C446E3"/>
    <w:rsid w:val="00C447A6"/>
    <w:rsid w:val="00C449D4"/>
    <w:rsid w:val="00C44D5F"/>
    <w:rsid w:val="00C44F33"/>
    <w:rsid w:val="00C4583A"/>
    <w:rsid w:val="00C46055"/>
    <w:rsid w:val="00C462A2"/>
    <w:rsid w:val="00C4664F"/>
    <w:rsid w:val="00C469EB"/>
    <w:rsid w:val="00C46D85"/>
    <w:rsid w:val="00C46E5E"/>
    <w:rsid w:val="00C46F39"/>
    <w:rsid w:val="00C471D9"/>
    <w:rsid w:val="00C4721B"/>
    <w:rsid w:val="00C472FB"/>
    <w:rsid w:val="00C474A3"/>
    <w:rsid w:val="00C474C7"/>
    <w:rsid w:val="00C47572"/>
    <w:rsid w:val="00C476FA"/>
    <w:rsid w:val="00C47782"/>
    <w:rsid w:val="00C47DEC"/>
    <w:rsid w:val="00C502E1"/>
    <w:rsid w:val="00C503B9"/>
    <w:rsid w:val="00C5076C"/>
    <w:rsid w:val="00C50874"/>
    <w:rsid w:val="00C50BD9"/>
    <w:rsid w:val="00C50F5E"/>
    <w:rsid w:val="00C50F91"/>
    <w:rsid w:val="00C50FB3"/>
    <w:rsid w:val="00C51530"/>
    <w:rsid w:val="00C517E4"/>
    <w:rsid w:val="00C518A4"/>
    <w:rsid w:val="00C51D21"/>
    <w:rsid w:val="00C52BC1"/>
    <w:rsid w:val="00C52C5A"/>
    <w:rsid w:val="00C533EA"/>
    <w:rsid w:val="00C53420"/>
    <w:rsid w:val="00C5388D"/>
    <w:rsid w:val="00C53B23"/>
    <w:rsid w:val="00C53E34"/>
    <w:rsid w:val="00C5424B"/>
    <w:rsid w:val="00C542D0"/>
    <w:rsid w:val="00C5469A"/>
    <w:rsid w:val="00C548BF"/>
    <w:rsid w:val="00C549A8"/>
    <w:rsid w:val="00C54BCC"/>
    <w:rsid w:val="00C54C6F"/>
    <w:rsid w:val="00C5506D"/>
    <w:rsid w:val="00C5511F"/>
    <w:rsid w:val="00C55179"/>
    <w:rsid w:val="00C554D3"/>
    <w:rsid w:val="00C5573C"/>
    <w:rsid w:val="00C5586F"/>
    <w:rsid w:val="00C56322"/>
    <w:rsid w:val="00C5666E"/>
    <w:rsid w:val="00C56705"/>
    <w:rsid w:val="00C577C8"/>
    <w:rsid w:val="00C5786D"/>
    <w:rsid w:val="00C578AA"/>
    <w:rsid w:val="00C57C2C"/>
    <w:rsid w:val="00C60143"/>
    <w:rsid w:val="00C60163"/>
    <w:rsid w:val="00C608B3"/>
    <w:rsid w:val="00C60A2E"/>
    <w:rsid w:val="00C60C82"/>
    <w:rsid w:val="00C60FD9"/>
    <w:rsid w:val="00C6105E"/>
    <w:rsid w:val="00C61AB8"/>
    <w:rsid w:val="00C61FA2"/>
    <w:rsid w:val="00C620F2"/>
    <w:rsid w:val="00C6222D"/>
    <w:rsid w:val="00C622D3"/>
    <w:rsid w:val="00C623C2"/>
    <w:rsid w:val="00C62787"/>
    <w:rsid w:val="00C62987"/>
    <w:rsid w:val="00C6309D"/>
    <w:rsid w:val="00C630F8"/>
    <w:rsid w:val="00C63B8A"/>
    <w:rsid w:val="00C63C44"/>
    <w:rsid w:val="00C6410E"/>
    <w:rsid w:val="00C641A1"/>
    <w:rsid w:val="00C641DD"/>
    <w:rsid w:val="00C64355"/>
    <w:rsid w:val="00C64918"/>
    <w:rsid w:val="00C64FD5"/>
    <w:rsid w:val="00C65025"/>
    <w:rsid w:val="00C653B2"/>
    <w:rsid w:val="00C655B9"/>
    <w:rsid w:val="00C65769"/>
    <w:rsid w:val="00C6578E"/>
    <w:rsid w:val="00C657F0"/>
    <w:rsid w:val="00C65AB3"/>
    <w:rsid w:val="00C65AE5"/>
    <w:rsid w:val="00C660BA"/>
    <w:rsid w:val="00C66116"/>
    <w:rsid w:val="00C664C9"/>
    <w:rsid w:val="00C66670"/>
    <w:rsid w:val="00C667D9"/>
    <w:rsid w:val="00C66F73"/>
    <w:rsid w:val="00C701D6"/>
    <w:rsid w:val="00C708CC"/>
    <w:rsid w:val="00C71419"/>
    <w:rsid w:val="00C71561"/>
    <w:rsid w:val="00C717CD"/>
    <w:rsid w:val="00C718A1"/>
    <w:rsid w:val="00C71BDA"/>
    <w:rsid w:val="00C71DAC"/>
    <w:rsid w:val="00C7206E"/>
    <w:rsid w:val="00C720CF"/>
    <w:rsid w:val="00C722B2"/>
    <w:rsid w:val="00C73836"/>
    <w:rsid w:val="00C738A1"/>
    <w:rsid w:val="00C738F2"/>
    <w:rsid w:val="00C73D1F"/>
    <w:rsid w:val="00C74148"/>
    <w:rsid w:val="00C74ED6"/>
    <w:rsid w:val="00C750D3"/>
    <w:rsid w:val="00C75446"/>
    <w:rsid w:val="00C75D25"/>
    <w:rsid w:val="00C76409"/>
    <w:rsid w:val="00C7650E"/>
    <w:rsid w:val="00C7680E"/>
    <w:rsid w:val="00C76A1A"/>
    <w:rsid w:val="00C76A3B"/>
    <w:rsid w:val="00C76C2E"/>
    <w:rsid w:val="00C77232"/>
    <w:rsid w:val="00C77A62"/>
    <w:rsid w:val="00C77BE9"/>
    <w:rsid w:val="00C80029"/>
    <w:rsid w:val="00C801FC"/>
    <w:rsid w:val="00C803D5"/>
    <w:rsid w:val="00C808A1"/>
    <w:rsid w:val="00C80B89"/>
    <w:rsid w:val="00C81115"/>
    <w:rsid w:val="00C81228"/>
    <w:rsid w:val="00C818C4"/>
    <w:rsid w:val="00C81A02"/>
    <w:rsid w:val="00C81EA7"/>
    <w:rsid w:val="00C82216"/>
    <w:rsid w:val="00C822B2"/>
    <w:rsid w:val="00C825B7"/>
    <w:rsid w:val="00C82C01"/>
    <w:rsid w:val="00C82EEF"/>
    <w:rsid w:val="00C82F1F"/>
    <w:rsid w:val="00C8300C"/>
    <w:rsid w:val="00C83018"/>
    <w:rsid w:val="00C833CA"/>
    <w:rsid w:val="00C83450"/>
    <w:rsid w:val="00C836B8"/>
    <w:rsid w:val="00C84430"/>
    <w:rsid w:val="00C844BC"/>
    <w:rsid w:val="00C84856"/>
    <w:rsid w:val="00C84882"/>
    <w:rsid w:val="00C8488F"/>
    <w:rsid w:val="00C84C2D"/>
    <w:rsid w:val="00C84CF7"/>
    <w:rsid w:val="00C84DBD"/>
    <w:rsid w:val="00C8521E"/>
    <w:rsid w:val="00C85397"/>
    <w:rsid w:val="00C85596"/>
    <w:rsid w:val="00C855A6"/>
    <w:rsid w:val="00C85C6A"/>
    <w:rsid w:val="00C85CDC"/>
    <w:rsid w:val="00C86561"/>
    <w:rsid w:val="00C86C34"/>
    <w:rsid w:val="00C870C0"/>
    <w:rsid w:val="00C870E8"/>
    <w:rsid w:val="00C8728B"/>
    <w:rsid w:val="00C873D7"/>
    <w:rsid w:val="00C876AA"/>
    <w:rsid w:val="00C87946"/>
    <w:rsid w:val="00C87B77"/>
    <w:rsid w:val="00C87BF0"/>
    <w:rsid w:val="00C9024D"/>
    <w:rsid w:val="00C902E3"/>
    <w:rsid w:val="00C904FD"/>
    <w:rsid w:val="00C9050F"/>
    <w:rsid w:val="00C9076B"/>
    <w:rsid w:val="00C907D6"/>
    <w:rsid w:val="00C90857"/>
    <w:rsid w:val="00C90BAA"/>
    <w:rsid w:val="00C910D2"/>
    <w:rsid w:val="00C91128"/>
    <w:rsid w:val="00C911D6"/>
    <w:rsid w:val="00C913A5"/>
    <w:rsid w:val="00C9178F"/>
    <w:rsid w:val="00C920B1"/>
    <w:rsid w:val="00C92262"/>
    <w:rsid w:val="00C9289F"/>
    <w:rsid w:val="00C92C0C"/>
    <w:rsid w:val="00C9406D"/>
    <w:rsid w:val="00C94135"/>
    <w:rsid w:val="00C942A9"/>
    <w:rsid w:val="00C9443B"/>
    <w:rsid w:val="00C945DA"/>
    <w:rsid w:val="00C95715"/>
    <w:rsid w:val="00C95766"/>
    <w:rsid w:val="00C960DD"/>
    <w:rsid w:val="00C960E5"/>
    <w:rsid w:val="00C960F2"/>
    <w:rsid w:val="00C96211"/>
    <w:rsid w:val="00C963E5"/>
    <w:rsid w:val="00C9645A"/>
    <w:rsid w:val="00C96936"/>
    <w:rsid w:val="00C96F22"/>
    <w:rsid w:val="00C973E3"/>
    <w:rsid w:val="00C97A46"/>
    <w:rsid w:val="00C97DBC"/>
    <w:rsid w:val="00CA05D4"/>
    <w:rsid w:val="00CA0D83"/>
    <w:rsid w:val="00CA11B9"/>
    <w:rsid w:val="00CA1401"/>
    <w:rsid w:val="00CA310D"/>
    <w:rsid w:val="00CA3283"/>
    <w:rsid w:val="00CA343D"/>
    <w:rsid w:val="00CA38F0"/>
    <w:rsid w:val="00CA3919"/>
    <w:rsid w:val="00CA3FB1"/>
    <w:rsid w:val="00CA40A3"/>
    <w:rsid w:val="00CA4244"/>
    <w:rsid w:val="00CA4A44"/>
    <w:rsid w:val="00CA4B93"/>
    <w:rsid w:val="00CA4D3B"/>
    <w:rsid w:val="00CA5B27"/>
    <w:rsid w:val="00CA5B55"/>
    <w:rsid w:val="00CA6032"/>
    <w:rsid w:val="00CA6A2E"/>
    <w:rsid w:val="00CA6BDE"/>
    <w:rsid w:val="00CA6F89"/>
    <w:rsid w:val="00CA7430"/>
    <w:rsid w:val="00CA7ACD"/>
    <w:rsid w:val="00CA7C5C"/>
    <w:rsid w:val="00CB01AB"/>
    <w:rsid w:val="00CB01BD"/>
    <w:rsid w:val="00CB0474"/>
    <w:rsid w:val="00CB090E"/>
    <w:rsid w:val="00CB10C1"/>
    <w:rsid w:val="00CB11B3"/>
    <w:rsid w:val="00CB12ED"/>
    <w:rsid w:val="00CB1797"/>
    <w:rsid w:val="00CB19E4"/>
    <w:rsid w:val="00CB2022"/>
    <w:rsid w:val="00CB2497"/>
    <w:rsid w:val="00CB2C39"/>
    <w:rsid w:val="00CB3081"/>
    <w:rsid w:val="00CB34B5"/>
    <w:rsid w:val="00CB3D99"/>
    <w:rsid w:val="00CB412A"/>
    <w:rsid w:val="00CB414D"/>
    <w:rsid w:val="00CB416D"/>
    <w:rsid w:val="00CB4193"/>
    <w:rsid w:val="00CB438A"/>
    <w:rsid w:val="00CB495F"/>
    <w:rsid w:val="00CB49CF"/>
    <w:rsid w:val="00CB4DA3"/>
    <w:rsid w:val="00CB536D"/>
    <w:rsid w:val="00CB541E"/>
    <w:rsid w:val="00CB5743"/>
    <w:rsid w:val="00CB5F40"/>
    <w:rsid w:val="00CB5F73"/>
    <w:rsid w:val="00CB6102"/>
    <w:rsid w:val="00CB658D"/>
    <w:rsid w:val="00CB6775"/>
    <w:rsid w:val="00CB6C49"/>
    <w:rsid w:val="00CB6F56"/>
    <w:rsid w:val="00CB7B7F"/>
    <w:rsid w:val="00CB7F18"/>
    <w:rsid w:val="00CC0059"/>
    <w:rsid w:val="00CC05A0"/>
    <w:rsid w:val="00CC09EF"/>
    <w:rsid w:val="00CC0AD3"/>
    <w:rsid w:val="00CC0E59"/>
    <w:rsid w:val="00CC1135"/>
    <w:rsid w:val="00CC14F9"/>
    <w:rsid w:val="00CC171B"/>
    <w:rsid w:val="00CC255F"/>
    <w:rsid w:val="00CC25FD"/>
    <w:rsid w:val="00CC2CE5"/>
    <w:rsid w:val="00CC2FFB"/>
    <w:rsid w:val="00CC3123"/>
    <w:rsid w:val="00CC32E5"/>
    <w:rsid w:val="00CC34E0"/>
    <w:rsid w:val="00CC36E4"/>
    <w:rsid w:val="00CC38C8"/>
    <w:rsid w:val="00CC3967"/>
    <w:rsid w:val="00CC3CE9"/>
    <w:rsid w:val="00CC3D3B"/>
    <w:rsid w:val="00CC3F4B"/>
    <w:rsid w:val="00CC3F6B"/>
    <w:rsid w:val="00CC417D"/>
    <w:rsid w:val="00CC42CA"/>
    <w:rsid w:val="00CC42DA"/>
    <w:rsid w:val="00CC5023"/>
    <w:rsid w:val="00CC5379"/>
    <w:rsid w:val="00CC53CC"/>
    <w:rsid w:val="00CC58BA"/>
    <w:rsid w:val="00CC5DA6"/>
    <w:rsid w:val="00CC5DC9"/>
    <w:rsid w:val="00CC638E"/>
    <w:rsid w:val="00CC6564"/>
    <w:rsid w:val="00CC670B"/>
    <w:rsid w:val="00CC6A91"/>
    <w:rsid w:val="00CC6F49"/>
    <w:rsid w:val="00CC6F7F"/>
    <w:rsid w:val="00CC7915"/>
    <w:rsid w:val="00CC79FB"/>
    <w:rsid w:val="00CC7C10"/>
    <w:rsid w:val="00CD00E9"/>
    <w:rsid w:val="00CD017D"/>
    <w:rsid w:val="00CD0287"/>
    <w:rsid w:val="00CD030B"/>
    <w:rsid w:val="00CD0641"/>
    <w:rsid w:val="00CD07C1"/>
    <w:rsid w:val="00CD09F8"/>
    <w:rsid w:val="00CD0CAC"/>
    <w:rsid w:val="00CD134F"/>
    <w:rsid w:val="00CD14C3"/>
    <w:rsid w:val="00CD1653"/>
    <w:rsid w:val="00CD1696"/>
    <w:rsid w:val="00CD18CB"/>
    <w:rsid w:val="00CD1909"/>
    <w:rsid w:val="00CD199C"/>
    <w:rsid w:val="00CD1D52"/>
    <w:rsid w:val="00CD1E75"/>
    <w:rsid w:val="00CD1EA2"/>
    <w:rsid w:val="00CD2DF7"/>
    <w:rsid w:val="00CD30F6"/>
    <w:rsid w:val="00CD3211"/>
    <w:rsid w:val="00CD399E"/>
    <w:rsid w:val="00CD3C37"/>
    <w:rsid w:val="00CD3D09"/>
    <w:rsid w:val="00CD3DBA"/>
    <w:rsid w:val="00CD3F8B"/>
    <w:rsid w:val="00CD4023"/>
    <w:rsid w:val="00CD435D"/>
    <w:rsid w:val="00CD4BB2"/>
    <w:rsid w:val="00CD4C49"/>
    <w:rsid w:val="00CD4D36"/>
    <w:rsid w:val="00CD52D5"/>
    <w:rsid w:val="00CD5467"/>
    <w:rsid w:val="00CD5633"/>
    <w:rsid w:val="00CD5684"/>
    <w:rsid w:val="00CD56CB"/>
    <w:rsid w:val="00CD5881"/>
    <w:rsid w:val="00CD6336"/>
    <w:rsid w:val="00CD6378"/>
    <w:rsid w:val="00CD7009"/>
    <w:rsid w:val="00CD7223"/>
    <w:rsid w:val="00CD76FD"/>
    <w:rsid w:val="00CD7999"/>
    <w:rsid w:val="00CD7D71"/>
    <w:rsid w:val="00CD7FDD"/>
    <w:rsid w:val="00CE02FE"/>
    <w:rsid w:val="00CE0760"/>
    <w:rsid w:val="00CE0A68"/>
    <w:rsid w:val="00CE0B07"/>
    <w:rsid w:val="00CE0C1B"/>
    <w:rsid w:val="00CE150D"/>
    <w:rsid w:val="00CE1669"/>
    <w:rsid w:val="00CE1823"/>
    <w:rsid w:val="00CE193F"/>
    <w:rsid w:val="00CE1BE3"/>
    <w:rsid w:val="00CE1FDA"/>
    <w:rsid w:val="00CE2DCE"/>
    <w:rsid w:val="00CE2F3B"/>
    <w:rsid w:val="00CE2F58"/>
    <w:rsid w:val="00CE3728"/>
    <w:rsid w:val="00CE3CB9"/>
    <w:rsid w:val="00CE3E0F"/>
    <w:rsid w:val="00CE40A2"/>
    <w:rsid w:val="00CE4447"/>
    <w:rsid w:val="00CE4BAF"/>
    <w:rsid w:val="00CE4CB1"/>
    <w:rsid w:val="00CE5479"/>
    <w:rsid w:val="00CE5636"/>
    <w:rsid w:val="00CE56F2"/>
    <w:rsid w:val="00CE5C00"/>
    <w:rsid w:val="00CE606B"/>
    <w:rsid w:val="00CE60D2"/>
    <w:rsid w:val="00CE60EF"/>
    <w:rsid w:val="00CE62CA"/>
    <w:rsid w:val="00CE6776"/>
    <w:rsid w:val="00CE6E3F"/>
    <w:rsid w:val="00CE734B"/>
    <w:rsid w:val="00CE7AE6"/>
    <w:rsid w:val="00CE7EDD"/>
    <w:rsid w:val="00CF00B1"/>
    <w:rsid w:val="00CF05B4"/>
    <w:rsid w:val="00CF05C9"/>
    <w:rsid w:val="00CF0B69"/>
    <w:rsid w:val="00CF0D20"/>
    <w:rsid w:val="00CF0D8A"/>
    <w:rsid w:val="00CF0DC9"/>
    <w:rsid w:val="00CF121C"/>
    <w:rsid w:val="00CF1250"/>
    <w:rsid w:val="00CF1409"/>
    <w:rsid w:val="00CF1446"/>
    <w:rsid w:val="00CF160C"/>
    <w:rsid w:val="00CF1F85"/>
    <w:rsid w:val="00CF1F92"/>
    <w:rsid w:val="00CF289F"/>
    <w:rsid w:val="00CF2B74"/>
    <w:rsid w:val="00CF2C08"/>
    <w:rsid w:val="00CF3451"/>
    <w:rsid w:val="00CF3506"/>
    <w:rsid w:val="00CF3ACC"/>
    <w:rsid w:val="00CF3B0B"/>
    <w:rsid w:val="00CF3DDF"/>
    <w:rsid w:val="00CF3E29"/>
    <w:rsid w:val="00CF3EE6"/>
    <w:rsid w:val="00CF44AA"/>
    <w:rsid w:val="00CF45ED"/>
    <w:rsid w:val="00CF4D12"/>
    <w:rsid w:val="00CF4F58"/>
    <w:rsid w:val="00CF5562"/>
    <w:rsid w:val="00CF5C6A"/>
    <w:rsid w:val="00CF6300"/>
    <w:rsid w:val="00CF65C1"/>
    <w:rsid w:val="00CF6AF0"/>
    <w:rsid w:val="00CF71A3"/>
    <w:rsid w:val="00CF72F1"/>
    <w:rsid w:val="00CF7B77"/>
    <w:rsid w:val="00CF7C07"/>
    <w:rsid w:val="00D00090"/>
    <w:rsid w:val="00D000D9"/>
    <w:rsid w:val="00D00473"/>
    <w:rsid w:val="00D006F9"/>
    <w:rsid w:val="00D007AB"/>
    <w:rsid w:val="00D009DC"/>
    <w:rsid w:val="00D00C8B"/>
    <w:rsid w:val="00D0166C"/>
    <w:rsid w:val="00D01783"/>
    <w:rsid w:val="00D01881"/>
    <w:rsid w:val="00D01E2E"/>
    <w:rsid w:val="00D02059"/>
    <w:rsid w:val="00D02172"/>
    <w:rsid w:val="00D030E8"/>
    <w:rsid w:val="00D0317C"/>
    <w:rsid w:val="00D0332E"/>
    <w:rsid w:val="00D037CE"/>
    <w:rsid w:val="00D03C69"/>
    <w:rsid w:val="00D03DF1"/>
    <w:rsid w:val="00D04475"/>
    <w:rsid w:val="00D04486"/>
    <w:rsid w:val="00D048D2"/>
    <w:rsid w:val="00D04B1A"/>
    <w:rsid w:val="00D0508A"/>
    <w:rsid w:val="00D051E3"/>
    <w:rsid w:val="00D05AEC"/>
    <w:rsid w:val="00D05FCF"/>
    <w:rsid w:val="00D062DD"/>
    <w:rsid w:val="00D06456"/>
    <w:rsid w:val="00D064C0"/>
    <w:rsid w:val="00D06791"/>
    <w:rsid w:val="00D068E0"/>
    <w:rsid w:val="00D06945"/>
    <w:rsid w:val="00D071B5"/>
    <w:rsid w:val="00D07423"/>
    <w:rsid w:val="00D07494"/>
    <w:rsid w:val="00D0749E"/>
    <w:rsid w:val="00D07794"/>
    <w:rsid w:val="00D079C2"/>
    <w:rsid w:val="00D07A2A"/>
    <w:rsid w:val="00D07DE1"/>
    <w:rsid w:val="00D07EC6"/>
    <w:rsid w:val="00D10262"/>
    <w:rsid w:val="00D108CF"/>
    <w:rsid w:val="00D10EC8"/>
    <w:rsid w:val="00D110A9"/>
    <w:rsid w:val="00D11122"/>
    <w:rsid w:val="00D111A5"/>
    <w:rsid w:val="00D1191C"/>
    <w:rsid w:val="00D11D57"/>
    <w:rsid w:val="00D11DEF"/>
    <w:rsid w:val="00D120DF"/>
    <w:rsid w:val="00D122E1"/>
    <w:rsid w:val="00D1261A"/>
    <w:rsid w:val="00D1277A"/>
    <w:rsid w:val="00D127FE"/>
    <w:rsid w:val="00D12A43"/>
    <w:rsid w:val="00D12E40"/>
    <w:rsid w:val="00D12EA9"/>
    <w:rsid w:val="00D134B4"/>
    <w:rsid w:val="00D13659"/>
    <w:rsid w:val="00D13BAD"/>
    <w:rsid w:val="00D1406B"/>
    <w:rsid w:val="00D1426E"/>
    <w:rsid w:val="00D1465A"/>
    <w:rsid w:val="00D148CB"/>
    <w:rsid w:val="00D1498E"/>
    <w:rsid w:val="00D14DF8"/>
    <w:rsid w:val="00D14E0B"/>
    <w:rsid w:val="00D15151"/>
    <w:rsid w:val="00D15710"/>
    <w:rsid w:val="00D15914"/>
    <w:rsid w:val="00D16137"/>
    <w:rsid w:val="00D163FC"/>
    <w:rsid w:val="00D1665C"/>
    <w:rsid w:val="00D16B07"/>
    <w:rsid w:val="00D16F25"/>
    <w:rsid w:val="00D16F74"/>
    <w:rsid w:val="00D1731B"/>
    <w:rsid w:val="00D17404"/>
    <w:rsid w:val="00D1783B"/>
    <w:rsid w:val="00D2000C"/>
    <w:rsid w:val="00D20180"/>
    <w:rsid w:val="00D201C2"/>
    <w:rsid w:val="00D202CC"/>
    <w:rsid w:val="00D20932"/>
    <w:rsid w:val="00D209B3"/>
    <w:rsid w:val="00D20B78"/>
    <w:rsid w:val="00D20BF5"/>
    <w:rsid w:val="00D20C8B"/>
    <w:rsid w:val="00D2103E"/>
    <w:rsid w:val="00D21065"/>
    <w:rsid w:val="00D2133B"/>
    <w:rsid w:val="00D213AB"/>
    <w:rsid w:val="00D21424"/>
    <w:rsid w:val="00D21739"/>
    <w:rsid w:val="00D21745"/>
    <w:rsid w:val="00D21CA8"/>
    <w:rsid w:val="00D21F84"/>
    <w:rsid w:val="00D2206D"/>
    <w:rsid w:val="00D220EB"/>
    <w:rsid w:val="00D22B3C"/>
    <w:rsid w:val="00D22FB0"/>
    <w:rsid w:val="00D23131"/>
    <w:rsid w:val="00D232B8"/>
    <w:rsid w:val="00D23300"/>
    <w:rsid w:val="00D23610"/>
    <w:rsid w:val="00D23871"/>
    <w:rsid w:val="00D24236"/>
    <w:rsid w:val="00D2451A"/>
    <w:rsid w:val="00D24924"/>
    <w:rsid w:val="00D24979"/>
    <w:rsid w:val="00D24A33"/>
    <w:rsid w:val="00D24AC5"/>
    <w:rsid w:val="00D24E0C"/>
    <w:rsid w:val="00D25646"/>
    <w:rsid w:val="00D256C1"/>
    <w:rsid w:val="00D256F0"/>
    <w:rsid w:val="00D25822"/>
    <w:rsid w:val="00D2608C"/>
    <w:rsid w:val="00D26DDE"/>
    <w:rsid w:val="00D26FE3"/>
    <w:rsid w:val="00D27B52"/>
    <w:rsid w:val="00D3000D"/>
    <w:rsid w:val="00D30703"/>
    <w:rsid w:val="00D30755"/>
    <w:rsid w:val="00D31A56"/>
    <w:rsid w:val="00D32163"/>
    <w:rsid w:val="00D322AB"/>
    <w:rsid w:val="00D32315"/>
    <w:rsid w:val="00D32775"/>
    <w:rsid w:val="00D328A5"/>
    <w:rsid w:val="00D32B81"/>
    <w:rsid w:val="00D32FE0"/>
    <w:rsid w:val="00D33840"/>
    <w:rsid w:val="00D3399D"/>
    <w:rsid w:val="00D33DDE"/>
    <w:rsid w:val="00D340B7"/>
    <w:rsid w:val="00D347DE"/>
    <w:rsid w:val="00D349D5"/>
    <w:rsid w:val="00D34A59"/>
    <w:rsid w:val="00D34E03"/>
    <w:rsid w:val="00D34F5A"/>
    <w:rsid w:val="00D359F3"/>
    <w:rsid w:val="00D36514"/>
    <w:rsid w:val="00D3680F"/>
    <w:rsid w:val="00D36D1A"/>
    <w:rsid w:val="00D36D25"/>
    <w:rsid w:val="00D371E0"/>
    <w:rsid w:val="00D37278"/>
    <w:rsid w:val="00D375F9"/>
    <w:rsid w:val="00D37E8A"/>
    <w:rsid w:val="00D4080D"/>
    <w:rsid w:val="00D409F6"/>
    <w:rsid w:val="00D40E29"/>
    <w:rsid w:val="00D4118C"/>
    <w:rsid w:val="00D41771"/>
    <w:rsid w:val="00D4208C"/>
    <w:rsid w:val="00D4234C"/>
    <w:rsid w:val="00D4249B"/>
    <w:rsid w:val="00D42B03"/>
    <w:rsid w:val="00D43107"/>
    <w:rsid w:val="00D4322D"/>
    <w:rsid w:val="00D434C8"/>
    <w:rsid w:val="00D4374F"/>
    <w:rsid w:val="00D438B3"/>
    <w:rsid w:val="00D43DC3"/>
    <w:rsid w:val="00D441F7"/>
    <w:rsid w:val="00D44276"/>
    <w:rsid w:val="00D444C7"/>
    <w:rsid w:val="00D44E24"/>
    <w:rsid w:val="00D45209"/>
    <w:rsid w:val="00D454ED"/>
    <w:rsid w:val="00D45C1D"/>
    <w:rsid w:val="00D45C6E"/>
    <w:rsid w:val="00D45CAB"/>
    <w:rsid w:val="00D4604A"/>
    <w:rsid w:val="00D46226"/>
    <w:rsid w:val="00D465A2"/>
    <w:rsid w:val="00D466C4"/>
    <w:rsid w:val="00D467DD"/>
    <w:rsid w:val="00D46C9D"/>
    <w:rsid w:val="00D46FF8"/>
    <w:rsid w:val="00D47116"/>
    <w:rsid w:val="00D4796D"/>
    <w:rsid w:val="00D50021"/>
    <w:rsid w:val="00D503B1"/>
    <w:rsid w:val="00D50DFC"/>
    <w:rsid w:val="00D50F8F"/>
    <w:rsid w:val="00D51012"/>
    <w:rsid w:val="00D51179"/>
    <w:rsid w:val="00D51AEF"/>
    <w:rsid w:val="00D51DAB"/>
    <w:rsid w:val="00D52E91"/>
    <w:rsid w:val="00D52F43"/>
    <w:rsid w:val="00D53201"/>
    <w:rsid w:val="00D538F9"/>
    <w:rsid w:val="00D53983"/>
    <w:rsid w:val="00D53E84"/>
    <w:rsid w:val="00D53F25"/>
    <w:rsid w:val="00D54208"/>
    <w:rsid w:val="00D5438A"/>
    <w:rsid w:val="00D54925"/>
    <w:rsid w:val="00D54FE9"/>
    <w:rsid w:val="00D5563F"/>
    <w:rsid w:val="00D55704"/>
    <w:rsid w:val="00D55797"/>
    <w:rsid w:val="00D55924"/>
    <w:rsid w:val="00D55CCE"/>
    <w:rsid w:val="00D56042"/>
    <w:rsid w:val="00D5604E"/>
    <w:rsid w:val="00D560B6"/>
    <w:rsid w:val="00D56256"/>
    <w:rsid w:val="00D56391"/>
    <w:rsid w:val="00D5653F"/>
    <w:rsid w:val="00D5696C"/>
    <w:rsid w:val="00D56F89"/>
    <w:rsid w:val="00D5788F"/>
    <w:rsid w:val="00D579BA"/>
    <w:rsid w:val="00D57CC9"/>
    <w:rsid w:val="00D57E26"/>
    <w:rsid w:val="00D57FD6"/>
    <w:rsid w:val="00D6012F"/>
    <w:rsid w:val="00D60A04"/>
    <w:rsid w:val="00D6126E"/>
    <w:rsid w:val="00D61346"/>
    <w:rsid w:val="00D61400"/>
    <w:rsid w:val="00D615EA"/>
    <w:rsid w:val="00D617C2"/>
    <w:rsid w:val="00D61A22"/>
    <w:rsid w:val="00D61CDD"/>
    <w:rsid w:val="00D61D01"/>
    <w:rsid w:val="00D6205C"/>
    <w:rsid w:val="00D620A1"/>
    <w:rsid w:val="00D6235A"/>
    <w:rsid w:val="00D62467"/>
    <w:rsid w:val="00D624B9"/>
    <w:rsid w:val="00D62674"/>
    <w:rsid w:val="00D62788"/>
    <w:rsid w:val="00D629E0"/>
    <w:rsid w:val="00D62AF3"/>
    <w:rsid w:val="00D62CF9"/>
    <w:rsid w:val="00D63501"/>
    <w:rsid w:val="00D63675"/>
    <w:rsid w:val="00D64419"/>
    <w:rsid w:val="00D64A78"/>
    <w:rsid w:val="00D654C2"/>
    <w:rsid w:val="00D659F8"/>
    <w:rsid w:val="00D65A3F"/>
    <w:rsid w:val="00D65C7B"/>
    <w:rsid w:val="00D660C4"/>
    <w:rsid w:val="00D664C7"/>
    <w:rsid w:val="00D66744"/>
    <w:rsid w:val="00D66A49"/>
    <w:rsid w:val="00D66AD6"/>
    <w:rsid w:val="00D66ADE"/>
    <w:rsid w:val="00D66C6B"/>
    <w:rsid w:val="00D66CDB"/>
    <w:rsid w:val="00D66EF1"/>
    <w:rsid w:val="00D66F7E"/>
    <w:rsid w:val="00D676D5"/>
    <w:rsid w:val="00D67B90"/>
    <w:rsid w:val="00D67CDB"/>
    <w:rsid w:val="00D67D25"/>
    <w:rsid w:val="00D67F40"/>
    <w:rsid w:val="00D7007F"/>
    <w:rsid w:val="00D70142"/>
    <w:rsid w:val="00D7028D"/>
    <w:rsid w:val="00D704DE"/>
    <w:rsid w:val="00D70506"/>
    <w:rsid w:val="00D70623"/>
    <w:rsid w:val="00D70939"/>
    <w:rsid w:val="00D70D0C"/>
    <w:rsid w:val="00D7149A"/>
    <w:rsid w:val="00D718EA"/>
    <w:rsid w:val="00D71B39"/>
    <w:rsid w:val="00D71D21"/>
    <w:rsid w:val="00D71E0E"/>
    <w:rsid w:val="00D71F0E"/>
    <w:rsid w:val="00D71F48"/>
    <w:rsid w:val="00D72027"/>
    <w:rsid w:val="00D7236C"/>
    <w:rsid w:val="00D725EA"/>
    <w:rsid w:val="00D72804"/>
    <w:rsid w:val="00D72AF9"/>
    <w:rsid w:val="00D72C2A"/>
    <w:rsid w:val="00D72E60"/>
    <w:rsid w:val="00D7339C"/>
    <w:rsid w:val="00D73563"/>
    <w:rsid w:val="00D73AE0"/>
    <w:rsid w:val="00D73E26"/>
    <w:rsid w:val="00D73FA3"/>
    <w:rsid w:val="00D74257"/>
    <w:rsid w:val="00D742BC"/>
    <w:rsid w:val="00D74BA0"/>
    <w:rsid w:val="00D74D03"/>
    <w:rsid w:val="00D759F2"/>
    <w:rsid w:val="00D75C77"/>
    <w:rsid w:val="00D75EDB"/>
    <w:rsid w:val="00D75F97"/>
    <w:rsid w:val="00D76D50"/>
    <w:rsid w:val="00D77278"/>
    <w:rsid w:val="00D77887"/>
    <w:rsid w:val="00D804E8"/>
    <w:rsid w:val="00D80799"/>
    <w:rsid w:val="00D808FF"/>
    <w:rsid w:val="00D809CD"/>
    <w:rsid w:val="00D80A99"/>
    <w:rsid w:val="00D80F04"/>
    <w:rsid w:val="00D8123C"/>
    <w:rsid w:val="00D8165A"/>
    <w:rsid w:val="00D81675"/>
    <w:rsid w:val="00D81C1E"/>
    <w:rsid w:val="00D81E2B"/>
    <w:rsid w:val="00D8215F"/>
    <w:rsid w:val="00D826E1"/>
    <w:rsid w:val="00D82C98"/>
    <w:rsid w:val="00D82D7B"/>
    <w:rsid w:val="00D82E89"/>
    <w:rsid w:val="00D83314"/>
    <w:rsid w:val="00D839C1"/>
    <w:rsid w:val="00D83AA6"/>
    <w:rsid w:val="00D83CF9"/>
    <w:rsid w:val="00D83DAE"/>
    <w:rsid w:val="00D8409B"/>
    <w:rsid w:val="00D841EA"/>
    <w:rsid w:val="00D843A4"/>
    <w:rsid w:val="00D845B5"/>
    <w:rsid w:val="00D84991"/>
    <w:rsid w:val="00D84A01"/>
    <w:rsid w:val="00D84D63"/>
    <w:rsid w:val="00D84F30"/>
    <w:rsid w:val="00D851BA"/>
    <w:rsid w:val="00D8521F"/>
    <w:rsid w:val="00D857B5"/>
    <w:rsid w:val="00D85CFB"/>
    <w:rsid w:val="00D86180"/>
    <w:rsid w:val="00D864B6"/>
    <w:rsid w:val="00D8657C"/>
    <w:rsid w:val="00D8681F"/>
    <w:rsid w:val="00D868E2"/>
    <w:rsid w:val="00D869B2"/>
    <w:rsid w:val="00D86AEF"/>
    <w:rsid w:val="00D86B93"/>
    <w:rsid w:val="00D86F6B"/>
    <w:rsid w:val="00D87866"/>
    <w:rsid w:val="00D87AB4"/>
    <w:rsid w:val="00D906BE"/>
    <w:rsid w:val="00D90941"/>
    <w:rsid w:val="00D91A3C"/>
    <w:rsid w:val="00D9201A"/>
    <w:rsid w:val="00D92093"/>
    <w:rsid w:val="00D92233"/>
    <w:rsid w:val="00D92981"/>
    <w:rsid w:val="00D93234"/>
    <w:rsid w:val="00D93493"/>
    <w:rsid w:val="00D93832"/>
    <w:rsid w:val="00D938F0"/>
    <w:rsid w:val="00D93A1D"/>
    <w:rsid w:val="00D93BA0"/>
    <w:rsid w:val="00D9420E"/>
    <w:rsid w:val="00D9445F"/>
    <w:rsid w:val="00D946B8"/>
    <w:rsid w:val="00D946F7"/>
    <w:rsid w:val="00D947B0"/>
    <w:rsid w:val="00D948A2"/>
    <w:rsid w:val="00D948DD"/>
    <w:rsid w:val="00D948FF"/>
    <w:rsid w:val="00D9490C"/>
    <w:rsid w:val="00D94980"/>
    <w:rsid w:val="00D949B3"/>
    <w:rsid w:val="00D94CCC"/>
    <w:rsid w:val="00D94EDC"/>
    <w:rsid w:val="00D9547F"/>
    <w:rsid w:val="00D95573"/>
    <w:rsid w:val="00D955A8"/>
    <w:rsid w:val="00D95691"/>
    <w:rsid w:val="00D95A52"/>
    <w:rsid w:val="00D95A96"/>
    <w:rsid w:val="00D9606A"/>
    <w:rsid w:val="00D9619E"/>
    <w:rsid w:val="00D961A7"/>
    <w:rsid w:val="00D96E9B"/>
    <w:rsid w:val="00D97066"/>
    <w:rsid w:val="00D972ED"/>
    <w:rsid w:val="00D97514"/>
    <w:rsid w:val="00D977B9"/>
    <w:rsid w:val="00D97949"/>
    <w:rsid w:val="00D97CE8"/>
    <w:rsid w:val="00D97DC5"/>
    <w:rsid w:val="00D97EBC"/>
    <w:rsid w:val="00D97F7D"/>
    <w:rsid w:val="00D97F93"/>
    <w:rsid w:val="00DA15B7"/>
    <w:rsid w:val="00DA1AB8"/>
    <w:rsid w:val="00DA2146"/>
    <w:rsid w:val="00DA2E7F"/>
    <w:rsid w:val="00DA3054"/>
    <w:rsid w:val="00DA3525"/>
    <w:rsid w:val="00DA3767"/>
    <w:rsid w:val="00DA3CA4"/>
    <w:rsid w:val="00DA4156"/>
    <w:rsid w:val="00DA447F"/>
    <w:rsid w:val="00DA45E2"/>
    <w:rsid w:val="00DA4706"/>
    <w:rsid w:val="00DA4800"/>
    <w:rsid w:val="00DA4ECE"/>
    <w:rsid w:val="00DA51E9"/>
    <w:rsid w:val="00DA5350"/>
    <w:rsid w:val="00DA5499"/>
    <w:rsid w:val="00DA5702"/>
    <w:rsid w:val="00DA5CD2"/>
    <w:rsid w:val="00DA6112"/>
    <w:rsid w:val="00DA6308"/>
    <w:rsid w:val="00DA6FCA"/>
    <w:rsid w:val="00DA7195"/>
    <w:rsid w:val="00DA7380"/>
    <w:rsid w:val="00DA768F"/>
    <w:rsid w:val="00DA7784"/>
    <w:rsid w:val="00DA7C56"/>
    <w:rsid w:val="00DB0009"/>
    <w:rsid w:val="00DB00A2"/>
    <w:rsid w:val="00DB01B4"/>
    <w:rsid w:val="00DB031E"/>
    <w:rsid w:val="00DB0811"/>
    <w:rsid w:val="00DB0B73"/>
    <w:rsid w:val="00DB0EDB"/>
    <w:rsid w:val="00DB1109"/>
    <w:rsid w:val="00DB1370"/>
    <w:rsid w:val="00DB13A7"/>
    <w:rsid w:val="00DB152E"/>
    <w:rsid w:val="00DB16B3"/>
    <w:rsid w:val="00DB1B8E"/>
    <w:rsid w:val="00DB1E1C"/>
    <w:rsid w:val="00DB23AE"/>
    <w:rsid w:val="00DB240A"/>
    <w:rsid w:val="00DB2481"/>
    <w:rsid w:val="00DB2687"/>
    <w:rsid w:val="00DB2695"/>
    <w:rsid w:val="00DB2CF3"/>
    <w:rsid w:val="00DB37FA"/>
    <w:rsid w:val="00DB3A9E"/>
    <w:rsid w:val="00DB3B0E"/>
    <w:rsid w:val="00DB3BF0"/>
    <w:rsid w:val="00DB3E41"/>
    <w:rsid w:val="00DB3FCF"/>
    <w:rsid w:val="00DB423A"/>
    <w:rsid w:val="00DB43E1"/>
    <w:rsid w:val="00DB448A"/>
    <w:rsid w:val="00DB4636"/>
    <w:rsid w:val="00DB493E"/>
    <w:rsid w:val="00DB4C40"/>
    <w:rsid w:val="00DB4CDA"/>
    <w:rsid w:val="00DB4CED"/>
    <w:rsid w:val="00DB4D21"/>
    <w:rsid w:val="00DB53C5"/>
    <w:rsid w:val="00DB558C"/>
    <w:rsid w:val="00DB58E9"/>
    <w:rsid w:val="00DB595F"/>
    <w:rsid w:val="00DB5B2F"/>
    <w:rsid w:val="00DB5DB0"/>
    <w:rsid w:val="00DB5EC6"/>
    <w:rsid w:val="00DB5F08"/>
    <w:rsid w:val="00DB6843"/>
    <w:rsid w:val="00DB6DE3"/>
    <w:rsid w:val="00DB73AB"/>
    <w:rsid w:val="00DB789B"/>
    <w:rsid w:val="00DB7D20"/>
    <w:rsid w:val="00DB7E66"/>
    <w:rsid w:val="00DB7FBD"/>
    <w:rsid w:val="00DC00DF"/>
    <w:rsid w:val="00DC0155"/>
    <w:rsid w:val="00DC0456"/>
    <w:rsid w:val="00DC0745"/>
    <w:rsid w:val="00DC081B"/>
    <w:rsid w:val="00DC0D4E"/>
    <w:rsid w:val="00DC0F1B"/>
    <w:rsid w:val="00DC1553"/>
    <w:rsid w:val="00DC15B9"/>
    <w:rsid w:val="00DC1758"/>
    <w:rsid w:val="00DC18E6"/>
    <w:rsid w:val="00DC20F1"/>
    <w:rsid w:val="00DC21E0"/>
    <w:rsid w:val="00DC226C"/>
    <w:rsid w:val="00DC22C0"/>
    <w:rsid w:val="00DC249A"/>
    <w:rsid w:val="00DC2634"/>
    <w:rsid w:val="00DC2B89"/>
    <w:rsid w:val="00DC2BB6"/>
    <w:rsid w:val="00DC2CE3"/>
    <w:rsid w:val="00DC33E0"/>
    <w:rsid w:val="00DC39CC"/>
    <w:rsid w:val="00DC3A20"/>
    <w:rsid w:val="00DC3CD8"/>
    <w:rsid w:val="00DC3E44"/>
    <w:rsid w:val="00DC4521"/>
    <w:rsid w:val="00DC458A"/>
    <w:rsid w:val="00DC46FA"/>
    <w:rsid w:val="00DC4B2F"/>
    <w:rsid w:val="00DC4E24"/>
    <w:rsid w:val="00DC4F70"/>
    <w:rsid w:val="00DC517E"/>
    <w:rsid w:val="00DC5187"/>
    <w:rsid w:val="00DC54B5"/>
    <w:rsid w:val="00DC54D5"/>
    <w:rsid w:val="00DC5532"/>
    <w:rsid w:val="00DC5B09"/>
    <w:rsid w:val="00DC5B41"/>
    <w:rsid w:val="00DC6A24"/>
    <w:rsid w:val="00DC6AC1"/>
    <w:rsid w:val="00DC6B05"/>
    <w:rsid w:val="00DC7079"/>
    <w:rsid w:val="00DC75C9"/>
    <w:rsid w:val="00DC7906"/>
    <w:rsid w:val="00DC792E"/>
    <w:rsid w:val="00DC7948"/>
    <w:rsid w:val="00DC7AA4"/>
    <w:rsid w:val="00DC7C5B"/>
    <w:rsid w:val="00DC7C88"/>
    <w:rsid w:val="00DC7E43"/>
    <w:rsid w:val="00DD00E3"/>
    <w:rsid w:val="00DD0504"/>
    <w:rsid w:val="00DD0918"/>
    <w:rsid w:val="00DD0EEF"/>
    <w:rsid w:val="00DD10CD"/>
    <w:rsid w:val="00DD1352"/>
    <w:rsid w:val="00DD15DA"/>
    <w:rsid w:val="00DD1EE3"/>
    <w:rsid w:val="00DD1F5C"/>
    <w:rsid w:val="00DD2235"/>
    <w:rsid w:val="00DD22CC"/>
    <w:rsid w:val="00DD255E"/>
    <w:rsid w:val="00DD28FC"/>
    <w:rsid w:val="00DD29C6"/>
    <w:rsid w:val="00DD2C0F"/>
    <w:rsid w:val="00DD3007"/>
    <w:rsid w:val="00DD3039"/>
    <w:rsid w:val="00DD316B"/>
    <w:rsid w:val="00DD35AF"/>
    <w:rsid w:val="00DD365B"/>
    <w:rsid w:val="00DD3A4D"/>
    <w:rsid w:val="00DD3CC2"/>
    <w:rsid w:val="00DD3CFE"/>
    <w:rsid w:val="00DD3FEE"/>
    <w:rsid w:val="00DD4555"/>
    <w:rsid w:val="00DD4911"/>
    <w:rsid w:val="00DD4BA9"/>
    <w:rsid w:val="00DD4FD8"/>
    <w:rsid w:val="00DD5592"/>
    <w:rsid w:val="00DD5714"/>
    <w:rsid w:val="00DD5C5B"/>
    <w:rsid w:val="00DD5CB6"/>
    <w:rsid w:val="00DD6056"/>
    <w:rsid w:val="00DD6213"/>
    <w:rsid w:val="00DD6301"/>
    <w:rsid w:val="00DD63D8"/>
    <w:rsid w:val="00DD647C"/>
    <w:rsid w:val="00DD67EC"/>
    <w:rsid w:val="00DD69A6"/>
    <w:rsid w:val="00DD6B9B"/>
    <w:rsid w:val="00DD6D4F"/>
    <w:rsid w:val="00DD6D59"/>
    <w:rsid w:val="00DD6F35"/>
    <w:rsid w:val="00DD70F3"/>
    <w:rsid w:val="00DD7EA3"/>
    <w:rsid w:val="00DE0045"/>
    <w:rsid w:val="00DE008C"/>
    <w:rsid w:val="00DE01B0"/>
    <w:rsid w:val="00DE01D6"/>
    <w:rsid w:val="00DE0248"/>
    <w:rsid w:val="00DE03AD"/>
    <w:rsid w:val="00DE0558"/>
    <w:rsid w:val="00DE0CDA"/>
    <w:rsid w:val="00DE13FA"/>
    <w:rsid w:val="00DE16E0"/>
    <w:rsid w:val="00DE1A91"/>
    <w:rsid w:val="00DE1A95"/>
    <w:rsid w:val="00DE1CAC"/>
    <w:rsid w:val="00DE1D23"/>
    <w:rsid w:val="00DE2197"/>
    <w:rsid w:val="00DE2DED"/>
    <w:rsid w:val="00DE2EF3"/>
    <w:rsid w:val="00DE3231"/>
    <w:rsid w:val="00DE376F"/>
    <w:rsid w:val="00DE38EE"/>
    <w:rsid w:val="00DE3A5D"/>
    <w:rsid w:val="00DE3C42"/>
    <w:rsid w:val="00DE3D19"/>
    <w:rsid w:val="00DE4678"/>
    <w:rsid w:val="00DE4791"/>
    <w:rsid w:val="00DE49DE"/>
    <w:rsid w:val="00DE4C3F"/>
    <w:rsid w:val="00DE4DEB"/>
    <w:rsid w:val="00DE4E51"/>
    <w:rsid w:val="00DE52C2"/>
    <w:rsid w:val="00DE55BF"/>
    <w:rsid w:val="00DE5856"/>
    <w:rsid w:val="00DE58DC"/>
    <w:rsid w:val="00DE5E33"/>
    <w:rsid w:val="00DE5FC9"/>
    <w:rsid w:val="00DE6B12"/>
    <w:rsid w:val="00DE6D8A"/>
    <w:rsid w:val="00DE7483"/>
    <w:rsid w:val="00DE7486"/>
    <w:rsid w:val="00DE756E"/>
    <w:rsid w:val="00DE7765"/>
    <w:rsid w:val="00DE7771"/>
    <w:rsid w:val="00DE77E6"/>
    <w:rsid w:val="00DE798A"/>
    <w:rsid w:val="00DE7E17"/>
    <w:rsid w:val="00DE7EA9"/>
    <w:rsid w:val="00DE7EAD"/>
    <w:rsid w:val="00DE7F21"/>
    <w:rsid w:val="00DE7FC6"/>
    <w:rsid w:val="00DF006A"/>
    <w:rsid w:val="00DF03CE"/>
    <w:rsid w:val="00DF06BE"/>
    <w:rsid w:val="00DF074B"/>
    <w:rsid w:val="00DF07EB"/>
    <w:rsid w:val="00DF08DB"/>
    <w:rsid w:val="00DF09D0"/>
    <w:rsid w:val="00DF0D21"/>
    <w:rsid w:val="00DF0F15"/>
    <w:rsid w:val="00DF11DD"/>
    <w:rsid w:val="00DF1D51"/>
    <w:rsid w:val="00DF205E"/>
    <w:rsid w:val="00DF206B"/>
    <w:rsid w:val="00DF2523"/>
    <w:rsid w:val="00DF2A81"/>
    <w:rsid w:val="00DF2BAE"/>
    <w:rsid w:val="00DF2D97"/>
    <w:rsid w:val="00DF3461"/>
    <w:rsid w:val="00DF37A2"/>
    <w:rsid w:val="00DF3C47"/>
    <w:rsid w:val="00DF3E7D"/>
    <w:rsid w:val="00DF43FF"/>
    <w:rsid w:val="00DF480E"/>
    <w:rsid w:val="00DF49AE"/>
    <w:rsid w:val="00DF4A3D"/>
    <w:rsid w:val="00DF4A51"/>
    <w:rsid w:val="00DF4DEF"/>
    <w:rsid w:val="00DF4E1B"/>
    <w:rsid w:val="00DF4E3D"/>
    <w:rsid w:val="00DF4EEC"/>
    <w:rsid w:val="00DF4F4D"/>
    <w:rsid w:val="00DF563E"/>
    <w:rsid w:val="00DF5AF0"/>
    <w:rsid w:val="00DF5F7E"/>
    <w:rsid w:val="00DF6263"/>
    <w:rsid w:val="00DF640E"/>
    <w:rsid w:val="00DF6C49"/>
    <w:rsid w:val="00DF6C9C"/>
    <w:rsid w:val="00DF72A5"/>
    <w:rsid w:val="00DF7301"/>
    <w:rsid w:val="00DF79B1"/>
    <w:rsid w:val="00DF7D33"/>
    <w:rsid w:val="00E00078"/>
    <w:rsid w:val="00E000C3"/>
    <w:rsid w:val="00E003BE"/>
    <w:rsid w:val="00E00A15"/>
    <w:rsid w:val="00E01271"/>
    <w:rsid w:val="00E0128D"/>
    <w:rsid w:val="00E0167B"/>
    <w:rsid w:val="00E0174C"/>
    <w:rsid w:val="00E018FC"/>
    <w:rsid w:val="00E01C12"/>
    <w:rsid w:val="00E01D2A"/>
    <w:rsid w:val="00E01D87"/>
    <w:rsid w:val="00E01E9F"/>
    <w:rsid w:val="00E01F86"/>
    <w:rsid w:val="00E02058"/>
    <w:rsid w:val="00E020A8"/>
    <w:rsid w:val="00E0247A"/>
    <w:rsid w:val="00E024F4"/>
    <w:rsid w:val="00E0293A"/>
    <w:rsid w:val="00E029B8"/>
    <w:rsid w:val="00E02C53"/>
    <w:rsid w:val="00E02CB4"/>
    <w:rsid w:val="00E02D57"/>
    <w:rsid w:val="00E02E51"/>
    <w:rsid w:val="00E03470"/>
    <w:rsid w:val="00E0349E"/>
    <w:rsid w:val="00E037CE"/>
    <w:rsid w:val="00E0389C"/>
    <w:rsid w:val="00E03BE2"/>
    <w:rsid w:val="00E03CF2"/>
    <w:rsid w:val="00E03EE0"/>
    <w:rsid w:val="00E0428D"/>
    <w:rsid w:val="00E042C5"/>
    <w:rsid w:val="00E044EC"/>
    <w:rsid w:val="00E045E2"/>
    <w:rsid w:val="00E046F6"/>
    <w:rsid w:val="00E04D15"/>
    <w:rsid w:val="00E058B1"/>
    <w:rsid w:val="00E05995"/>
    <w:rsid w:val="00E05E1A"/>
    <w:rsid w:val="00E06122"/>
    <w:rsid w:val="00E061CE"/>
    <w:rsid w:val="00E063B8"/>
    <w:rsid w:val="00E065BC"/>
    <w:rsid w:val="00E06753"/>
    <w:rsid w:val="00E068BE"/>
    <w:rsid w:val="00E06A8C"/>
    <w:rsid w:val="00E06DB9"/>
    <w:rsid w:val="00E06EFB"/>
    <w:rsid w:val="00E070AD"/>
    <w:rsid w:val="00E070E6"/>
    <w:rsid w:val="00E07144"/>
    <w:rsid w:val="00E0739A"/>
    <w:rsid w:val="00E07AE5"/>
    <w:rsid w:val="00E07D46"/>
    <w:rsid w:val="00E10649"/>
    <w:rsid w:val="00E116E8"/>
    <w:rsid w:val="00E1194E"/>
    <w:rsid w:val="00E119A8"/>
    <w:rsid w:val="00E11C59"/>
    <w:rsid w:val="00E11D41"/>
    <w:rsid w:val="00E11D63"/>
    <w:rsid w:val="00E11E2C"/>
    <w:rsid w:val="00E13A26"/>
    <w:rsid w:val="00E13C81"/>
    <w:rsid w:val="00E14365"/>
    <w:rsid w:val="00E14407"/>
    <w:rsid w:val="00E144BF"/>
    <w:rsid w:val="00E1484F"/>
    <w:rsid w:val="00E14D1D"/>
    <w:rsid w:val="00E153E2"/>
    <w:rsid w:val="00E153ED"/>
    <w:rsid w:val="00E153F0"/>
    <w:rsid w:val="00E1562D"/>
    <w:rsid w:val="00E15D19"/>
    <w:rsid w:val="00E160C7"/>
    <w:rsid w:val="00E162BE"/>
    <w:rsid w:val="00E163D6"/>
    <w:rsid w:val="00E16A1B"/>
    <w:rsid w:val="00E16D6E"/>
    <w:rsid w:val="00E16DDA"/>
    <w:rsid w:val="00E16F57"/>
    <w:rsid w:val="00E17016"/>
    <w:rsid w:val="00E1722B"/>
    <w:rsid w:val="00E17294"/>
    <w:rsid w:val="00E17783"/>
    <w:rsid w:val="00E17919"/>
    <w:rsid w:val="00E17ADC"/>
    <w:rsid w:val="00E17BF7"/>
    <w:rsid w:val="00E205AA"/>
    <w:rsid w:val="00E2081F"/>
    <w:rsid w:val="00E20AAB"/>
    <w:rsid w:val="00E20AB6"/>
    <w:rsid w:val="00E20B8E"/>
    <w:rsid w:val="00E20E79"/>
    <w:rsid w:val="00E20EAB"/>
    <w:rsid w:val="00E21079"/>
    <w:rsid w:val="00E21759"/>
    <w:rsid w:val="00E21B5F"/>
    <w:rsid w:val="00E22328"/>
    <w:rsid w:val="00E22373"/>
    <w:rsid w:val="00E22FC8"/>
    <w:rsid w:val="00E230A0"/>
    <w:rsid w:val="00E232D7"/>
    <w:rsid w:val="00E2345D"/>
    <w:rsid w:val="00E235B7"/>
    <w:rsid w:val="00E23DD4"/>
    <w:rsid w:val="00E23E1D"/>
    <w:rsid w:val="00E23E1F"/>
    <w:rsid w:val="00E241F5"/>
    <w:rsid w:val="00E24A05"/>
    <w:rsid w:val="00E2518B"/>
    <w:rsid w:val="00E25198"/>
    <w:rsid w:val="00E25CC4"/>
    <w:rsid w:val="00E25D2B"/>
    <w:rsid w:val="00E25D40"/>
    <w:rsid w:val="00E26010"/>
    <w:rsid w:val="00E2603F"/>
    <w:rsid w:val="00E26116"/>
    <w:rsid w:val="00E26307"/>
    <w:rsid w:val="00E2683D"/>
    <w:rsid w:val="00E2689B"/>
    <w:rsid w:val="00E269AF"/>
    <w:rsid w:val="00E2726E"/>
    <w:rsid w:val="00E27602"/>
    <w:rsid w:val="00E2782B"/>
    <w:rsid w:val="00E27AE1"/>
    <w:rsid w:val="00E27D16"/>
    <w:rsid w:val="00E27D8C"/>
    <w:rsid w:val="00E27F71"/>
    <w:rsid w:val="00E303B1"/>
    <w:rsid w:val="00E30644"/>
    <w:rsid w:val="00E308CB"/>
    <w:rsid w:val="00E30A7D"/>
    <w:rsid w:val="00E31143"/>
    <w:rsid w:val="00E31658"/>
    <w:rsid w:val="00E3192C"/>
    <w:rsid w:val="00E31A95"/>
    <w:rsid w:val="00E32227"/>
    <w:rsid w:val="00E323F9"/>
    <w:rsid w:val="00E3264D"/>
    <w:rsid w:val="00E327F2"/>
    <w:rsid w:val="00E32D8D"/>
    <w:rsid w:val="00E336B6"/>
    <w:rsid w:val="00E33775"/>
    <w:rsid w:val="00E33A23"/>
    <w:rsid w:val="00E33E06"/>
    <w:rsid w:val="00E344C7"/>
    <w:rsid w:val="00E345F8"/>
    <w:rsid w:val="00E346FA"/>
    <w:rsid w:val="00E34ABC"/>
    <w:rsid w:val="00E34C7F"/>
    <w:rsid w:val="00E34D08"/>
    <w:rsid w:val="00E3508B"/>
    <w:rsid w:val="00E3552F"/>
    <w:rsid w:val="00E3566A"/>
    <w:rsid w:val="00E357E6"/>
    <w:rsid w:val="00E35A52"/>
    <w:rsid w:val="00E35BB2"/>
    <w:rsid w:val="00E3662F"/>
    <w:rsid w:val="00E36798"/>
    <w:rsid w:val="00E3701A"/>
    <w:rsid w:val="00E372F3"/>
    <w:rsid w:val="00E372FD"/>
    <w:rsid w:val="00E37A5E"/>
    <w:rsid w:val="00E37A72"/>
    <w:rsid w:val="00E37D9D"/>
    <w:rsid w:val="00E37EB3"/>
    <w:rsid w:val="00E40070"/>
    <w:rsid w:val="00E4013A"/>
    <w:rsid w:val="00E4029B"/>
    <w:rsid w:val="00E405C8"/>
    <w:rsid w:val="00E40600"/>
    <w:rsid w:val="00E4086A"/>
    <w:rsid w:val="00E41547"/>
    <w:rsid w:val="00E41A35"/>
    <w:rsid w:val="00E41B0E"/>
    <w:rsid w:val="00E41B7B"/>
    <w:rsid w:val="00E41DFB"/>
    <w:rsid w:val="00E42280"/>
    <w:rsid w:val="00E428BA"/>
    <w:rsid w:val="00E429FB"/>
    <w:rsid w:val="00E42B15"/>
    <w:rsid w:val="00E431BB"/>
    <w:rsid w:val="00E433E9"/>
    <w:rsid w:val="00E435BB"/>
    <w:rsid w:val="00E436D9"/>
    <w:rsid w:val="00E438B2"/>
    <w:rsid w:val="00E44045"/>
    <w:rsid w:val="00E443CC"/>
    <w:rsid w:val="00E446D2"/>
    <w:rsid w:val="00E449D1"/>
    <w:rsid w:val="00E44B05"/>
    <w:rsid w:val="00E44E40"/>
    <w:rsid w:val="00E44E99"/>
    <w:rsid w:val="00E457BA"/>
    <w:rsid w:val="00E45955"/>
    <w:rsid w:val="00E45E09"/>
    <w:rsid w:val="00E45E68"/>
    <w:rsid w:val="00E46229"/>
    <w:rsid w:val="00E4635B"/>
    <w:rsid w:val="00E4651E"/>
    <w:rsid w:val="00E465A7"/>
    <w:rsid w:val="00E466BF"/>
    <w:rsid w:val="00E467DA"/>
    <w:rsid w:val="00E46CAB"/>
    <w:rsid w:val="00E471B0"/>
    <w:rsid w:val="00E4756F"/>
    <w:rsid w:val="00E47DAA"/>
    <w:rsid w:val="00E50745"/>
    <w:rsid w:val="00E50747"/>
    <w:rsid w:val="00E5098F"/>
    <w:rsid w:val="00E50F05"/>
    <w:rsid w:val="00E51711"/>
    <w:rsid w:val="00E518DB"/>
    <w:rsid w:val="00E5264B"/>
    <w:rsid w:val="00E527B7"/>
    <w:rsid w:val="00E527C9"/>
    <w:rsid w:val="00E52A9E"/>
    <w:rsid w:val="00E52E13"/>
    <w:rsid w:val="00E52F4E"/>
    <w:rsid w:val="00E53097"/>
    <w:rsid w:val="00E53A34"/>
    <w:rsid w:val="00E5409C"/>
    <w:rsid w:val="00E54445"/>
    <w:rsid w:val="00E54838"/>
    <w:rsid w:val="00E54A47"/>
    <w:rsid w:val="00E553AA"/>
    <w:rsid w:val="00E55B96"/>
    <w:rsid w:val="00E55D9F"/>
    <w:rsid w:val="00E55E7F"/>
    <w:rsid w:val="00E56EDC"/>
    <w:rsid w:val="00E573F9"/>
    <w:rsid w:val="00E57714"/>
    <w:rsid w:val="00E57AC7"/>
    <w:rsid w:val="00E57B25"/>
    <w:rsid w:val="00E57EEE"/>
    <w:rsid w:val="00E60843"/>
    <w:rsid w:val="00E60979"/>
    <w:rsid w:val="00E60998"/>
    <w:rsid w:val="00E60ACF"/>
    <w:rsid w:val="00E60B1E"/>
    <w:rsid w:val="00E60CBA"/>
    <w:rsid w:val="00E61083"/>
    <w:rsid w:val="00E6149F"/>
    <w:rsid w:val="00E61A31"/>
    <w:rsid w:val="00E61A83"/>
    <w:rsid w:val="00E61CD7"/>
    <w:rsid w:val="00E62063"/>
    <w:rsid w:val="00E620B1"/>
    <w:rsid w:val="00E621C3"/>
    <w:rsid w:val="00E62873"/>
    <w:rsid w:val="00E62D29"/>
    <w:rsid w:val="00E62D6A"/>
    <w:rsid w:val="00E62F3F"/>
    <w:rsid w:val="00E6329B"/>
    <w:rsid w:val="00E63495"/>
    <w:rsid w:val="00E637C0"/>
    <w:rsid w:val="00E63D60"/>
    <w:rsid w:val="00E63E2E"/>
    <w:rsid w:val="00E6403D"/>
    <w:rsid w:val="00E645E0"/>
    <w:rsid w:val="00E64C33"/>
    <w:rsid w:val="00E64DB8"/>
    <w:rsid w:val="00E64F73"/>
    <w:rsid w:val="00E657AB"/>
    <w:rsid w:val="00E660DE"/>
    <w:rsid w:val="00E66839"/>
    <w:rsid w:val="00E6685C"/>
    <w:rsid w:val="00E669BE"/>
    <w:rsid w:val="00E6732A"/>
    <w:rsid w:val="00E67ABE"/>
    <w:rsid w:val="00E67B9A"/>
    <w:rsid w:val="00E70312"/>
    <w:rsid w:val="00E707F5"/>
    <w:rsid w:val="00E7128F"/>
    <w:rsid w:val="00E71503"/>
    <w:rsid w:val="00E71D15"/>
    <w:rsid w:val="00E71FBE"/>
    <w:rsid w:val="00E72270"/>
    <w:rsid w:val="00E722E8"/>
    <w:rsid w:val="00E7245F"/>
    <w:rsid w:val="00E725A5"/>
    <w:rsid w:val="00E727B5"/>
    <w:rsid w:val="00E729B1"/>
    <w:rsid w:val="00E72B47"/>
    <w:rsid w:val="00E72E0D"/>
    <w:rsid w:val="00E730FC"/>
    <w:rsid w:val="00E737EF"/>
    <w:rsid w:val="00E73D4F"/>
    <w:rsid w:val="00E73D60"/>
    <w:rsid w:val="00E74097"/>
    <w:rsid w:val="00E74C3B"/>
    <w:rsid w:val="00E74DFC"/>
    <w:rsid w:val="00E74E47"/>
    <w:rsid w:val="00E74FB8"/>
    <w:rsid w:val="00E75512"/>
    <w:rsid w:val="00E758A5"/>
    <w:rsid w:val="00E758B1"/>
    <w:rsid w:val="00E75B75"/>
    <w:rsid w:val="00E75D6E"/>
    <w:rsid w:val="00E75DED"/>
    <w:rsid w:val="00E75E36"/>
    <w:rsid w:val="00E75F22"/>
    <w:rsid w:val="00E75F71"/>
    <w:rsid w:val="00E75FE3"/>
    <w:rsid w:val="00E76467"/>
    <w:rsid w:val="00E76759"/>
    <w:rsid w:val="00E7680E"/>
    <w:rsid w:val="00E76ACF"/>
    <w:rsid w:val="00E76C23"/>
    <w:rsid w:val="00E76E85"/>
    <w:rsid w:val="00E77048"/>
    <w:rsid w:val="00E7705F"/>
    <w:rsid w:val="00E7709B"/>
    <w:rsid w:val="00E77102"/>
    <w:rsid w:val="00E772FD"/>
    <w:rsid w:val="00E7783C"/>
    <w:rsid w:val="00E77963"/>
    <w:rsid w:val="00E77B9D"/>
    <w:rsid w:val="00E77F51"/>
    <w:rsid w:val="00E77FC7"/>
    <w:rsid w:val="00E80191"/>
    <w:rsid w:val="00E80336"/>
    <w:rsid w:val="00E80998"/>
    <w:rsid w:val="00E80DEE"/>
    <w:rsid w:val="00E818A2"/>
    <w:rsid w:val="00E81B0C"/>
    <w:rsid w:val="00E81B63"/>
    <w:rsid w:val="00E8202E"/>
    <w:rsid w:val="00E82043"/>
    <w:rsid w:val="00E82BA7"/>
    <w:rsid w:val="00E82E1F"/>
    <w:rsid w:val="00E82F35"/>
    <w:rsid w:val="00E82F7B"/>
    <w:rsid w:val="00E83192"/>
    <w:rsid w:val="00E8319D"/>
    <w:rsid w:val="00E83212"/>
    <w:rsid w:val="00E8328F"/>
    <w:rsid w:val="00E83720"/>
    <w:rsid w:val="00E839F3"/>
    <w:rsid w:val="00E845A0"/>
    <w:rsid w:val="00E84DA0"/>
    <w:rsid w:val="00E84DC8"/>
    <w:rsid w:val="00E84FAD"/>
    <w:rsid w:val="00E853B9"/>
    <w:rsid w:val="00E8570A"/>
    <w:rsid w:val="00E85839"/>
    <w:rsid w:val="00E85CC2"/>
    <w:rsid w:val="00E85F10"/>
    <w:rsid w:val="00E86007"/>
    <w:rsid w:val="00E86CB7"/>
    <w:rsid w:val="00E86E7A"/>
    <w:rsid w:val="00E86F8C"/>
    <w:rsid w:val="00E870E9"/>
    <w:rsid w:val="00E87324"/>
    <w:rsid w:val="00E87497"/>
    <w:rsid w:val="00E8749B"/>
    <w:rsid w:val="00E87987"/>
    <w:rsid w:val="00E87E30"/>
    <w:rsid w:val="00E87F8A"/>
    <w:rsid w:val="00E87FCD"/>
    <w:rsid w:val="00E9027F"/>
    <w:rsid w:val="00E903A8"/>
    <w:rsid w:val="00E90B6F"/>
    <w:rsid w:val="00E911C0"/>
    <w:rsid w:val="00E9122F"/>
    <w:rsid w:val="00E918E6"/>
    <w:rsid w:val="00E91C58"/>
    <w:rsid w:val="00E924EC"/>
    <w:rsid w:val="00E9250C"/>
    <w:rsid w:val="00E9297C"/>
    <w:rsid w:val="00E92994"/>
    <w:rsid w:val="00E92C77"/>
    <w:rsid w:val="00E92C99"/>
    <w:rsid w:val="00E9301C"/>
    <w:rsid w:val="00E93D36"/>
    <w:rsid w:val="00E93D5D"/>
    <w:rsid w:val="00E940DB"/>
    <w:rsid w:val="00E94310"/>
    <w:rsid w:val="00E94659"/>
    <w:rsid w:val="00E94A6A"/>
    <w:rsid w:val="00E94E27"/>
    <w:rsid w:val="00E9529C"/>
    <w:rsid w:val="00E957F8"/>
    <w:rsid w:val="00E95B5A"/>
    <w:rsid w:val="00E95BEC"/>
    <w:rsid w:val="00E96231"/>
    <w:rsid w:val="00E968E3"/>
    <w:rsid w:val="00E96997"/>
    <w:rsid w:val="00E96A58"/>
    <w:rsid w:val="00E96B5F"/>
    <w:rsid w:val="00E96F5D"/>
    <w:rsid w:val="00E96FFE"/>
    <w:rsid w:val="00E97660"/>
    <w:rsid w:val="00E977CB"/>
    <w:rsid w:val="00E97B57"/>
    <w:rsid w:val="00E97D3C"/>
    <w:rsid w:val="00EA0256"/>
    <w:rsid w:val="00EA03CF"/>
    <w:rsid w:val="00EA0505"/>
    <w:rsid w:val="00EA08C9"/>
    <w:rsid w:val="00EA0A06"/>
    <w:rsid w:val="00EA1051"/>
    <w:rsid w:val="00EA1512"/>
    <w:rsid w:val="00EA1872"/>
    <w:rsid w:val="00EA1A2B"/>
    <w:rsid w:val="00EA1BA0"/>
    <w:rsid w:val="00EA1BCF"/>
    <w:rsid w:val="00EA2375"/>
    <w:rsid w:val="00EA251B"/>
    <w:rsid w:val="00EA270D"/>
    <w:rsid w:val="00EA2871"/>
    <w:rsid w:val="00EA2A22"/>
    <w:rsid w:val="00EA2B3B"/>
    <w:rsid w:val="00EA2C9B"/>
    <w:rsid w:val="00EA2FD5"/>
    <w:rsid w:val="00EA300A"/>
    <w:rsid w:val="00EA310E"/>
    <w:rsid w:val="00EA34C0"/>
    <w:rsid w:val="00EA3F07"/>
    <w:rsid w:val="00EA47FA"/>
    <w:rsid w:val="00EA4D58"/>
    <w:rsid w:val="00EA50DD"/>
    <w:rsid w:val="00EA5512"/>
    <w:rsid w:val="00EA5834"/>
    <w:rsid w:val="00EA5972"/>
    <w:rsid w:val="00EA5DCA"/>
    <w:rsid w:val="00EA60D6"/>
    <w:rsid w:val="00EA6427"/>
    <w:rsid w:val="00EA6565"/>
    <w:rsid w:val="00EA658B"/>
    <w:rsid w:val="00EA68C9"/>
    <w:rsid w:val="00EA7112"/>
    <w:rsid w:val="00EA74E8"/>
    <w:rsid w:val="00EA760B"/>
    <w:rsid w:val="00EA77E8"/>
    <w:rsid w:val="00EA7912"/>
    <w:rsid w:val="00EA7F20"/>
    <w:rsid w:val="00EB003F"/>
    <w:rsid w:val="00EB011D"/>
    <w:rsid w:val="00EB088F"/>
    <w:rsid w:val="00EB0A3C"/>
    <w:rsid w:val="00EB0F69"/>
    <w:rsid w:val="00EB1067"/>
    <w:rsid w:val="00EB176E"/>
    <w:rsid w:val="00EB17F8"/>
    <w:rsid w:val="00EB1BB4"/>
    <w:rsid w:val="00EB202D"/>
    <w:rsid w:val="00EB23A1"/>
    <w:rsid w:val="00EB2476"/>
    <w:rsid w:val="00EB2C4E"/>
    <w:rsid w:val="00EB2C70"/>
    <w:rsid w:val="00EB2F70"/>
    <w:rsid w:val="00EB30BF"/>
    <w:rsid w:val="00EB32C0"/>
    <w:rsid w:val="00EB476C"/>
    <w:rsid w:val="00EB47A7"/>
    <w:rsid w:val="00EB47E3"/>
    <w:rsid w:val="00EB47F0"/>
    <w:rsid w:val="00EB5080"/>
    <w:rsid w:val="00EB5850"/>
    <w:rsid w:val="00EB599B"/>
    <w:rsid w:val="00EB5B8B"/>
    <w:rsid w:val="00EB6474"/>
    <w:rsid w:val="00EB6747"/>
    <w:rsid w:val="00EB71AB"/>
    <w:rsid w:val="00EB721B"/>
    <w:rsid w:val="00EB73A7"/>
    <w:rsid w:val="00EB7516"/>
    <w:rsid w:val="00EB753F"/>
    <w:rsid w:val="00EB76A2"/>
    <w:rsid w:val="00EB7966"/>
    <w:rsid w:val="00EB79F8"/>
    <w:rsid w:val="00EC0038"/>
    <w:rsid w:val="00EC0567"/>
    <w:rsid w:val="00EC06EB"/>
    <w:rsid w:val="00EC092F"/>
    <w:rsid w:val="00EC0BC9"/>
    <w:rsid w:val="00EC0D48"/>
    <w:rsid w:val="00EC0E0A"/>
    <w:rsid w:val="00EC1110"/>
    <w:rsid w:val="00EC1575"/>
    <w:rsid w:val="00EC18BB"/>
    <w:rsid w:val="00EC1948"/>
    <w:rsid w:val="00EC1AAA"/>
    <w:rsid w:val="00EC1BDB"/>
    <w:rsid w:val="00EC2451"/>
    <w:rsid w:val="00EC26D0"/>
    <w:rsid w:val="00EC2729"/>
    <w:rsid w:val="00EC2846"/>
    <w:rsid w:val="00EC2888"/>
    <w:rsid w:val="00EC29A2"/>
    <w:rsid w:val="00EC2EB5"/>
    <w:rsid w:val="00EC357A"/>
    <w:rsid w:val="00EC3861"/>
    <w:rsid w:val="00EC3D93"/>
    <w:rsid w:val="00EC4079"/>
    <w:rsid w:val="00EC422F"/>
    <w:rsid w:val="00EC4242"/>
    <w:rsid w:val="00EC424D"/>
    <w:rsid w:val="00EC432F"/>
    <w:rsid w:val="00EC4869"/>
    <w:rsid w:val="00EC4C0F"/>
    <w:rsid w:val="00EC51A6"/>
    <w:rsid w:val="00EC5358"/>
    <w:rsid w:val="00EC5F54"/>
    <w:rsid w:val="00EC6542"/>
    <w:rsid w:val="00EC65A4"/>
    <w:rsid w:val="00EC6C08"/>
    <w:rsid w:val="00EC714A"/>
    <w:rsid w:val="00EC7750"/>
    <w:rsid w:val="00EC7767"/>
    <w:rsid w:val="00EC79EA"/>
    <w:rsid w:val="00ED018F"/>
    <w:rsid w:val="00ED04B3"/>
    <w:rsid w:val="00ED0577"/>
    <w:rsid w:val="00ED0AD2"/>
    <w:rsid w:val="00ED0D67"/>
    <w:rsid w:val="00ED0E48"/>
    <w:rsid w:val="00ED10A7"/>
    <w:rsid w:val="00ED16DD"/>
    <w:rsid w:val="00ED1B1E"/>
    <w:rsid w:val="00ED20D3"/>
    <w:rsid w:val="00ED20E2"/>
    <w:rsid w:val="00ED21E1"/>
    <w:rsid w:val="00ED22A3"/>
    <w:rsid w:val="00ED2F02"/>
    <w:rsid w:val="00ED3CC7"/>
    <w:rsid w:val="00ED3D1A"/>
    <w:rsid w:val="00ED3F05"/>
    <w:rsid w:val="00ED4858"/>
    <w:rsid w:val="00ED5074"/>
    <w:rsid w:val="00ED57DC"/>
    <w:rsid w:val="00ED5B66"/>
    <w:rsid w:val="00ED5FD4"/>
    <w:rsid w:val="00ED5FEA"/>
    <w:rsid w:val="00ED6664"/>
    <w:rsid w:val="00ED6843"/>
    <w:rsid w:val="00ED6A6D"/>
    <w:rsid w:val="00ED6AD0"/>
    <w:rsid w:val="00ED7140"/>
    <w:rsid w:val="00ED7334"/>
    <w:rsid w:val="00ED7478"/>
    <w:rsid w:val="00EE001B"/>
    <w:rsid w:val="00EE0242"/>
    <w:rsid w:val="00EE05E5"/>
    <w:rsid w:val="00EE05E9"/>
    <w:rsid w:val="00EE0892"/>
    <w:rsid w:val="00EE0B35"/>
    <w:rsid w:val="00EE1290"/>
    <w:rsid w:val="00EE174B"/>
    <w:rsid w:val="00EE1B14"/>
    <w:rsid w:val="00EE1D5F"/>
    <w:rsid w:val="00EE1DC3"/>
    <w:rsid w:val="00EE21F2"/>
    <w:rsid w:val="00EE25F3"/>
    <w:rsid w:val="00EE2692"/>
    <w:rsid w:val="00EE35C6"/>
    <w:rsid w:val="00EE3632"/>
    <w:rsid w:val="00EE368C"/>
    <w:rsid w:val="00EE3801"/>
    <w:rsid w:val="00EE3C25"/>
    <w:rsid w:val="00EE41D9"/>
    <w:rsid w:val="00EE4673"/>
    <w:rsid w:val="00EE5755"/>
    <w:rsid w:val="00EE5A39"/>
    <w:rsid w:val="00EE614D"/>
    <w:rsid w:val="00EE6710"/>
    <w:rsid w:val="00EE75DB"/>
    <w:rsid w:val="00EE7A74"/>
    <w:rsid w:val="00EE7C1C"/>
    <w:rsid w:val="00EE7CFB"/>
    <w:rsid w:val="00EF0141"/>
    <w:rsid w:val="00EF0187"/>
    <w:rsid w:val="00EF0456"/>
    <w:rsid w:val="00EF06D1"/>
    <w:rsid w:val="00EF07B1"/>
    <w:rsid w:val="00EF0BB6"/>
    <w:rsid w:val="00EF0DA4"/>
    <w:rsid w:val="00EF10E9"/>
    <w:rsid w:val="00EF1559"/>
    <w:rsid w:val="00EF1816"/>
    <w:rsid w:val="00EF22D8"/>
    <w:rsid w:val="00EF2320"/>
    <w:rsid w:val="00EF2480"/>
    <w:rsid w:val="00EF253D"/>
    <w:rsid w:val="00EF26D7"/>
    <w:rsid w:val="00EF26EC"/>
    <w:rsid w:val="00EF2A49"/>
    <w:rsid w:val="00EF2DBE"/>
    <w:rsid w:val="00EF3819"/>
    <w:rsid w:val="00EF3D04"/>
    <w:rsid w:val="00EF3D80"/>
    <w:rsid w:val="00EF3E62"/>
    <w:rsid w:val="00EF3F3C"/>
    <w:rsid w:val="00EF410B"/>
    <w:rsid w:val="00EF41DA"/>
    <w:rsid w:val="00EF45CA"/>
    <w:rsid w:val="00EF4A60"/>
    <w:rsid w:val="00EF53B4"/>
    <w:rsid w:val="00EF551D"/>
    <w:rsid w:val="00EF5AA8"/>
    <w:rsid w:val="00EF5EED"/>
    <w:rsid w:val="00EF6357"/>
    <w:rsid w:val="00EF658E"/>
    <w:rsid w:val="00EF6811"/>
    <w:rsid w:val="00EF6E1A"/>
    <w:rsid w:val="00EF6E6C"/>
    <w:rsid w:val="00EF6F1B"/>
    <w:rsid w:val="00EF6F42"/>
    <w:rsid w:val="00EF78DC"/>
    <w:rsid w:val="00EF79FA"/>
    <w:rsid w:val="00EF7EA6"/>
    <w:rsid w:val="00EF7FC0"/>
    <w:rsid w:val="00F00109"/>
    <w:rsid w:val="00F0028B"/>
    <w:rsid w:val="00F0068A"/>
    <w:rsid w:val="00F00752"/>
    <w:rsid w:val="00F008E3"/>
    <w:rsid w:val="00F00998"/>
    <w:rsid w:val="00F009E6"/>
    <w:rsid w:val="00F00B50"/>
    <w:rsid w:val="00F00CA7"/>
    <w:rsid w:val="00F013F8"/>
    <w:rsid w:val="00F015EA"/>
    <w:rsid w:val="00F01823"/>
    <w:rsid w:val="00F01951"/>
    <w:rsid w:val="00F01B44"/>
    <w:rsid w:val="00F01FE8"/>
    <w:rsid w:val="00F0221E"/>
    <w:rsid w:val="00F0233A"/>
    <w:rsid w:val="00F02712"/>
    <w:rsid w:val="00F02869"/>
    <w:rsid w:val="00F02E74"/>
    <w:rsid w:val="00F04032"/>
    <w:rsid w:val="00F042F3"/>
    <w:rsid w:val="00F0438C"/>
    <w:rsid w:val="00F043B9"/>
    <w:rsid w:val="00F04703"/>
    <w:rsid w:val="00F04BA9"/>
    <w:rsid w:val="00F04E82"/>
    <w:rsid w:val="00F0537E"/>
    <w:rsid w:val="00F05543"/>
    <w:rsid w:val="00F057E1"/>
    <w:rsid w:val="00F05831"/>
    <w:rsid w:val="00F05A99"/>
    <w:rsid w:val="00F05CCD"/>
    <w:rsid w:val="00F062B3"/>
    <w:rsid w:val="00F064A2"/>
    <w:rsid w:val="00F06744"/>
    <w:rsid w:val="00F06D7D"/>
    <w:rsid w:val="00F072E0"/>
    <w:rsid w:val="00F07433"/>
    <w:rsid w:val="00F0769E"/>
    <w:rsid w:val="00F0788A"/>
    <w:rsid w:val="00F07B76"/>
    <w:rsid w:val="00F10F9E"/>
    <w:rsid w:val="00F11011"/>
    <w:rsid w:val="00F11081"/>
    <w:rsid w:val="00F1112F"/>
    <w:rsid w:val="00F111E2"/>
    <w:rsid w:val="00F11392"/>
    <w:rsid w:val="00F11794"/>
    <w:rsid w:val="00F117B0"/>
    <w:rsid w:val="00F11BF1"/>
    <w:rsid w:val="00F11D3B"/>
    <w:rsid w:val="00F11ECE"/>
    <w:rsid w:val="00F1200B"/>
    <w:rsid w:val="00F123C8"/>
    <w:rsid w:val="00F12C97"/>
    <w:rsid w:val="00F12E78"/>
    <w:rsid w:val="00F14603"/>
    <w:rsid w:val="00F14635"/>
    <w:rsid w:val="00F149C0"/>
    <w:rsid w:val="00F149D8"/>
    <w:rsid w:val="00F15330"/>
    <w:rsid w:val="00F154C8"/>
    <w:rsid w:val="00F1574D"/>
    <w:rsid w:val="00F1587F"/>
    <w:rsid w:val="00F15F98"/>
    <w:rsid w:val="00F160CF"/>
    <w:rsid w:val="00F160DC"/>
    <w:rsid w:val="00F1635F"/>
    <w:rsid w:val="00F163B1"/>
    <w:rsid w:val="00F16407"/>
    <w:rsid w:val="00F16E18"/>
    <w:rsid w:val="00F17312"/>
    <w:rsid w:val="00F1739E"/>
    <w:rsid w:val="00F1775E"/>
    <w:rsid w:val="00F17869"/>
    <w:rsid w:val="00F17876"/>
    <w:rsid w:val="00F17B64"/>
    <w:rsid w:val="00F17C61"/>
    <w:rsid w:val="00F20433"/>
    <w:rsid w:val="00F208BF"/>
    <w:rsid w:val="00F20960"/>
    <w:rsid w:val="00F21024"/>
    <w:rsid w:val="00F21808"/>
    <w:rsid w:val="00F2192A"/>
    <w:rsid w:val="00F21C1D"/>
    <w:rsid w:val="00F21FD6"/>
    <w:rsid w:val="00F2243C"/>
    <w:rsid w:val="00F229FA"/>
    <w:rsid w:val="00F22A82"/>
    <w:rsid w:val="00F22F8A"/>
    <w:rsid w:val="00F23396"/>
    <w:rsid w:val="00F233BB"/>
    <w:rsid w:val="00F233BD"/>
    <w:rsid w:val="00F235DD"/>
    <w:rsid w:val="00F24111"/>
    <w:rsid w:val="00F24117"/>
    <w:rsid w:val="00F24186"/>
    <w:rsid w:val="00F24309"/>
    <w:rsid w:val="00F24374"/>
    <w:rsid w:val="00F24A17"/>
    <w:rsid w:val="00F24A47"/>
    <w:rsid w:val="00F251CD"/>
    <w:rsid w:val="00F2541D"/>
    <w:rsid w:val="00F25428"/>
    <w:rsid w:val="00F255D2"/>
    <w:rsid w:val="00F25B0E"/>
    <w:rsid w:val="00F260C9"/>
    <w:rsid w:val="00F26CCB"/>
    <w:rsid w:val="00F26CED"/>
    <w:rsid w:val="00F26EB6"/>
    <w:rsid w:val="00F27814"/>
    <w:rsid w:val="00F301C3"/>
    <w:rsid w:val="00F30402"/>
    <w:rsid w:val="00F306C2"/>
    <w:rsid w:val="00F307FD"/>
    <w:rsid w:val="00F30DA5"/>
    <w:rsid w:val="00F31350"/>
    <w:rsid w:val="00F3178D"/>
    <w:rsid w:val="00F317E7"/>
    <w:rsid w:val="00F31973"/>
    <w:rsid w:val="00F32075"/>
    <w:rsid w:val="00F320C3"/>
    <w:rsid w:val="00F3211B"/>
    <w:rsid w:val="00F32219"/>
    <w:rsid w:val="00F3260D"/>
    <w:rsid w:val="00F3279F"/>
    <w:rsid w:val="00F328C4"/>
    <w:rsid w:val="00F3297B"/>
    <w:rsid w:val="00F32C94"/>
    <w:rsid w:val="00F32E74"/>
    <w:rsid w:val="00F3364C"/>
    <w:rsid w:val="00F33EFE"/>
    <w:rsid w:val="00F3461A"/>
    <w:rsid w:val="00F34CE7"/>
    <w:rsid w:val="00F35093"/>
    <w:rsid w:val="00F355E8"/>
    <w:rsid w:val="00F3585E"/>
    <w:rsid w:val="00F35A90"/>
    <w:rsid w:val="00F35FD3"/>
    <w:rsid w:val="00F3615C"/>
    <w:rsid w:val="00F366E9"/>
    <w:rsid w:val="00F367FA"/>
    <w:rsid w:val="00F36C75"/>
    <w:rsid w:val="00F370DD"/>
    <w:rsid w:val="00F37735"/>
    <w:rsid w:val="00F4088B"/>
    <w:rsid w:val="00F409D3"/>
    <w:rsid w:val="00F40C4A"/>
    <w:rsid w:val="00F418FC"/>
    <w:rsid w:val="00F419EC"/>
    <w:rsid w:val="00F41BEB"/>
    <w:rsid w:val="00F41E14"/>
    <w:rsid w:val="00F41E65"/>
    <w:rsid w:val="00F423D6"/>
    <w:rsid w:val="00F425AD"/>
    <w:rsid w:val="00F42AC3"/>
    <w:rsid w:val="00F42FAE"/>
    <w:rsid w:val="00F42FEB"/>
    <w:rsid w:val="00F431D3"/>
    <w:rsid w:val="00F44009"/>
    <w:rsid w:val="00F44110"/>
    <w:rsid w:val="00F442F5"/>
    <w:rsid w:val="00F44636"/>
    <w:rsid w:val="00F44B4B"/>
    <w:rsid w:val="00F44B76"/>
    <w:rsid w:val="00F44B83"/>
    <w:rsid w:val="00F44BF4"/>
    <w:rsid w:val="00F44E52"/>
    <w:rsid w:val="00F44F05"/>
    <w:rsid w:val="00F44F6D"/>
    <w:rsid w:val="00F4501D"/>
    <w:rsid w:val="00F4532B"/>
    <w:rsid w:val="00F45622"/>
    <w:rsid w:val="00F45883"/>
    <w:rsid w:val="00F45A5B"/>
    <w:rsid w:val="00F45AD4"/>
    <w:rsid w:val="00F45E4E"/>
    <w:rsid w:val="00F45F37"/>
    <w:rsid w:val="00F4683F"/>
    <w:rsid w:val="00F46D44"/>
    <w:rsid w:val="00F46DD8"/>
    <w:rsid w:val="00F479F7"/>
    <w:rsid w:val="00F47BA0"/>
    <w:rsid w:val="00F47C4B"/>
    <w:rsid w:val="00F50368"/>
    <w:rsid w:val="00F50371"/>
    <w:rsid w:val="00F5083C"/>
    <w:rsid w:val="00F509DC"/>
    <w:rsid w:val="00F50A94"/>
    <w:rsid w:val="00F51188"/>
    <w:rsid w:val="00F51B70"/>
    <w:rsid w:val="00F51DAE"/>
    <w:rsid w:val="00F51E78"/>
    <w:rsid w:val="00F5272D"/>
    <w:rsid w:val="00F52867"/>
    <w:rsid w:val="00F53321"/>
    <w:rsid w:val="00F53403"/>
    <w:rsid w:val="00F5340A"/>
    <w:rsid w:val="00F536C7"/>
    <w:rsid w:val="00F5396A"/>
    <w:rsid w:val="00F53DA3"/>
    <w:rsid w:val="00F53DCC"/>
    <w:rsid w:val="00F53EDB"/>
    <w:rsid w:val="00F54016"/>
    <w:rsid w:val="00F5490C"/>
    <w:rsid w:val="00F54B5F"/>
    <w:rsid w:val="00F54CAB"/>
    <w:rsid w:val="00F54DC1"/>
    <w:rsid w:val="00F5525B"/>
    <w:rsid w:val="00F55322"/>
    <w:rsid w:val="00F55361"/>
    <w:rsid w:val="00F55412"/>
    <w:rsid w:val="00F5549F"/>
    <w:rsid w:val="00F55A5C"/>
    <w:rsid w:val="00F55AE6"/>
    <w:rsid w:val="00F55B9E"/>
    <w:rsid w:val="00F55CA3"/>
    <w:rsid w:val="00F560F7"/>
    <w:rsid w:val="00F56862"/>
    <w:rsid w:val="00F56A5C"/>
    <w:rsid w:val="00F56C72"/>
    <w:rsid w:val="00F57BE6"/>
    <w:rsid w:val="00F60335"/>
    <w:rsid w:val="00F60480"/>
    <w:rsid w:val="00F60989"/>
    <w:rsid w:val="00F609C4"/>
    <w:rsid w:val="00F6188C"/>
    <w:rsid w:val="00F61A2D"/>
    <w:rsid w:val="00F61B17"/>
    <w:rsid w:val="00F62374"/>
    <w:rsid w:val="00F627E4"/>
    <w:rsid w:val="00F62906"/>
    <w:rsid w:val="00F62A7A"/>
    <w:rsid w:val="00F63250"/>
    <w:rsid w:val="00F632E7"/>
    <w:rsid w:val="00F636B2"/>
    <w:rsid w:val="00F6371E"/>
    <w:rsid w:val="00F637A0"/>
    <w:rsid w:val="00F63B54"/>
    <w:rsid w:val="00F63BF0"/>
    <w:rsid w:val="00F63F69"/>
    <w:rsid w:val="00F64222"/>
    <w:rsid w:val="00F642C8"/>
    <w:rsid w:val="00F64B5B"/>
    <w:rsid w:val="00F64E25"/>
    <w:rsid w:val="00F652D5"/>
    <w:rsid w:val="00F653CC"/>
    <w:rsid w:val="00F655D0"/>
    <w:rsid w:val="00F65691"/>
    <w:rsid w:val="00F6622A"/>
    <w:rsid w:val="00F66251"/>
    <w:rsid w:val="00F66590"/>
    <w:rsid w:val="00F6687B"/>
    <w:rsid w:val="00F66A92"/>
    <w:rsid w:val="00F66FE3"/>
    <w:rsid w:val="00F673F2"/>
    <w:rsid w:val="00F675C3"/>
    <w:rsid w:val="00F67827"/>
    <w:rsid w:val="00F67A2D"/>
    <w:rsid w:val="00F67BF1"/>
    <w:rsid w:val="00F67C54"/>
    <w:rsid w:val="00F70095"/>
    <w:rsid w:val="00F70A23"/>
    <w:rsid w:val="00F71396"/>
    <w:rsid w:val="00F713C1"/>
    <w:rsid w:val="00F71661"/>
    <w:rsid w:val="00F71C4E"/>
    <w:rsid w:val="00F72031"/>
    <w:rsid w:val="00F7215D"/>
    <w:rsid w:val="00F72261"/>
    <w:rsid w:val="00F72288"/>
    <w:rsid w:val="00F72E13"/>
    <w:rsid w:val="00F733FE"/>
    <w:rsid w:val="00F73731"/>
    <w:rsid w:val="00F7379B"/>
    <w:rsid w:val="00F73CAB"/>
    <w:rsid w:val="00F74099"/>
    <w:rsid w:val="00F7453E"/>
    <w:rsid w:val="00F74CA4"/>
    <w:rsid w:val="00F754FA"/>
    <w:rsid w:val="00F75672"/>
    <w:rsid w:val="00F757D9"/>
    <w:rsid w:val="00F75B66"/>
    <w:rsid w:val="00F75DF4"/>
    <w:rsid w:val="00F7605B"/>
    <w:rsid w:val="00F76104"/>
    <w:rsid w:val="00F76668"/>
    <w:rsid w:val="00F76974"/>
    <w:rsid w:val="00F76E1D"/>
    <w:rsid w:val="00F76FDD"/>
    <w:rsid w:val="00F7733B"/>
    <w:rsid w:val="00F77654"/>
    <w:rsid w:val="00F77746"/>
    <w:rsid w:val="00F77B23"/>
    <w:rsid w:val="00F77D74"/>
    <w:rsid w:val="00F80C37"/>
    <w:rsid w:val="00F81256"/>
    <w:rsid w:val="00F81462"/>
    <w:rsid w:val="00F81475"/>
    <w:rsid w:val="00F8147B"/>
    <w:rsid w:val="00F81563"/>
    <w:rsid w:val="00F81ADC"/>
    <w:rsid w:val="00F81D85"/>
    <w:rsid w:val="00F8201E"/>
    <w:rsid w:val="00F82430"/>
    <w:rsid w:val="00F82506"/>
    <w:rsid w:val="00F82763"/>
    <w:rsid w:val="00F827E5"/>
    <w:rsid w:val="00F82E4A"/>
    <w:rsid w:val="00F8385D"/>
    <w:rsid w:val="00F8426F"/>
    <w:rsid w:val="00F84412"/>
    <w:rsid w:val="00F849F7"/>
    <w:rsid w:val="00F84F4F"/>
    <w:rsid w:val="00F8507F"/>
    <w:rsid w:val="00F851AF"/>
    <w:rsid w:val="00F8534F"/>
    <w:rsid w:val="00F8553E"/>
    <w:rsid w:val="00F855A4"/>
    <w:rsid w:val="00F85F20"/>
    <w:rsid w:val="00F85FE0"/>
    <w:rsid w:val="00F862B7"/>
    <w:rsid w:val="00F86606"/>
    <w:rsid w:val="00F86AA6"/>
    <w:rsid w:val="00F86BD2"/>
    <w:rsid w:val="00F870FD"/>
    <w:rsid w:val="00F872A3"/>
    <w:rsid w:val="00F8753E"/>
    <w:rsid w:val="00F87960"/>
    <w:rsid w:val="00F87CE2"/>
    <w:rsid w:val="00F87F28"/>
    <w:rsid w:val="00F90162"/>
    <w:rsid w:val="00F90D93"/>
    <w:rsid w:val="00F91842"/>
    <w:rsid w:val="00F91A92"/>
    <w:rsid w:val="00F91B11"/>
    <w:rsid w:val="00F91B69"/>
    <w:rsid w:val="00F91D50"/>
    <w:rsid w:val="00F92573"/>
    <w:rsid w:val="00F926B6"/>
    <w:rsid w:val="00F932A9"/>
    <w:rsid w:val="00F937FA"/>
    <w:rsid w:val="00F93A1C"/>
    <w:rsid w:val="00F93EDC"/>
    <w:rsid w:val="00F93FFC"/>
    <w:rsid w:val="00F94127"/>
    <w:rsid w:val="00F941F6"/>
    <w:rsid w:val="00F9445B"/>
    <w:rsid w:val="00F94EF2"/>
    <w:rsid w:val="00F95022"/>
    <w:rsid w:val="00F95216"/>
    <w:rsid w:val="00F952EE"/>
    <w:rsid w:val="00F953BD"/>
    <w:rsid w:val="00F95609"/>
    <w:rsid w:val="00F95A1F"/>
    <w:rsid w:val="00F95D16"/>
    <w:rsid w:val="00F95DFF"/>
    <w:rsid w:val="00F95F37"/>
    <w:rsid w:val="00F96308"/>
    <w:rsid w:val="00F9690D"/>
    <w:rsid w:val="00F96984"/>
    <w:rsid w:val="00F96D9C"/>
    <w:rsid w:val="00F9732B"/>
    <w:rsid w:val="00F973AF"/>
    <w:rsid w:val="00F978E1"/>
    <w:rsid w:val="00F97B76"/>
    <w:rsid w:val="00F97BB7"/>
    <w:rsid w:val="00F97C1D"/>
    <w:rsid w:val="00F97CD2"/>
    <w:rsid w:val="00F97E15"/>
    <w:rsid w:val="00FA0496"/>
    <w:rsid w:val="00FA0780"/>
    <w:rsid w:val="00FA0B5E"/>
    <w:rsid w:val="00FA130A"/>
    <w:rsid w:val="00FA1CAA"/>
    <w:rsid w:val="00FA1CED"/>
    <w:rsid w:val="00FA3120"/>
    <w:rsid w:val="00FA3578"/>
    <w:rsid w:val="00FA372B"/>
    <w:rsid w:val="00FA37E5"/>
    <w:rsid w:val="00FA38D7"/>
    <w:rsid w:val="00FA3B22"/>
    <w:rsid w:val="00FA3B32"/>
    <w:rsid w:val="00FA44F4"/>
    <w:rsid w:val="00FA45B2"/>
    <w:rsid w:val="00FA486B"/>
    <w:rsid w:val="00FA5167"/>
    <w:rsid w:val="00FA5762"/>
    <w:rsid w:val="00FA5BCB"/>
    <w:rsid w:val="00FA62E1"/>
    <w:rsid w:val="00FA6876"/>
    <w:rsid w:val="00FA6AC6"/>
    <w:rsid w:val="00FA6D4B"/>
    <w:rsid w:val="00FA6EE7"/>
    <w:rsid w:val="00FA6EF2"/>
    <w:rsid w:val="00FA72D0"/>
    <w:rsid w:val="00FA7451"/>
    <w:rsid w:val="00FA796D"/>
    <w:rsid w:val="00FB00A1"/>
    <w:rsid w:val="00FB0457"/>
    <w:rsid w:val="00FB09F4"/>
    <w:rsid w:val="00FB0C59"/>
    <w:rsid w:val="00FB0DAF"/>
    <w:rsid w:val="00FB12FA"/>
    <w:rsid w:val="00FB135C"/>
    <w:rsid w:val="00FB136C"/>
    <w:rsid w:val="00FB1B2F"/>
    <w:rsid w:val="00FB1D72"/>
    <w:rsid w:val="00FB1F66"/>
    <w:rsid w:val="00FB2175"/>
    <w:rsid w:val="00FB22E2"/>
    <w:rsid w:val="00FB2A92"/>
    <w:rsid w:val="00FB2C42"/>
    <w:rsid w:val="00FB2F77"/>
    <w:rsid w:val="00FB329B"/>
    <w:rsid w:val="00FB407A"/>
    <w:rsid w:val="00FB418B"/>
    <w:rsid w:val="00FB42D0"/>
    <w:rsid w:val="00FB448E"/>
    <w:rsid w:val="00FB4575"/>
    <w:rsid w:val="00FB45A9"/>
    <w:rsid w:val="00FB4753"/>
    <w:rsid w:val="00FB4CF3"/>
    <w:rsid w:val="00FB4EFF"/>
    <w:rsid w:val="00FB55F6"/>
    <w:rsid w:val="00FB5937"/>
    <w:rsid w:val="00FB5BD9"/>
    <w:rsid w:val="00FB5ED4"/>
    <w:rsid w:val="00FB6A04"/>
    <w:rsid w:val="00FB6E91"/>
    <w:rsid w:val="00FB71A0"/>
    <w:rsid w:val="00FB7388"/>
    <w:rsid w:val="00FB7646"/>
    <w:rsid w:val="00FB7BFF"/>
    <w:rsid w:val="00FB7C32"/>
    <w:rsid w:val="00FB7E8D"/>
    <w:rsid w:val="00FB7FFD"/>
    <w:rsid w:val="00FC01FB"/>
    <w:rsid w:val="00FC025D"/>
    <w:rsid w:val="00FC0513"/>
    <w:rsid w:val="00FC078E"/>
    <w:rsid w:val="00FC114C"/>
    <w:rsid w:val="00FC15FD"/>
    <w:rsid w:val="00FC1BEB"/>
    <w:rsid w:val="00FC2013"/>
    <w:rsid w:val="00FC2529"/>
    <w:rsid w:val="00FC2693"/>
    <w:rsid w:val="00FC2FC5"/>
    <w:rsid w:val="00FC356D"/>
    <w:rsid w:val="00FC36A9"/>
    <w:rsid w:val="00FC36B6"/>
    <w:rsid w:val="00FC38ED"/>
    <w:rsid w:val="00FC3D0B"/>
    <w:rsid w:val="00FC3FAB"/>
    <w:rsid w:val="00FC4597"/>
    <w:rsid w:val="00FC4617"/>
    <w:rsid w:val="00FC4C6B"/>
    <w:rsid w:val="00FC4EEF"/>
    <w:rsid w:val="00FC585C"/>
    <w:rsid w:val="00FC5A1D"/>
    <w:rsid w:val="00FC5EEA"/>
    <w:rsid w:val="00FC5FC3"/>
    <w:rsid w:val="00FC6175"/>
    <w:rsid w:val="00FC62C7"/>
    <w:rsid w:val="00FC6631"/>
    <w:rsid w:val="00FC6851"/>
    <w:rsid w:val="00FC6896"/>
    <w:rsid w:val="00FC6C23"/>
    <w:rsid w:val="00FC6D10"/>
    <w:rsid w:val="00FC6D4C"/>
    <w:rsid w:val="00FC71FA"/>
    <w:rsid w:val="00FC7243"/>
    <w:rsid w:val="00FC743C"/>
    <w:rsid w:val="00FC7682"/>
    <w:rsid w:val="00FC7708"/>
    <w:rsid w:val="00FD0405"/>
    <w:rsid w:val="00FD0600"/>
    <w:rsid w:val="00FD0782"/>
    <w:rsid w:val="00FD089A"/>
    <w:rsid w:val="00FD0A9C"/>
    <w:rsid w:val="00FD0D74"/>
    <w:rsid w:val="00FD1287"/>
    <w:rsid w:val="00FD16D5"/>
    <w:rsid w:val="00FD1BA7"/>
    <w:rsid w:val="00FD23E7"/>
    <w:rsid w:val="00FD2EC0"/>
    <w:rsid w:val="00FD2FFE"/>
    <w:rsid w:val="00FD3510"/>
    <w:rsid w:val="00FD3C23"/>
    <w:rsid w:val="00FD40CB"/>
    <w:rsid w:val="00FD4358"/>
    <w:rsid w:val="00FD456A"/>
    <w:rsid w:val="00FD4D5B"/>
    <w:rsid w:val="00FD4D86"/>
    <w:rsid w:val="00FD4F94"/>
    <w:rsid w:val="00FD5229"/>
    <w:rsid w:val="00FD531C"/>
    <w:rsid w:val="00FD54FD"/>
    <w:rsid w:val="00FD56CB"/>
    <w:rsid w:val="00FD5760"/>
    <w:rsid w:val="00FD589D"/>
    <w:rsid w:val="00FD5C97"/>
    <w:rsid w:val="00FD6285"/>
    <w:rsid w:val="00FD6952"/>
    <w:rsid w:val="00FD6C16"/>
    <w:rsid w:val="00FD6EBB"/>
    <w:rsid w:val="00FD74E0"/>
    <w:rsid w:val="00FD7633"/>
    <w:rsid w:val="00FE02A1"/>
    <w:rsid w:val="00FE0321"/>
    <w:rsid w:val="00FE0849"/>
    <w:rsid w:val="00FE0C7B"/>
    <w:rsid w:val="00FE0C9F"/>
    <w:rsid w:val="00FE0F6D"/>
    <w:rsid w:val="00FE108B"/>
    <w:rsid w:val="00FE1183"/>
    <w:rsid w:val="00FE1502"/>
    <w:rsid w:val="00FE15CC"/>
    <w:rsid w:val="00FE1643"/>
    <w:rsid w:val="00FE1665"/>
    <w:rsid w:val="00FE1D1C"/>
    <w:rsid w:val="00FE1EA1"/>
    <w:rsid w:val="00FE200B"/>
    <w:rsid w:val="00FE2034"/>
    <w:rsid w:val="00FE20D5"/>
    <w:rsid w:val="00FE243B"/>
    <w:rsid w:val="00FE29F2"/>
    <w:rsid w:val="00FE2A9D"/>
    <w:rsid w:val="00FE2B06"/>
    <w:rsid w:val="00FE3337"/>
    <w:rsid w:val="00FE33B6"/>
    <w:rsid w:val="00FE377B"/>
    <w:rsid w:val="00FE388A"/>
    <w:rsid w:val="00FE3A8B"/>
    <w:rsid w:val="00FE3D82"/>
    <w:rsid w:val="00FE4661"/>
    <w:rsid w:val="00FE47BA"/>
    <w:rsid w:val="00FE48F6"/>
    <w:rsid w:val="00FE4DC8"/>
    <w:rsid w:val="00FE4E1F"/>
    <w:rsid w:val="00FE59CD"/>
    <w:rsid w:val="00FE5E8B"/>
    <w:rsid w:val="00FE5F31"/>
    <w:rsid w:val="00FE661A"/>
    <w:rsid w:val="00FE6E5B"/>
    <w:rsid w:val="00FE728C"/>
    <w:rsid w:val="00FE72C8"/>
    <w:rsid w:val="00FE72E8"/>
    <w:rsid w:val="00FF00B3"/>
    <w:rsid w:val="00FF0550"/>
    <w:rsid w:val="00FF0984"/>
    <w:rsid w:val="00FF0A5B"/>
    <w:rsid w:val="00FF0D43"/>
    <w:rsid w:val="00FF0EEA"/>
    <w:rsid w:val="00FF1447"/>
    <w:rsid w:val="00FF19AE"/>
    <w:rsid w:val="00FF1CC7"/>
    <w:rsid w:val="00FF23CC"/>
    <w:rsid w:val="00FF3283"/>
    <w:rsid w:val="00FF357F"/>
    <w:rsid w:val="00FF36F7"/>
    <w:rsid w:val="00FF3741"/>
    <w:rsid w:val="00FF4093"/>
    <w:rsid w:val="00FF40F3"/>
    <w:rsid w:val="00FF4529"/>
    <w:rsid w:val="00FF4904"/>
    <w:rsid w:val="00FF4EE8"/>
    <w:rsid w:val="00FF517C"/>
    <w:rsid w:val="00FF53C3"/>
    <w:rsid w:val="00FF5A92"/>
    <w:rsid w:val="00FF5EF8"/>
    <w:rsid w:val="00FF6044"/>
    <w:rsid w:val="00FF636F"/>
    <w:rsid w:val="00FF6706"/>
    <w:rsid w:val="00FF68F6"/>
    <w:rsid w:val="00FF69C5"/>
    <w:rsid w:val="00FF6AC7"/>
    <w:rsid w:val="00FF6B60"/>
    <w:rsid w:val="00FF6B6F"/>
    <w:rsid w:val="00FF72EE"/>
    <w:rsid w:val="00FF73B6"/>
    <w:rsid w:val="00FF7449"/>
    <w:rsid w:val="00FF770E"/>
    <w:rsid w:val="00FF7AFF"/>
    <w:rsid w:val="00FF7B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footer" w:uiPriority="9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uiPriority w:val="99"/>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numPr>
        <w:numId w:val="1"/>
      </w:numPr>
    </w:pPr>
  </w:style>
  <w:style w:type="character" w:customStyle="1" w:styleId="BulletChar">
    <w:name w:val="Bullet Char"/>
    <w:aliases w:val="b Char,b + line Char Char,b Char Char"/>
    <w:basedOn w:val="DefaultParagraphFont"/>
    <w:link w:val="Bullet"/>
    <w:rsid w:val="004D4273"/>
    <w:rPr>
      <w:rFonts w:ascii="Book Antiqua" w:hAnsi="Book Antiqua"/>
      <w:szCs w:val="24"/>
      <w:lang w:eastAsia="en-US"/>
    </w:rPr>
  </w:style>
  <w:style w:type="paragraph" w:customStyle="1" w:styleId="Dash">
    <w:name w:val="Dash"/>
    <w:basedOn w:val="Normal"/>
    <w:rsid w:val="004D4273"/>
    <w:pPr>
      <w:numPr>
        <w:ilvl w:val="1"/>
        <w:numId w:val="1"/>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rsid w:val="004D4273"/>
    <w:pPr>
      <w:numPr>
        <w:ilvl w:val="2"/>
        <w:numId w:val="1"/>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uiPriority w:val="59"/>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 w:type="paragraph" w:styleId="ListParagraph">
    <w:name w:val="List Paragraph"/>
    <w:basedOn w:val="Normal"/>
    <w:uiPriority w:val="34"/>
    <w:qFormat/>
    <w:rsid w:val="00B219C1"/>
    <w:pPr>
      <w:ind w:left="720"/>
      <w:contextualSpacing/>
    </w:pPr>
  </w:style>
  <w:style w:type="paragraph" w:styleId="IntenseQuote">
    <w:name w:val="Intense Quote"/>
    <w:basedOn w:val="Normal"/>
    <w:next w:val="Normal"/>
    <w:link w:val="IntenseQuoteChar"/>
    <w:uiPriority w:val="30"/>
    <w:qFormat/>
    <w:rsid w:val="00851710"/>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851710"/>
    <w:rPr>
      <w:rFonts w:asciiTheme="minorHAnsi" w:eastAsiaTheme="minorHAnsi" w:hAnsiTheme="minorHAnsi" w:cstheme="minorBidi"/>
      <w:b/>
      <w:bCs/>
      <w:i/>
      <w:iCs/>
      <w:color w:val="4F81BD" w:themeColor="accent1"/>
      <w:sz w:val="22"/>
      <w:szCs w:val="22"/>
      <w:lang w:eastAsia="en-US"/>
    </w:rPr>
  </w:style>
  <w:style w:type="paragraph" w:customStyle="1" w:styleId="8E798F5E7ECE4128986FE3828CA319D2">
    <w:name w:val="8E798F5E7ECE4128986FE3828CA319D2"/>
    <w:rsid w:val="00851710"/>
    <w:pPr>
      <w:spacing w:after="200" w:line="276" w:lineRule="auto"/>
    </w:pPr>
    <w:rPr>
      <w:rFonts w:asciiTheme="minorHAnsi" w:eastAsiaTheme="minorEastAsia" w:hAnsiTheme="minorHAnsi" w:cstheme="minorBidi"/>
      <w:sz w:val="22"/>
      <w:szCs w:val="22"/>
      <w:lang w:val="en-US" w:eastAsia="ja-JP"/>
    </w:rPr>
  </w:style>
  <w:style w:type="character" w:customStyle="1" w:styleId="FootnoteTextChar">
    <w:name w:val="Footnote Text Char"/>
    <w:basedOn w:val="DefaultParagraphFont"/>
    <w:link w:val="FootnoteText"/>
    <w:semiHidden/>
    <w:rsid w:val="008830F3"/>
    <w:rPr>
      <w:rFonts w:ascii="Book Antiqua" w:hAnsi="Book Antiqua"/>
      <w:sz w:val="18"/>
      <w:szCs w:val="24"/>
      <w:lang w:eastAsia="en-US"/>
    </w:rPr>
  </w:style>
  <w:style w:type="character" w:styleId="PlaceholderText">
    <w:name w:val="Placeholder Text"/>
    <w:basedOn w:val="DefaultParagraphFont"/>
    <w:uiPriority w:val="99"/>
    <w:semiHidden/>
    <w:rsid w:val="008830F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footer" w:uiPriority="99"/>
    <w:lsdException w:name="caption" w:qFormat="1"/>
    <w:lsdException w:name="Title" w:uiPriority="10"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D87"/>
    <w:pPr>
      <w:spacing w:after="240" w:line="260" w:lineRule="exact"/>
      <w:jc w:val="both"/>
    </w:pPr>
    <w:rPr>
      <w:rFonts w:ascii="Book Antiqua" w:hAnsi="Book Antiqua"/>
      <w:szCs w:val="24"/>
      <w:lang w:eastAsia="en-US"/>
    </w:rPr>
  </w:style>
  <w:style w:type="paragraph" w:styleId="Heading1">
    <w:name w:val="heading 1"/>
    <w:basedOn w:val="Normal"/>
    <w:next w:val="Normal"/>
    <w:qFormat/>
    <w:rsid w:val="004D4273"/>
    <w:pPr>
      <w:keepNext/>
      <w:jc w:val="center"/>
      <w:outlineLvl w:val="0"/>
    </w:pPr>
    <w:rPr>
      <w:rFonts w:ascii="Tahoma" w:hAnsi="Tahoma"/>
      <w:b/>
      <w:smallCaps/>
      <w:kern w:val="28"/>
      <w:sz w:val="34"/>
    </w:rPr>
  </w:style>
  <w:style w:type="paragraph" w:styleId="Heading2">
    <w:name w:val="heading 2"/>
    <w:basedOn w:val="Normal"/>
    <w:next w:val="Normal"/>
    <w:qFormat/>
    <w:rsid w:val="004D4273"/>
    <w:pPr>
      <w:keepNext/>
      <w:spacing w:after="360"/>
      <w:jc w:val="center"/>
      <w:outlineLvl w:val="1"/>
    </w:pPr>
    <w:rPr>
      <w:rFonts w:ascii="Tahoma" w:hAnsi="Tahoma"/>
      <w:sz w:val="30"/>
    </w:rPr>
  </w:style>
  <w:style w:type="paragraph" w:styleId="Heading3">
    <w:name w:val="heading 3"/>
    <w:aliases w:val="Heading 3 Char4,Heading 3 Char3 Char,Heading 3 Char2 Char Char,Head...,Heading 3 Char1 Char Char Char,Heading 3 Char Char Char Char Char,Heading 3 Char Char1 Char Char,Heading 3 Char1 Char1 Char,Heading 3 Char Char Char1 Char"/>
    <w:basedOn w:val="Normal"/>
    <w:next w:val="Normal"/>
    <w:link w:val="Heading3Char"/>
    <w:qFormat/>
    <w:rsid w:val="004D4273"/>
    <w:pPr>
      <w:keepNext/>
      <w:spacing w:before="240"/>
      <w:jc w:val="left"/>
      <w:outlineLvl w:val="2"/>
    </w:pPr>
    <w:rPr>
      <w:rFonts w:ascii="Tahoma" w:hAnsi="Tahoma"/>
      <w:b/>
      <w:smallCaps/>
      <w:sz w:val="26"/>
    </w:rPr>
  </w:style>
  <w:style w:type="paragraph" w:styleId="Heading4">
    <w:name w:val="heading 4"/>
    <w:aliases w:val="Heading 4 Char"/>
    <w:basedOn w:val="Normal"/>
    <w:next w:val="Normal"/>
    <w:link w:val="Heading4Char1"/>
    <w:qFormat/>
    <w:rsid w:val="004D4273"/>
    <w:pPr>
      <w:keepNext/>
      <w:spacing w:before="120"/>
      <w:jc w:val="left"/>
      <w:outlineLvl w:val="3"/>
    </w:pPr>
    <w:rPr>
      <w:rFonts w:ascii="Tahoma" w:hAnsi="Tahoma"/>
      <w:b/>
      <w:sz w:val="22"/>
    </w:rPr>
  </w:style>
  <w:style w:type="paragraph" w:styleId="Heading5">
    <w:name w:val="heading 5"/>
    <w:basedOn w:val="Normal"/>
    <w:next w:val="Normal"/>
    <w:qFormat/>
    <w:rsid w:val="004D4273"/>
    <w:pPr>
      <w:keepNext/>
      <w:spacing w:before="60" w:after="200"/>
      <w:jc w:val="left"/>
      <w:outlineLvl w:val="4"/>
    </w:pPr>
    <w:rPr>
      <w:rFonts w:ascii="Tahoma" w:hAnsi="Tahoma"/>
      <w:b/>
      <w:i/>
    </w:rPr>
  </w:style>
  <w:style w:type="paragraph" w:styleId="Heading6">
    <w:name w:val="heading 6"/>
    <w:basedOn w:val="Normal"/>
    <w:next w:val="Normal"/>
    <w:qFormat/>
    <w:rsid w:val="004D4273"/>
    <w:pPr>
      <w:keepNext/>
      <w:spacing w:after="200"/>
      <w:jc w:val="left"/>
      <w:outlineLvl w:val="5"/>
    </w:pPr>
    <w:rPr>
      <w:rFonts w:ascii="Tahoma" w:hAnsi="Tahoma"/>
      <w:i/>
    </w:rPr>
  </w:style>
  <w:style w:type="paragraph" w:styleId="Heading7">
    <w:name w:val="heading 7"/>
    <w:basedOn w:val="Normal"/>
    <w:next w:val="Normal"/>
    <w:qFormat/>
    <w:rsid w:val="004D4273"/>
    <w:pPr>
      <w:spacing w:after="100"/>
      <w:jc w:val="left"/>
      <w:outlineLvl w:val="6"/>
    </w:pPr>
    <w:rPr>
      <w:rFonts w:ascii="Tahoma" w:hAnsi="Tahoma"/>
      <w:sz w:val="18"/>
    </w:rPr>
  </w:style>
  <w:style w:type="paragraph" w:styleId="Heading8">
    <w:name w:val="heading 8"/>
    <w:basedOn w:val="Normal"/>
    <w:next w:val="Normal"/>
    <w:qFormat/>
    <w:rsid w:val="00A776BC"/>
    <w:pPr>
      <w:spacing w:before="240" w:after="60"/>
      <w:outlineLvl w:val="7"/>
    </w:pPr>
    <w:rPr>
      <w:rFonts w:ascii="Times New Roman" w:hAnsi="Times New Roman"/>
      <w:i/>
      <w:iCs/>
      <w:sz w:val="24"/>
    </w:rPr>
  </w:style>
  <w:style w:type="paragraph" w:styleId="Heading9">
    <w:name w:val="heading 9"/>
    <w:basedOn w:val="Normal"/>
    <w:next w:val="Normal"/>
    <w:qFormat/>
    <w:rsid w:val="00A776B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 Char4 Char,Heading 3 Char3 Char Char,Heading 3 Char2 Char Char Char,Head... Char,Heading 3 Char1 Char Char Char Char,Heading 3 Char Char Char Char Char Char,Heading 3 Char Char1 Char Char Char,Heading 3 Char1 Char1 Char Char"/>
    <w:basedOn w:val="DefaultParagraphFont"/>
    <w:link w:val="Heading3"/>
    <w:rsid w:val="004D4273"/>
    <w:rPr>
      <w:rFonts w:ascii="Tahoma" w:hAnsi="Tahoma"/>
      <w:b/>
      <w:smallCaps/>
      <w:color w:val="000000"/>
      <w:sz w:val="26"/>
      <w:lang w:val="en-AU" w:eastAsia="en-AU" w:bidi="ar-SA"/>
    </w:rPr>
  </w:style>
  <w:style w:type="character" w:customStyle="1" w:styleId="Heading4Char1">
    <w:name w:val="Heading 4 Char1"/>
    <w:aliases w:val="Heading 4 Char Char"/>
    <w:basedOn w:val="DefaultParagraphFont"/>
    <w:link w:val="Heading4"/>
    <w:rsid w:val="004D4273"/>
    <w:rPr>
      <w:rFonts w:ascii="Tahoma" w:hAnsi="Tahoma"/>
      <w:b/>
      <w:sz w:val="22"/>
      <w:szCs w:val="24"/>
      <w:lang w:val="en-AU" w:eastAsia="en-US" w:bidi="ar-SA"/>
    </w:rPr>
  </w:style>
  <w:style w:type="paragraph" w:styleId="TOC2">
    <w:name w:val="toc 2"/>
    <w:basedOn w:val="Normal"/>
    <w:next w:val="Normal"/>
    <w:autoRedefine/>
    <w:uiPriority w:val="39"/>
    <w:rsid w:val="004D4273"/>
    <w:pPr>
      <w:tabs>
        <w:tab w:val="right" w:leader="dot" w:pos="7700"/>
      </w:tabs>
      <w:spacing w:before="120" w:after="120"/>
      <w:ind w:right="851"/>
      <w:jc w:val="left"/>
    </w:pPr>
    <w:rPr>
      <w:b/>
      <w:noProof/>
    </w:rPr>
  </w:style>
  <w:style w:type="paragraph" w:styleId="FootnoteText">
    <w:name w:val="footnote text"/>
    <w:basedOn w:val="Normal"/>
    <w:link w:val="FootnoteTextChar"/>
    <w:semiHidden/>
    <w:rsid w:val="004D4273"/>
    <w:pPr>
      <w:tabs>
        <w:tab w:val="left" w:pos="284"/>
      </w:tabs>
      <w:spacing w:after="0"/>
      <w:ind w:left="284" w:hanging="284"/>
    </w:pPr>
    <w:rPr>
      <w:sz w:val="18"/>
    </w:rPr>
  </w:style>
  <w:style w:type="paragraph" w:customStyle="1" w:styleId="ChartHeadingCharCharCharCharCharCharCharCharCharCharCharCharCharCharCharCharCharCharCharCharChar">
    <w:name w:val="Chart Heading Char Char Char Char Char Char Char Char Char Char Char Char Char Char Char Char Char Char Char Char Char"/>
    <w:basedOn w:val="Normal"/>
    <w:next w:val="Chartgraphic"/>
    <w:link w:val="ChartHeadingCharCharCharCharCharCharCharCharCharCharCharCharCharCharCharCharCharCharCharCharCharChar"/>
    <w:rsid w:val="004D4273"/>
    <w:pPr>
      <w:keepNext/>
      <w:spacing w:before="120" w:after="0"/>
      <w:jc w:val="center"/>
    </w:pPr>
    <w:rPr>
      <w:rFonts w:ascii="Tahoma" w:hAnsi="Tahoma"/>
      <w:b/>
    </w:rPr>
  </w:style>
  <w:style w:type="paragraph" w:customStyle="1" w:styleId="Chartgraphic">
    <w:name w:val="Chart graphic"/>
    <w:basedOn w:val="Graphic"/>
    <w:next w:val="Normal"/>
    <w:rsid w:val="004D4273"/>
    <w:pPr>
      <w:spacing w:after="20"/>
      <w:jc w:val="center"/>
    </w:pPr>
  </w:style>
  <w:style w:type="paragraph" w:customStyle="1" w:styleId="Graphic">
    <w:name w:val="Graphic"/>
    <w:basedOn w:val="Normal"/>
    <w:link w:val="GraphicChar"/>
    <w:rsid w:val="004D4273"/>
    <w:pPr>
      <w:spacing w:line="240" w:lineRule="auto"/>
    </w:pPr>
  </w:style>
  <w:style w:type="character" w:customStyle="1" w:styleId="GraphicChar">
    <w:name w:val="Graphic Char"/>
    <w:basedOn w:val="DefaultParagraphFont"/>
    <w:link w:val="Graphic"/>
    <w:rsid w:val="004D4273"/>
    <w:rPr>
      <w:rFonts w:ascii="Book Antiqua" w:hAnsi="Book Antiqua"/>
      <w:szCs w:val="24"/>
      <w:lang w:val="en-AU" w:eastAsia="en-US" w:bidi="ar-SA"/>
    </w:rPr>
  </w:style>
  <w:style w:type="character" w:customStyle="1" w:styleId="ChartHeadingCharCharCharCharCharCharCharCharCharCharCharCharCharCharCharCharCharCharCharCharCharChar">
    <w:name w:val="Chart Heading Char Char Char Char Char Char Char Char Char Char Char Char Char Char Char Char Char Char Char Char Char Char"/>
    <w:basedOn w:val="DefaultParagraphFont"/>
    <w:link w:val="ChartHeadingCharCharCharCharCharCharCharCharCharCharCharCharCharCharCharCharCharCharCharCharChar"/>
    <w:rsid w:val="004D4273"/>
    <w:rPr>
      <w:rFonts w:ascii="Tahoma" w:hAnsi="Tahoma"/>
      <w:b/>
      <w:szCs w:val="24"/>
      <w:lang w:val="en-AU" w:eastAsia="en-US" w:bidi="ar-SA"/>
    </w:rPr>
  </w:style>
  <w:style w:type="paragraph" w:customStyle="1" w:styleId="TableHeadingCharCharCharChar">
    <w:name w:val="Table Heading Char Char Char Char"/>
    <w:basedOn w:val="Normal"/>
    <w:next w:val="TableGraphic"/>
    <w:link w:val="TableHeadingCharCharCharCharChar"/>
    <w:rsid w:val="004D4273"/>
    <w:pPr>
      <w:keepNext/>
      <w:spacing w:before="120" w:after="20"/>
      <w:jc w:val="left"/>
    </w:pPr>
    <w:rPr>
      <w:rFonts w:ascii="Tahoma" w:hAnsi="Tahoma"/>
      <w:b/>
    </w:rPr>
  </w:style>
  <w:style w:type="paragraph" w:customStyle="1" w:styleId="TableGraphic">
    <w:name w:val="TableGraphic"/>
    <w:basedOn w:val="TableHeadingCharCharCharChar"/>
    <w:next w:val="SingleParagraph"/>
    <w:rsid w:val="004D4273"/>
    <w:pPr>
      <w:spacing w:before="0"/>
      <w:ind w:right="-113"/>
    </w:pPr>
  </w:style>
  <w:style w:type="paragraph" w:customStyle="1" w:styleId="SingleParagraph">
    <w:name w:val="SingleParagraph"/>
    <w:basedOn w:val="Normal"/>
    <w:next w:val="Normal"/>
    <w:rsid w:val="004D4273"/>
    <w:pPr>
      <w:spacing w:after="0"/>
    </w:pPr>
  </w:style>
  <w:style w:type="character" w:customStyle="1" w:styleId="TableHeadingCharCharCharCharChar">
    <w:name w:val="Table Heading Char Char Char Char Char"/>
    <w:basedOn w:val="DefaultParagraphFont"/>
    <w:link w:val="TableHeadingCharCharCharChar"/>
    <w:rsid w:val="004D4273"/>
    <w:rPr>
      <w:rFonts w:ascii="Tahoma" w:hAnsi="Tahoma"/>
      <w:b/>
      <w:szCs w:val="24"/>
      <w:lang w:val="en-AU" w:eastAsia="en-US" w:bidi="ar-SA"/>
    </w:rPr>
  </w:style>
  <w:style w:type="paragraph" w:customStyle="1" w:styleId="TableBodyText">
    <w:name w:val="TableBodyText"/>
    <w:basedOn w:val="Normal"/>
    <w:next w:val="Normal"/>
    <w:rsid w:val="004D4273"/>
    <w:pPr>
      <w:spacing w:before="20" w:after="20"/>
      <w:jc w:val="left"/>
    </w:pPr>
    <w:rPr>
      <w:rFonts w:ascii="Tahoma" w:hAnsi="Tahoma"/>
      <w:sz w:val="16"/>
    </w:rPr>
  </w:style>
  <w:style w:type="paragraph" w:customStyle="1" w:styleId="ChartandTableFootnote">
    <w:name w:val="Chart and Table Footnote"/>
    <w:basedOn w:val="Normal"/>
    <w:next w:val="Normal"/>
    <w:rsid w:val="004D4273"/>
    <w:pPr>
      <w:spacing w:after="0"/>
      <w:ind w:left="357" w:hanging="357"/>
    </w:pPr>
    <w:rPr>
      <w:rFonts w:ascii="Arial" w:hAnsi="Arial"/>
      <w:sz w:val="16"/>
    </w:rPr>
  </w:style>
  <w:style w:type="character" w:styleId="FootnoteReference">
    <w:name w:val="footnote reference"/>
    <w:basedOn w:val="DefaultParagraphFont"/>
    <w:semiHidden/>
    <w:rsid w:val="004D4273"/>
    <w:rPr>
      <w:rFonts w:ascii="Book Antiqua" w:hAnsi="Book Antiqua"/>
      <w:noProof w:val="0"/>
      <w:sz w:val="20"/>
      <w:vertAlign w:val="superscript"/>
      <w:lang w:val="en-AU"/>
    </w:rPr>
  </w:style>
  <w:style w:type="paragraph" w:styleId="TOC1">
    <w:name w:val="toc 1"/>
    <w:basedOn w:val="Normal"/>
    <w:next w:val="Normal"/>
    <w:autoRedefine/>
    <w:semiHidden/>
    <w:rsid w:val="004D4273"/>
    <w:pPr>
      <w:tabs>
        <w:tab w:val="right" w:leader="dot" w:pos="8505"/>
      </w:tabs>
      <w:spacing w:before="360" w:after="120"/>
      <w:ind w:right="567"/>
      <w:jc w:val="left"/>
    </w:pPr>
    <w:rPr>
      <w:b/>
      <w:noProof/>
      <w:sz w:val="24"/>
    </w:rPr>
  </w:style>
  <w:style w:type="paragraph" w:styleId="TOC3">
    <w:name w:val="toc 3"/>
    <w:basedOn w:val="Normal"/>
    <w:next w:val="Normal"/>
    <w:autoRedefine/>
    <w:uiPriority w:val="39"/>
    <w:rsid w:val="004D4273"/>
    <w:pPr>
      <w:tabs>
        <w:tab w:val="right" w:leader="dot" w:pos="8505"/>
      </w:tabs>
      <w:ind w:right="567"/>
      <w:jc w:val="left"/>
    </w:pPr>
    <w:rPr>
      <w:b/>
      <w:noProof/>
      <w:sz w:val="24"/>
    </w:rPr>
  </w:style>
  <w:style w:type="paragraph" w:styleId="TOC4">
    <w:name w:val="toc 4"/>
    <w:basedOn w:val="Normal"/>
    <w:next w:val="Normal"/>
    <w:autoRedefine/>
    <w:uiPriority w:val="39"/>
    <w:rsid w:val="004D4273"/>
    <w:pPr>
      <w:tabs>
        <w:tab w:val="left" w:pos="426"/>
        <w:tab w:val="right" w:leader="dot" w:pos="8505"/>
      </w:tabs>
      <w:spacing w:after="120"/>
      <w:ind w:left="425"/>
    </w:pPr>
    <w:rPr>
      <w:i/>
      <w:noProof/>
    </w:rPr>
  </w:style>
  <w:style w:type="paragraph" w:styleId="TOC5">
    <w:name w:val="toc 5"/>
    <w:basedOn w:val="Normal"/>
    <w:next w:val="Normal"/>
    <w:autoRedefine/>
    <w:semiHidden/>
    <w:rsid w:val="004D4273"/>
    <w:pPr>
      <w:tabs>
        <w:tab w:val="left" w:pos="567"/>
        <w:tab w:val="right" w:leader="dot" w:pos="7700"/>
      </w:tabs>
      <w:spacing w:after="0"/>
      <w:ind w:left="958"/>
    </w:pPr>
  </w:style>
  <w:style w:type="paragraph" w:styleId="TOC6">
    <w:name w:val="toc 6"/>
    <w:basedOn w:val="Normal"/>
    <w:next w:val="Normal"/>
    <w:autoRedefine/>
    <w:semiHidden/>
    <w:rsid w:val="004D4273"/>
    <w:pPr>
      <w:ind w:left="1200"/>
    </w:pPr>
  </w:style>
  <w:style w:type="paragraph" w:styleId="TOC7">
    <w:name w:val="toc 7"/>
    <w:basedOn w:val="Normal"/>
    <w:next w:val="Normal"/>
    <w:autoRedefine/>
    <w:semiHidden/>
    <w:rsid w:val="004D4273"/>
    <w:pPr>
      <w:ind w:left="1440"/>
    </w:pPr>
  </w:style>
  <w:style w:type="paragraph" w:styleId="TOC8">
    <w:name w:val="toc 8"/>
    <w:basedOn w:val="Normal"/>
    <w:next w:val="Normal"/>
    <w:autoRedefine/>
    <w:semiHidden/>
    <w:rsid w:val="004D4273"/>
    <w:pPr>
      <w:tabs>
        <w:tab w:val="left" w:pos="851"/>
        <w:tab w:val="right" w:leader="dot" w:pos="7700"/>
      </w:tabs>
      <w:ind w:left="851" w:right="340" w:hanging="851"/>
      <w:jc w:val="left"/>
    </w:pPr>
  </w:style>
  <w:style w:type="paragraph" w:styleId="TOC9">
    <w:name w:val="toc 9"/>
    <w:basedOn w:val="Normal"/>
    <w:next w:val="Normal"/>
    <w:autoRedefine/>
    <w:semiHidden/>
    <w:rsid w:val="004D4273"/>
    <w:pPr>
      <w:ind w:left="1920"/>
    </w:pPr>
  </w:style>
  <w:style w:type="paragraph" w:styleId="Header">
    <w:name w:val="header"/>
    <w:basedOn w:val="Normal"/>
    <w:link w:val="HeaderChar"/>
    <w:rsid w:val="004D4273"/>
    <w:pPr>
      <w:tabs>
        <w:tab w:val="center" w:pos="3856"/>
        <w:tab w:val="right" w:pos="7711"/>
      </w:tabs>
    </w:pPr>
    <w:rPr>
      <w:rFonts w:ascii="Tahoma" w:hAnsi="Tahoma"/>
      <w:sz w:val="18"/>
    </w:rPr>
  </w:style>
  <w:style w:type="character" w:customStyle="1" w:styleId="HeaderChar">
    <w:name w:val="Header Char"/>
    <w:basedOn w:val="DefaultParagraphFont"/>
    <w:link w:val="Header"/>
    <w:uiPriority w:val="99"/>
    <w:rsid w:val="00937399"/>
    <w:rPr>
      <w:rFonts w:ascii="Tahoma" w:hAnsi="Tahoma"/>
      <w:sz w:val="18"/>
      <w:szCs w:val="24"/>
      <w:lang w:eastAsia="en-US"/>
    </w:rPr>
  </w:style>
  <w:style w:type="paragraph" w:styleId="Footer">
    <w:name w:val="footer"/>
    <w:basedOn w:val="Normal"/>
    <w:link w:val="FooterChar"/>
    <w:uiPriority w:val="99"/>
    <w:rsid w:val="004D4273"/>
    <w:pPr>
      <w:spacing w:after="0"/>
    </w:pPr>
    <w:rPr>
      <w:rFonts w:ascii="Tahoma" w:hAnsi="Tahoma"/>
    </w:rPr>
  </w:style>
  <w:style w:type="character" w:customStyle="1" w:styleId="FooterChar">
    <w:name w:val="Footer Char"/>
    <w:basedOn w:val="DefaultParagraphFont"/>
    <w:link w:val="Footer"/>
    <w:uiPriority w:val="99"/>
    <w:rsid w:val="00937399"/>
    <w:rPr>
      <w:rFonts w:ascii="Tahoma" w:hAnsi="Tahoma"/>
      <w:szCs w:val="24"/>
      <w:lang w:eastAsia="en-US"/>
    </w:rPr>
  </w:style>
  <w:style w:type="character" w:styleId="PageNumber">
    <w:name w:val="page number"/>
    <w:basedOn w:val="DefaultParagraphFont"/>
    <w:rsid w:val="004D4273"/>
  </w:style>
  <w:style w:type="paragraph" w:styleId="TableofFigures">
    <w:name w:val="table of figures"/>
    <w:basedOn w:val="Normal"/>
    <w:next w:val="Normal"/>
    <w:semiHidden/>
    <w:rsid w:val="004D4273"/>
    <w:pPr>
      <w:ind w:left="480" w:hanging="480"/>
    </w:pPr>
  </w:style>
  <w:style w:type="paragraph" w:customStyle="1" w:styleId="BoxHeading">
    <w:name w:val="Box Heading"/>
    <w:basedOn w:val="Heading3"/>
    <w:next w:val="Normal"/>
    <w:rsid w:val="004D4273"/>
    <w:pPr>
      <w:outlineLvl w:val="9"/>
    </w:pPr>
    <w:rPr>
      <w:smallCaps w:val="0"/>
      <w:sz w:val="20"/>
    </w:rPr>
  </w:style>
  <w:style w:type="paragraph" w:customStyle="1" w:styleId="TableBodyTextIndented">
    <w:name w:val="TableBodyTextIndented"/>
    <w:basedOn w:val="TableBodyText"/>
    <w:next w:val="TableBodyText"/>
    <w:rsid w:val="004D4273"/>
    <w:pPr>
      <w:ind w:left="284"/>
    </w:pPr>
    <w:rPr>
      <w:snapToGrid w:val="0"/>
    </w:rPr>
  </w:style>
  <w:style w:type="paragraph" w:customStyle="1" w:styleId="PartHeading">
    <w:name w:val="PartHeading"/>
    <w:basedOn w:val="Normal"/>
    <w:rsid w:val="004D4273"/>
    <w:pPr>
      <w:tabs>
        <w:tab w:val="right" w:pos="7088"/>
      </w:tabs>
      <w:jc w:val="center"/>
    </w:pPr>
    <w:rPr>
      <w:rFonts w:ascii="Tahoma" w:hAnsi="Tahoma"/>
      <w:b/>
      <w:sz w:val="36"/>
    </w:rPr>
  </w:style>
  <w:style w:type="paragraph" w:customStyle="1" w:styleId="ChartSecondHeading">
    <w:name w:val="Chart Second Heading"/>
    <w:basedOn w:val="ChartHeadingCharCharCharCharCharCharCharCharCharCharCharCharCharCharCharCharCharCharCharCharChar"/>
    <w:next w:val="Normal"/>
    <w:rsid w:val="004D4273"/>
    <w:rPr>
      <w:sz w:val="18"/>
    </w:rPr>
  </w:style>
  <w:style w:type="paragraph" w:customStyle="1" w:styleId="TableBodyTextHeading">
    <w:name w:val="TableBodyTextHeading"/>
    <w:basedOn w:val="TableBodyText"/>
    <w:rsid w:val="004D4273"/>
    <w:pPr>
      <w:spacing w:before="0" w:after="0"/>
    </w:pPr>
  </w:style>
  <w:style w:type="paragraph" w:styleId="Index1">
    <w:name w:val="index 1"/>
    <w:basedOn w:val="Normal"/>
    <w:next w:val="Normal"/>
    <w:autoRedefine/>
    <w:semiHidden/>
    <w:rsid w:val="004D4273"/>
    <w:pPr>
      <w:spacing w:after="0"/>
      <w:ind w:left="198" w:hanging="198"/>
      <w:jc w:val="left"/>
    </w:pPr>
    <w:rPr>
      <w:sz w:val="18"/>
    </w:rPr>
  </w:style>
  <w:style w:type="paragraph" w:customStyle="1" w:styleId="MeasureHeading4">
    <w:name w:val="Measure Heading 4"/>
    <w:basedOn w:val="Heading4"/>
    <w:rsid w:val="004D4273"/>
    <w:rPr>
      <w:lang w:val="en-US"/>
    </w:rPr>
  </w:style>
  <w:style w:type="paragraph" w:customStyle="1" w:styleId="ContentsSecondHeading">
    <w:name w:val="Contents Second Heading"/>
    <w:basedOn w:val="Normal"/>
    <w:next w:val="Normal"/>
    <w:rsid w:val="004D4273"/>
    <w:pPr>
      <w:jc w:val="center"/>
    </w:pPr>
    <w:rPr>
      <w:rFonts w:ascii="Tahoma" w:hAnsi="Tahoma"/>
      <w:sz w:val="30"/>
    </w:rPr>
  </w:style>
  <w:style w:type="paragraph" w:customStyle="1" w:styleId="Bullet">
    <w:name w:val="Bullet"/>
    <w:aliases w:val="b,b1,b + line"/>
    <w:basedOn w:val="Normal"/>
    <w:link w:val="BulletChar"/>
    <w:qFormat/>
    <w:rsid w:val="004D4273"/>
    <w:pPr>
      <w:numPr>
        <w:numId w:val="1"/>
      </w:numPr>
    </w:pPr>
  </w:style>
  <w:style w:type="character" w:customStyle="1" w:styleId="BulletChar">
    <w:name w:val="Bullet Char"/>
    <w:aliases w:val="b Char,b + line Char Char,b Char Char"/>
    <w:basedOn w:val="DefaultParagraphFont"/>
    <w:link w:val="Bullet"/>
    <w:rsid w:val="004D4273"/>
    <w:rPr>
      <w:rFonts w:ascii="Book Antiqua" w:hAnsi="Book Antiqua"/>
      <w:szCs w:val="24"/>
      <w:lang w:eastAsia="en-US"/>
    </w:rPr>
  </w:style>
  <w:style w:type="paragraph" w:customStyle="1" w:styleId="Dash">
    <w:name w:val="Dash"/>
    <w:basedOn w:val="Normal"/>
    <w:rsid w:val="004D4273"/>
    <w:pPr>
      <w:numPr>
        <w:ilvl w:val="1"/>
        <w:numId w:val="1"/>
      </w:numPr>
    </w:pPr>
  </w:style>
  <w:style w:type="paragraph" w:customStyle="1" w:styleId="DoubleDot0">
    <w:name w:val="DoubleDot"/>
    <w:basedOn w:val="Normal"/>
    <w:rsid w:val="004D4273"/>
    <w:pPr>
      <w:ind w:left="850" w:hanging="283"/>
    </w:pPr>
  </w:style>
  <w:style w:type="paragraph" w:customStyle="1" w:styleId="StatementContentsHeading">
    <w:name w:val="StatementContentsHeading"/>
    <w:basedOn w:val="Heading1"/>
    <w:next w:val="Normal"/>
    <w:rsid w:val="004D4273"/>
  </w:style>
  <w:style w:type="paragraph" w:customStyle="1" w:styleId="Tableheadingcontinued">
    <w:name w:val="Table heading continued"/>
    <w:basedOn w:val="Normal"/>
    <w:next w:val="TableGraphic"/>
    <w:rsid w:val="004D4273"/>
    <w:pPr>
      <w:spacing w:before="120" w:after="20"/>
    </w:pPr>
    <w:rPr>
      <w:rFonts w:ascii="Tahoma" w:hAnsi="Tahoma"/>
      <w:b/>
    </w:rPr>
  </w:style>
  <w:style w:type="paragraph" w:styleId="Index2">
    <w:name w:val="index 2"/>
    <w:basedOn w:val="Normal"/>
    <w:next w:val="Normal"/>
    <w:autoRedefine/>
    <w:semiHidden/>
    <w:rsid w:val="004D4273"/>
    <w:pPr>
      <w:spacing w:after="0"/>
      <w:ind w:left="396" w:hanging="198"/>
      <w:jc w:val="left"/>
    </w:pPr>
    <w:rPr>
      <w:sz w:val="18"/>
    </w:rPr>
  </w:style>
  <w:style w:type="paragraph" w:styleId="Index3">
    <w:name w:val="index 3"/>
    <w:basedOn w:val="Normal"/>
    <w:next w:val="Normal"/>
    <w:autoRedefine/>
    <w:semiHidden/>
    <w:rsid w:val="004D4273"/>
    <w:pPr>
      <w:spacing w:after="0"/>
      <w:ind w:left="601" w:hanging="198"/>
      <w:jc w:val="left"/>
    </w:pPr>
    <w:rPr>
      <w:rFonts w:ascii="Times New Roman" w:hAnsi="Times New Roman"/>
      <w:sz w:val="18"/>
    </w:rPr>
  </w:style>
  <w:style w:type="paragraph" w:styleId="Index4">
    <w:name w:val="index 4"/>
    <w:basedOn w:val="Normal"/>
    <w:next w:val="Normal"/>
    <w:autoRedefine/>
    <w:semiHidden/>
    <w:rsid w:val="004D4273"/>
    <w:pPr>
      <w:spacing w:after="0"/>
      <w:ind w:left="800" w:hanging="200"/>
      <w:jc w:val="left"/>
    </w:pPr>
    <w:rPr>
      <w:rFonts w:ascii="Times New Roman" w:hAnsi="Times New Roman"/>
      <w:sz w:val="18"/>
    </w:rPr>
  </w:style>
  <w:style w:type="paragraph" w:styleId="Index5">
    <w:name w:val="index 5"/>
    <w:basedOn w:val="Normal"/>
    <w:next w:val="Normal"/>
    <w:autoRedefine/>
    <w:semiHidden/>
    <w:rsid w:val="004D4273"/>
    <w:pPr>
      <w:spacing w:after="0"/>
      <w:ind w:left="1000" w:hanging="200"/>
      <w:jc w:val="left"/>
    </w:pPr>
    <w:rPr>
      <w:rFonts w:ascii="Times New Roman" w:hAnsi="Times New Roman"/>
      <w:sz w:val="18"/>
    </w:rPr>
  </w:style>
  <w:style w:type="paragraph" w:styleId="Index6">
    <w:name w:val="index 6"/>
    <w:basedOn w:val="Normal"/>
    <w:next w:val="Normal"/>
    <w:autoRedefine/>
    <w:semiHidden/>
    <w:rsid w:val="004D4273"/>
    <w:pPr>
      <w:spacing w:after="0"/>
      <w:ind w:left="1200" w:hanging="200"/>
      <w:jc w:val="left"/>
    </w:pPr>
    <w:rPr>
      <w:rFonts w:ascii="Times New Roman" w:hAnsi="Times New Roman"/>
      <w:sz w:val="18"/>
    </w:rPr>
  </w:style>
  <w:style w:type="paragraph" w:styleId="Index7">
    <w:name w:val="index 7"/>
    <w:basedOn w:val="Normal"/>
    <w:next w:val="Normal"/>
    <w:autoRedefine/>
    <w:semiHidden/>
    <w:rsid w:val="004D4273"/>
    <w:pPr>
      <w:spacing w:after="0"/>
      <w:ind w:left="1400" w:hanging="200"/>
      <w:jc w:val="left"/>
    </w:pPr>
    <w:rPr>
      <w:rFonts w:ascii="Times New Roman" w:hAnsi="Times New Roman"/>
      <w:sz w:val="18"/>
    </w:rPr>
  </w:style>
  <w:style w:type="paragraph" w:styleId="Index8">
    <w:name w:val="index 8"/>
    <w:basedOn w:val="Normal"/>
    <w:next w:val="Normal"/>
    <w:autoRedefine/>
    <w:semiHidden/>
    <w:rsid w:val="004D4273"/>
    <w:pPr>
      <w:spacing w:after="0"/>
      <w:ind w:left="1600" w:hanging="200"/>
      <w:jc w:val="left"/>
    </w:pPr>
    <w:rPr>
      <w:rFonts w:ascii="Times New Roman" w:hAnsi="Times New Roman"/>
      <w:sz w:val="18"/>
    </w:rPr>
  </w:style>
  <w:style w:type="paragraph" w:styleId="Index9">
    <w:name w:val="index 9"/>
    <w:basedOn w:val="Normal"/>
    <w:next w:val="Normal"/>
    <w:autoRedefine/>
    <w:semiHidden/>
    <w:rsid w:val="004D4273"/>
    <w:pPr>
      <w:spacing w:after="0"/>
      <w:ind w:left="1800" w:hanging="200"/>
      <w:jc w:val="left"/>
    </w:pPr>
    <w:rPr>
      <w:rFonts w:ascii="Times New Roman" w:hAnsi="Times New Roman"/>
      <w:sz w:val="18"/>
    </w:rPr>
  </w:style>
  <w:style w:type="paragraph" w:styleId="IndexHeading">
    <w:name w:val="index heading"/>
    <w:basedOn w:val="Normal"/>
    <w:next w:val="Index1"/>
    <w:semiHidden/>
    <w:rsid w:val="004D4273"/>
    <w:pPr>
      <w:spacing w:before="240" w:after="120"/>
      <w:jc w:val="center"/>
    </w:pPr>
    <w:rPr>
      <w:rFonts w:ascii="Tahoma" w:hAnsi="Tahoma"/>
      <w:b/>
      <w:sz w:val="24"/>
    </w:rPr>
  </w:style>
  <w:style w:type="paragraph" w:customStyle="1" w:styleId="MeasureTableText">
    <w:name w:val="MeasureTableText"/>
    <w:basedOn w:val="Normal"/>
    <w:rsid w:val="004D4273"/>
    <w:pPr>
      <w:spacing w:before="60" w:after="60"/>
      <w:jc w:val="left"/>
    </w:pPr>
    <w:rPr>
      <w:rFonts w:ascii="Tahoma" w:hAnsi="Tahoma"/>
      <w:sz w:val="16"/>
      <w:lang w:val="en-US"/>
    </w:rPr>
  </w:style>
  <w:style w:type="paragraph" w:customStyle="1" w:styleId="ContentsHeading">
    <w:name w:val="ContentsHeading"/>
    <w:basedOn w:val="Normal"/>
    <w:next w:val="Normal"/>
    <w:rsid w:val="004D4273"/>
    <w:pPr>
      <w:jc w:val="center"/>
    </w:pPr>
    <w:rPr>
      <w:rFonts w:ascii="Tahoma" w:hAnsi="Tahoma"/>
      <w:sz w:val="30"/>
      <w:lang w:val="en-US"/>
    </w:rPr>
  </w:style>
  <w:style w:type="paragraph" w:customStyle="1" w:styleId="Introtext">
    <w:name w:val="Intro text"/>
    <w:basedOn w:val="Normal"/>
    <w:next w:val="Normal"/>
    <w:rsid w:val="004D4273"/>
    <w:pPr>
      <w:spacing w:line="280" w:lineRule="exact"/>
    </w:pPr>
    <w:rPr>
      <w:i/>
      <w:sz w:val="22"/>
    </w:rPr>
  </w:style>
  <w:style w:type="paragraph" w:customStyle="1" w:styleId="Bullet-Introtext">
    <w:name w:val="Bullet - Intro text"/>
    <w:basedOn w:val="Bullet"/>
    <w:rsid w:val="004D4273"/>
    <w:rPr>
      <w:i/>
      <w:sz w:val="22"/>
    </w:rPr>
  </w:style>
  <w:style w:type="paragraph" w:customStyle="1" w:styleId="Classification">
    <w:name w:val="Classification"/>
    <w:basedOn w:val="Normal"/>
    <w:rsid w:val="004D4273"/>
    <w:pPr>
      <w:tabs>
        <w:tab w:val="center" w:pos="3856"/>
      </w:tabs>
      <w:spacing w:after="0"/>
      <w:jc w:val="center"/>
    </w:pPr>
    <w:rPr>
      <w:rFonts w:ascii="Tahoma" w:hAnsi="Tahoma"/>
      <w:b/>
      <w:smallCaps/>
      <w:sz w:val="22"/>
    </w:rPr>
  </w:style>
  <w:style w:type="paragraph" w:customStyle="1" w:styleId="FileProperties">
    <w:name w:val="File Properties"/>
    <w:basedOn w:val="Normal"/>
    <w:rsid w:val="004D4273"/>
    <w:pPr>
      <w:tabs>
        <w:tab w:val="center" w:pos="3856"/>
      </w:tabs>
    </w:pPr>
    <w:rPr>
      <w:i/>
    </w:rPr>
  </w:style>
  <w:style w:type="character" w:customStyle="1" w:styleId="FramedHeader">
    <w:name w:val="Framed Header"/>
    <w:basedOn w:val="DefaultParagraphFont"/>
    <w:rsid w:val="004D4273"/>
    <w:rPr>
      <w:rFonts w:ascii="Tahoma" w:hAnsi="Tahoma"/>
      <w:dstrike w:val="0"/>
      <w:color w:val="auto"/>
      <w:sz w:val="20"/>
      <w:vertAlign w:val="baseline"/>
    </w:rPr>
  </w:style>
  <w:style w:type="paragraph" w:customStyle="1" w:styleId="ChartandTableFootnoteAlpha">
    <w:name w:val="Chart and Table Footnote Alpha"/>
    <w:basedOn w:val="ChartandTableFootnote"/>
    <w:rsid w:val="004D4273"/>
    <w:pPr>
      <w:tabs>
        <w:tab w:val="num" w:pos="283"/>
      </w:tabs>
      <w:ind w:left="283" w:hanging="283"/>
    </w:pPr>
    <w:rPr>
      <w:rFonts w:cs="Arial"/>
    </w:rPr>
  </w:style>
  <w:style w:type="paragraph" w:customStyle="1" w:styleId="ChartGraphic0">
    <w:name w:val="Chart Graphic"/>
    <w:basedOn w:val="Normal"/>
    <w:next w:val="Normal"/>
    <w:rsid w:val="004D4273"/>
    <w:pPr>
      <w:spacing w:after="0" w:line="240" w:lineRule="auto"/>
      <w:jc w:val="center"/>
    </w:pPr>
    <w:rPr>
      <w:rFonts w:ascii="Arial" w:hAnsi="Arial" w:cs="Arial"/>
      <w:color w:val="000000"/>
    </w:rPr>
  </w:style>
  <w:style w:type="paragraph" w:customStyle="1" w:styleId="SingleParagraph0">
    <w:name w:val="Single Paragraph"/>
    <w:basedOn w:val="Normal"/>
    <w:next w:val="Normal"/>
    <w:rsid w:val="004D4273"/>
    <w:pPr>
      <w:spacing w:after="0"/>
    </w:pPr>
  </w:style>
  <w:style w:type="paragraph" w:styleId="Title">
    <w:name w:val="Title"/>
    <w:basedOn w:val="Normal"/>
    <w:link w:val="TitleChar"/>
    <w:uiPriority w:val="10"/>
    <w:qFormat/>
    <w:rsid w:val="004D4273"/>
    <w:pPr>
      <w:spacing w:line="240" w:lineRule="auto"/>
      <w:jc w:val="center"/>
    </w:pPr>
    <w:rPr>
      <w:rFonts w:ascii="Tahoma" w:hAnsi="Tahoma"/>
      <w:smallCaps/>
      <w:color w:val="000000"/>
      <w:sz w:val="34"/>
      <w:szCs w:val="20"/>
    </w:rPr>
  </w:style>
  <w:style w:type="character" w:styleId="Hyperlink">
    <w:name w:val="Hyperlink"/>
    <w:basedOn w:val="DefaultParagraphFont"/>
    <w:uiPriority w:val="99"/>
    <w:rsid w:val="004D4273"/>
    <w:rPr>
      <w:color w:val="0000FF"/>
      <w:u w:val="single"/>
    </w:rPr>
  </w:style>
  <w:style w:type="paragraph" w:customStyle="1" w:styleId="ChartHeading">
    <w:name w:val="Chart Heading"/>
    <w:basedOn w:val="Normal"/>
    <w:next w:val="Chartgraphic"/>
    <w:link w:val="ChartHeadingChar"/>
    <w:rsid w:val="004D4273"/>
    <w:pPr>
      <w:keepNext/>
      <w:spacing w:before="120" w:after="0"/>
      <w:jc w:val="center"/>
    </w:pPr>
    <w:rPr>
      <w:rFonts w:ascii="Tahoma" w:hAnsi="Tahoma"/>
      <w:b/>
    </w:rPr>
  </w:style>
  <w:style w:type="character" w:customStyle="1" w:styleId="ChartHeadingChar">
    <w:name w:val="Chart Heading Char"/>
    <w:basedOn w:val="DefaultParagraphFont"/>
    <w:link w:val="ChartHeading"/>
    <w:rsid w:val="004D4273"/>
    <w:rPr>
      <w:rFonts w:ascii="Tahoma" w:hAnsi="Tahoma"/>
      <w:b/>
      <w:szCs w:val="24"/>
      <w:lang w:val="en-AU" w:eastAsia="en-US" w:bidi="ar-SA"/>
    </w:rPr>
  </w:style>
  <w:style w:type="paragraph" w:styleId="BalloonText">
    <w:name w:val="Balloon Text"/>
    <w:basedOn w:val="Normal"/>
    <w:semiHidden/>
    <w:rsid w:val="004D4273"/>
    <w:rPr>
      <w:rFonts w:ascii="Tahoma" w:hAnsi="Tahoma" w:cs="Tahoma"/>
      <w:sz w:val="16"/>
      <w:szCs w:val="16"/>
    </w:rPr>
  </w:style>
  <w:style w:type="paragraph" w:customStyle="1" w:styleId="DoubleDot">
    <w:name w:val="Double Dot"/>
    <w:basedOn w:val="Normal"/>
    <w:rsid w:val="004D4273"/>
    <w:pPr>
      <w:numPr>
        <w:ilvl w:val="2"/>
        <w:numId w:val="1"/>
      </w:numPr>
    </w:pPr>
  </w:style>
  <w:style w:type="paragraph" w:customStyle="1" w:styleId="bullet0">
    <w:name w:val="bullet"/>
    <w:basedOn w:val="Normal"/>
    <w:rsid w:val="004D4273"/>
    <w:pPr>
      <w:tabs>
        <w:tab w:val="num" w:pos="567"/>
      </w:tabs>
      <w:spacing w:line="240" w:lineRule="auto"/>
      <w:jc w:val="left"/>
    </w:pPr>
    <w:rPr>
      <w:rFonts w:ascii="Arial" w:hAnsi="Arial" w:cs="Arial"/>
      <w:color w:val="000080"/>
      <w:szCs w:val="20"/>
      <w:lang w:eastAsia="en-AU"/>
    </w:rPr>
  </w:style>
  <w:style w:type="paragraph" w:customStyle="1" w:styleId="dash0">
    <w:name w:val="dash"/>
    <w:basedOn w:val="Normal"/>
    <w:rsid w:val="004D4273"/>
    <w:pPr>
      <w:tabs>
        <w:tab w:val="num" w:pos="567"/>
      </w:tabs>
      <w:spacing w:line="240" w:lineRule="auto"/>
      <w:jc w:val="left"/>
    </w:pPr>
    <w:rPr>
      <w:rFonts w:ascii="Arial" w:hAnsi="Arial" w:cs="Arial"/>
      <w:color w:val="000080"/>
      <w:szCs w:val="20"/>
      <w:lang w:eastAsia="en-AU"/>
    </w:rPr>
  </w:style>
  <w:style w:type="character" w:customStyle="1" w:styleId="ChartHeadingChar1">
    <w:name w:val="Chart Heading Char1"/>
    <w:basedOn w:val="DefaultParagraphFont"/>
    <w:rsid w:val="004D4273"/>
    <w:rPr>
      <w:rFonts w:ascii="Tahoma" w:hAnsi="Tahoma"/>
      <w:b/>
      <w:szCs w:val="24"/>
      <w:lang w:val="en-AU" w:eastAsia="en-US" w:bidi="ar-SA"/>
    </w:rPr>
  </w:style>
  <w:style w:type="paragraph" w:customStyle="1" w:styleId="TableHeadingCharChar">
    <w:name w:val="Table Heading Char Char"/>
    <w:basedOn w:val="Normal"/>
    <w:next w:val="Normal"/>
    <w:link w:val="TableHeadingCharCharChar"/>
    <w:rsid w:val="004D4273"/>
    <w:pPr>
      <w:keepNext/>
      <w:spacing w:before="120" w:after="20"/>
      <w:jc w:val="left"/>
    </w:pPr>
    <w:rPr>
      <w:rFonts w:ascii="Tahoma" w:hAnsi="Tahoma"/>
      <w:b/>
    </w:rPr>
  </w:style>
  <w:style w:type="character" w:customStyle="1" w:styleId="TableHeadingCharCharChar">
    <w:name w:val="Table Heading Char Char Char"/>
    <w:basedOn w:val="DefaultParagraphFont"/>
    <w:link w:val="TableHeadingCharChar"/>
    <w:rsid w:val="004D4273"/>
    <w:rPr>
      <w:rFonts w:ascii="Tahoma" w:hAnsi="Tahoma"/>
      <w:b/>
      <w:szCs w:val="24"/>
      <w:lang w:val="en-AU" w:eastAsia="en-US" w:bidi="ar-SA"/>
    </w:rPr>
  </w:style>
  <w:style w:type="character" w:customStyle="1" w:styleId="Heading3Char2">
    <w:name w:val="Heading 3 Char2"/>
    <w:aliases w:val="Heading 3 Char1 Char,Heading 3 Char Char Char,Heading 3 Char Char1"/>
    <w:basedOn w:val="DefaultParagraphFont"/>
    <w:rsid w:val="004D4273"/>
    <w:rPr>
      <w:rFonts w:ascii="Tahoma" w:hAnsi="Tahoma"/>
      <w:b/>
      <w:smallCaps/>
      <w:color w:val="000000"/>
      <w:sz w:val="26"/>
      <w:szCs w:val="24"/>
      <w:lang w:val="en-AU" w:eastAsia="en-AU" w:bidi="ar-SA"/>
    </w:rPr>
  </w:style>
  <w:style w:type="paragraph" w:customStyle="1" w:styleId="NumberedParagraph">
    <w:name w:val="Numbered Paragraph"/>
    <w:basedOn w:val="Normal"/>
    <w:rsid w:val="004D4273"/>
    <w:pPr>
      <w:tabs>
        <w:tab w:val="num" w:pos="567"/>
      </w:tabs>
      <w:spacing w:line="240" w:lineRule="auto"/>
      <w:jc w:val="left"/>
    </w:pPr>
    <w:rPr>
      <w:rFonts w:ascii="Times New Roman" w:hAnsi="Times New Roman"/>
      <w:sz w:val="24"/>
      <w:szCs w:val="20"/>
      <w:lang w:eastAsia="en-AU"/>
    </w:rPr>
  </w:style>
  <w:style w:type="table" w:styleId="TableGrid">
    <w:name w:val="Table Grid"/>
    <w:basedOn w:val="TableNormal"/>
    <w:uiPriority w:val="59"/>
    <w:rsid w:val="004D4273"/>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15D4"/>
    <w:pPr>
      <w:spacing w:after="160" w:line="240" w:lineRule="exact"/>
      <w:jc w:val="left"/>
    </w:pPr>
    <w:rPr>
      <w:rFonts w:ascii="Verdana" w:hAnsi="Verdana"/>
      <w:lang w:val="en-US"/>
    </w:rPr>
  </w:style>
  <w:style w:type="paragraph" w:customStyle="1" w:styleId="CharCharCharCharCharChar">
    <w:name w:val="Char Char Char Char Char Char"/>
    <w:basedOn w:val="Normal"/>
    <w:rsid w:val="00FB7BFF"/>
    <w:pPr>
      <w:spacing w:after="160" w:line="240" w:lineRule="exact"/>
      <w:jc w:val="left"/>
    </w:pPr>
    <w:rPr>
      <w:rFonts w:ascii="Verdana" w:hAnsi="Verdana" w:cs="Verdana"/>
      <w:szCs w:val="20"/>
      <w:lang w:val="en-US"/>
    </w:rPr>
  </w:style>
  <w:style w:type="character" w:styleId="FollowedHyperlink">
    <w:name w:val="FollowedHyperlink"/>
    <w:basedOn w:val="DefaultParagraphFont"/>
    <w:uiPriority w:val="99"/>
    <w:rsid w:val="00E163D6"/>
    <w:rPr>
      <w:color w:val="800080"/>
      <w:u w:val="single"/>
    </w:rPr>
  </w:style>
  <w:style w:type="character" w:styleId="CommentReference">
    <w:name w:val="annotation reference"/>
    <w:basedOn w:val="DefaultParagraphFont"/>
    <w:semiHidden/>
    <w:rsid w:val="00BF64D4"/>
    <w:rPr>
      <w:sz w:val="16"/>
      <w:szCs w:val="16"/>
    </w:rPr>
  </w:style>
  <w:style w:type="character" w:styleId="HTMLVariable">
    <w:name w:val="HTML Variable"/>
    <w:basedOn w:val="DefaultParagraphFont"/>
    <w:rsid w:val="00C65AE5"/>
    <w:rPr>
      <w:i/>
      <w:iCs/>
    </w:rPr>
  </w:style>
  <w:style w:type="paragraph" w:styleId="CommentText">
    <w:name w:val="annotation text"/>
    <w:basedOn w:val="Normal"/>
    <w:semiHidden/>
    <w:rsid w:val="00BF64D4"/>
    <w:rPr>
      <w:szCs w:val="20"/>
    </w:rPr>
  </w:style>
  <w:style w:type="paragraph" w:styleId="CommentSubject">
    <w:name w:val="annotation subject"/>
    <w:basedOn w:val="CommentText"/>
    <w:next w:val="CommentText"/>
    <w:semiHidden/>
    <w:rsid w:val="00BF64D4"/>
    <w:rPr>
      <w:b/>
      <w:bCs/>
    </w:rPr>
  </w:style>
  <w:style w:type="paragraph" w:styleId="DocumentMap">
    <w:name w:val="Document Map"/>
    <w:basedOn w:val="Normal"/>
    <w:semiHidden/>
    <w:rsid w:val="001E16CF"/>
    <w:pPr>
      <w:shd w:val="clear" w:color="auto" w:fill="000080"/>
    </w:pPr>
    <w:rPr>
      <w:rFonts w:ascii="Tahoma" w:hAnsi="Tahoma" w:cs="Tahoma"/>
      <w:szCs w:val="20"/>
    </w:rPr>
  </w:style>
  <w:style w:type="paragraph" w:customStyle="1" w:styleId="CharCharChar">
    <w:name w:val="Char Char Char"/>
    <w:basedOn w:val="Normal"/>
    <w:rsid w:val="00645A33"/>
    <w:pPr>
      <w:spacing w:after="160" w:line="240" w:lineRule="exact"/>
      <w:jc w:val="left"/>
    </w:pPr>
    <w:rPr>
      <w:rFonts w:ascii="Verdana" w:hAnsi="Verdana"/>
      <w:lang w:val="en-US"/>
    </w:rPr>
  </w:style>
  <w:style w:type="paragraph" w:customStyle="1" w:styleId="Normal8pt">
    <w:name w:val="Normal + 8 pt"/>
    <w:basedOn w:val="Normal"/>
    <w:rsid w:val="00604C18"/>
    <w:pPr>
      <w:spacing w:after="0" w:line="240" w:lineRule="auto"/>
      <w:ind w:right="-142"/>
      <w:jc w:val="left"/>
    </w:pPr>
    <w:rPr>
      <w:sz w:val="16"/>
      <w:szCs w:val="16"/>
    </w:rPr>
  </w:style>
  <w:style w:type="paragraph" w:customStyle="1" w:styleId="Char">
    <w:name w:val="Char"/>
    <w:basedOn w:val="Normal"/>
    <w:rsid w:val="00352F3C"/>
    <w:pPr>
      <w:spacing w:after="160" w:line="240" w:lineRule="exact"/>
      <w:jc w:val="left"/>
    </w:pPr>
    <w:rPr>
      <w:rFonts w:ascii="Verdana" w:hAnsi="Verdana"/>
      <w:lang w:val="en-US"/>
    </w:rPr>
  </w:style>
  <w:style w:type="paragraph" w:styleId="Caption">
    <w:name w:val="caption"/>
    <w:basedOn w:val="Normal"/>
    <w:next w:val="Normal"/>
    <w:qFormat/>
    <w:rsid w:val="009C2625"/>
    <w:rPr>
      <w:b/>
      <w:bCs/>
      <w:szCs w:val="20"/>
    </w:rPr>
  </w:style>
  <w:style w:type="character" w:customStyle="1" w:styleId="EmailStyle1021">
    <w:name w:val="EmailStyle1021"/>
    <w:basedOn w:val="DefaultParagraphFont"/>
    <w:semiHidden/>
    <w:rsid w:val="007C65A0"/>
    <w:rPr>
      <w:rFonts w:ascii="Arial" w:hAnsi="Arial" w:cs="Arial"/>
      <w:color w:val="auto"/>
      <w:sz w:val="20"/>
      <w:szCs w:val="20"/>
    </w:rPr>
  </w:style>
  <w:style w:type="character" w:customStyle="1" w:styleId="EmailStyle1031">
    <w:name w:val="EmailStyle1031"/>
    <w:basedOn w:val="DefaultParagraphFont"/>
    <w:semiHidden/>
    <w:rsid w:val="007F1FF2"/>
    <w:rPr>
      <w:rFonts w:ascii="Arial" w:hAnsi="Arial" w:cs="Arial"/>
      <w:color w:val="000080"/>
      <w:sz w:val="20"/>
      <w:szCs w:val="20"/>
    </w:rPr>
  </w:style>
  <w:style w:type="character" w:customStyle="1" w:styleId="EmailStyle1041">
    <w:name w:val="EmailStyle1041"/>
    <w:basedOn w:val="DefaultParagraphFont"/>
    <w:semiHidden/>
    <w:rsid w:val="00DF43FF"/>
    <w:rPr>
      <w:rFonts w:ascii="Arial" w:hAnsi="Arial" w:cs="Arial" w:hint="default"/>
      <w:color w:val="auto"/>
      <w:sz w:val="20"/>
      <w:szCs w:val="20"/>
    </w:rPr>
  </w:style>
  <w:style w:type="paragraph" w:styleId="Revision">
    <w:name w:val="Revision"/>
    <w:hidden/>
    <w:uiPriority w:val="99"/>
    <w:semiHidden/>
    <w:rsid w:val="00A83E41"/>
    <w:rPr>
      <w:rFonts w:ascii="Book Antiqua" w:hAnsi="Book Antiqua"/>
      <w:szCs w:val="24"/>
      <w:lang w:eastAsia="en-US"/>
    </w:rPr>
  </w:style>
  <w:style w:type="paragraph" w:styleId="NormalWeb">
    <w:name w:val="Normal (Web)"/>
    <w:basedOn w:val="Normal"/>
    <w:uiPriority w:val="99"/>
    <w:rsid w:val="0054427E"/>
    <w:pPr>
      <w:spacing w:before="100" w:beforeAutospacing="1" w:after="100" w:afterAutospacing="1" w:line="240" w:lineRule="auto"/>
      <w:jc w:val="left"/>
    </w:pPr>
    <w:rPr>
      <w:rFonts w:ascii="Times New Roman" w:eastAsia="Times New Roman" w:hAnsi="Times New Roman"/>
      <w:sz w:val="24"/>
      <w:lang w:eastAsia="en-AU"/>
    </w:rPr>
  </w:style>
  <w:style w:type="paragraph" w:styleId="NoSpacing">
    <w:name w:val="No Spacing"/>
    <w:uiPriority w:val="1"/>
    <w:qFormat/>
    <w:rsid w:val="000401DE"/>
    <w:pPr>
      <w:jc w:val="both"/>
    </w:pPr>
    <w:rPr>
      <w:rFonts w:ascii="Book Antiqua" w:hAnsi="Book Antiqua"/>
      <w:szCs w:val="24"/>
      <w:lang w:eastAsia="en-US"/>
    </w:rPr>
  </w:style>
  <w:style w:type="paragraph" w:customStyle="1" w:styleId="Default">
    <w:name w:val="Default"/>
    <w:basedOn w:val="Normal"/>
    <w:rsid w:val="00B24C6D"/>
    <w:pPr>
      <w:autoSpaceDE w:val="0"/>
      <w:autoSpaceDN w:val="0"/>
      <w:spacing w:after="0" w:line="240" w:lineRule="auto"/>
      <w:jc w:val="left"/>
    </w:pPr>
    <w:rPr>
      <w:rFonts w:eastAsia="Calibri"/>
      <w:color w:val="000000"/>
      <w:sz w:val="24"/>
    </w:rPr>
  </w:style>
  <w:style w:type="paragraph" w:customStyle="1" w:styleId="BoxText">
    <w:name w:val="Box Text"/>
    <w:basedOn w:val="Normal"/>
    <w:rsid w:val="00186B21"/>
    <w:pPr>
      <w:spacing w:before="120" w:after="120" w:line="240" w:lineRule="auto"/>
    </w:pPr>
    <w:rPr>
      <w:rFonts w:eastAsia="Times New Roman"/>
      <w:szCs w:val="20"/>
      <w:lang w:eastAsia="en-AU"/>
    </w:rPr>
  </w:style>
  <w:style w:type="paragraph" w:customStyle="1" w:styleId="TableGraphic0">
    <w:name w:val="Table Graphic"/>
    <w:basedOn w:val="Normal"/>
    <w:next w:val="Normal"/>
    <w:rsid w:val="00186B21"/>
    <w:pPr>
      <w:spacing w:after="0" w:line="240" w:lineRule="auto"/>
      <w:ind w:right="-113"/>
    </w:pPr>
    <w:rPr>
      <w:rFonts w:eastAsia="Times New Roman"/>
      <w:szCs w:val="20"/>
      <w:lang w:eastAsia="en-AU"/>
    </w:rPr>
  </w:style>
  <w:style w:type="paragraph" w:customStyle="1" w:styleId="Source">
    <w:name w:val="Source"/>
    <w:basedOn w:val="Normal"/>
    <w:rsid w:val="00DA5499"/>
    <w:pPr>
      <w:tabs>
        <w:tab w:val="left" w:pos="284"/>
      </w:tabs>
      <w:spacing w:line="240" w:lineRule="auto"/>
    </w:pPr>
    <w:rPr>
      <w:rFonts w:ascii="Arial" w:eastAsia="Times New Roman" w:hAnsi="Arial"/>
      <w:sz w:val="16"/>
      <w:szCs w:val="20"/>
      <w:lang w:eastAsia="en-AU"/>
    </w:rPr>
  </w:style>
  <w:style w:type="paragraph" w:styleId="BodyText3">
    <w:name w:val="Body Text 3"/>
    <w:link w:val="BodyText3Char"/>
    <w:uiPriority w:val="99"/>
    <w:unhideWhenUsed/>
    <w:rsid w:val="00491C99"/>
    <w:pPr>
      <w:spacing w:after="120" w:line="300" w:lineRule="auto"/>
    </w:pPr>
    <w:rPr>
      <w:rFonts w:ascii="Garamond" w:eastAsia="Times New Roman" w:hAnsi="Garamond"/>
      <w:color w:val="000000"/>
      <w:kern w:val="28"/>
      <w:sz w:val="22"/>
      <w:szCs w:val="22"/>
      <w14:ligatures w14:val="standard"/>
      <w14:cntxtAlts/>
    </w:rPr>
  </w:style>
  <w:style w:type="character" w:customStyle="1" w:styleId="BodyText3Char">
    <w:name w:val="Body Text 3 Char"/>
    <w:basedOn w:val="DefaultParagraphFont"/>
    <w:link w:val="BodyText3"/>
    <w:uiPriority w:val="99"/>
    <w:rsid w:val="00491C99"/>
    <w:rPr>
      <w:rFonts w:ascii="Garamond" w:eastAsia="Times New Roman" w:hAnsi="Garamond"/>
      <w:color w:val="000000"/>
      <w:kern w:val="28"/>
      <w:sz w:val="22"/>
      <w:szCs w:val="22"/>
      <w14:ligatures w14:val="standard"/>
      <w14:cntxtAlts/>
    </w:rPr>
  </w:style>
  <w:style w:type="character" w:customStyle="1" w:styleId="TitleChar">
    <w:name w:val="Title Char"/>
    <w:basedOn w:val="DefaultParagraphFont"/>
    <w:link w:val="Title"/>
    <w:uiPriority w:val="10"/>
    <w:rsid w:val="00491C99"/>
    <w:rPr>
      <w:rFonts w:ascii="Tahoma" w:hAnsi="Tahoma"/>
      <w:smallCaps/>
      <w:color w:val="000000"/>
      <w:sz w:val="34"/>
      <w:lang w:eastAsia="en-US"/>
    </w:rPr>
  </w:style>
  <w:style w:type="character" w:styleId="Strong">
    <w:name w:val="Strong"/>
    <w:basedOn w:val="DefaultParagraphFont"/>
    <w:qFormat/>
    <w:rsid w:val="00DC5B41"/>
    <w:rPr>
      <w:b/>
      <w:bCs/>
    </w:rPr>
  </w:style>
  <w:style w:type="paragraph" w:styleId="EndnoteText">
    <w:name w:val="endnote text"/>
    <w:basedOn w:val="Normal"/>
    <w:link w:val="EndnoteTextChar"/>
    <w:rsid w:val="009F4BBA"/>
    <w:pPr>
      <w:spacing w:after="0" w:line="240" w:lineRule="auto"/>
    </w:pPr>
    <w:rPr>
      <w:szCs w:val="20"/>
    </w:rPr>
  </w:style>
  <w:style w:type="character" w:customStyle="1" w:styleId="EndnoteTextChar">
    <w:name w:val="Endnote Text Char"/>
    <w:basedOn w:val="DefaultParagraphFont"/>
    <w:link w:val="EndnoteText"/>
    <w:rsid w:val="009F4BBA"/>
    <w:rPr>
      <w:rFonts w:ascii="Book Antiqua" w:hAnsi="Book Antiqua"/>
      <w:lang w:eastAsia="en-US"/>
    </w:rPr>
  </w:style>
  <w:style w:type="character" w:styleId="EndnoteReference">
    <w:name w:val="endnote reference"/>
    <w:basedOn w:val="DefaultParagraphFont"/>
    <w:rsid w:val="009F4BBA"/>
    <w:rPr>
      <w:vertAlign w:val="superscript"/>
    </w:rPr>
  </w:style>
  <w:style w:type="paragraph" w:styleId="ListParagraph">
    <w:name w:val="List Paragraph"/>
    <w:basedOn w:val="Normal"/>
    <w:uiPriority w:val="34"/>
    <w:qFormat/>
    <w:rsid w:val="00B219C1"/>
    <w:pPr>
      <w:ind w:left="720"/>
      <w:contextualSpacing/>
    </w:pPr>
  </w:style>
  <w:style w:type="paragraph" w:styleId="IntenseQuote">
    <w:name w:val="Intense Quote"/>
    <w:basedOn w:val="Normal"/>
    <w:next w:val="Normal"/>
    <w:link w:val="IntenseQuoteChar"/>
    <w:uiPriority w:val="30"/>
    <w:qFormat/>
    <w:rsid w:val="00851710"/>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851710"/>
    <w:rPr>
      <w:rFonts w:asciiTheme="minorHAnsi" w:eastAsiaTheme="minorHAnsi" w:hAnsiTheme="minorHAnsi" w:cstheme="minorBidi"/>
      <w:b/>
      <w:bCs/>
      <w:i/>
      <w:iCs/>
      <w:color w:val="4F81BD" w:themeColor="accent1"/>
      <w:sz w:val="22"/>
      <w:szCs w:val="22"/>
      <w:lang w:eastAsia="en-US"/>
    </w:rPr>
  </w:style>
  <w:style w:type="paragraph" w:customStyle="1" w:styleId="8E798F5E7ECE4128986FE3828CA319D2">
    <w:name w:val="8E798F5E7ECE4128986FE3828CA319D2"/>
    <w:rsid w:val="00851710"/>
    <w:pPr>
      <w:spacing w:after="200" w:line="276" w:lineRule="auto"/>
    </w:pPr>
    <w:rPr>
      <w:rFonts w:asciiTheme="minorHAnsi" w:eastAsiaTheme="minorEastAsia" w:hAnsiTheme="minorHAnsi" w:cstheme="minorBidi"/>
      <w:sz w:val="22"/>
      <w:szCs w:val="22"/>
      <w:lang w:val="en-US" w:eastAsia="ja-JP"/>
    </w:rPr>
  </w:style>
  <w:style w:type="character" w:customStyle="1" w:styleId="FootnoteTextChar">
    <w:name w:val="Footnote Text Char"/>
    <w:basedOn w:val="DefaultParagraphFont"/>
    <w:link w:val="FootnoteText"/>
    <w:semiHidden/>
    <w:rsid w:val="008830F3"/>
    <w:rPr>
      <w:rFonts w:ascii="Book Antiqua" w:hAnsi="Book Antiqua"/>
      <w:sz w:val="18"/>
      <w:szCs w:val="24"/>
      <w:lang w:eastAsia="en-US"/>
    </w:rPr>
  </w:style>
  <w:style w:type="character" w:styleId="PlaceholderText">
    <w:name w:val="Placeholder Text"/>
    <w:basedOn w:val="DefaultParagraphFont"/>
    <w:uiPriority w:val="99"/>
    <w:semiHidden/>
    <w:rsid w:val="008830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51">
      <w:bodyDiv w:val="1"/>
      <w:marLeft w:val="30"/>
      <w:marRight w:val="30"/>
      <w:marTop w:val="0"/>
      <w:marBottom w:val="0"/>
      <w:divBdr>
        <w:top w:val="none" w:sz="0" w:space="0" w:color="auto"/>
        <w:left w:val="none" w:sz="0" w:space="0" w:color="auto"/>
        <w:bottom w:val="none" w:sz="0" w:space="0" w:color="auto"/>
        <w:right w:val="none" w:sz="0" w:space="0" w:color="auto"/>
      </w:divBdr>
      <w:divsChild>
        <w:div w:id="957108967">
          <w:marLeft w:val="0"/>
          <w:marRight w:val="0"/>
          <w:marTop w:val="0"/>
          <w:marBottom w:val="0"/>
          <w:divBdr>
            <w:top w:val="none" w:sz="0" w:space="0" w:color="auto"/>
            <w:left w:val="none" w:sz="0" w:space="0" w:color="auto"/>
            <w:bottom w:val="none" w:sz="0" w:space="0" w:color="auto"/>
            <w:right w:val="none" w:sz="0" w:space="0" w:color="auto"/>
          </w:divBdr>
          <w:divsChild>
            <w:div w:id="1823034388">
              <w:marLeft w:val="0"/>
              <w:marRight w:val="0"/>
              <w:marTop w:val="0"/>
              <w:marBottom w:val="0"/>
              <w:divBdr>
                <w:top w:val="none" w:sz="0" w:space="0" w:color="auto"/>
                <w:left w:val="none" w:sz="0" w:space="0" w:color="auto"/>
                <w:bottom w:val="none" w:sz="0" w:space="0" w:color="auto"/>
                <w:right w:val="none" w:sz="0" w:space="0" w:color="auto"/>
              </w:divBdr>
              <w:divsChild>
                <w:div w:id="644702901">
                  <w:marLeft w:val="180"/>
                  <w:marRight w:val="0"/>
                  <w:marTop w:val="0"/>
                  <w:marBottom w:val="0"/>
                  <w:divBdr>
                    <w:top w:val="none" w:sz="0" w:space="0" w:color="auto"/>
                    <w:left w:val="none" w:sz="0" w:space="0" w:color="auto"/>
                    <w:bottom w:val="none" w:sz="0" w:space="0" w:color="auto"/>
                    <w:right w:val="none" w:sz="0" w:space="0" w:color="auto"/>
                  </w:divBdr>
                  <w:divsChild>
                    <w:div w:id="2010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45">
      <w:bodyDiv w:val="1"/>
      <w:marLeft w:val="0"/>
      <w:marRight w:val="0"/>
      <w:marTop w:val="0"/>
      <w:marBottom w:val="0"/>
      <w:divBdr>
        <w:top w:val="none" w:sz="0" w:space="0" w:color="auto"/>
        <w:left w:val="none" w:sz="0" w:space="0" w:color="auto"/>
        <w:bottom w:val="none" w:sz="0" w:space="0" w:color="auto"/>
        <w:right w:val="none" w:sz="0" w:space="0" w:color="auto"/>
      </w:divBdr>
    </w:div>
    <w:div w:id="37173337">
      <w:bodyDiv w:val="1"/>
      <w:marLeft w:val="0"/>
      <w:marRight w:val="0"/>
      <w:marTop w:val="0"/>
      <w:marBottom w:val="0"/>
      <w:divBdr>
        <w:top w:val="none" w:sz="0" w:space="0" w:color="auto"/>
        <w:left w:val="none" w:sz="0" w:space="0" w:color="auto"/>
        <w:bottom w:val="none" w:sz="0" w:space="0" w:color="auto"/>
        <w:right w:val="none" w:sz="0" w:space="0" w:color="auto"/>
      </w:divBdr>
    </w:div>
    <w:div w:id="45572165">
      <w:bodyDiv w:val="1"/>
      <w:marLeft w:val="0"/>
      <w:marRight w:val="0"/>
      <w:marTop w:val="0"/>
      <w:marBottom w:val="0"/>
      <w:divBdr>
        <w:top w:val="none" w:sz="0" w:space="0" w:color="auto"/>
        <w:left w:val="none" w:sz="0" w:space="0" w:color="auto"/>
        <w:bottom w:val="none" w:sz="0" w:space="0" w:color="auto"/>
        <w:right w:val="none" w:sz="0" w:space="0" w:color="auto"/>
      </w:divBdr>
    </w:div>
    <w:div w:id="71439013">
      <w:bodyDiv w:val="1"/>
      <w:marLeft w:val="0"/>
      <w:marRight w:val="0"/>
      <w:marTop w:val="0"/>
      <w:marBottom w:val="0"/>
      <w:divBdr>
        <w:top w:val="none" w:sz="0" w:space="0" w:color="auto"/>
        <w:left w:val="none" w:sz="0" w:space="0" w:color="auto"/>
        <w:bottom w:val="none" w:sz="0" w:space="0" w:color="auto"/>
        <w:right w:val="none" w:sz="0" w:space="0" w:color="auto"/>
      </w:divBdr>
    </w:div>
    <w:div w:id="82801437">
      <w:bodyDiv w:val="1"/>
      <w:marLeft w:val="0"/>
      <w:marRight w:val="0"/>
      <w:marTop w:val="0"/>
      <w:marBottom w:val="0"/>
      <w:divBdr>
        <w:top w:val="none" w:sz="0" w:space="0" w:color="auto"/>
        <w:left w:val="none" w:sz="0" w:space="0" w:color="auto"/>
        <w:bottom w:val="none" w:sz="0" w:space="0" w:color="auto"/>
        <w:right w:val="none" w:sz="0" w:space="0" w:color="auto"/>
      </w:divBdr>
    </w:div>
    <w:div w:id="95253877">
      <w:bodyDiv w:val="1"/>
      <w:marLeft w:val="0"/>
      <w:marRight w:val="0"/>
      <w:marTop w:val="0"/>
      <w:marBottom w:val="0"/>
      <w:divBdr>
        <w:top w:val="none" w:sz="0" w:space="0" w:color="auto"/>
        <w:left w:val="none" w:sz="0" w:space="0" w:color="auto"/>
        <w:bottom w:val="none" w:sz="0" w:space="0" w:color="auto"/>
        <w:right w:val="none" w:sz="0" w:space="0" w:color="auto"/>
      </w:divBdr>
    </w:div>
    <w:div w:id="107361869">
      <w:bodyDiv w:val="1"/>
      <w:marLeft w:val="0"/>
      <w:marRight w:val="0"/>
      <w:marTop w:val="0"/>
      <w:marBottom w:val="0"/>
      <w:divBdr>
        <w:top w:val="none" w:sz="0" w:space="0" w:color="auto"/>
        <w:left w:val="none" w:sz="0" w:space="0" w:color="auto"/>
        <w:bottom w:val="none" w:sz="0" w:space="0" w:color="auto"/>
        <w:right w:val="none" w:sz="0" w:space="0" w:color="auto"/>
      </w:divBdr>
    </w:div>
    <w:div w:id="134569407">
      <w:bodyDiv w:val="1"/>
      <w:marLeft w:val="0"/>
      <w:marRight w:val="0"/>
      <w:marTop w:val="0"/>
      <w:marBottom w:val="0"/>
      <w:divBdr>
        <w:top w:val="none" w:sz="0" w:space="0" w:color="auto"/>
        <w:left w:val="none" w:sz="0" w:space="0" w:color="auto"/>
        <w:bottom w:val="none" w:sz="0" w:space="0" w:color="auto"/>
        <w:right w:val="none" w:sz="0" w:space="0" w:color="auto"/>
      </w:divBdr>
    </w:div>
    <w:div w:id="136073614">
      <w:bodyDiv w:val="1"/>
      <w:marLeft w:val="0"/>
      <w:marRight w:val="0"/>
      <w:marTop w:val="0"/>
      <w:marBottom w:val="0"/>
      <w:divBdr>
        <w:top w:val="none" w:sz="0" w:space="0" w:color="auto"/>
        <w:left w:val="none" w:sz="0" w:space="0" w:color="auto"/>
        <w:bottom w:val="none" w:sz="0" w:space="0" w:color="auto"/>
        <w:right w:val="none" w:sz="0" w:space="0" w:color="auto"/>
      </w:divBdr>
    </w:div>
    <w:div w:id="188690926">
      <w:bodyDiv w:val="1"/>
      <w:marLeft w:val="0"/>
      <w:marRight w:val="0"/>
      <w:marTop w:val="0"/>
      <w:marBottom w:val="0"/>
      <w:divBdr>
        <w:top w:val="none" w:sz="0" w:space="0" w:color="auto"/>
        <w:left w:val="none" w:sz="0" w:space="0" w:color="auto"/>
        <w:bottom w:val="none" w:sz="0" w:space="0" w:color="auto"/>
        <w:right w:val="none" w:sz="0" w:space="0" w:color="auto"/>
      </w:divBdr>
    </w:div>
    <w:div w:id="226459535">
      <w:bodyDiv w:val="1"/>
      <w:marLeft w:val="0"/>
      <w:marRight w:val="0"/>
      <w:marTop w:val="0"/>
      <w:marBottom w:val="0"/>
      <w:divBdr>
        <w:top w:val="none" w:sz="0" w:space="0" w:color="auto"/>
        <w:left w:val="none" w:sz="0" w:space="0" w:color="auto"/>
        <w:bottom w:val="none" w:sz="0" w:space="0" w:color="auto"/>
        <w:right w:val="none" w:sz="0" w:space="0" w:color="auto"/>
      </w:divBdr>
    </w:div>
    <w:div w:id="241767038">
      <w:bodyDiv w:val="1"/>
      <w:marLeft w:val="0"/>
      <w:marRight w:val="0"/>
      <w:marTop w:val="0"/>
      <w:marBottom w:val="0"/>
      <w:divBdr>
        <w:top w:val="none" w:sz="0" w:space="0" w:color="auto"/>
        <w:left w:val="none" w:sz="0" w:space="0" w:color="auto"/>
        <w:bottom w:val="none" w:sz="0" w:space="0" w:color="auto"/>
        <w:right w:val="none" w:sz="0" w:space="0" w:color="auto"/>
      </w:divBdr>
    </w:div>
    <w:div w:id="244918012">
      <w:bodyDiv w:val="1"/>
      <w:marLeft w:val="0"/>
      <w:marRight w:val="0"/>
      <w:marTop w:val="0"/>
      <w:marBottom w:val="0"/>
      <w:divBdr>
        <w:top w:val="none" w:sz="0" w:space="0" w:color="auto"/>
        <w:left w:val="none" w:sz="0" w:space="0" w:color="auto"/>
        <w:bottom w:val="none" w:sz="0" w:space="0" w:color="auto"/>
        <w:right w:val="none" w:sz="0" w:space="0" w:color="auto"/>
      </w:divBdr>
    </w:div>
    <w:div w:id="265624473">
      <w:bodyDiv w:val="1"/>
      <w:marLeft w:val="0"/>
      <w:marRight w:val="0"/>
      <w:marTop w:val="0"/>
      <w:marBottom w:val="0"/>
      <w:divBdr>
        <w:top w:val="none" w:sz="0" w:space="0" w:color="auto"/>
        <w:left w:val="none" w:sz="0" w:space="0" w:color="auto"/>
        <w:bottom w:val="none" w:sz="0" w:space="0" w:color="auto"/>
        <w:right w:val="none" w:sz="0" w:space="0" w:color="auto"/>
      </w:divBdr>
    </w:div>
    <w:div w:id="289940874">
      <w:bodyDiv w:val="1"/>
      <w:marLeft w:val="0"/>
      <w:marRight w:val="0"/>
      <w:marTop w:val="0"/>
      <w:marBottom w:val="0"/>
      <w:divBdr>
        <w:top w:val="none" w:sz="0" w:space="0" w:color="auto"/>
        <w:left w:val="none" w:sz="0" w:space="0" w:color="auto"/>
        <w:bottom w:val="none" w:sz="0" w:space="0" w:color="auto"/>
        <w:right w:val="none" w:sz="0" w:space="0" w:color="auto"/>
      </w:divBdr>
    </w:div>
    <w:div w:id="335034351">
      <w:bodyDiv w:val="1"/>
      <w:marLeft w:val="0"/>
      <w:marRight w:val="0"/>
      <w:marTop w:val="0"/>
      <w:marBottom w:val="0"/>
      <w:divBdr>
        <w:top w:val="none" w:sz="0" w:space="0" w:color="auto"/>
        <w:left w:val="none" w:sz="0" w:space="0" w:color="auto"/>
        <w:bottom w:val="none" w:sz="0" w:space="0" w:color="auto"/>
        <w:right w:val="none" w:sz="0" w:space="0" w:color="auto"/>
      </w:divBdr>
    </w:div>
    <w:div w:id="352926075">
      <w:bodyDiv w:val="1"/>
      <w:marLeft w:val="0"/>
      <w:marRight w:val="0"/>
      <w:marTop w:val="0"/>
      <w:marBottom w:val="0"/>
      <w:divBdr>
        <w:top w:val="none" w:sz="0" w:space="0" w:color="auto"/>
        <w:left w:val="none" w:sz="0" w:space="0" w:color="auto"/>
        <w:bottom w:val="none" w:sz="0" w:space="0" w:color="auto"/>
        <w:right w:val="none" w:sz="0" w:space="0" w:color="auto"/>
      </w:divBdr>
    </w:div>
    <w:div w:id="386297414">
      <w:bodyDiv w:val="1"/>
      <w:marLeft w:val="30"/>
      <w:marRight w:val="30"/>
      <w:marTop w:val="0"/>
      <w:marBottom w:val="0"/>
      <w:divBdr>
        <w:top w:val="none" w:sz="0" w:space="0" w:color="auto"/>
        <w:left w:val="none" w:sz="0" w:space="0" w:color="auto"/>
        <w:bottom w:val="none" w:sz="0" w:space="0" w:color="auto"/>
        <w:right w:val="none" w:sz="0" w:space="0" w:color="auto"/>
      </w:divBdr>
      <w:divsChild>
        <w:div w:id="1259753094">
          <w:marLeft w:val="0"/>
          <w:marRight w:val="0"/>
          <w:marTop w:val="0"/>
          <w:marBottom w:val="0"/>
          <w:divBdr>
            <w:top w:val="none" w:sz="0" w:space="0" w:color="auto"/>
            <w:left w:val="none" w:sz="0" w:space="0" w:color="auto"/>
            <w:bottom w:val="none" w:sz="0" w:space="0" w:color="auto"/>
            <w:right w:val="none" w:sz="0" w:space="0" w:color="auto"/>
          </w:divBdr>
          <w:divsChild>
            <w:div w:id="2092505121">
              <w:marLeft w:val="0"/>
              <w:marRight w:val="0"/>
              <w:marTop w:val="0"/>
              <w:marBottom w:val="0"/>
              <w:divBdr>
                <w:top w:val="none" w:sz="0" w:space="0" w:color="auto"/>
                <w:left w:val="none" w:sz="0" w:space="0" w:color="auto"/>
                <w:bottom w:val="none" w:sz="0" w:space="0" w:color="auto"/>
                <w:right w:val="none" w:sz="0" w:space="0" w:color="auto"/>
              </w:divBdr>
              <w:divsChild>
                <w:div w:id="1786458409">
                  <w:marLeft w:val="180"/>
                  <w:marRight w:val="0"/>
                  <w:marTop w:val="0"/>
                  <w:marBottom w:val="0"/>
                  <w:divBdr>
                    <w:top w:val="none" w:sz="0" w:space="0" w:color="auto"/>
                    <w:left w:val="none" w:sz="0" w:space="0" w:color="auto"/>
                    <w:bottom w:val="none" w:sz="0" w:space="0" w:color="auto"/>
                    <w:right w:val="none" w:sz="0" w:space="0" w:color="auto"/>
                  </w:divBdr>
                  <w:divsChild>
                    <w:div w:id="12423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025300">
      <w:bodyDiv w:val="1"/>
      <w:marLeft w:val="0"/>
      <w:marRight w:val="0"/>
      <w:marTop w:val="0"/>
      <w:marBottom w:val="0"/>
      <w:divBdr>
        <w:top w:val="none" w:sz="0" w:space="0" w:color="auto"/>
        <w:left w:val="none" w:sz="0" w:space="0" w:color="auto"/>
        <w:bottom w:val="none" w:sz="0" w:space="0" w:color="auto"/>
        <w:right w:val="none" w:sz="0" w:space="0" w:color="auto"/>
      </w:divBdr>
    </w:div>
    <w:div w:id="450126199">
      <w:bodyDiv w:val="1"/>
      <w:marLeft w:val="0"/>
      <w:marRight w:val="0"/>
      <w:marTop w:val="0"/>
      <w:marBottom w:val="0"/>
      <w:divBdr>
        <w:top w:val="none" w:sz="0" w:space="0" w:color="auto"/>
        <w:left w:val="none" w:sz="0" w:space="0" w:color="auto"/>
        <w:bottom w:val="none" w:sz="0" w:space="0" w:color="auto"/>
        <w:right w:val="none" w:sz="0" w:space="0" w:color="auto"/>
      </w:divBdr>
    </w:div>
    <w:div w:id="450981573">
      <w:bodyDiv w:val="1"/>
      <w:marLeft w:val="0"/>
      <w:marRight w:val="0"/>
      <w:marTop w:val="0"/>
      <w:marBottom w:val="0"/>
      <w:divBdr>
        <w:top w:val="none" w:sz="0" w:space="0" w:color="auto"/>
        <w:left w:val="none" w:sz="0" w:space="0" w:color="auto"/>
        <w:bottom w:val="none" w:sz="0" w:space="0" w:color="auto"/>
        <w:right w:val="none" w:sz="0" w:space="0" w:color="auto"/>
      </w:divBdr>
    </w:div>
    <w:div w:id="456487533">
      <w:bodyDiv w:val="1"/>
      <w:marLeft w:val="0"/>
      <w:marRight w:val="0"/>
      <w:marTop w:val="0"/>
      <w:marBottom w:val="0"/>
      <w:divBdr>
        <w:top w:val="none" w:sz="0" w:space="0" w:color="auto"/>
        <w:left w:val="none" w:sz="0" w:space="0" w:color="auto"/>
        <w:bottom w:val="none" w:sz="0" w:space="0" w:color="auto"/>
        <w:right w:val="none" w:sz="0" w:space="0" w:color="auto"/>
      </w:divBdr>
    </w:div>
    <w:div w:id="470253123">
      <w:bodyDiv w:val="1"/>
      <w:marLeft w:val="0"/>
      <w:marRight w:val="0"/>
      <w:marTop w:val="0"/>
      <w:marBottom w:val="0"/>
      <w:divBdr>
        <w:top w:val="none" w:sz="0" w:space="0" w:color="auto"/>
        <w:left w:val="none" w:sz="0" w:space="0" w:color="auto"/>
        <w:bottom w:val="none" w:sz="0" w:space="0" w:color="auto"/>
        <w:right w:val="none" w:sz="0" w:space="0" w:color="auto"/>
      </w:divBdr>
    </w:div>
    <w:div w:id="474563406">
      <w:bodyDiv w:val="1"/>
      <w:marLeft w:val="0"/>
      <w:marRight w:val="0"/>
      <w:marTop w:val="0"/>
      <w:marBottom w:val="0"/>
      <w:divBdr>
        <w:top w:val="none" w:sz="0" w:space="0" w:color="auto"/>
        <w:left w:val="none" w:sz="0" w:space="0" w:color="auto"/>
        <w:bottom w:val="none" w:sz="0" w:space="0" w:color="auto"/>
        <w:right w:val="none" w:sz="0" w:space="0" w:color="auto"/>
      </w:divBdr>
    </w:div>
    <w:div w:id="497234372">
      <w:bodyDiv w:val="1"/>
      <w:marLeft w:val="0"/>
      <w:marRight w:val="0"/>
      <w:marTop w:val="0"/>
      <w:marBottom w:val="0"/>
      <w:divBdr>
        <w:top w:val="none" w:sz="0" w:space="0" w:color="auto"/>
        <w:left w:val="none" w:sz="0" w:space="0" w:color="auto"/>
        <w:bottom w:val="none" w:sz="0" w:space="0" w:color="auto"/>
        <w:right w:val="none" w:sz="0" w:space="0" w:color="auto"/>
      </w:divBdr>
    </w:div>
    <w:div w:id="505631887">
      <w:bodyDiv w:val="1"/>
      <w:marLeft w:val="0"/>
      <w:marRight w:val="0"/>
      <w:marTop w:val="0"/>
      <w:marBottom w:val="0"/>
      <w:divBdr>
        <w:top w:val="none" w:sz="0" w:space="0" w:color="auto"/>
        <w:left w:val="none" w:sz="0" w:space="0" w:color="auto"/>
        <w:bottom w:val="none" w:sz="0" w:space="0" w:color="auto"/>
        <w:right w:val="none" w:sz="0" w:space="0" w:color="auto"/>
      </w:divBdr>
    </w:div>
    <w:div w:id="524900413">
      <w:bodyDiv w:val="1"/>
      <w:marLeft w:val="0"/>
      <w:marRight w:val="0"/>
      <w:marTop w:val="0"/>
      <w:marBottom w:val="0"/>
      <w:divBdr>
        <w:top w:val="none" w:sz="0" w:space="0" w:color="auto"/>
        <w:left w:val="none" w:sz="0" w:space="0" w:color="auto"/>
        <w:bottom w:val="none" w:sz="0" w:space="0" w:color="auto"/>
        <w:right w:val="none" w:sz="0" w:space="0" w:color="auto"/>
      </w:divBdr>
    </w:div>
    <w:div w:id="527766693">
      <w:bodyDiv w:val="1"/>
      <w:marLeft w:val="0"/>
      <w:marRight w:val="0"/>
      <w:marTop w:val="0"/>
      <w:marBottom w:val="0"/>
      <w:divBdr>
        <w:top w:val="none" w:sz="0" w:space="0" w:color="auto"/>
        <w:left w:val="none" w:sz="0" w:space="0" w:color="auto"/>
        <w:bottom w:val="none" w:sz="0" w:space="0" w:color="auto"/>
        <w:right w:val="none" w:sz="0" w:space="0" w:color="auto"/>
      </w:divBdr>
    </w:div>
    <w:div w:id="555048915">
      <w:bodyDiv w:val="1"/>
      <w:marLeft w:val="0"/>
      <w:marRight w:val="0"/>
      <w:marTop w:val="0"/>
      <w:marBottom w:val="0"/>
      <w:divBdr>
        <w:top w:val="none" w:sz="0" w:space="0" w:color="auto"/>
        <w:left w:val="none" w:sz="0" w:space="0" w:color="auto"/>
        <w:bottom w:val="none" w:sz="0" w:space="0" w:color="auto"/>
        <w:right w:val="none" w:sz="0" w:space="0" w:color="auto"/>
      </w:divBdr>
    </w:div>
    <w:div w:id="616257216">
      <w:bodyDiv w:val="1"/>
      <w:marLeft w:val="0"/>
      <w:marRight w:val="0"/>
      <w:marTop w:val="0"/>
      <w:marBottom w:val="0"/>
      <w:divBdr>
        <w:top w:val="none" w:sz="0" w:space="0" w:color="auto"/>
        <w:left w:val="none" w:sz="0" w:space="0" w:color="auto"/>
        <w:bottom w:val="none" w:sz="0" w:space="0" w:color="auto"/>
        <w:right w:val="none" w:sz="0" w:space="0" w:color="auto"/>
      </w:divBdr>
    </w:div>
    <w:div w:id="639185883">
      <w:bodyDiv w:val="1"/>
      <w:marLeft w:val="0"/>
      <w:marRight w:val="0"/>
      <w:marTop w:val="0"/>
      <w:marBottom w:val="0"/>
      <w:divBdr>
        <w:top w:val="none" w:sz="0" w:space="0" w:color="auto"/>
        <w:left w:val="none" w:sz="0" w:space="0" w:color="auto"/>
        <w:bottom w:val="none" w:sz="0" w:space="0" w:color="auto"/>
        <w:right w:val="none" w:sz="0" w:space="0" w:color="auto"/>
      </w:divBdr>
    </w:div>
    <w:div w:id="667489967">
      <w:bodyDiv w:val="1"/>
      <w:marLeft w:val="0"/>
      <w:marRight w:val="0"/>
      <w:marTop w:val="0"/>
      <w:marBottom w:val="0"/>
      <w:divBdr>
        <w:top w:val="none" w:sz="0" w:space="0" w:color="auto"/>
        <w:left w:val="none" w:sz="0" w:space="0" w:color="auto"/>
        <w:bottom w:val="none" w:sz="0" w:space="0" w:color="auto"/>
        <w:right w:val="none" w:sz="0" w:space="0" w:color="auto"/>
      </w:divBdr>
    </w:div>
    <w:div w:id="682130055">
      <w:bodyDiv w:val="1"/>
      <w:marLeft w:val="0"/>
      <w:marRight w:val="0"/>
      <w:marTop w:val="0"/>
      <w:marBottom w:val="0"/>
      <w:divBdr>
        <w:top w:val="none" w:sz="0" w:space="0" w:color="auto"/>
        <w:left w:val="none" w:sz="0" w:space="0" w:color="auto"/>
        <w:bottom w:val="none" w:sz="0" w:space="0" w:color="auto"/>
        <w:right w:val="none" w:sz="0" w:space="0" w:color="auto"/>
      </w:divBdr>
    </w:div>
    <w:div w:id="696078169">
      <w:bodyDiv w:val="1"/>
      <w:marLeft w:val="0"/>
      <w:marRight w:val="0"/>
      <w:marTop w:val="0"/>
      <w:marBottom w:val="0"/>
      <w:divBdr>
        <w:top w:val="none" w:sz="0" w:space="0" w:color="auto"/>
        <w:left w:val="none" w:sz="0" w:space="0" w:color="auto"/>
        <w:bottom w:val="none" w:sz="0" w:space="0" w:color="auto"/>
        <w:right w:val="none" w:sz="0" w:space="0" w:color="auto"/>
      </w:divBdr>
    </w:div>
    <w:div w:id="742533916">
      <w:bodyDiv w:val="1"/>
      <w:marLeft w:val="0"/>
      <w:marRight w:val="0"/>
      <w:marTop w:val="0"/>
      <w:marBottom w:val="0"/>
      <w:divBdr>
        <w:top w:val="none" w:sz="0" w:space="0" w:color="auto"/>
        <w:left w:val="none" w:sz="0" w:space="0" w:color="auto"/>
        <w:bottom w:val="none" w:sz="0" w:space="0" w:color="auto"/>
        <w:right w:val="none" w:sz="0" w:space="0" w:color="auto"/>
      </w:divBdr>
    </w:div>
    <w:div w:id="750739089">
      <w:bodyDiv w:val="1"/>
      <w:marLeft w:val="0"/>
      <w:marRight w:val="0"/>
      <w:marTop w:val="0"/>
      <w:marBottom w:val="0"/>
      <w:divBdr>
        <w:top w:val="none" w:sz="0" w:space="0" w:color="auto"/>
        <w:left w:val="none" w:sz="0" w:space="0" w:color="auto"/>
        <w:bottom w:val="none" w:sz="0" w:space="0" w:color="auto"/>
        <w:right w:val="none" w:sz="0" w:space="0" w:color="auto"/>
      </w:divBdr>
      <w:divsChild>
        <w:div w:id="462385198">
          <w:marLeft w:val="0"/>
          <w:marRight w:val="0"/>
          <w:marTop w:val="0"/>
          <w:marBottom w:val="0"/>
          <w:divBdr>
            <w:top w:val="none" w:sz="0" w:space="0" w:color="auto"/>
            <w:left w:val="none" w:sz="0" w:space="0" w:color="auto"/>
            <w:bottom w:val="none" w:sz="0" w:space="0" w:color="auto"/>
            <w:right w:val="none" w:sz="0" w:space="0" w:color="auto"/>
          </w:divBdr>
        </w:div>
        <w:div w:id="829443472">
          <w:marLeft w:val="0"/>
          <w:marRight w:val="0"/>
          <w:marTop w:val="0"/>
          <w:marBottom w:val="0"/>
          <w:divBdr>
            <w:top w:val="none" w:sz="0" w:space="0" w:color="auto"/>
            <w:left w:val="none" w:sz="0" w:space="0" w:color="auto"/>
            <w:bottom w:val="none" w:sz="0" w:space="0" w:color="auto"/>
            <w:right w:val="none" w:sz="0" w:space="0" w:color="auto"/>
          </w:divBdr>
        </w:div>
        <w:div w:id="1280062580">
          <w:marLeft w:val="0"/>
          <w:marRight w:val="0"/>
          <w:marTop w:val="0"/>
          <w:marBottom w:val="0"/>
          <w:divBdr>
            <w:top w:val="none" w:sz="0" w:space="0" w:color="auto"/>
            <w:left w:val="none" w:sz="0" w:space="0" w:color="auto"/>
            <w:bottom w:val="none" w:sz="0" w:space="0" w:color="auto"/>
            <w:right w:val="none" w:sz="0" w:space="0" w:color="auto"/>
          </w:divBdr>
        </w:div>
        <w:div w:id="1676033566">
          <w:marLeft w:val="0"/>
          <w:marRight w:val="0"/>
          <w:marTop w:val="0"/>
          <w:marBottom w:val="0"/>
          <w:divBdr>
            <w:top w:val="none" w:sz="0" w:space="0" w:color="auto"/>
            <w:left w:val="none" w:sz="0" w:space="0" w:color="auto"/>
            <w:bottom w:val="none" w:sz="0" w:space="0" w:color="auto"/>
            <w:right w:val="none" w:sz="0" w:space="0" w:color="auto"/>
          </w:divBdr>
        </w:div>
        <w:div w:id="1688406028">
          <w:marLeft w:val="0"/>
          <w:marRight w:val="0"/>
          <w:marTop w:val="0"/>
          <w:marBottom w:val="0"/>
          <w:divBdr>
            <w:top w:val="none" w:sz="0" w:space="0" w:color="auto"/>
            <w:left w:val="none" w:sz="0" w:space="0" w:color="auto"/>
            <w:bottom w:val="none" w:sz="0" w:space="0" w:color="auto"/>
            <w:right w:val="none" w:sz="0" w:space="0" w:color="auto"/>
          </w:divBdr>
        </w:div>
      </w:divsChild>
    </w:div>
    <w:div w:id="784276412">
      <w:bodyDiv w:val="1"/>
      <w:marLeft w:val="30"/>
      <w:marRight w:val="30"/>
      <w:marTop w:val="0"/>
      <w:marBottom w:val="0"/>
      <w:divBdr>
        <w:top w:val="none" w:sz="0" w:space="0" w:color="auto"/>
        <w:left w:val="none" w:sz="0" w:space="0" w:color="auto"/>
        <w:bottom w:val="none" w:sz="0" w:space="0" w:color="auto"/>
        <w:right w:val="none" w:sz="0" w:space="0" w:color="auto"/>
      </w:divBdr>
      <w:divsChild>
        <w:div w:id="1559826564">
          <w:marLeft w:val="0"/>
          <w:marRight w:val="0"/>
          <w:marTop w:val="0"/>
          <w:marBottom w:val="0"/>
          <w:divBdr>
            <w:top w:val="none" w:sz="0" w:space="0" w:color="auto"/>
            <w:left w:val="none" w:sz="0" w:space="0" w:color="auto"/>
            <w:bottom w:val="none" w:sz="0" w:space="0" w:color="auto"/>
            <w:right w:val="none" w:sz="0" w:space="0" w:color="auto"/>
          </w:divBdr>
          <w:divsChild>
            <w:div w:id="1704477303">
              <w:marLeft w:val="0"/>
              <w:marRight w:val="0"/>
              <w:marTop w:val="0"/>
              <w:marBottom w:val="0"/>
              <w:divBdr>
                <w:top w:val="none" w:sz="0" w:space="0" w:color="auto"/>
                <w:left w:val="none" w:sz="0" w:space="0" w:color="auto"/>
                <w:bottom w:val="none" w:sz="0" w:space="0" w:color="auto"/>
                <w:right w:val="none" w:sz="0" w:space="0" w:color="auto"/>
              </w:divBdr>
              <w:divsChild>
                <w:div w:id="536892995">
                  <w:marLeft w:val="180"/>
                  <w:marRight w:val="0"/>
                  <w:marTop w:val="0"/>
                  <w:marBottom w:val="0"/>
                  <w:divBdr>
                    <w:top w:val="none" w:sz="0" w:space="0" w:color="auto"/>
                    <w:left w:val="none" w:sz="0" w:space="0" w:color="auto"/>
                    <w:bottom w:val="none" w:sz="0" w:space="0" w:color="auto"/>
                    <w:right w:val="none" w:sz="0" w:space="0" w:color="auto"/>
                  </w:divBdr>
                  <w:divsChild>
                    <w:div w:id="1123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218555">
      <w:bodyDiv w:val="1"/>
      <w:marLeft w:val="0"/>
      <w:marRight w:val="0"/>
      <w:marTop w:val="0"/>
      <w:marBottom w:val="0"/>
      <w:divBdr>
        <w:top w:val="none" w:sz="0" w:space="0" w:color="auto"/>
        <w:left w:val="none" w:sz="0" w:space="0" w:color="auto"/>
        <w:bottom w:val="none" w:sz="0" w:space="0" w:color="auto"/>
        <w:right w:val="none" w:sz="0" w:space="0" w:color="auto"/>
      </w:divBdr>
    </w:div>
    <w:div w:id="814250820">
      <w:bodyDiv w:val="1"/>
      <w:marLeft w:val="0"/>
      <w:marRight w:val="0"/>
      <w:marTop w:val="0"/>
      <w:marBottom w:val="0"/>
      <w:divBdr>
        <w:top w:val="none" w:sz="0" w:space="0" w:color="auto"/>
        <w:left w:val="none" w:sz="0" w:space="0" w:color="auto"/>
        <w:bottom w:val="none" w:sz="0" w:space="0" w:color="auto"/>
        <w:right w:val="none" w:sz="0" w:space="0" w:color="auto"/>
      </w:divBdr>
    </w:div>
    <w:div w:id="820999527">
      <w:bodyDiv w:val="1"/>
      <w:marLeft w:val="0"/>
      <w:marRight w:val="0"/>
      <w:marTop w:val="0"/>
      <w:marBottom w:val="0"/>
      <w:divBdr>
        <w:top w:val="none" w:sz="0" w:space="0" w:color="auto"/>
        <w:left w:val="none" w:sz="0" w:space="0" w:color="auto"/>
        <w:bottom w:val="none" w:sz="0" w:space="0" w:color="auto"/>
        <w:right w:val="none" w:sz="0" w:space="0" w:color="auto"/>
      </w:divBdr>
    </w:div>
    <w:div w:id="830025485">
      <w:bodyDiv w:val="1"/>
      <w:marLeft w:val="0"/>
      <w:marRight w:val="0"/>
      <w:marTop w:val="0"/>
      <w:marBottom w:val="0"/>
      <w:divBdr>
        <w:top w:val="none" w:sz="0" w:space="0" w:color="auto"/>
        <w:left w:val="none" w:sz="0" w:space="0" w:color="auto"/>
        <w:bottom w:val="none" w:sz="0" w:space="0" w:color="auto"/>
        <w:right w:val="none" w:sz="0" w:space="0" w:color="auto"/>
      </w:divBdr>
    </w:div>
    <w:div w:id="831335988">
      <w:bodyDiv w:val="1"/>
      <w:marLeft w:val="0"/>
      <w:marRight w:val="0"/>
      <w:marTop w:val="0"/>
      <w:marBottom w:val="0"/>
      <w:divBdr>
        <w:top w:val="none" w:sz="0" w:space="0" w:color="auto"/>
        <w:left w:val="none" w:sz="0" w:space="0" w:color="auto"/>
        <w:bottom w:val="none" w:sz="0" w:space="0" w:color="auto"/>
        <w:right w:val="none" w:sz="0" w:space="0" w:color="auto"/>
      </w:divBdr>
    </w:div>
    <w:div w:id="832335391">
      <w:bodyDiv w:val="1"/>
      <w:marLeft w:val="0"/>
      <w:marRight w:val="0"/>
      <w:marTop w:val="0"/>
      <w:marBottom w:val="0"/>
      <w:divBdr>
        <w:top w:val="none" w:sz="0" w:space="0" w:color="auto"/>
        <w:left w:val="none" w:sz="0" w:space="0" w:color="auto"/>
        <w:bottom w:val="none" w:sz="0" w:space="0" w:color="auto"/>
        <w:right w:val="none" w:sz="0" w:space="0" w:color="auto"/>
      </w:divBdr>
    </w:div>
    <w:div w:id="871917251">
      <w:bodyDiv w:val="1"/>
      <w:marLeft w:val="0"/>
      <w:marRight w:val="0"/>
      <w:marTop w:val="0"/>
      <w:marBottom w:val="0"/>
      <w:divBdr>
        <w:top w:val="none" w:sz="0" w:space="0" w:color="auto"/>
        <w:left w:val="none" w:sz="0" w:space="0" w:color="auto"/>
        <w:bottom w:val="none" w:sz="0" w:space="0" w:color="auto"/>
        <w:right w:val="none" w:sz="0" w:space="0" w:color="auto"/>
      </w:divBdr>
    </w:div>
    <w:div w:id="883102083">
      <w:bodyDiv w:val="1"/>
      <w:marLeft w:val="0"/>
      <w:marRight w:val="0"/>
      <w:marTop w:val="0"/>
      <w:marBottom w:val="0"/>
      <w:divBdr>
        <w:top w:val="none" w:sz="0" w:space="0" w:color="auto"/>
        <w:left w:val="none" w:sz="0" w:space="0" w:color="auto"/>
        <w:bottom w:val="none" w:sz="0" w:space="0" w:color="auto"/>
        <w:right w:val="none" w:sz="0" w:space="0" w:color="auto"/>
      </w:divBdr>
    </w:div>
    <w:div w:id="929236452">
      <w:bodyDiv w:val="1"/>
      <w:marLeft w:val="0"/>
      <w:marRight w:val="0"/>
      <w:marTop w:val="0"/>
      <w:marBottom w:val="0"/>
      <w:divBdr>
        <w:top w:val="none" w:sz="0" w:space="0" w:color="auto"/>
        <w:left w:val="none" w:sz="0" w:space="0" w:color="auto"/>
        <w:bottom w:val="none" w:sz="0" w:space="0" w:color="auto"/>
        <w:right w:val="none" w:sz="0" w:space="0" w:color="auto"/>
      </w:divBdr>
    </w:div>
    <w:div w:id="988171256">
      <w:bodyDiv w:val="1"/>
      <w:marLeft w:val="0"/>
      <w:marRight w:val="0"/>
      <w:marTop w:val="0"/>
      <w:marBottom w:val="0"/>
      <w:divBdr>
        <w:top w:val="none" w:sz="0" w:space="0" w:color="auto"/>
        <w:left w:val="none" w:sz="0" w:space="0" w:color="auto"/>
        <w:bottom w:val="none" w:sz="0" w:space="0" w:color="auto"/>
        <w:right w:val="none" w:sz="0" w:space="0" w:color="auto"/>
      </w:divBdr>
    </w:div>
    <w:div w:id="999121518">
      <w:bodyDiv w:val="1"/>
      <w:marLeft w:val="0"/>
      <w:marRight w:val="0"/>
      <w:marTop w:val="0"/>
      <w:marBottom w:val="0"/>
      <w:divBdr>
        <w:top w:val="none" w:sz="0" w:space="0" w:color="auto"/>
        <w:left w:val="none" w:sz="0" w:space="0" w:color="auto"/>
        <w:bottom w:val="none" w:sz="0" w:space="0" w:color="auto"/>
        <w:right w:val="none" w:sz="0" w:space="0" w:color="auto"/>
      </w:divBdr>
    </w:div>
    <w:div w:id="1035273250">
      <w:bodyDiv w:val="1"/>
      <w:marLeft w:val="0"/>
      <w:marRight w:val="0"/>
      <w:marTop w:val="0"/>
      <w:marBottom w:val="0"/>
      <w:divBdr>
        <w:top w:val="none" w:sz="0" w:space="0" w:color="auto"/>
        <w:left w:val="none" w:sz="0" w:space="0" w:color="auto"/>
        <w:bottom w:val="none" w:sz="0" w:space="0" w:color="auto"/>
        <w:right w:val="none" w:sz="0" w:space="0" w:color="auto"/>
      </w:divBdr>
      <w:divsChild>
        <w:div w:id="1663311328">
          <w:marLeft w:val="0"/>
          <w:marRight w:val="0"/>
          <w:marTop w:val="0"/>
          <w:marBottom w:val="0"/>
          <w:divBdr>
            <w:top w:val="none" w:sz="0" w:space="0" w:color="auto"/>
            <w:left w:val="none" w:sz="0" w:space="0" w:color="auto"/>
            <w:bottom w:val="none" w:sz="0" w:space="0" w:color="auto"/>
            <w:right w:val="none" w:sz="0" w:space="0" w:color="auto"/>
          </w:divBdr>
          <w:divsChild>
            <w:div w:id="10439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79">
      <w:bodyDiv w:val="1"/>
      <w:marLeft w:val="0"/>
      <w:marRight w:val="0"/>
      <w:marTop w:val="0"/>
      <w:marBottom w:val="0"/>
      <w:divBdr>
        <w:top w:val="none" w:sz="0" w:space="0" w:color="auto"/>
        <w:left w:val="none" w:sz="0" w:space="0" w:color="auto"/>
        <w:bottom w:val="none" w:sz="0" w:space="0" w:color="auto"/>
        <w:right w:val="none" w:sz="0" w:space="0" w:color="auto"/>
      </w:divBdr>
    </w:div>
    <w:div w:id="1206331885">
      <w:bodyDiv w:val="1"/>
      <w:marLeft w:val="0"/>
      <w:marRight w:val="0"/>
      <w:marTop w:val="0"/>
      <w:marBottom w:val="0"/>
      <w:divBdr>
        <w:top w:val="none" w:sz="0" w:space="0" w:color="auto"/>
        <w:left w:val="none" w:sz="0" w:space="0" w:color="auto"/>
        <w:bottom w:val="none" w:sz="0" w:space="0" w:color="auto"/>
        <w:right w:val="none" w:sz="0" w:space="0" w:color="auto"/>
      </w:divBdr>
    </w:div>
    <w:div w:id="1217010296">
      <w:bodyDiv w:val="1"/>
      <w:marLeft w:val="0"/>
      <w:marRight w:val="0"/>
      <w:marTop w:val="0"/>
      <w:marBottom w:val="0"/>
      <w:divBdr>
        <w:top w:val="none" w:sz="0" w:space="0" w:color="auto"/>
        <w:left w:val="none" w:sz="0" w:space="0" w:color="auto"/>
        <w:bottom w:val="none" w:sz="0" w:space="0" w:color="auto"/>
        <w:right w:val="none" w:sz="0" w:space="0" w:color="auto"/>
      </w:divBdr>
    </w:div>
    <w:div w:id="1226333010">
      <w:bodyDiv w:val="1"/>
      <w:marLeft w:val="0"/>
      <w:marRight w:val="0"/>
      <w:marTop w:val="0"/>
      <w:marBottom w:val="0"/>
      <w:divBdr>
        <w:top w:val="none" w:sz="0" w:space="0" w:color="auto"/>
        <w:left w:val="none" w:sz="0" w:space="0" w:color="auto"/>
        <w:bottom w:val="none" w:sz="0" w:space="0" w:color="auto"/>
        <w:right w:val="none" w:sz="0" w:space="0" w:color="auto"/>
      </w:divBdr>
    </w:div>
    <w:div w:id="1257328508">
      <w:bodyDiv w:val="1"/>
      <w:marLeft w:val="0"/>
      <w:marRight w:val="0"/>
      <w:marTop w:val="0"/>
      <w:marBottom w:val="0"/>
      <w:divBdr>
        <w:top w:val="none" w:sz="0" w:space="0" w:color="auto"/>
        <w:left w:val="none" w:sz="0" w:space="0" w:color="auto"/>
        <w:bottom w:val="none" w:sz="0" w:space="0" w:color="auto"/>
        <w:right w:val="none" w:sz="0" w:space="0" w:color="auto"/>
      </w:divBdr>
    </w:div>
    <w:div w:id="1257906615">
      <w:bodyDiv w:val="1"/>
      <w:marLeft w:val="0"/>
      <w:marRight w:val="0"/>
      <w:marTop w:val="0"/>
      <w:marBottom w:val="0"/>
      <w:divBdr>
        <w:top w:val="none" w:sz="0" w:space="0" w:color="auto"/>
        <w:left w:val="none" w:sz="0" w:space="0" w:color="auto"/>
        <w:bottom w:val="none" w:sz="0" w:space="0" w:color="auto"/>
        <w:right w:val="none" w:sz="0" w:space="0" w:color="auto"/>
      </w:divBdr>
    </w:div>
    <w:div w:id="1261182091">
      <w:bodyDiv w:val="1"/>
      <w:marLeft w:val="0"/>
      <w:marRight w:val="0"/>
      <w:marTop w:val="0"/>
      <w:marBottom w:val="0"/>
      <w:divBdr>
        <w:top w:val="none" w:sz="0" w:space="0" w:color="auto"/>
        <w:left w:val="none" w:sz="0" w:space="0" w:color="auto"/>
        <w:bottom w:val="none" w:sz="0" w:space="0" w:color="auto"/>
        <w:right w:val="none" w:sz="0" w:space="0" w:color="auto"/>
      </w:divBdr>
    </w:div>
    <w:div w:id="1281961415">
      <w:bodyDiv w:val="1"/>
      <w:marLeft w:val="0"/>
      <w:marRight w:val="0"/>
      <w:marTop w:val="0"/>
      <w:marBottom w:val="0"/>
      <w:divBdr>
        <w:top w:val="none" w:sz="0" w:space="0" w:color="auto"/>
        <w:left w:val="none" w:sz="0" w:space="0" w:color="auto"/>
        <w:bottom w:val="none" w:sz="0" w:space="0" w:color="auto"/>
        <w:right w:val="none" w:sz="0" w:space="0" w:color="auto"/>
      </w:divBdr>
    </w:div>
    <w:div w:id="1321036834">
      <w:bodyDiv w:val="1"/>
      <w:marLeft w:val="0"/>
      <w:marRight w:val="0"/>
      <w:marTop w:val="0"/>
      <w:marBottom w:val="0"/>
      <w:divBdr>
        <w:top w:val="none" w:sz="0" w:space="0" w:color="auto"/>
        <w:left w:val="none" w:sz="0" w:space="0" w:color="auto"/>
        <w:bottom w:val="none" w:sz="0" w:space="0" w:color="auto"/>
        <w:right w:val="none" w:sz="0" w:space="0" w:color="auto"/>
      </w:divBdr>
    </w:div>
    <w:div w:id="1406337999">
      <w:bodyDiv w:val="1"/>
      <w:marLeft w:val="0"/>
      <w:marRight w:val="0"/>
      <w:marTop w:val="0"/>
      <w:marBottom w:val="0"/>
      <w:divBdr>
        <w:top w:val="none" w:sz="0" w:space="0" w:color="auto"/>
        <w:left w:val="none" w:sz="0" w:space="0" w:color="auto"/>
        <w:bottom w:val="none" w:sz="0" w:space="0" w:color="auto"/>
        <w:right w:val="none" w:sz="0" w:space="0" w:color="auto"/>
      </w:divBdr>
    </w:div>
    <w:div w:id="1423137705">
      <w:bodyDiv w:val="1"/>
      <w:marLeft w:val="0"/>
      <w:marRight w:val="0"/>
      <w:marTop w:val="0"/>
      <w:marBottom w:val="0"/>
      <w:divBdr>
        <w:top w:val="none" w:sz="0" w:space="0" w:color="auto"/>
        <w:left w:val="none" w:sz="0" w:space="0" w:color="auto"/>
        <w:bottom w:val="none" w:sz="0" w:space="0" w:color="auto"/>
        <w:right w:val="none" w:sz="0" w:space="0" w:color="auto"/>
      </w:divBdr>
    </w:div>
    <w:div w:id="1444376119">
      <w:bodyDiv w:val="1"/>
      <w:marLeft w:val="0"/>
      <w:marRight w:val="0"/>
      <w:marTop w:val="0"/>
      <w:marBottom w:val="0"/>
      <w:divBdr>
        <w:top w:val="none" w:sz="0" w:space="0" w:color="auto"/>
        <w:left w:val="none" w:sz="0" w:space="0" w:color="auto"/>
        <w:bottom w:val="none" w:sz="0" w:space="0" w:color="auto"/>
        <w:right w:val="none" w:sz="0" w:space="0" w:color="auto"/>
      </w:divBdr>
    </w:div>
    <w:div w:id="1445728110">
      <w:bodyDiv w:val="1"/>
      <w:marLeft w:val="0"/>
      <w:marRight w:val="0"/>
      <w:marTop w:val="0"/>
      <w:marBottom w:val="0"/>
      <w:divBdr>
        <w:top w:val="none" w:sz="0" w:space="0" w:color="auto"/>
        <w:left w:val="none" w:sz="0" w:space="0" w:color="auto"/>
        <w:bottom w:val="none" w:sz="0" w:space="0" w:color="auto"/>
        <w:right w:val="none" w:sz="0" w:space="0" w:color="auto"/>
      </w:divBdr>
    </w:div>
    <w:div w:id="1447965249">
      <w:bodyDiv w:val="1"/>
      <w:marLeft w:val="0"/>
      <w:marRight w:val="0"/>
      <w:marTop w:val="0"/>
      <w:marBottom w:val="0"/>
      <w:divBdr>
        <w:top w:val="none" w:sz="0" w:space="0" w:color="auto"/>
        <w:left w:val="none" w:sz="0" w:space="0" w:color="auto"/>
        <w:bottom w:val="none" w:sz="0" w:space="0" w:color="auto"/>
        <w:right w:val="none" w:sz="0" w:space="0" w:color="auto"/>
      </w:divBdr>
    </w:div>
    <w:div w:id="1469398833">
      <w:bodyDiv w:val="1"/>
      <w:marLeft w:val="0"/>
      <w:marRight w:val="0"/>
      <w:marTop w:val="0"/>
      <w:marBottom w:val="0"/>
      <w:divBdr>
        <w:top w:val="none" w:sz="0" w:space="0" w:color="auto"/>
        <w:left w:val="none" w:sz="0" w:space="0" w:color="auto"/>
        <w:bottom w:val="none" w:sz="0" w:space="0" w:color="auto"/>
        <w:right w:val="none" w:sz="0" w:space="0" w:color="auto"/>
      </w:divBdr>
    </w:div>
    <w:div w:id="1481994644">
      <w:bodyDiv w:val="1"/>
      <w:marLeft w:val="0"/>
      <w:marRight w:val="0"/>
      <w:marTop w:val="0"/>
      <w:marBottom w:val="0"/>
      <w:divBdr>
        <w:top w:val="none" w:sz="0" w:space="0" w:color="auto"/>
        <w:left w:val="none" w:sz="0" w:space="0" w:color="auto"/>
        <w:bottom w:val="none" w:sz="0" w:space="0" w:color="auto"/>
        <w:right w:val="none" w:sz="0" w:space="0" w:color="auto"/>
      </w:divBdr>
    </w:div>
    <w:div w:id="1488787866">
      <w:bodyDiv w:val="1"/>
      <w:marLeft w:val="0"/>
      <w:marRight w:val="0"/>
      <w:marTop w:val="0"/>
      <w:marBottom w:val="0"/>
      <w:divBdr>
        <w:top w:val="none" w:sz="0" w:space="0" w:color="auto"/>
        <w:left w:val="none" w:sz="0" w:space="0" w:color="auto"/>
        <w:bottom w:val="none" w:sz="0" w:space="0" w:color="auto"/>
        <w:right w:val="none" w:sz="0" w:space="0" w:color="auto"/>
      </w:divBdr>
    </w:div>
    <w:div w:id="1505514409">
      <w:bodyDiv w:val="1"/>
      <w:marLeft w:val="0"/>
      <w:marRight w:val="0"/>
      <w:marTop w:val="0"/>
      <w:marBottom w:val="0"/>
      <w:divBdr>
        <w:top w:val="none" w:sz="0" w:space="0" w:color="auto"/>
        <w:left w:val="none" w:sz="0" w:space="0" w:color="auto"/>
        <w:bottom w:val="none" w:sz="0" w:space="0" w:color="auto"/>
        <w:right w:val="none" w:sz="0" w:space="0" w:color="auto"/>
      </w:divBdr>
    </w:div>
    <w:div w:id="1551841787">
      <w:bodyDiv w:val="1"/>
      <w:marLeft w:val="0"/>
      <w:marRight w:val="0"/>
      <w:marTop w:val="0"/>
      <w:marBottom w:val="0"/>
      <w:divBdr>
        <w:top w:val="none" w:sz="0" w:space="0" w:color="auto"/>
        <w:left w:val="none" w:sz="0" w:space="0" w:color="auto"/>
        <w:bottom w:val="none" w:sz="0" w:space="0" w:color="auto"/>
        <w:right w:val="none" w:sz="0" w:space="0" w:color="auto"/>
      </w:divBdr>
    </w:div>
    <w:div w:id="1666978221">
      <w:bodyDiv w:val="1"/>
      <w:marLeft w:val="0"/>
      <w:marRight w:val="0"/>
      <w:marTop w:val="0"/>
      <w:marBottom w:val="0"/>
      <w:divBdr>
        <w:top w:val="none" w:sz="0" w:space="0" w:color="auto"/>
        <w:left w:val="none" w:sz="0" w:space="0" w:color="auto"/>
        <w:bottom w:val="none" w:sz="0" w:space="0" w:color="auto"/>
        <w:right w:val="none" w:sz="0" w:space="0" w:color="auto"/>
      </w:divBdr>
    </w:div>
    <w:div w:id="1738436864">
      <w:bodyDiv w:val="1"/>
      <w:marLeft w:val="0"/>
      <w:marRight w:val="0"/>
      <w:marTop w:val="0"/>
      <w:marBottom w:val="0"/>
      <w:divBdr>
        <w:top w:val="none" w:sz="0" w:space="0" w:color="auto"/>
        <w:left w:val="none" w:sz="0" w:space="0" w:color="auto"/>
        <w:bottom w:val="none" w:sz="0" w:space="0" w:color="auto"/>
        <w:right w:val="none" w:sz="0" w:space="0" w:color="auto"/>
      </w:divBdr>
    </w:div>
    <w:div w:id="1744326870">
      <w:bodyDiv w:val="1"/>
      <w:marLeft w:val="0"/>
      <w:marRight w:val="0"/>
      <w:marTop w:val="0"/>
      <w:marBottom w:val="0"/>
      <w:divBdr>
        <w:top w:val="none" w:sz="0" w:space="0" w:color="auto"/>
        <w:left w:val="none" w:sz="0" w:space="0" w:color="auto"/>
        <w:bottom w:val="none" w:sz="0" w:space="0" w:color="auto"/>
        <w:right w:val="none" w:sz="0" w:space="0" w:color="auto"/>
      </w:divBdr>
    </w:div>
    <w:div w:id="1754426475">
      <w:bodyDiv w:val="1"/>
      <w:marLeft w:val="0"/>
      <w:marRight w:val="0"/>
      <w:marTop w:val="0"/>
      <w:marBottom w:val="0"/>
      <w:divBdr>
        <w:top w:val="none" w:sz="0" w:space="0" w:color="auto"/>
        <w:left w:val="none" w:sz="0" w:space="0" w:color="auto"/>
        <w:bottom w:val="none" w:sz="0" w:space="0" w:color="auto"/>
        <w:right w:val="none" w:sz="0" w:space="0" w:color="auto"/>
      </w:divBdr>
    </w:div>
    <w:div w:id="1765420530">
      <w:bodyDiv w:val="1"/>
      <w:marLeft w:val="0"/>
      <w:marRight w:val="0"/>
      <w:marTop w:val="0"/>
      <w:marBottom w:val="0"/>
      <w:divBdr>
        <w:top w:val="none" w:sz="0" w:space="0" w:color="auto"/>
        <w:left w:val="none" w:sz="0" w:space="0" w:color="auto"/>
        <w:bottom w:val="none" w:sz="0" w:space="0" w:color="auto"/>
        <w:right w:val="none" w:sz="0" w:space="0" w:color="auto"/>
      </w:divBdr>
    </w:div>
    <w:div w:id="1829789875">
      <w:bodyDiv w:val="1"/>
      <w:marLeft w:val="0"/>
      <w:marRight w:val="0"/>
      <w:marTop w:val="0"/>
      <w:marBottom w:val="0"/>
      <w:divBdr>
        <w:top w:val="none" w:sz="0" w:space="0" w:color="auto"/>
        <w:left w:val="none" w:sz="0" w:space="0" w:color="auto"/>
        <w:bottom w:val="none" w:sz="0" w:space="0" w:color="auto"/>
        <w:right w:val="none" w:sz="0" w:space="0" w:color="auto"/>
      </w:divBdr>
    </w:div>
    <w:div w:id="1848324089">
      <w:bodyDiv w:val="1"/>
      <w:marLeft w:val="0"/>
      <w:marRight w:val="0"/>
      <w:marTop w:val="0"/>
      <w:marBottom w:val="0"/>
      <w:divBdr>
        <w:top w:val="none" w:sz="0" w:space="0" w:color="auto"/>
        <w:left w:val="none" w:sz="0" w:space="0" w:color="auto"/>
        <w:bottom w:val="none" w:sz="0" w:space="0" w:color="auto"/>
        <w:right w:val="none" w:sz="0" w:space="0" w:color="auto"/>
      </w:divBdr>
    </w:div>
    <w:div w:id="1881697430">
      <w:bodyDiv w:val="1"/>
      <w:marLeft w:val="0"/>
      <w:marRight w:val="0"/>
      <w:marTop w:val="0"/>
      <w:marBottom w:val="0"/>
      <w:divBdr>
        <w:top w:val="none" w:sz="0" w:space="0" w:color="auto"/>
        <w:left w:val="none" w:sz="0" w:space="0" w:color="auto"/>
        <w:bottom w:val="none" w:sz="0" w:space="0" w:color="auto"/>
        <w:right w:val="none" w:sz="0" w:space="0" w:color="auto"/>
      </w:divBdr>
    </w:div>
    <w:div w:id="1928538861">
      <w:bodyDiv w:val="1"/>
      <w:marLeft w:val="0"/>
      <w:marRight w:val="0"/>
      <w:marTop w:val="0"/>
      <w:marBottom w:val="0"/>
      <w:divBdr>
        <w:top w:val="none" w:sz="0" w:space="0" w:color="auto"/>
        <w:left w:val="none" w:sz="0" w:space="0" w:color="auto"/>
        <w:bottom w:val="none" w:sz="0" w:space="0" w:color="auto"/>
        <w:right w:val="none" w:sz="0" w:space="0" w:color="auto"/>
      </w:divBdr>
    </w:div>
    <w:div w:id="1931507204">
      <w:bodyDiv w:val="1"/>
      <w:marLeft w:val="0"/>
      <w:marRight w:val="0"/>
      <w:marTop w:val="0"/>
      <w:marBottom w:val="0"/>
      <w:divBdr>
        <w:top w:val="none" w:sz="0" w:space="0" w:color="auto"/>
        <w:left w:val="none" w:sz="0" w:space="0" w:color="auto"/>
        <w:bottom w:val="none" w:sz="0" w:space="0" w:color="auto"/>
        <w:right w:val="none" w:sz="0" w:space="0" w:color="auto"/>
      </w:divBdr>
    </w:div>
    <w:div w:id="2000234479">
      <w:bodyDiv w:val="1"/>
      <w:marLeft w:val="0"/>
      <w:marRight w:val="0"/>
      <w:marTop w:val="0"/>
      <w:marBottom w:val="0"/>
      <w:divBdr>
        <w:top w:val="none" w:sz="0" w:space="0" w:color="auto"/>
        <w:left w:val="none" w:sz="0" w:space="0" w:color="auto"/>
        <w:bottom w:val="none" w:sz="0" w:space="0" w:color="auto"/>
        <w:right w:val="none" w:sz="0" w:space="0" w:color="auto"/>
      </w:divBdr>
    </w:div>
    <w:div w:id="2008363460">
      <w:bodyDiv w:val="1"/>
      <w:marLeft w:val="0"/>
      <w:marRight w:val="0"/>
      <w:marTop w:val="0"/>
      <w:marBottom w:val="0"/>
      <w:divBdr>
        <w:top w:val="none" w:sz="0" w:space="0" w:color="auto"/>
        <w:left w:val="none" w:sz="0" w:space="0" w:color="auto"/>
        <w:bottom w:val="none" w:sz="0" w:space="0" w:color="auto"/>
        <w:right w:val="none" w:sz="0" w:space="0" w:color="auto"/>
      </w:divBdr>
    </w:div>
    <w:div w:id="2026861041">
      <w:bodyDiv w:val="1"/>
      <w:marLeft w:val="0"/>
      <w:marRight w:val="0"/>
      <w:marTop w:val="0"/>
      <w:marBottom w:val="0"/>
      <w:divBdr>
        <w:top w:val="none" w:sz="0" w:space="0" w:color="auto"/>
        <w:left w:val="none" w:sz="0" w:space="0" w:color="auto"/>
        <w:bottom w:val="none" w:sz="0" w:space="0" w:color="auto"/>
        <w:right w:val="none" w:sz="0" w:space="0" w:color="auto"/>
      </w:divBdr>
    </w:div>
    <w:div w:id="2028170460">
      <w:bodyDiv w:val="1"/>
      <w:marLeft w:val="0"/>
      <w:marRight w:val="0"/>
      <w:marTop w:val="0"/>
      <w:marBottom w:val="0"/>
      <w:divBdr>
        <w:top w:val="none" w:sz="0" w:space="0" w:color="auto"/>
        <w:left w:val="none" w:sz="0" w:space="0" w:color="auto"/>
        <w:bottom w:val="none" w:sz="0" w:space="0" w:color="auto"/>
        <w:right w:val="none" w:sz="0" w:space="0" w:color="auto"/>
      </w:divBdr>
    </w:div>
    <w:div w:id="2096390105">
      <w:bodyDiv w:val="1"/>
      <w:marLeft w:val="0"/>
      <w:marRight w:val="0"/>
      <w:marTop w:val="0"/>
      <w:marBottom w:val="0"/>
      <w:divBdr>
        <w:top w:val="none" w:sz="0" w:space="0" w:color="auto"/>
        <w:left w:val="none" w:sz="0" w:space="0" w:color="auto"/>
        <w:bottom w:val="none" w:sz="0" w:space="0" w:color="auto"/>
        <w:right w:val="none" w:sz="0" w:space="0" w:color="auto"/>
      </w:divBdr>
    </w:div>
    <w:div w:id="2132360047">
      <w:bodyDiv w:val="1"/>
      <w:marLeft w:val="0"/>
      <w:marRight w:val="0"/>
      <w:marTop w:val="0"/>
      <w:marBottom w:val="0"/>
      <w:divBdr>
        <w:top w:val="none" w:sz="0" w:space="0" w:color="auto"/>
        <w:left w:val="none" w:sz="0" w:space="0" w:color="auto"/>
        <w:bottom w:val="none" w:sz="0" w:space="0" w:color="auto"/>
        <w:right w:val="none" w:sz="0" w:space="0" w:color="auto"/>
      </w:divBdr>
    </w:div>
    <w:div w:id="214337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6.emf"/><Relationship Id="rId39" Type="http://schemas.openxmlformats.org/officeDocument/2006/relationships/oleObject" Target="file:///\\romulus\ecd_pro$\JEFG\2013\December\NAFF\JEFG%20report\DAT%20-%20NAFF%20-%20nominal%20GDP%20growth%20-%20annual.xlsx!Sheet1!%5bDAT%20-%20NAFF%20-%20nominal%20GDP%20growth%20-%20annual.xlsx%5dSheet1%20Chart%204" TargetMode="External"/><Relationship Id="rId21" Type="http://schemas.openxmlformats.org/officeDocument/2006/relationships/footer" Target="footer6.xml"/><Relationship Id="rId34" Type="http://schemas.openxmlformats.org/officeDocument/2006/relationships/image" Target="media/image10.emf"/><Relationship Id="rId42" Type="http://schemas.openxmlformats.org/officeDocument/2006/relationships/header" Target="header6.xml"/><Relationship Id="rId47" Type="http://schemas.openxmlformats.org/officeDocument/2006/relationships/oleObject" Target="file:///\\romulus\ecd_pro$\JEFG\2013\December\NAFF\JEFG%20report\DAT%20-%20Confidence%20intervals%20-%20GTM%20December%20round.xls!Confidence%20Intervals!%5bDAT%20-%20Confidence%20intervals%20-%20GTM%20December%20round.xls%5dConfidence%20Intervals%20Chart%201" TargetMode="External"/><Relationship Id="rId50" Type="http://schemas.openxmlformats.org/officeDocument/2006/relationships/image" Target="media/image17.emf"/><Relationship Id="rId55" Type="http://schemas.openxmlformats.org/officeDocument/2006/relationships/oleObject" Target="file:///\\romulus\ECD_PRO$\JEFG\2013\December\NAFF\JEFG%20report\DAT%20-%20Bloomberg%20-%20real%20GDP%20and%20Labour%20market.xlsx!Unemployment%20rate!%5bDAT%20-%20Bloomberg%20-%20real%20GDP%20and%20Labour%20market.xlsx%5dUnemployment%20rate%20Chart%207" TargetMode="External"/><Relationship Id="rId63" Type="http://schemas.openxmlformats.org/officeDocument/2006/relationships/oleObject" Target="file:///\\romulus\ECD_PRO$\JEFG\2013\December\NAFF\JEFG%20report\DAT%20-%20Consensus%20-%20bulk%20commodity%20prices.xlsx!Thermal%20Coal!%5bDAT%20-%20Consensus%20-%20bulk%20commodity%20prices.xlsx%5dThermal%20Coal%20Chart%202"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29" Type="http://schemas.openxmlformats.org/officeDocument/2006/relationships/oleObject" Target="file:///\\romulus\ecd_pro$\JEFG\2013\December\BI\Engineering%20Construction\Major%20projects%20database.xlsx!Charts!%5bMajor%20projects%20database.xlsx%5dCharts%20Chart%2010" TargetMode="External"/><Relationship Id="rId41" Type="http://schemas.openxmlformats.org/officeDocument/2006/relationships/oleObject" Target="file:///\\romulus\ecd_pro$\JEFG\2013\December\NAFF\JEFG%20report\DAT%20-%20NAFF%20-%20cyclical%20component%20of%20GDP.xlsx!GDP%20cycle!%5bDAT%20-%20NAFF%20-%20cyclical%20component%20of%20GDP.xlsx%5dGDP%20cycle%20Chart%205" TargetMode="External"/><Relationship Id="rId54" Type="http://schemas.openxmlformats.org/officeDocument/2006/relationships/image" Target="media/image19.emf"/><Relationship Id="rId62"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file:///\\romulus\ecd_pro$\JEFG\2013\December\NAFF\JEFG%20report\HAU%20-%20CPI%20profiles.xlsx!Sheet1!%5bHAU%20-%20CPI%20profiles.xlsx%5dSheet1%20Chart%203" TargetMode="External"/><Relationship Id="rId40" Type="http://schemas.openxmlformats.org/officeDocument/2006/relationships/image" Target="media/image13.emf"/><Relationship Id="rId45" Type="http://schemas.openxmlformats.org/officeDocument/2006/relationships/image" Target="media/image14.emf"/><Relationship Id="rId53" Type="http://schemas.openxmlformats.org/officeDocument/2006/relationships/oleObject" Target="file:///\\romulus\ECD_PRO$\JEFG\2013\December\NAFF\JEFG%20report\DAT%20-%20Bloomberg%20-%20real%20GDP%20and%20Labour%20market.xlsx!GDP!%5bDAT%20-%20Bloomberg%20-%20real%20GDP%20and%20Labour%20market.xlsx%5dGDP%20Chart%207" TargetMode="External"/><Relationship Id="rId58" Type="http://schemas.openxmlformats.org/officeDocument/2006/relationships/image" Target="media/image21.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file:///\\romulus\ECD_PRO$\JEFG\2013\December\NAFF\JEFG%20report\DAT%20-%20NAFF%20-%20Real%20GDP%20growth%20over%20the%20forward%20estimates%20period.xlsx!Data!%5bDAT%20-%20NAFF%20-%20Real%20GDP%20growth%20over%20the%20forward%20estimates%20period.xlsx%5dData%20Chart%202-1" TargetMode="External"/><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oleObject" Target="file:///\\romulus\ECD_PRO$\JEFG\2013\December\NAFF\JEFG%20report\DAT%20-%20Confidence%20intervals%20-%20GTMZ%20December%20round.xls!Confidence%20intervals!%5bDAT%20-%20Confidence%20intervals%20-%20GTMZ%20December%20round.xls%5dConfidence%20intervals%20Chart%201" TargetMode="External"/><Relationship Id="rId57" Type="http://schemas.openxmlformats.org/officeDocument/2006/relationships/oleObject" Target="file:///\\romulus\ECD_PRO$\JEFG\2013\December\NAFF\JEFG%20report\DAT%20-%20Bloomberg%20-%20real%20GDP%20and%20Labour%20market.xlsx!Unemployment%20rate!%5bDAT%20-%20Bloomberg%20-%20real%20GDP%20and%20Labour%20market.xlsx%5dUnemployment%20rate%20Chart%208" TargetMode="External"/><Relationship Id="rId61" Type="http://schemas.openxmlformats.org/officeDocument/2006/relationships/oleObject" Target="file:///\\romulus\ECD_PRO$\JEFG\2013\December\NAFF\JEFG%20report\DAT%20-%20Consensus%20-%20bulk%20commodity%20prices.xlsx!Met%20Coal!%5bDAT%20-%20Consensus%20-%20bulk%20commodity%20prices.xlsx%5dMet%20Coal%20Chart%202"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oleObject" Target="file:///\\romulus\ecd_pro$\JEFG\2013\December\NAFF\JEFG%20report\DAT%20-%20BOP%20-%20BREE%20NRC%20volume%20projections%20-%20pre%20ERC.xlsx!Summary!%5bDAT%20-%20BOP%20-%20BREE%20NRC%20volume%20projections%20-%20pre%20ERC.xlsx%5dSummary%20Chart%207" TargetMode="External"/><Relationship Id="rId44" Type="http://schemas.openxmlformats.org/officeDocument/2006/relationships/footer" Target="footer8.xml"/><Relationship Id="rId52" Type="http://schemas.openxmlformats.org/officeDocument/2006/relationships/image" Target="media/image18.emf"/><Relationship Id="rId60" Type="http://schemas.openxmlformats.org/officeDocument/2006/relationships/image" Target="media/image22.emf"/><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oleObject" Target="file:///\\romulus\ecd_pro$\JEFG\2013\December\NAFF\JEFG%20report\140114%20-%20Net%20Mining%20Investment%20Contribution%20Chart.xlsx!Data!%5b140114%20-%20Net%20Mining%20Investment%20Contribution%20Chart.xlsx%5dData%20Chart%202" TargetMode="External"/><Relationship Id="rId30" Type="http://schemas.openxmlformats.org/officeDocument/2006/relationships/image" Target="media/image8.emf"/><Relationship Id="rId35" Type="http://schemas.openxmlformats.org/officeDocument/2006/relationships/oleObject" Target="file:///\\romulus\ECD_PRO$\JEFG\2013\December\NAFF\JEFG%20report\DAT%20-%20DWELL%20-%20Leading%20indicators.xlsx!CHART%203%20-%20Approvals%20units%20v%20hou!%5bDAT%20-%20DWELL%20-%20Leading%20indicators.xlsx%5dCHART%203%20-%20Approvals%20units%20v%20hou%20Chart%201" TargetMode="External"/><Relationship Id="rId43" Type="http://schemas.openxmlformats.org/officeDocument/2006/relationships/footer" Target="footer7.xml"/><Relationship Id="rId48" Type="http://schemas.openxmlformats.org/officeDocument/2006/relationships/image" Target="media/image16.emf"/><Relationship Id="rId56" Type="http://schemas.openxmlformats.org/officeDocument/2006/relationships/image" Target="media/image20.emf"/><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file:///\\romulus\ECD_PRO$\JEFG\2013\December\NAFF\JEFG%20report\DAT%20-%20Bloomberg%20-%20real%20GDP%20and%20Labour%20market.xlsx!GDP!%5bDAT%20-%20Bloomberg%20-%20real%20GDP%20and%20Labour%20market.xlsx%5dGDP%20Chart%2014"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oleObject" Target="file:///\\romulus\ecd_pro$\JEFG\2013\December\NAFF\JEFG%20report\140114%20-%20Net%20Mining%20Investment%20Contribution%20Chart.xlsx!Chart!%5b140114%20-%20Net%20Mining%20Investment%20Contribution%20Chart.xlsx%5dChart%20Chart%201" TargetMode="External"/><Relationship Id="rId33" Type="http://schemas.openxmlformats.org/officeDocument/2006/relationships/oleObject" Target="file:///\\romulus\ecd_pro$\JEFG\2013\December\NAFF\JEFG%20report\DAT%20-%20NAFF%20-%20household%20consumption%20growth.xlsx!Sheet1!%5bDAT%20-%20NAFF%20-%20household%20consumption%20growth.xlsx%5dSheet1%20Chart%201" TargetMode="External"/><Relationship Id="rId38" Type="http://schemas.openxmlformats.org/officeDocument/2006/relationships/image" Target="media/image12.emf"/><Relationship Id="rId46" Type="http://schemas.openxmlformats.org/officeDocument/2006/relationships/image" Target="media/image15.emf"/><Relationship Id="rId59" Type="http://schemas.openxmlformats.org/officeDocument/2006/relationships/oleObject" Target="file:///\\romulus\ECD_PRO$\JEFG\2013\December\NAFF\JEFG%20report\DAT%20-%20Consensus%20-%20bulk%20commodity%20prices.xlsx!Iron%20Ore!%5bDAT%20-%20Consensus%20-%20bulk%20commodity%20prices.xlsx%5dIron%20Ore%20Chart%203"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257B69B-3CF7-4782-808E-33648DAD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3141</Words>
  <Characters>21293</Characters>
  <Application>Microsoft Office Word</Application>
  <DocSecurity>0</DocSecurity>
  <Lines>177</Lines>
  <Paragraphs>48</Paragraphs>
  <ScaleCrop>false</ScaleCrop>
  <Manager/>
  <Company/>
  <LinksUpToDate>false</LinksUpToDate>
  <CharactersWithSpaces>24386</CharactersWithSpaces>
  <SharedDoc>false</SharedDoc>
  <HLinks>
    <vt:vector size="78" baseType="variant">
      <vt:variant>
        <vt:i4>131155</vt:i4>
      </vt:variant>
      <vt:variant>
        <vt:i4>114</vt:i4>
      </vt:variant>
      <vt:variant>
        <vt:i4>0</vt:i4>
      </vt:variant>
      <vt:variant>
        <vt:i4>5</vt:i4>
      </vt:variant>
      <vt:variant>
        <vt:lpwstr>\\remus\indiv$\JEO\TRIM5\Offline Records (PO)\INTERNATIONAL ECONOMIC AFFAIRS - FORECASTING - JOINT ECONOMIC FORECASTING GROUP (JEFG) &amp; ~ 2010\DAT - World - GDP - IED - Forecasts - MYEFO Oct 09 final - RS - 091026.xls</vt:lpwstr>
      </vt:variant>
      <vt:variant>
        <vt:lpwstr/>
      </vt:variant>
      <vt:variant>
        <vt:i4>1507377</vt:i4>
      </vt:variant>
      <vt:variant>
        <vt:i4>68</vt:i4>
      </vt:variant>
      <vt:variant>
        <vt:i4>0</vt:i4>
      </vt:variant>
      <vt:variant>
        <vt:i4>5</vt:i4>
      </vt:variant>
      <vt:variant>
        <vt:lpwstr/>
      </vt:variant>
      <vt:variant>
        <vt:lpwstr>_Toc280363583</vt:lpwstr>
      </vt:variant>
      <vt:variant>
        <vt:i4>1507377</vt:i4>
      </vt:variant>
      <vt:variant>
        <vt:i4>62</vt:i4>
      </vt:variant>
      <vt:variant>
        <vt:i4>0</vt:i4>
      </vt:variant>
      <vt:variant>
        <vt:i4>5</vt:i4>
      </vt:variant>
      <vt:variant>
        <vt:lpwstr/>
      </vt:variant>
      <vt:variant>
        <vt:lpwstr>_Toc280363582</vt:lpwstr>
      </vt:variant>
      <vt:variant>
        <vt:i4>1507377</vt:i4>
      </vt:variant>
      <vt:variant>
        <vt:i4>56</vt:i4>
      </vt:variant>
      <vt:variant>
        <vt:i4>0</vt:i4>
      </vt:variant>
      <vt:variant>
        <vt:i4>5</vt:i4>
      </vt:variant>
      <vt:variant>
        <vt:lpwstr/>
      </vt:variant>
      <vt:variant>
        <vt:lpwstr>_Toc280363581</vt:lpwstr>
      </vt:variant>
      <vt:variant>
        <vt:i4>1507377</vt:i4>
      </vt:variant>
      <vt:variant>
        <vt:i4>50</vt:i4>
      </vt:variant>
      <vt:variant>
        <vt:i4>0</vt:i4>
      </vt:variant>
      <vt:variant>
        <vt:i4>5</vt:i4>
      </vt:variant>
      <vt:variant>
        <vt:lpwstr/>
      </vt:variant>
      <vt:variant>
        <vt:lpwstr>_Toc280363580</vt:lpwstr>
      </vt:variant>
      <vt:variant>
        <vt:i4>1572913</vt:i4>
      </vt:variant>
      <vt:variant>
        <vt:i4>44</vt:i4>
      </vt:variant>
      <vt:variant>
        <vt:i4>0</vt:i4>
      </vt:variant>
      <vt:variant>
        <vt:i4>5</vt:i4>
      </vt:variant>
      <vt:variant>
        <vt:lpwstr/>
      </vt:variant>
      <vt:variant>
        <vt:lpwstr>_Toc280363579</vt:lpwstr>
      </vt:variant>
      <vt:variant>
        <vt:i4>1572913</vt:i4>
      </vt:variant>
      <vt:variant>
        <vt:i4>38</vt:i4>
      </vt:variant>
      <vt:variant>
        <vt:i4>0</vt:i4>
      </vt:variant>
      <vt:variant>
        <vt:i4>5</vt:i4>
      </vt:variant>
      <vt:variant>
        <vt:lpwstr/>
      </vt:variant>
      <vt:variant>
        <vt:lpwstr>_Toc280363578</vt:lpwstr>
      </vt:variant>
      <vt:variant>
        <vt:i4>1572913</vt:i4>
      </vt:variant>
      <vt:variant>
        <vt:i4>32</vt:i4>
      </vt:variant>
      <vt:variant>
        <vt:i4>0</vt:i4>
      </vt:variant>
      <vt:variant>
        <vt:i4>5</vt:i4>
      </vt:variant>
      <vt:variant>
        <vt:lpwstr/>
      </vt:variant>
      <vt:variant>
        <vt:lpwstr>_Toc280363577</vt:lpwstr>
      </vt:variant>
      <vt:variant>
        <vt:i4>1572913</vt:i4>
      </vt:variant>
      <vt:variant>
        <vt:i4>26</vt:i4>
      </vt:variant>
      <vt:variant>
        <vt:i4>0</vt:i4>
      </vt:variant>
      <vt:variant>
        <vt:i4>5</vt:i4>
      </vt:variant>
      <vt:variant>
        <vt:lpwstr/>
      </vt:variant>
      <vt:variant>
        <vt:lpwstr>_Toc280363576</vt:lpwstr>
      </vt:variant>
      <vt:variant>
        <vt:i4>1572913</vt:i4>
      </vt:variant>
      <vt:variant>
        <vt:i4>20</vt:i4>
      </vt:variant>
      <vt:variant>
        <vt:i4>0</vt:i4>
      </vt:variant>
      <vt:variant>
        <vt:i4>5</vt:i4>
      </vt:variant>
      <vt:variant>
        <vt:lpwstr/>
      </vt:variant>
      <vt:variant>
        <vt:lpwstr>_Toc280363575</vt:lpwstr>
      </vt:variant>
      <vt:variant>
        <vt:i4>1572913</vt:i4>
      </vt:variant>
      <vt:variant>
        <vt:i4>14</vt:i4>
      </vt:variant>
      <vt:variant>
        <vt:i4>0</vt:i4>
      </vt:variant>
      <vt:variant>
        <vt:i4>5</vt:i4>
      </vt:variant>
      <vt:variant>
        <vt:lpwstr/>
      </vt:variant>
      <vt:variant>
        <vt:lpwstr>_Toc280363574</vt:lpwstr>
      </vt:variant>
      <vt:variant>
        <vt:i4>1572913</vt:i4>
      </vt:variant>
      <vt:variant>
        <vt:i4>8</vt:i4>
      </vt:variant>
      <vt:variant>
        <vt:i4>0</vt:i4>
      </vt:variant>
      <vt:variant>
        <vt:i4>5</vt:i4>
      </vt:variant>
      <vt:variant>
        <vt:lpwstr/>
      </vt:variant>
      <vt:variant>
        <vt:lpwstr>_Toc280363573</vt:lpwstr>
      </vt:variant>
      <vt:variant>
        <vt:i4>1572913</vt:i4>
      </vt:variant>
      <vt:variant>
        <vt:i4>2</vt:i4>
      </vt:variant>
      <vt:variant>
        <vt:i4>0</vt:i4>
      </vt:variant>
      <vt:variant>
        <vt:i4>5</vt:i4>
      </vt:variant>
      <vt:variant>
        <vt:lpwstr/>
      </vt:variant>
      <vt:variant>
        <vt:lpwstr>_Toc280363572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2016-08-16T01:22:00Z</dcterms:created>
  <dcterms:modified xsi:type="dcterms:W3CDTF">2016-08-16T01:23:00Z</dcterms:modified>
</cp:coreProperties>
</file>