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B0461A" w:rsidRDefault="00EF6F1B" w:rsidP="00184FBD">
      <w:pPr>
        <w:pStyle w:val="Title"/>
        <w:rPr>
          <w:b/>
          <w:color w:val="auto"/>
        </w:rPr>
      </w:pPr>
      <w:bookmarkStart w:id="1" w:name="_Toc90808381"/>
      <w:bookmarkStart w:id="2" w:name="_Toc90808817"/>
      <w:bookmarkStart w:id="3" w:name="_Toc90957458"/>
      <w:bookmarkStart w:id="4" w:name="_Toc90977878"/>
      <w:bookmarkStart w:id="5" w:name="_Toc91318581"/>
      <w:bookmarkStart w:id="6" w:name="_Toc91390382"/>
      <w:bookmarkStart w:id="7" w:name="_Toc101073463"/>
      <w:bookmarkStart w:id="8" w:name="_Toc101073686"/>
      <w:bookmarkStart w:id="9" w:name="_Toc101254962"/>
      <w:bookmarkStart w:id="10" w:name="_Toc115841645"/>
      <w:bookmarkStart w:id="11" w:name="_Toc115841910"/>
      <w:bookmarkStart w:id="12" w:name="_Toc116366073"/>
      <w:bookmarkStart w:id="13" w:name="_Toc124925294"/>
      <w:bookmarkStart w:id="14" w:name="_Toc131378785"/>
      <w:r w:rsidRPr="00B0461A">
        <w:rPr>
          <w:b/>
          <w:color w:val="auto"/>
        </w:rPr>
        <w:t xml:space="preserve">Economic outlook for </w:t>
      </w:r>
      <w:bookmarkEnd w:id="1"/>
      <w:bookmarkEnd w:id="2"/>
      <w:bookmarkEnd w:id="3"/>
      <w:bookmarkEnd w:id="4"/>
      <w:bookmarkEnd w:id="5"/>
      <w:bookmarkEnd w:id="6"/>
      <w:bookmarkEnd w:id="7"/>
      <w:bookmarkEnd w:id="8"/>
      <w:bookmarkEnd w:id="9"/>
      <w:bookmarkEnd w:id="10"/>
      <w:bookmarkEnd w:id="11"/>
      <w:bookmarkEnd w:id="12"/>
      <w:bookmarkEnd w:id="13"/>
      <w:bookmarkEnd w:id="14"/>
      <w:r w:rsidR="004C7F6D" w:rsidRPr="00B0461A">
        <w:rPr>
          <w:b/>
          <w:color w:val="auto"/>
        </w:rPr>
        <w:t>2010-11</w:t>
      </w:r>
      <w:r w:rsidR="00CD56CB">
        <w:rPr>
          <w:b/>
          <w:color w:val="auto"/>
        </w:rPr>
        <w:t>, 2011-12</w:t>
      </w:r>
      <w:r w:rsidR="004E1829" w:rsidRPr="00B0461A">
        <w:rPr>
          <w:b/>
          <w:color w:val="auto"/>
        </w:rPr>
        <w:t xml:space="preserve"> and 201</w:t>
      </w:r>
      <w:r w:rsidR="00CD56CB">
        <w:rPr>
          <w:b/>
          <w:color w:val="auto"/>
        </w:rPr>
        <w:t>2</w:t>
      </w:r>
      <w:r w:rsidR="004E1829" w:rsidRPr="00B0461A">
        <w:rPr>
          <w:b/>
          <w:color w:val="auto"/>
        </w:rPr>
        <w:t>-1</w:t>
      </w:r>
      <w:r w:rsidR="00CD56CB">
        <w:rPr>
          <w:b/>
          <w:color w:val="auto"/>
        </w:rPr>
        <w:t>3</w:t>
      </w:r>
    </w:p>
    <w:p w:rsidR="00D86180" w:rsidRPr="00B0461A" w:rsidRDefault="00CD56CB" w:rsidP="00184FBD">
      <w:pPr>
        <w:pStyle w:val="Title"/>
        <w:rPr>
          <w:b/>
          <w:color w:val="auto"/>
        </w:rPr>
      </w:pPr>
      <w:bookmarkStart w:id="15" w:name="_Toc115841647"/>
      <w:bookmarkStart w:id="16" w:name="_Toc115841912"/>
      <w:bookmarkStart w:id="17" w:name="_Toc116366075"/>
      <w:bookmarkStart w:id="18" w:name="_Toc124925296"/>
      <w:bookmarkStart w:id="19" w:name="_Toc131378787"/>
      <w:r>
        <w:rPr>
          <w:b/>
          <w:color w:val="auto"/>
        </w:rPr>
        <w:t xml:space="preserve">December </w:t>
      </w:r>
      <w:r w:rsidR="004C7F6D" w:rsidRPr="00B0461A">
        <w:rPr>
          <w:b/>
          <w:color w:val="auto"/>
        </w:rPr>
        <w:t>2010</w:t>
      </w:r>
    </w:p>
    <w:p w:rsidR="00C825B7" w:rsidRPr="00FB09F4" w:rsidRDefault="00EF6F1B" w:rsidP="00184FBD">
      <w:pPr>
        <w:pStyle w:val="Title"/>
        <w:rPr>
          <w:color w:val="auto"/>
          <w:sz w:val="24"/>
          <w:szCs w:val="24"/>
        </w:rPr>
      </w:pPr>
      <w:bookmarkStart w:id="20" w:name="_Toc185499305"/>
      <w:r w:rsidRPr="00FB09F4">
        <w:rPr>
          <w:color w:val="auto"/>
          <w:sz w:val="24"/>
          <w:szCs w:val="24"/>
        </w:rPr>
        <w:t>(</w:t>
      </w:r>
      <w:r w:rsidR="00804C8B" w:rsidRPr="00FB09F4">
        <w:rPr>
          <w:color w:val="auto"/>
          <w:sz w:val="24"/>
          <w:szCs w:val="24"/>
        </w:rPr>
        <w:t>t</w:t>
      </w:r>
      <w:r w:rsidRPr="00FB09F4">
        <w:rPr>
          <w:color w:val="auto"/>
          <w:sz w:val="24"/>
          <w:szCs w:val="24"/>
        </w:rPr>
        <w:t>his report incorpora</w:t>
      </w:r>
      <w:r w:rsidR="001A4888" w:rsidRPr="00FB09F4">
        <w:rPr>
          <w:color w:val="auto"/>
          <w:sz w:val="24"/>
          <w:szCs w:val="24"/>
        </w:rPr>
        <w:t xml:space="preserve">tes </w:t>
      </w:r>
      <w:r w:rsidR="008A69FA" w:rsidRPr="00FB09F4">
        <w:rPr>
          <w:color w:val="auto"/>
          <w:sz w:val="24"/>
          <w:szCs w:val="24"/>
        </w:rPr>
        <w:t xml:space="preserve">domestic </w:t>
      </w:r>
      <w:r w:rsidR="009137A4" w:rsidRPr="00FB09F4">
        <w:rPr>
          <w:color w:val="auto"/>
          <w:sz w:val="24"/>
          <w:szCs w:val="24"/>
        </w:rPr>
        <w:t xml:space="preserve">and international </w:t>
      </w:r>
      <w:r w:rsidR="001A4888" w:rsidRPr="00FB09F4">
        <w:rPr>
          <w:color w:val="auto"/>
          <w:sz w:val="24"/>
          <w:szCs w:val="24"/>
        </w:rPr>
        <w:t>data released up</w:t>
      </w:r>
      <w:r w:rsidR="000510A0" w:rsidRPr="00FB09F4">
        <w:rPr>
          <w:color w:val="auto"/>
          <w:sz w:val="24"/>
          <w:szCs w:val="24"/>
        </w:rPr>
        <w:t xml:space="preserve"> </w:t>
      </w:r>
      <w:r w:rsidR="00234D4B" w:rsidRPr="00FB09F4">
        <w:rPr>
          <w:color w:val="auto"/>
          <w:sz w:val="24"/>
          <w:szCs w:val="24"/>
        </w:rPr>
        <w:t xml:space="preserve">to </w:t>
      </w:r>
      <w:bookmarkStart w:id="21" w:name="OLE_LINK8"/>
      <w:bookmarkStart w:id="22" w:name="OLE_LINK9"/>
      <w:r w:rsidR="00E72B47" w:rsidRPr="00FB09F4">
        <w:rPr>
          <w:color w:val="auto"/>
          <w:sz w:val="24"/>
          <w:szCs w:val="24"/>
        </w:rPr>
        <w:br/>
      </w:r>
      <w:r w:rsidR="00405DE2" w:rsidRPr="00FB09F4">
        <w:rPr>
          <w:color w:val="auto"/>
          <w:sz w:val="24"/>
          <w:szCs w:val="24"/>
        </w:rPr>
        <w:t>9</w:t>
      </w:r>
      <w:r w:rsidR="00E72B47" w:rsidRPr="00FB09F4">
        <w:rPr>
          <w:color w:val="auto"/>
          <w:sz w:val="24"/>
          <w:szCs w:val="24"/>
        </w:rPr>
        <w:t xml:space="preserve"> </w:t>
      </w:r>
      <w:r w:rsidR="00CD56CB" w:rsidRPr="00FB09F4">
        <w:rPr>
          <w:color w:val="auto"/>
          <w:sz w:val="24"/>
          <w:szCs w:val="24"/>
        </w:rPr>
        <w:t>December</w:t>
      </w:r>
      <w:r w:rsidR="008043A8" w:rsidRPr="00FB09F4">
        <w:rPr>
          <w:color w:val="auto"/>
          <w:sz w:val="24"/>
          <w:szCs w:val="24"/>
        </w:rPr>
        <w:t xml:space="preserve"> </w:t>
      </w:r>
      <w:r w:rsidR="000510A0" w:rsidRPr="00FB09F4">
        <w:rPr>
          <w:color w:val="auto"/>
          <w:sz w:val="24"/>
          <w:szCs w:val="24"/>
        </w:rPr>
        <w:t>20</w:t>
      </w:r>
      <w:bookmarkEnd w:id="21"/>
      <w:bookmarkEnd w:id="22"/>
      <w:r w:rsidR="00C34435" w:rsidRPr="00FB09F4">
        <w:rPr>
          <w:color w:val="auto"/>
          <w:sz w:val="24"/>
          <w:szCs w:val="24"/>
        </w:rPr>
        <w:t>10</w:t>
      </w:r>
      <w:r w:rsidRPr="00FB09F4">
        <w:rPr>
          <w:color w:val="auto"/>
          <w:sz w:val="24"/>
          <w:szCs w:val="24"/>
        </w:rPr>
        <w:t>)</w:t>
      </w:r>
      <w:bookmarkEnd w:id="15"/>
      <w:bookmarkEnd w:id="16"/>
      <w:bookmarkEnd w:id="17"/>
      <w:bookmarkEnd w:id="18"/>
      <w:bookmarkEnd w:id="19"/>
      <w:bookmarkEnd w:id="20"/>
    </w:p>
    <w:p w:rsidR="00C61FA2" w:rsidRDefault="00A8671C">
      <w:pPr>
        <w:pStyle w:val="TOC3"/>
      </w:pPr>
      <w:r w:rsidRPr="003344B0">
        <w:rPr>
          <w:b w:val="0"/>
          <w:highlight w:val="yellow"/>
        </w:rPr>
        <w:br w:type="page"/>
      </w:r>
      <w:r w:rsidR="004D4273" w:rsidRPr="003344B0">
        <w:rPr>
          <w:b w:val="0"/>
          <w:highlight w:val="yellow"/>
        </w:rPr>
        <w:lastRenderedPageBreak/>
        <w:fldChar w:fldCharType="begin"/>
      </w:r>
      <w:r w:rsidR="00C825B7" w:rsidRPr="003344B0">
        <w:rPr>
          <w:b w:val="0"/>
          <w:highlight w:val="yellow"/>
        </w:rPr>
        <w:instrText xml:space="preserve"> TOC \o "1-4" \h \z \u </w:instrText>
      </w:r>
      <w:r w:rsidR="004D4273" w:rsidRPr="003344B0">
        <w:rPr>
          <w:b w:val="0"/>
          <w:highlight w:val="yellow"/>
        </w:rPr>
        <w:fldChar w:fldCharType="separate"/>
      </w:r>
    </w:p>
    <w:p w:rsidR="00C61FA2" w:rsidRDefault="00112B5B">
      <w:pPr>
        <w:pStyle w:val="TOC3"/>
        <w:rPr>
          <w:rFonts w:ascii="Calibri" w:eastAsia="Times New Roman" w:hAnsi="Calibri"/>
          <w:b w:val="0"/>
          <w:sz w:val="22"/>
          <w:szCs w:val="22"/>
          <w:lang w:eastAsia="en-AU"/>
        </w:rPr>
      </w:pPr>
      <w:hyperlink w:anchor="_Toc280363572" w:history="1">
        <w:r w:rsidR="00C61FA2" w:rsidRPr="002F53B8">
          <w:rPr>
            <w:rStyle w:val="Hyperlink"/>
          </w:rPr>
          <w:t>Overview</w:t>
        </w:r>
        <w:r w:rsidR="00C61FA2">
          <w:rPr>
            <w:webHidden/>
          </w:rPr>
          <w:tab/>
        </w:r>
        <w:r w:rsidR="004D4273">
          <w:rPr>
            <w:webHidden/>
          </w:rPr>
          <w:fldChar w:fldCharType="begin"/>
        </w:r>
        <w:r w:rsidR="00C61FA2">
          <w:rPr>
            <w:webHidden/>
          </w:rPr>
          <w:instrText xml:space="preserve"> PAGEREF _Toc280363572 \h </w:instrText>
        </w:r>
        <w:r w:rsidR="004D4273">
          <w:rPr>
            <w:webHidden/>
          </w:rPr>
        </w:r>
        <w:r w:rsidR="004D4273">
          <w:rPr>
            <w:webHidden/>
          </w:rPr>
          <w:fldChar w:fldCharType="separate"/>
        </w:r>
        <w:r w:rsidR="008A1D76">
          <w:rPr>
            <w:webHidden/>
          </w:rPr>
          <w:t>3</w:t>
        </w:r>
        <w:r w:rsidR="004D4273">
          <w:rPr>
            <w:webHidden/>
          </w:rPr>
          <w:fldChar w:fldCharType="end"/>
        </w:r>
      </w:hyperlink>
    </w:p>
    <w:p w:rsidR="00C61FA2" w:rsidRDefault="00112B5B">
      <w:pPr>
        <w:pStyle w:val="TOC3"/>
        <w:rPr>
          <w:rFonts w:ascii="Calibri" w:eastAsia="Times New Roman" w:hAnsi="Calibri"/>
          <w:b w:val="0"/>
          <w:sz w:val="22"/>
          <w:szCs w:val="22"/>
          <w:lang w:eastAsia="en-AU"/>
        </w:rPr>
      </w:pPr>
      <w:hyperlink w:anchor="_Toc280363573" w:history="1">
        <w:r w:rsidR="00C61FA2" w:rsidRPr="002F53B8">
          <w:rPr>
            <w:rStyle w:val="Hyperlink"/>
          </w:rPr>
          <w:t>Outlook for the domestic economy</w:t>
        </w:r>
        <w:r w:rsidR="00C61FA2">
          <w:rPr>
            <w:webHidden/>
          </w:rPr>
          <w:tab/>
        </w:r>
        <w:r w:rsidR="004D4273">
          <w:rPr>
            <w:webHidden/>
          </w:rPr>
          <w:fldChar w:fldCharType="begin"/>
        </w:r>
        <w:r w:rsidR="00C61FA2">
          <w:rPr>
            <w:webHidden/>
          </w:rPr>
          <w:instrText xml:space="preserve"> PAGEREF _Toc280363573 \h </w:instrText>
        </w:r>
        <w:r w:rsidR="004D4273">
          <w:rPr>
            <w:webHidden/>
          </w:rPr>
        </w:r>
        <w:r w:rsidR="004D4273">
          <w:rPr>
            <w:webHidden/>
          </w:rPr>
          <w:fldChar w:fldCharType="separate"/>
        </w:r>
        <w:r w:rsidR="008A1D76">
          <w:rPr>
            <w:webHidden/>
          </w:rPr>
          <w:t>7</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4" w:history="1">
        <w:r w:rsidR="00C61FA2" w:rsidRPr="002F53B8">
          <w:rPr>
            <w:rStyle w:val="Hyperlink"/>
          </w:rPr>
          <w:t>Household consumption</w:t>
        </w:r>
        <w:r w:rsidR="00C61FA2">
          <w:rPr>
            <w:webHidden/>
          </w:rPr>
          <w:tab/>
        </w:r>
        <w:r w:rsidR="004D4273">
          <w:rPr>
            <w:webHidden/>
          </w:rPr>
          <w:fldChar w:fldCharType="begin"/>
        </w:r>
        <w:r w:rsidR="00C61FA2">
          <w:rPr>
            <w:webHidden/>
          </w:rPr>
          <w:instrText xml:space="preserve"> PAGEREF _Toc280363574 \h </w:instrText>
        </w:r>
        <w:r w:rsidR="004D4273">
          <w:rPr>
            <w:webHidden/>
          </w:rPr>
        </w:r>
        <w:r w:rsidR="004D4273">
          <w:rPr>
            <w:webHidden/>
          </w:rPr>
          <w:fldChar w:fldCharType="separate"/>
        </w:r>
        <w:r w:rsidR="008A1D76">
          <w:rPr>
            <w:webHidden/>
          </w:rPr>
          <w:t>7</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5" w:history="1">
        <w:r w:rsidR="00C61FA2" w:rsidRPr="002F53B8">
          <w:rPr>
            <w:rStyle w:val="Hyperlink"/>
          </w:rPr>
          <w:t>Dwelling investment</w:t>
        </w:r>
        <w:r w:rsidR="00C61FA2">
          <w:rPr>
            <w:webHidden/>
          </w:rPr>
          <w:tab/>
        </w:r>
        <w:r w:rsidR="004D4273">
          <w:rPr>
            <w:webHidden/>
          </w:rPr>
          <w:fldChar w:fldCharType="begin"/>
        </w:r>
        <w:r w:rsidR="00C61FA2">
          <w:rPr>
            <w:webHidden/>
          </w:rPr>
          <w:instrText xml:space="preserve"> PAGEREF _Toc280363575 \h </w:instrText>
        </w:r>
        <w:r w:rsidR="004D4273">
          <w:rPr>
            <w:webHidden/>
          </w:rPr>
        </w:r>
        <w:r w:rsidR="004D4273">
          <w:rPr>
            <w:webHidden/>
          </w:rPr>
          <w:fldChar w:fldCharType="separate"/>
        </w:r>
        <w:r w:rsidR="008A1D76">
          <w:rPr>
            <w:webHidden/>
          </w:rPr>
          <w:t>7</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6" w:history="1">
        <w:r w:rsidR="00C61FA2" w:rsidRPr="002F53B8">
          <w:rPr>
            <w:rStyle w:val="Hyperlink"/>
          </w:rPr>
          <w:t>Business investment</w:t>
        </w:r>
        <w:r w:rsidR="00C61FA2">
          <w:rPr>
            <w:webHidden/>
          </w:rPr>
          <w:tab/>
        </w:r>
        <w:r w:rsidR="004D4273">
          <w:rPr>
            <w:webHidden/>
          </w:rPr>
          <w:fldChar w:fldCharType="begin"/>
        </w:r>
        <w:r w:rsidR="00C61FA2">
          <w:rPr>
            <w:webHidden/>
          </w:rPr>
          <w:instrText xml:space="preserve"> PAGEREF _Toc280363576 \h </w:instrText>
        </w:r>
        <w:r w:rsidR="004D4273">
          <w:rPr>
            <w:webHidden/>
          </w:rPr>
        </w:r>
        <w:r w:rsidR="004D4273">
          <w:rPr>
            <w:webHidden/>
          </w:rPr>
          <w:fldChar w:fldCharType="separate"/>
        </w:r>
        <w:r w:rsidR="008A1D76">
          <w:rPr>
            <w:webHidden/>
          </w:rPr>
          <w:t>8</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7" w:history="1">
        <w:r w:rsidR="00C61FA2" w:rsidRPr="002F53B8">
          <w:rPr>
            <w:rStyle w:val="Hyperlink"/>
          </w:rPr>
          <w:t>Public final demand</w:t>
        </w:r>
        <w:r w:rsidR="00C61FA2">
          <w:rPr>
            <w:webHidden/>
          </w:rPr>
          <w:tab/>
        </w:r>
        <w:r w:rsidR="004D4273">
          <w:rPr>
            <w:webHidden/>
          </w:rPr>
          <w:fldChar w:fldCharType="begin"/>
        </w:r>
        <w:r w:rsidR="00C61FA2">
          <w:rPr>
            <w:webHidden/>
          </w:rPr>
          <w:instrText xml:space="preserve"> PAGEREF _Toc280363577 \h </w:instrText>
        </w:r>
        <w:r w:rsidR="004D4273">
          <w:rPr>
            <w:webHidden/>
          </w:rPr>
        </w:r>
        <w:r w:rsidR="004D4273">
          <w:rPr>
            <w:webHidden/>
          </w:rPr>
          <w:fldChar w:fldCharType="separate"/>
        </w:r>
        <w:r w:rsidR="008A1D76">
          <w:rPr>
            <w:webHidden/>
          </w:rPr>
          <w:t>9</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8" w:history="1">
        <w:r w:rsidR="00C61FA2" w:rsidRPr="002F53B8">
          <w:rPr>
            <w:rStyle w:val="Hyperlink"/>
          </w:rPr>
          <w:t>Exports, imports and the current account deficit</w:t>
        </w:r>
        <w:r w:rsidR="00C61FA2">
          <w:rPr>
            <w:webHidden/>
          </w:rPr>
          <w:tab/>
        </w:r>
        <w:r w:rsidR="004D4273">
          <w:rPr>
            <w:webHidden/>
          </w:rPr>
          <w:fldChar w:fldCharType="begin"/>
        </w:r>
        <w:r w:rsidR="00C61FA2">
          <w:rPr>
            <w:webHidden/>
          </w:rPr>
          <w:instrText xml:space="preserve"> PAGEREF _Toc280363578 \h </w:instrText>
        </w:r>
        <w:r w:rsidR="004D4273">
          <w:rPr>
            <w:webHidden/>
          </w:rPr>
        </w:r>
        <w:r w:rsidR="004D4273">
          <w:rPr>
            <w:webHidden/>
          </w:rPr>
          <w:fldChar w:fldCharType="separate"/>
        </w:r>
        <w:r w:rsidR="008A1D76">
          <w:rPr>
            <w:webHidden/>
          </w:rPr>
          <w:t>9</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79" w:history="1">
        <w:r w:rsidR="00C61FA2" w:rsidRPr="002F53B8">
          <w:rPr>
            <w:rStyle w:val="Hyperlink"/>
          </w:rPr>
          <w:t>Employment, wages and inflation</w:t>
        </w:r>
        <w:r w:rsidR="00C61FA2">
          <w:rPr>
            <w:webHidden/>
          </w:rPr>
          <w:tab/>
        </w:r>
        <w:r w:rsidR="004D4273">
          <w:rPr>
            <w:webHidden/>
          </w:rPr>
          <w:fldChar w:fldCharType="begin"/>
        </w:r>
        <w:r w:rsidR="00C61FA2">
          <w:rPr>
            <w:webHidden/>
          </w:rPr>
          <w:instrText xml:space="preserve"> PAGEREF _Toc280363579 \h </w:instrText>
        </w:r>
        <w:r w:rsidR="004D4273">
          <w:rPr>
            <w:webHidden/>
          </w:rPr>
        </w:r>
        <w:r w:rsidR="004D4273">
          <w:rPr>
            <w:webHidden/>
          </w:rPr>
          <w:fldChar w:fldCharType="separate"/>
        </w:r>
        <w:r w:rsidR="008A1D76">
          <w:rPr>
            <w:webHidden/>
          </w:rPr>
          <w:t>11</w:t>
        </w:r>
        <w:r w:rsidR="004D4273">
          <w:rPr>
            <w:webHidden/>
          </w:rPr>
          <w:fldChar w:fldCharType="end"/>
        </w:r>
      </w:hyperlink>
    </w:p>
    <w:p w:rsidR="00C61FA2" w:rsidRDefault="00112B5B">
      <w:pPr>
        <w:pStyle w:val="TOC3"/>
        <w:rPr>
          <w:rFonts w:ascii="Calibri" w:eastAsia="Times New Roman" w:hAnsi="Calibri"/>
          <w:b w:val="0"/>
          <w:sz w:val="22"/>
          <w:szCs w:val="22"/>
          <w:lang w:eastAsia="en-AU"/>
        </w:rPr>
      </w:pPr>
      <w:hyperlink w:anchor="_Toc280363580" w:history="1">
        <w:r w:rsidR="00C61FA2" w:rsidRPr="002F53B8">
          <w:rPr>
            <w:rStyle w:val="Hyperlink"/>
          </w:rPr>
          <w:t>Box 1: The terms of trade and exchange rate projections</w:t>
        </w:r>
        <w:r w:rsidR="00C61FA2">
          <w:rPr>
            <w:webHidden/>
          </w:rPr>
          <w:tab/>
        </w:r>
        <w:r w:rsidR="004D4273">
          <w:rPr>
            <w:webHidden/>
          </w:rPr>
          <w:fldChar w:fldCharType="begin"/>
        </w:r>
        <w:r w:rsidR="00C61FA2">
          <w:rPr>
            <w:webHidden/>
          </w:rPr>
          <w:instrText xml:space="preserve"> PAGEREF _Toc280363580 \h </w:instrText>
        </w:r>
        <w:r w:rsidR="004D4273">
          <w:rPr>
            <w:webHidden/>
          </w:rPr>
        </w:r>
        <w:r w:rsidR="004D4273">
          <w:rPr>
            <w:webHidden/>
          </w:rPr>
          <w:fldChar w:fldCharType="separate"/>
        </w:r>
        <w:r w:rsidR="008A1D76">
          <w:rPr>
            <w:webHidden/>
          </w:rPr>
          <w:t>13</w:t>
        </w:r>
        <w:r w:rsidR="004D4273">
          <w:rPr>
            <w:webHidden/>
          </w:rPr>
          <w:fldChar w:fldCharType="end"/>
        </w:r>
      </w:hyperlink>
    </w:p>
    <w:p w:rsidR="00C61FA2" w:rsidRDefault="00112B5B">
      <w:pPr>
        <w:pStyle w:val="TOC3"/>
        <w:rPr>
          <w:rFonts w:ascii="Calibri" w:eastAsia="Times New Roman" w:hAnsi="Calibri"/>
          <w:b w:val="0"/>
          <w:sz w:val="22"/>
          <w:szCs w:val="22"/>
          <w:lang w:eastAsia="en-AU"/>
        </w:rPr>
      </w:pPr>
      <w:hyperlink w:anchor="_Toc280363581" w:history="1">
        <w:r w:rsidR="00C61FA2" w:rsidRPr="002F53B8">
          <w:rPr>
            <w:rStyle w:val="Hyperlink"/>
          </w:rPr>
          <w:t>Outlook for the international economy</w:t>
        </w:r>
        <w:r w:rsidR="00C61FA2">
          <w:rPr>
            <w:webHidden/>
          </w:rPr>
          <w:tab/>
        </w:r>
        <w:r w:rsidR="004D4273">
          <w:rPr>
            <w:webHidden/>
          </w:rPr>
          <w:fldChar w:fldCharType="begin"/>
        </w:r>
        <w:r w:rsidR="00C61FA2">
          <w:rPr>
            <w:webHidden/>
          </w:rPr>
          <w:instrText xml:space="preserve"> PAGEREF _Toc280363581 \h </w:instrText>
        </w:r>
        <w:r w:rsidR="004D4273">
          <w:rPr>
            <w:webHidden/>
          </w:rPr>
        </w:r>
        <w:r w:rsidR="004D4273">
          <w:rPr>
            <w:webHidden/>
          </w:rPr>
          <w:fldChar w:fldCharType="separate"/>
        </w:r>
        <w:r w:rsidR="008A1D76">
          <w:rPr>
            <w:webHidden/>
          </w:rPr>
          <w:t>14</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82" w:history="1">
        <w:r w:rsidR="00C61FA2" w:rsidRPr="002F53B8">
          <w:rPr>
            <w:rStyle w:val="Hyperlink"/>
          </w:rPr>
          <w:t>World outlook</w:t>
        </w:r>
        <w:r w:rsidR="00C61FA2">
          <w:rPr>
            <w:webHidden/>
          </w:rPr>
          <w:tab/>
        </w:r>
        <w:r w:rsidR="004D4273">
          <w:rPr>
            <w:webHidden/>
          </w:rPr>
          <w:fldChar w:fldCharType="begin"/>
        </w:r>
        <w:r w:rsidR="00C61FA2">
          <w:rPr>
            <w:webHidden/>
          </w:rPr>
          <w:instrText xml:space="preserve"> PAGEREF _Toc280363582 \h </w:instrText>
        </w:r>
        <w:r w:rsidR="004D4273">
          <w:rPr>
            <w:webHidden/>
          </w:rPr>
        </w:r>
        <w:r w:rsidR="004D4273">
          <w:rPr>
            <w:webHidden/>
          </w:rPr>
          <w:fldChar w:fldCharType="separate"/>
        </w:r>
        <w:r w:rsidR="008A1D76">
          <w:rPr>
            <w:webHidden/>
          </w:rPr>
          <w:t>14</w:t>
        </w:r>
        <w:r w:rsidR="004D4273">
          <w:rPr>
            <w:webHidden/>
          </w:rPr>
          <w:fldChar w:fldCharType="end"/>
        </w:r>
      </w:hyperlink>
    </w:p>
    <w:p w:rsidR="00C61FA2" w:rsidRDefault="00112B5B">
      <w:pPr>
        <w:pStyle w:val="TOC4"/>
        <w:rPr>
          <w:rFonts w:ascii="Calibri" w:eastAsia="Times New Roman" w:hAnsi="Calibri"/>
          <w:i w:val="0"/>
          <w:sz w:val="22"/>
          <w:szCs w:val="22"/>
          <w:lang w:eastAsia="en-AU"/>
        </w:rPr>
      </w:pPr>
      <w:hyperlink w:anchor="_Toc280363583" w:history="1">
        <w:r w:rsidR="00C61FA2" w:rsidRPr="002F53B8">
          <w:rPr>
            <w:rStyle w:val="Hyperlink"/>
          </w:rPr>
          <w:t>Country summaries</w:t>
        </w:r>
        <w:r w:rsidR="00C61FA2">
          <w:rPr>
            <w:webHidden/>
          </w:rPr>
          <w:tab/>
        </w:r>
        <w:r w:rsidR="004D4273">
          <w:rPr>
            <w:webHidden/>
          </w:rPr>
          <w:fldChar w:fldCharType="begin"/>
        </w:r>
        <w:r w:rsidR="00C61FA2">
          <w:rPr>
            <w:webHidden/>
          </w:rPr>
          <w:instrText xml:space="preserve"> PAGEREF _Toc280363583 \h </w:instrText>
        </w:r>
        <w:r w:rsidR="004D4273">
          <w:rPr>
            <w:webHidden/>
          </w:rPr>
        </w:r>
        <w:r w:rsidR="004D4273">
          <w:rPr>
            <w:webHidden/>
          </w:rPr>
          <w:fldChar w:fldCharType="separate"/>
        </w:r>
        <w:r w:rsidR="008A1D76">
          <w:rPr>
            <w:webHidden/>
          </w:rPr>
          <w:t>15</w:t>
        </w:r>
        <w:r w:rsidR="004D4273">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20"/>
          <w:titlePg/>
        </w:sectPr>
      </w:pPr>
      <w:r w:rsidRPr="003344B0">
        <w:rPr>
          <w:color w:val="auto"/>
          <w:highlight w:val="yellow"/>
        </w:rPr>
        <w:fldChar w:fldCharType="end"/>
      </w:r>
    </w:p>
    <w:p w:rsidR="00E9529C" w:rsidRPr="00F61A2D" w:rsidRDefault="00EF6F1B" w:rsidP="00BE6061">
      <w:pPr>
        <w:pStyle w:val="Heading3"/>
      </w:pPr>
      <w:bookmarkStart w:id="23" w:name="_Toc90977883"/>
      <w:bookmarkStart w:id="24" w:name="_Toc185498655"/>
      <w:bookmarkStart w:id="25" w:name="_Toc280363572"/>
      <w:r w:rsidRPr="00F61A2D">
        <w:lastRenderedPageBreak/>
        <w:t>Overview</w:t>
      </w:r>
      <w:bookmarkStart w:id="26" w:name="_Toc90977892"/>
      <w:bookmarkEnd w:id="23"/>
      <w:bookmarkEnd w:id="24"/>
      <w:bookmarkEnd w:id="25"/>
    </w:p>
    <w:p w:rsidR="007711BC" w:rsidRPr="00BD6D77" w:rsidRDefault="00BD6D77" w:rsidP="00BD6D77">
      <w:pPr>
        <w:pStyle w:val="NormalWeb"/>
        <w:shd w:val="clear" w:color="auto" w:fill="FFFFFF"/>
        <w:jc w:val="both"/>
        <w:rPr>
          <w:rFonts w:ascii="Book Antiqua" w:hAnsi="Book Antiqua"/>
          <w:sz w:val="20"/>
          <w:szCs w:val="20"/>
        </w:rPr>
      </w:pPr>
      <w:r>
        <w:rPr>
          <w:rFonts w:ascii="Book Antiqua" w:hAnsi="Book Antiqua"/>
          <w:sz w:val="20"/>
          <w:szCs w:val="20"/>
        </w:rPr>
        <w:t xml:space="preserve">The economic outlook has not changed </w:t>
      </w:r>
      <w:r w:rsidR="001A2488">
        <w:rPr>
          <w:rFonts w:ascii="Book Antiqua" w:hAnsi="Book Antiqua"/>
          <w:sz w:val="20"/>
          <w:szCs w:val="20"/>
        </w:rPr>
        <w:t>markedly</w:t>
      </w:r>
      <w:r>
        <w:rPr>
          <w:rFonts w:ascii="Book Antiqua" w:hAnsi="Book Antiqua"/>
          <w:sz w:val="20"/>
          <w:szCs w:val="20"/>
        </w:rPr>
        <w:t xml:space="preserve"> since the September 2010 JEFG, although recent subdued household consumption growth and a re-profiling of the business investment forecasts have driven a downward revision to forecast GDP growth in 2010</w:t>
      </w:r>
      <w:r w:rsidR="0068166A">
        <w:rPr>
          <w:rFonts w:ascii="Book Antiqua" w:hAnsi="Book Antiqua"/>
          <w:sz w:val="20"/>
          <w:szCs w:val="20"/>
        </w:rPr>
        <w:t>-11</w:t>
      </w:r>
      <w:r>
        <w:rPr>
          <w:rFonts w:ascii="Book Antiqua" w:hAnsi="Book Antiqua"/>
          <w:sz w:val="20"/>
          <w:szCs w:val="20"/>
        </w:rPr>
        <w:t>. While economic growth slowed i</w:t>
      </w:r>
      <w:r w:rsidR="0068166A">
        <w:rPr>
          <w:rFonts w:ascii="Book Antiqua" w:hAnsi="Book Antiqua"/>
          <w:sz w:val="20"/>
          <w:szCs w:val="20"/>
        </w:rPr>
        <w:t>n the September quarter, other</w:t>
      </w:r>
      <w:r>
        <w:rPr>
          <w:rFonts w:ascii="Book Antiqua" w:hAnsi="Book Antiqua"/>
          <w:sz w:val="20"/>
          <w:szCs w:val="20"/>
        </w:rPr>
        <w:t xml:space="preserve"> indicators suggest that any near</w:t>
      </w:r>
      <w:r>
        <w:rPr>
          <w:rFonts w:ascii="Book Antiqua" w:hAnsi="Book Antiqua"/>
          <w:sz w:val="20"/>
          <w:szCs w:val="20"/>
        </w:rPr>
        <w:noBreakHyphen/>
        <w:t>term weakness in activity will be temporary. The labour market has continued to strengthen, while r</w:t>
      </w:r>
      <w:r w:rsidRPr="000501D6">
        <w:rPr>
          <w:rFonts w:ascii="Book Antiqua" w:hAnsi="Book Antiqua"/>
          <w:bCs/>
          <w:sz w:val="20"/>
          <w:szCs w:val="20"/>
        </w:rPr>
        <w:t>ecent project announcements and the September quarter CAPEX</w:t>
      </w:r>
      <w:r w:rsidRPr="000501D6">
        <w:rPr>
          <w:rFonts w:ascii="Book Antiqua" w:hAnsi="Book Antiqua"/>
          <w:sz w:val="20"/>
          <w:szCs w:val="20"/>
        </w:rPr>
        <w:t xml:space="preserve"> </w:t>
      </w:r>
      <w:r>
        <w:rPr>
          <w:rFonts w:ascii="Book Antiqua" w:hAnsi="Book Antiqua"/>
          <w:sz w:val="20"/>
          <w:szCs w:val="20"/>
        </w:rPr>
        <w:t xml:space="preserve">survey </w:t>
      </w:r>
      <w:r w:rsidRPr="00B95027">
        <w:rPr>
          <w:rFonts w:ascii="Book Antiqua" w:hAnsi="Book Antiqua"/>
          <w:sz w:val="20"/>
          <w:szCs w:val="20"/>
        </w:rPr>
        <w:t xml:space="preserve">have reaffirmed that </w:t>
      </w:r>
      <w:r w:rsidR="001A2488">
        <w:rPr>
          <w:rFonts w:ascii="Book Antiqua" w:hAnsi="Book Antiqua"/>
          <w:sz w:val="20"/>
          <w:szCs w:val="20"/>
        </w:rPr>
        <w:t>mining</w:t>
      </w:r>
      <w:r w:rsidRPr="00B95027">
        <w:rPr>
          <w:rFonts w:ascii="Book Antiqua" w:hAnsi="Book Antiqua"/>
          <w:sz w:val="20"/>
          <w:szCs w:val="20"/>
        </w:rPr>
        <w:t xml:space="preserve"> investment and commodity exports will be key drivers of growth over the forecast horizon.</w:t>
      </w:r>
      <w:r>
        <w:rPr>
          <w:rFonts w:ascii="Book Antiqua" w:hAnsi="Book Antiqua"/>
          <w:sz w:val="20"/>
          <w:szCs w:val="20"/>
        </w:rPr>
        <w:t xml:space="preserve">  The key risks to Australia’s economic outlook relate to the timing of resources investment and</w:t>
      </w:r>
      <w:r w:rsidR="0068166A">
        <w:rPr>
          <w:rFonts w:ascii="Book Antiqua" w:hAnsi="Book Antiqua"/>
          <w:sz w:val="20"/>
          <w:szCs w:val="20"/>
        </w:rPr>
        <w:t xml:space="preserve"> the possibility</w:t>
      </w:r>
      <w:r>
        <w:rPr>
          <w:rFonts w:ascii="Book Antiqua" w:hAnsi="Book Antiqua"/>
          <w:sz w:val="20"/>
          <w:szCs w:val="20"/>
        </w:rPr>
        <w:t xml:space="preserve"> that sovereign credit concerns in Europe could </w:t>
      </w:r>
      <w:r w:rsidR="0068166A">
        <w:rPr>
          <w:rFonts w:ascii="Book Antiqua" w:hAnsi="Book Antiqua"/>
          <w:sz w:val="20"/>
          <w:szCs w:val="20"/>
        </w:rPr>
        <w:t>cause</w:t>
      </w:r>
      <w:r>
        <w:rPr>
          <w:rFonts w:ascii="Book Antiqua" w:hAnsi="Book Antiqua"/>
          <w:sz w:val="20"/>
          <w:szCs w:val="20"/>
        </w:rPr>
        <w:t xml:space="preserve"> wide</w:t>
      </w:r>
      <w:r>
        <w:rPr>
          <w:rFonts w:ascii="Book Antiqua" w:hAnsi="Book Antiqua"/>
          <w:sz w:val="20"/>
          <w:szCs w:val="20"/>
        </w:rPr>
        <w:noBreakHyphen/>
        <w:t>spread disruptions to global credit markets.</w:t>
      </w:r>
    </w:p>
    <w:p w:rsidR="00BD65DA" w:rsidRPr="007711BC" w:rsidRDefault="00BD65DA" w:rsidP="00BD65DA">
      <w:pPr>
        <w:pStyle w:val="Dash"/>
        <w:keepNext/>
        <w:numPr>
          <w:ilvl w:val="0"/>
          <w:numId w:val="0"/>
        </w:numPr>
        <w:spacing w:line="240" w:lineRule="auto"/>
        <w:jc w:val="left"/>
        <w:rPr>
          <w:rFonts w:ascii="Tahoma" w:hAnsi="Tahoma" w:cs="Tahoma"/>
          <w:b/>
        </w:rPr>
      </w:pPr>
      <w:r w:rsidRPr="007711BC">
        <w:rPr>
          <w:rFonts w:ascii="Tahoma" w:hAnsi="Tahoma" w:cs="Tahoma"/>
          <w:b/>
        </w:rPr>
        <w:t xml:space="preserve">Table 1: Key Domestic Forecasts – </w:t>
      </w:r>
      <w:r w:rsidR="009935AB">
        <w:rPr>
          <w:rFonts w:ascii="Tahoma" w:hAnsi="Tahoma" w:cs="Tahoma"/>
          <w:b/>
        </w:rPr>
        <w:t>December compared with September</w:t>
      </w:r>
    </w:p>
    <w:p w:rsidR="008B3993" w:rsidRDefault="00112B5B" w:rsidP="00BD65DA">
      <w:pPr>
        <w:pStyle w:val="Dash"/>
        <w:keepNext/>
        <w:numPr>
          <w:ilvl w:val="0"/>
          <w:numId w:val="0"/>
        </w:numPr>
        <w:spacing w:line="240" w:lineRule="auto"/>
        <w:jc w:val="lef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197.2pt">
            <v:imagedata r:id="rId15" o:title=""/>
          </v:shape>
        </w:pict>
      </w:r>
    </w:p>
    <w:p w:rsidR="00BD6D77" w:rsidRPr="00E63E2E" w:rsidRDefault="00BD6D77" w:rsidP="00056FA0">
      <w:pPr>
        <w:rPr>
          <w:color w:val="000000"/>
        </w:rPr>
      </w:pPr>
      <w:bookmarkStart w:id="27" w:name="_Toc185498657"/>
      <w:r w:rsidRPr="00BD6D77">
        <w:rPr>
          <w:szCs w:val="20"/>
        </w:rPr>
        <w:t xml:space="preserve">The outlook for global growth is marginally stronger in 2010, but little changed in the final two forecast years. The main external risks are associated with sovereign credit concerns in Europe and the possibility that planned fiscal consolidation in 2011 will be excessive.  </w:t>
      </w:r>
      <w:r w:rsidR="00E63E2E">
        <w:rPr>
          <w:szCs w:val="20"/>
        </w:rPr>
        <w:t xml:space="preserve">On a more positive note, </w:t>
      </w:r>
      <w:r w:rsidR="00595613">
        <w:rPr>
          <w:szCs w:val="20"/>
        </w:rPr>
        <w:t xml:space="preserve">the risk of a double dip recession in the United States has receded </w:t>
      </w:r>
      <w:r w:rsidR="007830E5">
        <w:rPr>
          <w:szCs w:val="20"/>
        </w:rPr>
        <w:t xml:space="preserve">for the present </w:t>
      </w:r>
      <w:r w:rsidR="00595613">
        <w:rPr>
          <w:szCs w:val="20"/>
        </w:rPr>
        <w:t>and Chinese authorities have thus far succeeded in tightening macroeconomic policy without generating too-abrupt a slowdown in economic growth</w:t>
      </w:r>
      <w:r w:rsidR="00E63E2E" w:rsidRPr="000747B3">
        <w:rPr>
          <w:color w:val="000000"/>
        </w:rPr>
        <w:t>.</w:t>
      </w:r>
      <w:r w:rsidR="00E63E2E">
        <w:rPr>
          <w:color w:val="000000"/>
        </w:rPr>
        <w:t xml:space="preserve"> </w:t>
      </w:r>
      <w:r w:rsidRPr="00BD6D77">
        <w:rPr>
          <w:szCs w:val="20"/>
        </w:rPr>
        <w:t>These risks aside, the central forecasts for Australia’s Major Trading Partners (MTPs) have not changed markedly since September, with MTP growth forecast to be 6¼ per cent in 2010, 4¼ per cent in 2011 and 4½ per cent in 2012.</w:t>
      </w:r>
    </w:p>
    <w:p w:rsidR="00BD6D77" w:rsidRPr="002A6F36" w:rsidRDefault="00BD6D77" w:rsidP="00056FA0">
      <w:pPr>
        <w:pStyle w:val="NormalWeb"/>
        <w:shd w:val="clear" w:color="auto" w:fill="FFFFFF"/>
        <w:spacing w:after="240" w:afterAutospacing="0"/>
        <w:jc w:val="both"/>
        <w:rPr>
          <w:rFonts w:ascii="Book Antiqua" w:hAnsi="Book Antiqua"/>
          <w:sz w:val="20"/>
          <w:szCs w:val="20"/>
        </w:rPr>
      </w:pPr>
      <w:r>
        <w:rPr>
          <w:rFonts w:ascii="Book Antiqua" w:hAnsi="Book Antiqua"/>
          <w:sz w:val="20"/>
          <w:szCs w:val="20"/>
        </w:rPr>
        <w:t>In this context, Australia’s e</w:t>
      </w:r>
      <w:r w:rsidRPr="002A6F36">
        <w:rPr>
          <w:rFonts w:ascii="Book Antiqua" w:hAnsi="Book Antiqua"/>
          <w:sz w:val="20"/>
          <w:szCs w:val="20"/>
        </w:rPr>
        <w:t>conomic growth is forecast to strengthen from 3 per cent in 2010-11 t</w:t>
      </w:r>
      <w:r>
        <w:rPr>
          <w:rFonts w:ascii="Book Antiqua" w:hAnsi="Book Antiqua"/>
          <w:sz w:val="20"/>
          <w:szCs w:val="20"/>
        </w:rPr>
        <w:t>o 3¾ </w:t>
      </w:r>
      <w:r w:rsidRPr="002A6F36">
        <w:rPr>
          <w:rFonts w:ascii="Book Antiqua" w:hAnsi="Book Antiqua"/>
          <w:sz w:val="20"/>
          <w:szCs w:val="20"/>
        </w:rPr>
        <w:t xml:space="preserve">per cent in 2011-12.  In 2010-11, this represents a downgrade of ½ a percentage point since the September JEFG, with a higher exchange rate weighing on real GDP growth in the near-term and consistent with </w:t>
      </w:r>
      <w:r>
        <w:rPr>
          <w:rFonts w:ascii="Book Antiqua" w:hAnsi="Book Antiqua"/>
          <w:sz w:val="20"/>
          <w:szCs w:val="20"/>
        </w:rPr>
        <w:t xml:space="preserve">further </w:t>
      </w:r>
      <w:r w:rsidRPr="002A6F36">
        <w:rPr>
          <w:rFonts w:ascii="Book Antiqua" w:hAnsi="Book Antiqua"/>
          <w:sz w:val="20"/>
          <w:szCs w:val="20"/>
        </w:rPr>
        <w:t xml:space="preserve">evidence that households are taking a more cautious approach to their finances in the wake of the global financial crisis. </w:t>
      </w:r>
      <w:r>
        <w:rPr>
          <w:rFonts w:ascii="Book Antiqua" w:hAnsi="Book Antiqua"/>
          <w:sz w:val="20"/>
          <w:szCs w:val="20"/>
        </w:rPr>
        <w:t>The recent weakness of m</w:t>
      </w:r>
      <w:r w:rsidRPr="002A6F36">
        <w:rPr>
          <w:rFonts w:ascii="Book Antiqua" w:hAnsi="Book Antiqua"/>
          <w:sz w:val="20"/>
          <w:szCs w:val="20"/>
        </w:rPr>
        <w:t xml:space="preserve">achinery and equipment investment </w:t>
      </w:r>
      <w:r>
        <w:rPr>
          <w:rFonts w:ascii="Book Antiqua" w:hAnsi="Book Antiqua"/>
          <w:sz w:val="20"/>
          <w:szCs w:val="20"/>
        </w:rPr>
        <w:t>is also weighing on forecast GDP growth in 2010-11</w:t>
      </w:r>
      <w:r w:rsidR="001A2488">
        <w:rPr>
          <w:rFonts w:ascii="Book Antiqua" w:hAnsi="Book Antiqua"/>
          <w:sz w:val="20"/>
          <w:szCs w:val="20"/>
        </w:rPr>
        <w:t>, with some of the investment indicated by the September quarter CAPEX for 2010-11 unlikely to materialise until 2011-12</w:t>
      </w:r>
      <w:r w:rsidRPr="002A6F36">
        <w:rPr>
          <w:rFonts w:ascii="Book Antiqua" w:hAnsi="Book Antiqua"/>
          <w:sz w:val="20"/>
          <w:szCs w:val="20"/>
        </w:rPr>
        <w:t>.</w:t>
      </w:r>
      <w:r>
        <w:rPr>
          <w:rFonts w:ascii="Book Antiqua" w:hAnsi="Book Antiqua"/>
          <w:sz w:val="20"/>
          <w:szCs w:val="20"/>
        </w:rPr>
        <w:t xml:space="preserve"> The </w:t>
      </w:r>
      <w:r w:rsidRPr="002A6F36">
        <w:rPr>
          <w:rFonts w:ascii="Book Antiqua" w:hAnsi="Book Antiqua"/>
          <w:sz w:val="20"/>
          <w:szCs w:val="20"/>
        </w:rPr>
        <w:t xml:space="preserve">real GDP growth </w:t>
      </w:r>
      <w:r>
        <w:rPr>
          <w:rFonts w:ascii="Book Antiqua" w:hAnsi="Book Antiqua"/>
          <w:sz w:val="20"/>
          <w:szCs w:val="20"/>
        </w:rPr>
        <w:t xml:space="preserve">forecast for </w:t>
      </w:r>
      <w:r w:rsidRPr="002A6F36">
        <w:rPr>
          <w:rFonts w:ascii="Book Antiqua" w:hAnsi="Book Antiqua"/>
          <w:sz w:val="20"/>
          <w:szCs w:val="20"/>
        </w:rPr>
        <w:t>2011-12 is unchanged from September.</w:t>
      </w:r>
    </w:p>
    <w:p w:rsidR="00BD6D77" w:rsidRPr="002A6F36" w:rsidRDefault="00BD6D77" w:rsidP="00056FA0">
      <w:pPr>
        <w:pStyle w:val="Bullet"/>
        <w:tabs>
          <w:tab w:val="num" w:pos="0"/>
        </w:tabs>
        <w:spacing w:line="240" w:lineRule="auto"/>
        <w:ind w:left="0" w:firstLine="0"/>
        <w:rPr>
          <w:szCs w:val="20"/>
        </w:rPr>
      </w:pPr>
      <w:r w:rsidRPr="002A6F36">
        <w:rPr>
          <w:szCs w:val="20"/>
        </w:rPr>
        <w:t>The December JEFG report includes 2012-13 as a forecast year for the first time</w:t>
      </w:r>
      <w:r>
        <w:rPr>
          <w:szCs w:val="20"/>
        </w:rPr>
        <w:t xml:space="preserve">, with real GDP forecast to grow at </w:t>
      </w:r>
      <w:r w:rsidRPr="002A6F36">
        <w:rPr>
          <w:szCs w:val="20"/>
        </w:rPr>
        <w:t>3¼ per cent</w:t>
      </w:r>
      <w:r>
        <w:rPr>
          <w:szCs w:val="20"/>
        </w:rPr>
        <w:t>, or slightly above trend</w:t>
      </w:r>
      <w:r w:rsidRPr="002A6F36">
        <w:rPr>
          <w:szCs w:val="20"/>
        </w:rPr>
        <w:t xml:space="preserve">. </w:t>
      </w:r>
      <w:r w:rsidRPr="001F3796">
        <w:rPr>
          <w:bCs/>
          <w:szCs w:val="20"/>
        </w:rPr>
        <w:t>P</w:t>
      </w:r>
      <w:r w:rsidRPr="00936215">
        <w:rPr>
          <w:szCs w:val="20"/>
        </w:rPr>
        <w:t xml:space="preserve">roject level analysis suggests continued strong growth in mining investment and bulk commodity exports </w:t>
      </w:r>
      <w:r>
        <w:rPr>
          <w:szCs w:val="20"/>
        </w:rPr>
        <w:t>through to the middle of this decade</w:t>
      </w:r>
      <w:r w:rsidRPr="00936215">
        <w:rPr>
          <w:szCs w:val="20"/>
        </w:rPr>
        <w:t>, le</w:t>
      </w:r>
      <w:r w:rsidR="0068166A">
        <w:rPr>
          <w:szCs w:val="20"/>
        </w:rPr>
        <w:t>d by LNG and supported by high, albeit declining,</w:t>
      </w:r>
      <w:r w:rsidRPr="00936215">
        <w:rPr>
          <w:szCs w:val="20"/>
        </w:rPr>
        <w:t xml:space="preserve"> coal and iron ore prices.</w:t>
      </w:r>
      <w:r>
        <w:rPr>
          <w:szCs w:val="20"/>
        </w:rPr>
        <w:t xml:space="preserve">  S</w:t>
      </w:r>
      <w:r w:rsidRPr="00936215">
        <w:rPr>
          <w:szCs w:val="20"/>
        </w:rPr>
        <w:t xml:space="preserve">trong growth in </w:t>
      </w:r>
      <w:r>
        <w:rPr>
          <w:szCs w:val="20"/>
        </w:rPr>
        <w:t xml:space="preserve">mining-related construction activity and </w:t>
      </w:r>
      <w:r w:rsidRPr="00936215">
        <w:rPr>
          <w:szCs w:val="20"/>
        </w:rPr>
        <w:t>export incomes</w:t>
      </w:r>
      <w:r>
        <w:rPr>
          <w:szCs w:val="20"/>
        </w:rPr>
        <w:t xml:space="preserve"> </w:t>
      </w:r>
      <w:r w:rsidR="00231DAB">
        <w:rPr>
          <w:szCs w:val="20"/>
        </w:rPr>
        <w:t>are expected to</w:t>
      </w:r>
      <w:r>
        <w:rPr>
          <w:szCs w:val="20"/>
        </w:rPr>
        <w:t xml:space="preserve"> add to demand and inflationary pressures</w:t>
      </w:r>
      <w:r w:rsidR="0068166A">
        <w:rPr>
          <w:szCs w:val="20"/>
        </w:rPr>
        <w:t xml:space="preserve">. Accordingly, </w:t>
      </w:r>
      <w:r w:rsidRPr="00936215">
        <w:rPr>
          <w:szCs w:val="20"/>
        </w:rPr>
        <w:t xml:space="preserve">it </w:t>
      </w:r>
      <w:r>
        <w:rPr>
          <w:szCs w:val="20"/>
        </w:rPr>
        <w:t>is anticipated</w:t>
      </w:r>
      <w:r w:rsidRPr="00936215">
        <w:rPr>
          <w:szCs w:val="20"/>
        </w:rPr>
        <w:t xml:space="preserve"> that monetary conditions will remain restrictive </w:t>
      </w:r>
      <w:r>
        <w:rPr>
          <w:szCs w:val="20"/>
        </w:rPr>
        <w:t xml:space="preserve">over the </w:t>
      </w:r>
      <w:r>
        <w:rPr>
          <w:szCs w:val="20"/>
        </w:rPr>
        <w:lastRenderedPageBreak/>
        <w:t xml:space="preserve">forecast horizon </w:t>
      </w:r>
      <w:r w:rsidRPr="00936215">
        <w:rPr>
          <w:szCs w:val="20"/>
        </w:rPr>
        <w:t>(th</w:t>
      </w:r>
      <w:r>
        <w:rPr>
          <w:szCs w:val="20"/>
        </w:rPr>
        <w:t xml:space="preserve">rough </w:t>
      </w:r>
      <w:r w:rsidR="00595613">
        <w:rPr>
          <w:szCs w:val="20"/>
        </w:rPr>
        <w:t>a</w:t>
      </w:r>
      <w:r>
        <w:rPr>
          <w:szCs w:val="20"/>
        </w:rPr>
        <w:t xml:space="preserve"> combination of above </w:t>
      </w:r>
      <w:r w:rsidRPr="00936215">
        <w:rPr>
          <w:szCs w:val="20"/>
        </w:rPr>
        <w:t xml:space="preserve">average interest and exchange rates), holding down growth in dwellings investment, commercial building activity, and exports of services and manufactures </w:t>
      </w:r>
      <w:r w:rsidR="0068166A">
        <w:rPr>
          <w:szCs w:val="20"/>
        </w:rPr>
        <w:t xml:space="preserve">and promoting the movement of </w:t>
      </w:r>
      <w:r w:rsidRPr="00936215">
        <w:rPr>
          <w:szCs w:val="20"/>
        </w:rPr>
        <w:t>the factors of production towards the resources sector.</w:t>
      </w:r>
    </w:p>
    <w:p w:rsidR="00BD6D77" w:rsidRDefault="00BD6D77" w:rsidP="00BD6D77">
      <w:pPr>
        <w:pStyle w:val="Bullet"/>
        <w:tabs>
          <w:tab w:val="num" w:pos="0"/>
        </w:tabs>
        <w:spacing w:line="240" w:lineRule="auto"/>
        <w:ind w:left="0" w:firstLine="0"/>
        <w:rPr>
          <w:szCs w:val="20"/>
        </w:rPr>
      </w:pPr>
      <w:r w:rsidRPr="002A6F36">
        <w:rPr>
          <w:szCs w:val="20"/>
        </w:rPr>
        <w:t xml:space="preserve">Nominal GDP is expected to grow by 8¼ per cent in 2010-11, 1 percentage point slower than the September forecast, reflecting lower real GDP growth and more moderate domestic price growth, partly offset by </w:t>
      </w:r>
      <w:r>
        <w:rPr>
          <w:szCs w:val="20"/>
        </w:rPr>
        <w:t xml:space="preserve">a </w:t>
      </w:r>
      <w:r w:rsidRPr="002A6F36">
        <w:rPr>
          <w:szCs w:val="20"/>
        </w:rPr>
        <w:t xml:space="preserve">slightly higher terms of trade. The terms of trade are expected to rise by 16¼ per cent in 2010-11 </w:t>
      </w:r>
      <w:r>
        <w:rPr>
          <w:szCs w:val="20"/>
        </w:rPr>
        <w:t xml:space="preserve">– </w:t>
      </w:r>
      <w:r w:rsidR="00231DAB">
        <w:rPr>
          <w:szCs w:val="20"/>
        </w:rPr>
        <w:t xml:space="preserve">up </w:t>
      </w:r>
      <w:r w:rsidR="00595613">
        <w:t>from the 16</w:t>
      </w:r>
      <w:r>
        <w:t xml:space="preserve"> per cent rise forecast in September </w:t>
      </w:r>
      <w:r>
        <w:noBreakHyphen/>
        <w:t> </w:t>
      </w:r>
      <w:r w:rsidRPr="002A6F36">
        <w:rPr>
          <w:szCs w:val="20"/>
        </w:rPr>
        <w:t>and then decline</w:t>
      </w:r>
      <w:r>
        <w:rPr>
          <w:szCs w:val="20"/>
        </w:rPr>
        <w:t xml:space="preserve"> a little </w:t>
      </w:r>
      <w:r w:rsidRPr="002A6F36">
        <w:rPr>
          <w:szCs w:val="20"/>
        </w:rPr>
        <w:t xml:space="preserve">more </w:t>
      </w:r>
      <w:r>
        <w:rPr>
          <w:szCs w:val="20"/>
        </w:rPr>
        <w:t>slowly</w:t>
      </w:r>
      <w:r w:rsidRPr="002A6F36">
        <w:rPr>
          <w:szCs w:val="20"/>
        </w:rPr>
        <w:t xml:space="preserve"> than previously forecast</w:t>
      </w:r>
      <w:r>
        <w:rPr>
          <w:szCs w:val="20"/>
        </w:rPr>
        <w:t xml:space="preserve">, consistent with </w:t>
      </w:r>
      <w:r w:rsidR="00231DAB">
        <w:rPr>
          <w:szCs w:val="20"/>
        </w:rPr>
        <w:t xml:space="preserve">market </w:t>
      </w:r>
      <w:r>
        <w:rPr>
          <w:szCs w:val="20"/>
        </w:rPr>
        <w:t xml:space="preserve">perceptions that </w:t>
      </w:r>
      <w:r w:rsidRPr="002A6F36">
        <w:rPr>
          <w:szCs w:val="20"/>
        </w:rPr>
        <w:t xml:space="preserve">the increase in global supply of the main non-rural commodities </w:t>
      </w:r>
      <w:r>
        <w:rPr>
          <w:szCs w:val="20"/>
        </w:rPr>
        <w:t xml:space="preserve">will </w:t>
      </w:r>
      <w:r w:rsidRPr="002A6F36">
        <w:rPr>
          <w:szCs w:val="20"/>
        </w:rPr>
        <w:t xml:space="preserve">come on line more gradually than previously </w:t>
      </w:r>
      <w:r>
        <w:rPr>
          <w:szCs w:val="20"/>
        </w:rPr>
        <w:t>anticipated</w:t>
      </w:r>
      <w:r w:rsidRPr="002A6F36">
        <w:rPr>
          <w:szCs w:val="20"/>
        </w:rPr>
        <w:t xml:space="preserve">. </w:t>
      </w:r>
      <w:r>
        <w:rPr>
          <w:szCs w:val="20"/>
        </w:rPr>
        <w:t xml:space="preserve">Consequently, nominal GDP growth is now forecast to </w:t>
      </w:r>
      <w:r w:rsidR="00AF48F5">
        <w:rPr>
          <w:szCs w:val="20"/>
        </w:rPr>
        <w:t>be</w:t>
      </w:r>
      <w:r>
        <w:rPr>
          <w:szCs w:val="20"/>
        </w:rPr>
        <w:t xml:space="preserve"> </w:t>
      </w:r>
      <w:r w:rsidRPr="002A6F36">
        <w:rPr>
          <w:szCs w:val="20"/>
        </w:rPr>
        <w:t>6 per cent in 2011-12 (compared with the September round forecast of 5 per cen</w:t>
      </w:r>
      <w:r>
        <w:rPr>
          <w:szCs w:val="20"/>
        </w:rPr>
        <w:t>t) and 5½ per cent in 2012</w:t>
      </w:r>
      <w:r>
        <w:rPr>
          <w:szCs w:val="20"/>
        </w:rPr>
        <w:noBreakHyphen/>
        <w:t xml:space="preserve">13. </w:t>
      </w:r>
    </w:p>
    <w:p w:rsidR="00BD6D77" w:rsidRDefault="00BD6D77" w:rsidP="00BD6D77">
      <w:pPr>
        <w:pStyle w:val="Bullet"/>
        <w:tabs>
          <w:tab w:val="num" w:pos="0"/>
        </w:tabs>
        <w:ind w:left="0" w:firstLine="0"/>
      </w:pPr>
      <w:r>
        <w:t xml:space="preserve">Household finances are well-supported by the strength of the labour market and consumer confidence is above its long-term average. However, modest personal and housing credit growth and subdued retail sales suggest that households have adjusted their spending behaviour in the wake of the financial crisis. This has driven a downward revision to forecast growth in household consumption, which is now forecast to be close to trend across the forecast horizon.  The household savings ratio is expected to fall only gradually, remaining at around 9-10 per cent over the forecast horizon. </w:t>
      </w:r>
    </w:p>
    <w:p w:rsidR="00BD6D77" w:rsidRDefault="00BD6D77" w:rsidP="00BD6D77">
      <w:pPr>
        <w:pStyle w:val="Bullet"/>
        <w:tabs>
          <w:tab w:val="num" w:pos="0"/>
        </w:tabs>
        <w:spacing w:line="240" w:lineRule="auto"/>
        <w:ind w:left="0" w:firstLine="0"/>
      </w:pPr>
      <w:r>
        <w:t>Dwelling investment is forecast to be weaker in 2010-11 than anticipated in September, reflecting continued soft readings from leading indicators of activity, recent subdued grow</w:t>
      </w:r>
      <w:r w:rsidR="0068166A">
        <w:t>th in house prices and a larger-than-</w:t>
      </w:r>
      <w:r>
        <w:t>anticipated increase in standard variable mortgage interest rates in November. Looking ahead, it is anticipated that g</w:t>
      </w:r>
      <w:r w:rsidR="00282F6A">
        <w:t>rowth in dwelling</w:t>
      </w:r>
      <w:r>
        <w:t xml:space="preserve"> investment will be weighed down by tighter monetary settings and increased competition for skilled labour as mining-related construction activity gains pace. </w:t>
      </w:r>
    </w:p>
    <w:p w:rsidR="00BD6D77" w:rsidRDefault="00BD6D77" w:rsidP="00BD6D77">
      <w:pPr>
        <w:pStyle w:val="Bullet"/>
        <w:tabs>
          <w:tab w:val="num" w:pos="0"/>
        </w:tabs>
        <w:spacing w:line="240" w:lineRule="auto"/>
        <w:ind w:left="0" w:firstLine="0"/>
      </w:pPr>
      <w:r>
        <w:t>Mining investment is still expected to be a key driver of growth over the forecast period, underpinned by high prices for Australia’s bulk non-rural commodity exports. Recent project announcements have added to the pipeline of mining-related investment and the CAPEX survey continues t</w:t>
      </w:r>
      <w:r w:rsidR="00231DAB">
        <w:t>o point to a strong pick up in</w:t>
      </w:r>
      <w:r>
        <w:t xml:space="preserve"> investment this financial year, consistent with recent strong growth in engineering construction activity. However, an unanticipated fall in machinery and equipment investment in the September quarter has led </w:t>
      </w:r>
      <w:r w:rsidR="000C5211">
        <w:t xml:space="preserve">to </w:t>
      </w:r>
      <w:r>
        <w:t>a re</w:t>
      </w:r>
      <w:r w:rsidR="00015E50">
        <w:t>-</w:t>
      </w:r>
      <w:r>
        <w:t>profiling of the business investment forecasts, with slightly weaker growth in 2010-11 followed by stronger growth in 2011-12. Meanwhile, w</w:t>
      </w:r>
      <w:r w:rsidRPr="008D3F20">
        <w:t xml:space="preserve">ith the </w:t>
      </w:r>
      <w:r w:rsidRPr="008D3F20">
        <w:rPr>
          <w:bCs/>
        </w:rPr>
        <w:t>BER winding down, high vacancy rates and a continuation of difficult credit conditions for developers</w:t>
      </w:r>
      <w:r w:rsidRPr="008D3F20">
        <w:t>, the outlook for the commercial property sector remains subdued.</w:t>
      </w:r>
      <w:r w:rsidRPr="002B1389">
        <w:t xml:space="preserve"> </w:t>
      </w:r>
    </w:p>
    <w:p w:rsidR="00BD6D77" w:rsidRDefault="00BD6D77" w:rsidP="00BD6D77">
      <w:pPr>
        <w:pStyle w:val="Bullet"/>
        <w:tabs>
          <w:tab w:val="num" w:pos="0"/>
        </w:tabs>
        <w:spacing w:line="240" w:lineRule="auto"/>
        <w:ind w:left="0" w:firstLine="0"/>
      </w:pPr>
      <w:r>
        <w:t xml:space="preserve">Recent adverse weather has disrupted </w:t>
      </w:r>
      <w:r>
        <w:rPr>
          <w:rFonts w:cs="Book Antiqua"/>
          <w:szCs w:val="20"/>
        </w:rPr>
        <w:t>Queensland’s</w:t>
      </w:r>
      <w:r w:rsidRPr="005053CD">
        <w:rPr>
          <w:rFonts w:cs="Book Antiqua"/>
          <w:szCs w:val="20"/>
        </w:rPr>
        <w:t xml:space="preserve"> metallurgical coal</w:t>
      </w:r>
      <w:r>
        <w:rPr>
          <w:rFonts w:cs="Book Antiqua"/>
          <w:szCs w:val="20"/>
        </w:rPr>
        <w:t xml:space="preserve"> supply chain</w:t>
      </w:r>
      <w:r>
        <w:t xml:space="preserve"> and affected both the quantity and quality of the wheat harvest, weighing on commodity exports in the September and December quarters. Looking ahead though</w:t>
      </w:r>
      <w:r>
        <w:rPr>
          <w:rFonts w:cs="Book Antiqua"/>
          <w:szCs w:val="20"/>
        </w:rPr>
        <w:t xml:space="preserve">, significant expansions to </w:t>
      </w:r>
      <w:r w:rsidRPr="005053CD">
        <w:rPr>
          <w:rFonts w:cs="Book Antiqua"/>
          <w:szCs w:val="20"/>
        </w:rPr>
        <w:t>mine and infrastructure capacity</w:t>
      </w:r>
      <w:r>
        <w:rPr>
          <w:rFonts w:cs="Book Antiqua"/>
          <w:szCs w:val="20"/>
        </w:rPr>
        <w:t xml:space="preserve"> are still expected to underpin strong growth in non-rural commodity exports.  </w:t>
      </w:r>
      <w:r w:rsidRPr="004E585F">
        <w:rPr>
          <w:rFonts w:cs="Book Antiqua"/>
          <w:szCs w:val="20"/>
        </w:rPr>
        <w:t>The outlook for</w:t>
      </w:r>
      <w:r>
        <w:rPr>
          <w:rFonts w:cs="Book Antiqua"/>
          <w:szCs w:val="20"/>
        </w:rPr>
        <w:t xml:space="preserve"> </w:t>
      </w:r>
      <w:r w:rsidRPr="00FC7623">
        <w:rPr>
          <w:rFonts w:cs="Book Antiqua"/>
          <w:szCs w:val="20"/>
        </w:rPr>
        <w:t xml:space="preserve">exports of elaborately transformed manufactures (ETMs) and services is </w:t>
      </w:r>
      <w:r>
        <w:rPr>
          <w:rFonts w:cs="Book Antiqua"/>
          <w:szCs w:val="20"/>
        </w:rPr>
        <w:t>weaker than at September, with volumes growth for both sectors adversely affected by the higher</w:t>
      </w:r>
      <w:r w:rsidRPr="005053CD">
        <w:rPr>
          <w:rFonts w:cs="Book Antiqua"/>
          <w:szCs w:val="20"/>
        </w:rPr>
        <w:t xml:space="preserve"> exchange rate</w:t>
      </w:r>
      <w:r>
        <w:rPr>
          <w:rFonts w:cs="Book Antiqua"/>
          <w:szCs w:val="20"/>
        </w:rPr>
        <w:t xml:space="preserve">. </w:t>
      </w:r>
    </w:p>
    <w:p w:rsidR="00BD6D77" w:rsidRDefault="00BD6D77" w:rsidP="00BD6D77">
      <w:pPr>
        <w:pStyle w:val="Bullet"/>
        <w:tabs>
          <w:tab w:val="num" w:pos="0"/>
        </w:tabs>
        <w:spacing w:line="240" w:lineRule="auto"/>
        <w:ind w:left="0" w:firstLine="0"/>
      </w:pPr>
      <w:r>
        <w:t xml:space="preserve">Imports are expected to grow strongly due to the </w:t>
      </w:r>
      <w:r w:rsidR="00231DAB">
        <w:t xml:space="preserve">recent exchange rate appreciation and </w:t>
      </w:r>
      <w:r>
        <w:t xml:space="preserve">large requirement for capital equipment in resource projects, although the delayed pickup in machinery and equipment investment and the lower consumption forecasts result in lower estimated import growth for 2010-11 than at </w:t>
      </w:r>
      <w:r w:rsidR="00231DAB">
        <w:t xml:space="preserve">the </w:t>
      </w:r>
      <w:r>
        <w:t>September</w:t>
      </w:r>
      <w:r w:rsidR="00231DAB">
        <w:t xml:space="preserve"> round</w:t>
      </w:r>
      <w:r>
        <w:t xml:space="preserve">. The current account deficit is forecast to narrow sharply in 2010-11 to 2 per cent of GDP, then widen to 3½ per cent and 5¼ per cent of GDP in 2011-12 and 2012-13. </w:t>
      </w:r>
    </w:p>
    <w:p w:rsidR="00BD6D77" w:rsidRDefault="00BD6D77" w:rsidP="00BD6D77">
      <w:pPr>
        <w:pStyle w:val="Bullet"/>
        <w:tabs>
          <w:tab w:val="num" w:pos="0"/>
        </w:tabs>
        <w:spacing w:line="240" w:lineRule="auto"/>
        <w:ind w:left="0" w:firstLine="0"/>
      </w:pPr>
      <w:r>
        <w:t xml:space="preserve">Recent employment growth and labour market participation outcomes have exceeded expectations, with the participation rate now at record levels. Combined with a minor downgrade to the employment outlook, in line with lower forecast non-farm GDP growth, increased workforce participation has driven a slower forecast reduction in the unemployment rate. The unemployment rate is forecast to be 5 per cent in the June quarter 2011 and 4¾ per cent in the June quarters of 2012 </w:t>
      </w:r>
      <w:r>
        <w:lastRenderedPageBreak/>
        <w:t xml:space="preserve">and 2013. Forecast growth in the wage price index remains unchanged from the September round, rising to 4 per cent by the June quarter 2012.  </w:t>
      </w:r>
    </w:p>
    <w:p w:rsidR="00BD6D77" w:rsidRDefault="00BD6D77" w:rsidP="00BD6D77">
      <w:pPr>
        <w:pStyle w:val="Bullet"/>
        <w:tabs>
          <w:tab w:val="num" w:pos="0"/>
        </w:tabs>
        <w:spacing w:line="240" w:lineRule="auto"/>
        <w:ind w:left="0" w:firstLine="0"/>
      </w:pPr>
      <w:r>
        <w:t xml:space="preserve">With the economy approaching full capacity in 2011-12, inflationary pressures are expected to build over the forecast horizon. Although underlying pressures are a little weaker than at the September round, growth in utility prices and broader administered price pressures appear set to add to headline inflation for the next couple of years, leaving the headline inflation forecasts unchanged. </w:t>
      </w:r>
    </w:p>
    <w:p w:rsidR="00BD6D77" w:rsidRDefault="00BD6D77" w:rsidP="00BD6D77">
      <w:pPr>
        <w:pStyle w:val="Bullet"/>
        <w:tabs>
          <w:tab w:val="num" w:pos="0"/>
        </w:tabs>
        <w:spacing w:line="240" w:lineRule="auto"/>
        <w:ind w:left="0" w:firstLine="0"/>
      </w:pPr>
      <w:r>
        <w:t xml:space="preserve">The major risks to the December round forecasts centre around the global risks outlined above.  Domestically, the weak outcome </w:t>
      </w:r>
      <w:r w:rsidR="007559C2">
        <w:t xml:space="preserve">for real GDP </w:t>
      </w:r>
      <w:r>
        <w:t xml:space="preserve">in </w:t>
      </w:r>
      <w:r w:rsidR="007559C2">
        <w:t xml:space="preserve">the </w:t>
      </w:r>
      <w:r>
        <w:t xml:space="preserve">September </w:t>
      </w:r>
      <w:r w:rsidR="007559C2">
        <w:t xml:space="preserve">quarter </w:t>
      </w:r>
      <w:r>
        <w:t xml:space="preserve">is a reminder that the </w:t>
      </w:r>
      <w:r w:rsidR="007830E5">
        <w:t>after-effects of the crisis continue to influence</w:t>
      </w:r>
      <w:r>
        <w:t xml:space="preserve"> the Australian economy, with households saving more and the expected recovery in business investment materialising more slowly than previously forecast. Notwiths</w:t>
      </w:r>
      <w:r w:rsidR="00231DAB">
        <w:t xml:space="preserve">tanding the strong signals </w:t>
      </w:r>
      <w:r>
        <w:t xml:space="preserve">that large value projects are being progressed, the lumpiness of mining-related investment also </w:t>
      </w:r>
      <w:r w:rsidR="00231DAB">
        <w:t>raises the risk</w:t>
      </w:r>
      <w:r>
        <w:t xml:space="preserve"> that economic growth could be volatile from quarter to quarter in the period ahead.</w:t>
      </w:r>
    </w:p>
    <w:p w:rsidR="00BD6D77" w:rsidRDefault="00BD6D77" w:rsidP="00BD6D77">
      <w:pPr>
        <w:pStyle w:val="Bullet"/>
        <w:tabs>
          <w:tab w:val="num" w:pos="0"/>
        </w:tabs>
        <w:spacing w:line="240" w:lineRule="auto"/>
        <w:ind w:left="0" w:firstLine="0"/>
      </w:pPr>
      <w:r>
        <w:t>Overall, the inflationary risks associated with capacity constraints have lessened a little this round, given the slower forecast fall in the unemployment rate as increasing participation meets labour demand. However, a slower global supply response to high commodity prices could support resource revenues for longer and provide a longer</w:t>
      </w:r>
      <w:r>
        <w:noBreakHyphen/>
        <w:t xml:space="preserve">lived boost to domestic incomes.  </w:t>
      </w:r>
    </w:p>
    <w:p w:rsidR="00BD6D77" w:rsidRDefault="00BD6D77" w:rsidP="00BD6D77">
      <w:pPr>
        <w:pStyle w:val="Bullet"/>
        <w:tabs>
          <w:tab w:val="num" w:pos="0"/>
        </w:tabs>
        <w:spacing w:line="240" w:lineRule="auto"/>
        <w:ind w:left="0" w:firstLine="0"/>
      </w:pPr>
      <w:r>
        <w:t>The structural adjustment in the economy as the mining sector expands and places strains on other sectors is a source of further uncertainty in the forecasts. These strains could also result in localised effects that are not reflected in economy</w:t>
      </w:r>
      <w:r>
        <w:noBreakHyphen/>
        <w:t xml:space="preserve">wide averages. </w:t>
      </w:r>
    </w:p>
    <w:p w:rsidR="00BD6D77" w:rsidRDefault="00BD6D77" w:rsidP="00BD6D77">
      <w:pPr>
        <w:pStyle w:val="Bullet"/>
        <w:tabs>
          <w:tab w:val="num" w:pos="0"/>
        </w:tabs>
        <w:spacing w:line="240" w:lineRule="auto"/>
        <w:ind w:left="0" w:firstLine="0"/>
      </w:pPr>
      <w:r w:rsidRPr="00BD6D77">
        <w:t>Consistent with the 2010-11 Mid Year Economic and Fiscal Outlook, the medium-term projections are for real GDP to grow by 3 per cent, inflation to be at the middle of the target band and the terms of trade to fall by 20 per cent over the 15 years</w:t>
      </w:r>
      <w:r w:rsidR="007559C2">
        <w:t xml:space="preserve"> from 2012-13</w:t>
      </w:r>
      <w:r w:rsidRPr="00BD6D77">
        <w:t xml:space="preserve">. However, there has been a change to the methodology for determining the exchange rate assumption at this round. The exchange rate will continue to be held constant at the prevailing level during the forecast period, but will now move in line with the long-term historical relationship between the terms of trade and the real effective exchange rate in the projection period, achieving greater consistency. In practice, this represents a minor change, with the current terms of trade projections implying a fall in the </w:t>
      </w:r>
      <w:r w:rsidR="007559C2">
        <w:t xml:space="preserve">real </w:t>
      </w:r>
      <w:r w:rsidRPr="00BD6D77">
        <w:t>exchange rate of 0.85 per cent per annum over the projection period (equal to 0.6 times the 1.4 per cent projected annual decline in the terms of trade).  This change in methodology is detailed in Box 1</w:t>
      </w:r>
      <w:r w:rsidRPr="00EA024E">
        <w:t>.</w:t>
      </w:r>
    </w:p>
    <w:p w:rsidR="00201ED5" w:rsidRPr="007711BC" w:rsidRDefault="009A79E9" w:rsidP="00BD6D77">
      <w:pPr>
        <w:pStyle w:val="TableGraphic"/>
        <w:widowControl w:val="0"/>
        <w:spacing w:after="120"/>
        <w:rPr>
          <w:rFonts w:cs="Tahoma"/>
        </w:rPr>
      </w:pPr>
      <w:r w:rsidRPr="007711BC">
        <w:rPr>
          <w:rFonts w:cs="Tahoma"/>
        </w:rPr>
        <w:lastRenderedPageBreak/>
        <w:t>Table 2 – Domestic economy forecasts</w:t>
      </w:r>
    </w:p>
    <w:p w:rsidR="00736A29" w:rsidRPr="005257C1" w:rsidRDefault="00112B5B" w:rsidP="005A7019">
      <w:pPr>
        <w:pStyle w:val="NoSpacing"/>
        <w:sectPr w:rsidR="00736A29" w:rsidRPr="005257C1" w:rsidSect="0013229B">
          <w:headerReference w:type="even" r:id="rId16"/>
          <w:headerReference w:type="default" r:id="rId17"/>
          <w:footerReference w:type="default" r:id="rId18"/>
          <w:pgSz w:w="11907" w:h="16840" w:code="9"/>
          <w:pgMar w:top="1418" w:right="1418" w:bottom="1418" w:left="1418" w:header="567" w:footer="567" w:gutter="0"/>
          <w:cols w:space="720"/>
        </w:sectPr>
      </w:pPr>
      <w:r>
        <w:pict>
          <v:shape id="_x0000_i1026" type="#_x0000_t75" style="width:488.35pt;height:516.5pt">
            <v:imagedata r:id="rId19" o:title=""/>
          </v:shape>
        </w:pict>
      </w:r>
    </w:p>
    <w:p w:rsidR="00C825B7" w:rsidRPr="003344B0" w:rsidRDefault="000747B3" w:rsidP="00C61FA2">
      <w:pPr>
        <w:pStyle w:val="Heading3"/>
      </w:pPr>
      <w:r>
        <w:lastRenderedPageBreak/>
        <w:br w:type="page"/>
      </w:r>
      <w:bookmarkStart w:id="28" w:name="_Toc280363573"/>
      <w:r w:rsidR="002C5A92">
        <w:lastRenderedPageBreak/>
        <w:t>O</w:t>
      </w:r>
      <w:r w:rsidR="00991D21" w:rsidRPr="003344B0">
        <w:t>utlook for the domestic economy</w:t>
      </w:r>
      <w:bookmarkEnd w:id="27"/>
      <w:bookmarkEnd w:id="28"/>
    </w:p>
    <w:p w:rsidR="00BD6D77" w:rsidRPr="002A6F36" w:rsidRDefault="00BD6D77" w:rsidP="00BD6D77">
      <w:pPr>
        <w:pStyle w:val="NormalWeb"/>
        <w:shd w:val="clear" w:color="auto" w:fill="FFFFFF"/>
        <w:jc w:val="both"/>
        <w:rPr>
          <w:rFonts w:ascii="Book Antiqua" w:hAnsi="Book Antiqua"/>
          <w:sz w:val="20"/>
          <w:szCs w:val="20"/>
        </w:rPr>
      </w:pPr>
      <w:bookmarkStart w:id="29" w:name="_Toc280363574"/>
      <w:bookmarkStart w:id="30" w:name="_Toc180222111"/>
      <w:bookmarkStart w:id="31" w:name="_Toc185498660"/>
      <w:r>
        <w:rPr>
          <w:rFonts w:ascii="Book Antiqua" w:hAnsi="Book Antiqua"/>
          <w:sz w:val="20"/>
          <w:szCs w:val="20"/>
        </w:rPr>
        <w:t>Australia’s e</w:t>
      </w:r>
      <w:r w:rsidRPr="002A6F36">
        <w:rPr>
          <w:rFonts w:ascii="Book Antiqua" w:hAnsi="Book Antiqua"/>
          <w:sz w:val="20"/>
          <w:szCs w:val="20"/>
        </w:rPr>
        <w:t>conomic growth is forecast to strengthen from 3 per cent in 2010-11 t</w:t>
      </w:r>
      <w:r>
        <w:rPr>
          <w:rFonts w:ascii="Book Antiqua" w:hAnsi="Book Antiqua"/>
          <w:sz w:val="20"/>
          <w:szCs w:val="20"/>
        </w:rPr>
        <w:t>o 3¾ </w:t>
      </w:r>
      <w:r w:rsidRPr="002A6F36">
        <w:rPr>
          <w:rFonts w:ascii="Book Antiqua" w:hAnsi="Book Antiqua"/>
          <w:sz w:val="20"/>
          <w:szCs w:val="20"/>
        </w:rPr>
        <w:t>per cent in 2011-12.</w:t>
      </w:r>
      <w:r>
        <w:rPr>
          <w:rFonts w:ascii="Book Antiqua" w:hAnsi="Book Antiqua"/>
          <w:sz w:val="20"/>
          <w:szCs w:val="20"/>
        </w:rPr>
        <w:t xml:space="preserve">  </w:t>
      </w:r>
      <w:r w:rsidR="00A347FA">
        <w:rPr>
          <w:rFonts w:ascii="Book Antiqua" w:hAnsi="Book Antiqua"/>
          <w:sz w:val="20"/>
          <w:szCs w:val="20"/>
        </w:rPr>
        <w:t xml:space="preserve">The forecast for 2010-11 </w:t>
      </w:r>
      <w:r w:rsidR="007559C2">
        <w:rPr>
          <w:rFonts w:ascii="Book Antiqua" w:hAnsi="Book Antiqua"/>
          <w:sz w:val="20"/>
          <w:szCs w:val="20"/>
        </w:rPr>
        <w:t>represents a</w:t>
      </w:r>
      <w:r w:rsidRPr="002A6F36">
        <w:rPr>
          <w:rFonts w:ascii="Book Antiqua" w:hAnsi="Book Antiqua"/>
          <w:sz w:val="20"/>
          <w:szCs w:val="20"/>
        </w:rPr>
        <w:t xml:space="preserve"> ½ a percentage point </w:t>
      </w:r>
      <w:r w:rsidR="007559C2" w:rsidRPr="002A6F36">
        <w:rPr>
          <w:rFonts w:ascii="Book Antiqua" w:hAnsi="Book Antiqua"/>
          <w:sz w:val="20"/>
          <w:szCs w:val="20"/>
        </w:rPr>
        <w:t xml:space="preserve">downgrade </w:t>
      </w:r>
      <w:r w:rsidRPr="002A6F36">
        <w:rPr>
          <w:rFonts w:ascii="Book Antiqua" w:hAnsi="Book Antiqua"/>
          <w:sz w:val="20"/>
          <w:szCs w:val="20"/>
        </w:rPr>
        <w:t>since the September JEFG</w:t>
      </w:r>
      <w:r w:rsidR="00A347FA">
        <w:rPr>
          <w:rFonts w:ascii="Book Antiqua" w:hAnsi="Book Antiqua"/>
          <w:sz w:val="20"/>
          <w:szCs w:val="20"/>
        </w:rPr>
        <w:t xml:space="preserve">, due to </w:t>
      </w:r>
      <w:r w:rsidRPr="002A6F36">
        <w:rPr>
          <w:rFonts w:ascii="Book Antiqua" w:hAnsi="Book Antiqua"/>
          <w:sz w:val="20"/>
          <w:szCs w:val="20"/>
        </w:rPr>
        <w:t>a higher ex</w:t>
      </w:r>
      <w:r w:rsidR="00A347FA">
        <w:rPr>
          <w:rFonts w:ascii="Book Antiqua" w:hAnsi="Book Antiqua"/>
          <w:sz w:val="20"/>
          <w:szCs w:val="20"/>
        </w:rPr>
        <w:t>change rate weighing on</w:t>
      </w:r>
      <w:r w:rsidRPr="002A6F36">
        <w:rPr>
          <w:rFonts w:ascii="Book Antiqua" w:hAnsi="Book Antiqua"/>
          <w:sz w:val="20"/>
          <w:szCs w:val="20"/>
        </w:rPr>
        <w:t xml:space="preserve"> growth in the near-term and </w:t>
      </w:r>
      <w:r>
        <w:rPr>
          <w:rFonts w:ascii="Book Antiqua" w:hAnsi="Book Antiqua"/>
          <w:sz w:val="20"/>
          <w:szCs w:val="20"/>
        </w:rPr>
        <w:t xml:space="preserve">further </w:t>
      </w:r>
      <w:r w:rsidRPr="002A6F36">
        <w:rPr>
          <w:rFonts w:ascii="Book Antiqua" w:hAnsi="Book Antiqua"/>
          <w:sz w:val="20"/>
          <w:szCs w:val="20"/>
        </w:rPr>
        <w:t xml:space="preserve">evidence that households are taking a more cautious approach to their finances. </w:t>
      </w:r>
      <w:r>
        <w:rPr>
          <w:rFonts w:ascii="Book Antiqua" w:hAnsi="Book Antiqua"/>
          <w:sz w:val="20"/>
          <w:szCs w:val="20"/>
        </w:rPr>
        <w:t>The recent weakness of m</w:t>
      </w:r>
      <w:r w:rsidRPr="002A6F36">
        <w:rPr>
          <w:rFonts w:ascii="Book Antiqua" w:hAnsi="Book Antiqua"/>
          <w:sz w:val="20"/>
          <w:szCs w:val="20"/>
        </w:rPr>
        <w:t xml:space="preserve">achinery and equipment investment </w:t>
      </w:r>
      <w:r>
        <w:rPr>
          <w:rFonts w:ascii="Book Antiqua" w:hAnsi="Book Antiqua"/>
          <w:sz w:val="20"/>
          <w:szCs w:val="20"/>
        </w:rPr>
        <w:t>is also weighing on forecast GDP growth in 2010-11</w:t>
      </w:r>
      <w:r w:rsidRPr="002A6F36">
        <w:rPr>
          <w:rFonts w:ascii="Book Antiqua" w:hAnsi="Book Antiqua"/>
          <w:sz w:val="20"/>
          <w:szCs w:val="20"/>
        </w:rPr>
        <w:t>.</w:t>
      </w:r>
      <w:r>
        <w:rPr>
          <w:rFonts w:ascii="Book Antiqua" w:hAnsi="Book Antiqua"/>
          <w:sz w:val="20"/>
          <w:szCs w:val="20"/>
        </w:rPr>
        <w:t xml:space="preserve"> The </w:t>
      </w:r>
      <w:r w:rsidRPr="002A6F36">
        <w:rPr>
          <w:rFonts w:ascii="Book Antiqua" w:hAnsi="Book Antiqua"/>
          <w:sz w:val="20"/>
          <w:szCs w:val="20"/>
        </w:rPr>
        <w:t xml:space="preserve">real GDP growth </w:t>
      </w:r>
      <w:r>
        <w:rPr>
          <w:rFonts w:ascii="Book Antiqua" w:hAnsi="Book Antiqua"/>
          <w:sz w:val="20"/>
          <w:szCs w:val="20"/>
        </w:rPr>
        <w:t xml:space="preserve">forecast for </w:t>
      </w:r>
      <w:r w:rsidRPr="002A6F36">
        <w:rPr>
          <w:rFonts w:ascii="Book Antiqua" w:hAnsi="Book Antiqua"/>
          <w:sz w:val="20"/>
          <w:szCs w:val="20"/>
        </w:rPr>
        <w:t>2011-12 is unchanged from September.</w:t>
      </w:r>
    </w:p>
    <w:p w:rsidR="006B4DF6" w:rsidRPr="00253393" w:rsidRDefault="006B4DF6" w:rsidP="009D7882">
      <w:pPr>
        <w:pStyle w:val="Heading4"/>
        <w:keepNext w:val="0"/>
        <w:spacing w:before="0"/>
        <w:rPr>
          <w:sz w:val="20"/>
          <w:szCs w:val="20"/>
        </w:rPr>
      </w:pPr>
      <w:r w:rsidRPr="00253393">
        <w:rPr>
          <w:sz w:val="20"/>
          <w:szCs w:val="20"/>
        </w:rPr>
        <w:t>Household consumption</w:t>
      </w:r>
      <w:bookmarkEnd w:id="29"/>
    </w:p>
    <w:bookmarkEnd w:id="30"/>
    <w:p w:rsidR="00F1112F" w:rsidRDefault="00B94F23" w:rsidP="00F1112F">
      <w:r>
        <w:t xml:space="preserve">Household consumption is expected to grow </w:t>
      </w:r>
      <w:r w:rsidR="000D48F2">
        <w:t>around t</w:t>
      </w:r>
      <w:r>
        <w:t xml:space="preserve">rend over the forecast period </w:t>
      </w:r>
      <w:r w:rsidR="000D48F2">
        <w:t xml:space="preserve">supported by solid income growth, rising wealth and relatively stable interest rates.  </w:t>
      </w:r>
      <w:r w:rsidR="00AC50B4">
        <w:t>C</w:t>
      </w:r>
      <w:r w:rsidR="00F1112F" w:rsidRPr="00F1112F">
        <w:t xml:space="preserve">onsumption is </w:t>
      </w:r>
      <w:r w:rsidR="00AC50B4">
        <w:t>forecast</w:t>
      </w:r>
      <w:r w:rsidR="00F1112F" w:rsidRPr="00F1112F">
        <w:t xml:space="preserve"> to grow by </w:t>
      </w:r>
      <w:r w:rsidR="00245046">
        <w:t>3¼ per cent in 2010-11, and 3½ </w:t>
      </w:r>
      <w:r w:rsidR="00F1112F" w:rsidRPr="00F1112F">
        <w:t>per ce</w:t>
      </w:r>
      <w:r w:rsidR="00245046">
        <w:t>nt in 2011</w:t>
      </w:r>
      <w:r w:rsidR="00245046">
        <w:noBreakHyphen/>
        <w:t xml:space="preserve">12 and </w:t>
      </w:r>
      <w:r w:rsidR="00F1112F" w:rsidRPr="00F1112F">
        <w:t xml:space="preserve">2012-13. </w:t>
      </w:r>
    </w:p>
    <w:p w:rsidR="002C5A92" w:rsidRDefault="00F1112F" w:rsidP="002C5A92">
      <w:r>
        <w:t>The elevated household saving ratio and subdued personal credit growth suggest that households are continuing to consolidate their balance sheets following the adverse impact of the global financial crisis on household wealth</w:t>
      </w:r>
      <w:r w:rsidR="00EB30BF">
        <w:t xml:space="preserve"> (C</w:t>
      </w:r>
      <w:r w:rsidR="00E327F2">
        <w:t>hart</w:t>
      </w:r>
      <w:r w:rsidR="00245046">
        <w:t xml:space="preserve"> </w:t>
      </w:r>
      <w:r w:rsidR="00E02058">
        <w:t>1</w:t>
      </w:r>
      <w:r w:rsidR="00245046">
        <w:t>)</w:t>
      </w:r>
      <w:r>
        <w:t xml:space="preserve">. </w:t>
      </w:r>
      <w:r w:rsidR="002C5A92">
        <w:t>The latest information from the retail trade survey and business liaison underscores a cautious approach to consumer spending, with retail turnover growing at below-trend rates. On the other hand, a strong Australian dollar is allowing retailers to reduce prices, which should support consumption in the near term.</w:t>
      </w:r>
    </w:p>
    <w:p w:rsidR="00231DAB" w:rsidRDefault="00231DAB" w:rsidP="00231DAB">
      <w:pPr>
        <w:keepNext/>
        <w:spacing w:after="0"/>
        <w:jc w:val="center"/>
        <w:rPr>
          <w:rFonts w:ascii="Tahoma" w:hAnsi="Tahoma" w:cs="Tahoma"/>
          <w:b/>
        </w:rPr>
      </w:pPr>
      <w:r w:rsidRPr="007711BC">
        <w:rPr>
          <w:rFonts w:ascii="Tahoma" w:hAnsi="Tahoma" w:cs="Tahoma"/>
          <w:b/>
        </w:rPr>
        <w:lastRenderedPageBreak/>
        <w:t xml:space="preserve">Chart </w:t>
      </w:r>
      <w:r>
        <w:rPr>
          <w:rFonts w:ascii="Tahoma" w:hAnsi="Tahoma" w:cs="Tahoma"/>
          <w:b/>
        </w:rPr>
        <w:t>1: Credit growth</w:t>
      </w:r>
    </w:p>
    <w:p w:rsidR="00231DAB" w:rsidRDefault="00112B5B" w:rsidP="00231DAB">
      <w:pPr>
        <w:keepNext/>
        <w:spacing w:after="0" w:line="240" w:lineRule="auto"/>
        <w:jc w:val="center"/>
        <w:rPr>
          <w:rFonts w:ascii="Tahoma" w:hAnsi="Tahoma" w:cs="Tahoma"/>
          <w:b/>
        </w:rPr>
      </w:pPr>
      <w:r>
        <w:rPr>
          <w:rFonts w:ascii="Tahoma" w:hAnsi="Tahoma" w:cs="Tahoma"/>
          <w:b/>
        </w:rPr>
        <w:pict>
          <v:shape id="_x0000_i1027" type="#_x0000_t75" style="width:199.7pt;height:198.45pt">
            <v:imagedata r:id="rId20" o:title=""/>
          </v:shape>
        </w:pict>
      </w:r>
    </w:p>
    <w:p w:rsidR="00F1112F" w:rsidRPr="00E327F2" w:rsidRDefault="00231DAB" w:rsidP="00E327F2">
      <w:pPr>
        <w:jc w:val="left"/>
        <w:rPr>
          <w:rFonts w:ascii="Tahoma" w:hAnsi="Tahoma" w:cs="Tahoma"/>
          <w:sz w:val="16"/>
          <w:szCs w:val="16"/>
        </w:rPr>
      </w:pPr>
      <w:r w:rsidRPr="00FE56C9">
        <w:rPr>
          <w:rFonts w:ascii="Tahoma" w:hAnsi="Tahoma" w:cs="Tahoma"/>
          <w:sz w:val="16"/>
          <w:szCs w:val="16"/>
        </w:rPr>
        <w:t>Source:</w:t>
      </w:r>
      <w:r>
        <w:rPr>
          <w:szCs w:val="20"/>
        </w:rPr>
        <w:t xml:space="preserve">  </w:t>
      </w:r>
      <w:r>
        <w:rPr>
          <w:rFonts w:ascii="Tahoma" w:hAnsi="Tahoma" w:cs="Tahoma"/>
          <w:sz w:val="16"/>
          <w:szCs w:val="16"/>
        </w:rPr>
        <w:t>RBA.</w:t>
      </w:r>
    </w:p>
    <w:p w:rsidR="00E327F2" w:rsidRPr="00E327F2" w:rsidRDefault="002C5A92" w:rsidP="00E327F2">
      <w:r>
        <w:t>In 2010-11 and 2011-12, a continued cautious approach to household finances, slo</w:t>
      </w:r>
      <w:r w:rsidR="0068166A">
        <w:t>wer population growth and above-</w:t>
      </w:r>
      <w:r>
        <w:t>average interest rates are expected to see consumption gr</w:t>
      </w:r>
      <w:r w:rsidR="0068166A">
        <w:t xml:space="preserve">owing close to </w:t>
      </w:r>
      <w:r w:rsidR="00E327F2">
        <w:t>trend</w:t>
      </w:r>
      <w:r w:rsidR="000C5211">
        <w:t xml:space="preserve">. </w:t>
      </w:r>
      <w:r w:rsidR="00E327F2">
        <w:t>With household disposable income continuing to grow strongly</w:t>
      </w:r>
      <w:r>
        <w:t xml:space="preserve"> the household saving ratio </w:t>
      </w:r>
      <w:r w:rsidR="00E327F2">
        <w:t>is expected to remain</w:t>
      </w:r>
      <w:r>
        <w:t xml:space="preserve"> at its current high levels</w:t>
      </w:r>
      <w:r w:rsidR="000C5211">
        <w:t xml:space="preserve"> (Chart 2)</w:t>
      </w:r>
      <w:r>
        <w:t>.</w:t>
      </w:r>
      <w:r w:rsidR="00E327F2" w:rsidRPr="00E327F2">
        <w:t xml:space="preserve"> </w:t>
      </w:r>
    </w:p>
    <w:p w:rsidR="00E327F2" w:rsidRPr="007711BC" w:rsidRDefault="00E327F2" w:rsidP="00E327F2">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2</w:t>
      </w:r>
      <w:r w:rsidRPr="007711BC">
        <w:rPr>
          <w:rFonts w:ascii="Tahoma" w:hAnsi="Tahoma" w:cs="Tahoma"/>
          <w:b/>
        </w:rPr>
        <w:t xml:space="preserve">: Household </w:t>
      </w:r>
      <w:r>
        <w:rPr>
          <w:rFonts w:ascii="Tahoma" w:hAnsi="Tahoma" w:cs="Tahoma"/>
          <w:b/>
        </w:rPr>
        <w:t>saving ratio</w:t>
      </w:r>
    </w:p>
    <w:p w:rsidR="00E327F2" w:rsidRDefault="00112B5B" w:rsidP="00E327F2">
      <w:pPr>
        <w:keepNext/>
        <w:widowControl w:val="0"/>
        <w:spacing w:after="0" w:line="240" w:lineRule="auto"/>
      </w:pPr>
      <w:r>
        <w:pict>
          <v:shape id="_x0000_i1028" type="#_x0000_t75" style="width:199.7pt;height:199.7pt">
            <v:imagedata r:id="rId21" o:title=""/>
          </v:shape>
        </w:pict>
      </w:r>
    </w:p>
    <w:p w:rsidR="002C5A92" w:rsidRDefault="00E327F2" w:rsidP="00E327F2">
      <w:pPr>
        <w:jc w:val="left"/>
        <w:rPr>
          <w:rFonts w:ascii="Tahoma" w:hAnsi="Tahoma" w:cs="Tahoma"/>
          <w:sz w:val="16"/>
          <w:szCs w:val="16"/>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Pr>
          <w:rFonts w:ascii="Tahoma" w:hAnsi="Tahoma" w:cs="Tahoma"/>
          <w:sz w:val="16"/>
          <w:szCs w:val="16"/>
        </w:rPr>
        <w:t>5206.0 and Treasury.</w:t>
      </w:r>
    </w:p>
    <w:p w:rsidR="003F1470" w:rsidRDefault="003F1470" w:rsidP="003F1470">
      <w:pPr>
        <w:pStyle w:val="Heading4"/>
        <w:keepNext w:val="0"/>
        <w:spacing w:before="0"/>
      </w:pPr>
      <w:bookmarkStart w:id="32" w:name="_Toc280363575"/>
      <w:r w:rsidRPr="001B55FE">
        <w:t>Dwelling investment</w:t>
      </w:r>
      <w:bookmarkEnd w:id="32"/>
    </w:p>
    <w:p w:rsidR="0071371E" w:rsidRPr="00C61FA2" w:rsidRDefault="0071371E" w:rsidP="00C61FA2">
      <w:r w:rsidRPr="00C61FA2">
        <w:t xml:space="preserve">The outlook for dwelling investment </w:t>
      </w:r>
      <w:r w:rsidR="00245046" w:rsidRPr="00C61FA2">
        <w:t>is</w:t>
      </w:r>
      <w:r w:rsidRPr="00C61FA2">
        <w:t xml:space="preserve"> weaker than </w:t>
      </w:r>
      <w:r w:rsidR="00996304" w:rsidRPr="00C61FA2">
        <w:t xml:space="preserve">at the </w:t>
      </w:r>
      <w:r w:rsidRPr="00C61FA2">
        <w:t>September</w:t>
      </w:r>
      <w:r w:rsidR="00996304" w:rsidRPr="00C61FA2">
        <w:t xml:space="preserve"> round</w:t>
      </w:r>
      <w:r w:rsidRPr="00C61FA2">
        <w:t xml:space="preserve">, driven by continued weakness in </w:t>
      </w:r>
      <w:r w:rsidR="0068166A">
        <w:t>forward indicators and above-</w:t>
      </w:r>
      <w:r w:rsidR="002C5A92" w:rsidRPr="00C61FA2">
        <w:t>average interest rates</w:t>
      </w:r>
      <w:r w:rsidRPr="00C61FA2">
        <w:t>. Dwelling investment is forecast to grow</w:t>
      </w:r>
      <w:r w:rsidR="009060EB">
        <w:t xml:space="preserve"> by</w:t>
      </w:r>
      <w:r w:rsidRPr="00C61FA2">
        <w:t xml:space="preserve"> </w:t>
      </w:r>
      <w:r w:rsidR="00B468B0" w:rsidRPr="00C61FA2">
        <w:t>2½ </w:t>
      </w:r>
      <w:r w:rsidRPr="00C61FA2">
        <w:t>per cent in 2010</w:t>
      </w:r>
      <w:r w:rsidRPr="00C61FA2">
        <w:noBreakHyphen/>
        <w:t>11, compared with 4½</w:t>
      </w:r>
      <w:r w:rsidR="00B94F23" w:rsidRPr="00C61FA2">
        <w:t> per cent</w:t>
      </w:r>
      <w:r w:rsidRPr="00C61FA2">
        <w:t xml:space="preserve"> at the </w:t>
      </w:r>
      <w:r w:rsidRPr="00C61FA2">
        <w:lastRenderedPageBreak/>
        <w:t xml:space="preserve">September round.  </w:t>
      </w:r>
      <w:r w:rsidR="001216D7" w:rsidRPr="00C61FA2">
        <w:t>D</w:t>
      </w:r>
      <w:r w:rsidR="00B94F23" w:rsidRPr="00C61FA2">
        <w:t xml:space="preserve">welling investment is expected to grow by </w:t>
      </w:r>
      <w:r w:rsidR="001216D7" w:rsidRPr="00C61FA2">
        <w:t>2 per cent in both 2011-12 and 2012-13</w:t>
      </w:r>
      <w:r w:rsidR="0086331D" w:rsidRPr="00C61FA2">
        <w:t xml:space="preserve"> (</w:t>
      </w:r>
      <w:r w:rsidR="00996304" w:rsidRPr="00C61FA2">
        <w:t>C</w:t>
      </w:r>
      <w:r w:rsidR="0086331D" w:rsidRPr="00C61FA2">
        <w:t>hart 3)</w:t>
      </w:r>
      <w:r w:rsidR="001216D7" w:rsidRPr="00C61FA2">
        <w:t xml:space="preserve">. </w:t>
      </w:r>
    </w:p>
    <w:p w:rsidR="000534CA" w:rsidRPr="007711BC" w:rsidRDefault="000534CA" w:rsidP="000534CA">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3</w:t>
      </w:r>
      <w:r w:rsidRPr="007711BC">
        <w:rPr>
          <w:rFonts w:ascii="Tahoma" w:hAnsi="Tahoma" w:cs="Tahoma"/>
          <w:b/>
        </w:rPr>
        <w:t xml:space="preserve">: </w:t>
      </w:r>
      <w:r>
        <w:rPr>
          <w:rFonts w:ascii="Tahoma" w:hAnsi="Tahoma" w:cs="Tahoma"/>
          <w:b/>
        </w:rPr>
        <w:t>Dwelling investment</w:t>
      </w:r>
    </w:p>
    <w:p w:rsidR="000534CA" w:rsidRDefault="00112B5B" w:rsidP="00C61FA2">
      <w:pPr>
        <w:spacing w:after="0" w:line="240" w:lineRule="auto"/>
      </w:pPr>
      <w:r>
        <w:pict>
          <v:shape id="_x0000_i1029" type="#_x0000_t75" style="width:199.7pt;height:199.7pt">
            <v:imagedata r:id="rId22" o:title=""/>
          </v:shape>
        </w:pict>
      </w:r>
    </w:p>
    <w:p w:rsidR="000534CA" w:rsidRDefault="000534CA" w:rsidP="000534CA">
      <w:pPr>
        <w:jc w:val="left"/>
        <w:rPr>
          <w:rFonts w:ascii="Tahoma" w:hAnsi="Tahoma" w:cs="Tahoma"/>
          <w:sz w:val="16"/>
          <w:szCs w:val="16"/>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Pr>
          <w:rFonts w:ascii="Tahoma" w:hAnsi="Tahoma" w:cs="Tahoma"/>
          <w:sz w:val="16"/>
          <w:szCs w:val="16"/>
        </w:rPr>
        <w:t>5206.0 and Treasury</w:t>
      </w:r>
      <w:r w:rsidR="00996304">
        <w:rPr>
          <w:rFonts w:ascii="Tahoma" w:hAnsi="Tahoma" w:cs="Tahoma"/>
          <w:sz w:val="16"/>
          <w:szCs w:val="16"/>
        </w:rPr>
        <w:t>.</w:t>
      </w:r>
    </w:p>
    <w:p w:rsidR="0071371E" w:rsidRPr="00C61FA2" w:rsidRDefault="0071371E" w:rsidP="00C61FA2">
      <w:r w:rsidRPr="00C61FA2">
        <w:t>Dwelling investment grew by 2.1 per cent in 2009</w:t>
      </w:r>
      <w:r w:rsidRPr="00C61FA2">
        <w:noBreakHyphen/>
        <w:t xml:space="preserve">10 — its strongest pace since 2004, largely due to strong growth in alterations and additions (up 4.2 per cent).  New dwelling investment </w:t>
      </w:r>
      <w:r w:rsidR="001216D7" w:rsidRPr="00C61FA2">
        <w:t xml:space="preserve">only </w:t>
      </w:r>
      <w:r w:rsidR="00925222" w:rsidRPr="00C61FA2">
        <w:t xml:space="preserve">increased </w:t>
      </w:r>
      <w:r w:rsidR="001216D7" w:rsidRPr="00C61FA2">
        <w:t>marginally (up 0.6 per cent).</w:t>
      </w:r>
      <w:r w:rsidRPr="00C61FA2">
        <w:t xml:space="preserve">  </w:t>
      </w:r>
    </w:p>
    <w:p w:rsidR="0071371E" w:rsidRPr="00C61FA2" w:rsidRDefault="003001E5" w:rsidP="00C61FA2">
      <w:r w:rsidRPr="00C61FA2">
        <w:t>Dwelling investment was weak in t</w:t>
      </w:r>
      <w:r w:rsidR="001216D7" w:rsidRPr="00C61FA2">
        <w:t>he</w:t>
      </w:r>
      <w:r w:rsidR="0071371E" w:rsidRPr="00C61FA2">
        <w:t xml:space="preserve"> Sept</w:t>
      </w:r>
      <w:r w:rsidR="001216D7" w:rsidRPr="00C61FA2">
        <w:t>ember quarter</w:t>
      </w:r>
      <w:r w:rsidR="0071371E" w:rsidRPr="00C61FA2">
        <w:t xml:space="preserve">, with </w:t>
      </w:r>
      <w:r w:rsidR="007559C2">
        <w:t xml:space="preserve">falls in both </w:t>
      </w:r>
      <w:r w:rsidR="0071371E" w:rsidRPr="00C61FA2">
        <w:t xml:space="preserve">new dwelling investment (down 1.3 per cent) and alterations and additions </w:t>
      </w:r>
      <w:r w:rsidR="007559C2">
        <w:t xml:space="preserve">(down 2.5 per </w:t>
      </w:r>
      <w:r w:rsidR="0071371E" w:rsidRPr="00C61FA2">
        <w:t xml:space="preserve">cent). Leading indicators released in the September quarter also point to a </w:t>
      </w:r>
      <w:r w:rsidR="00FF23CC" w:rsidRPr="00C61FA2">
        <w:t>weaker outlook</w:t>
      </w:r>
      <w:r w:rsidR="0071371E" w:rsidRPr="00C61FA2">
        <w:t xml:space="preserve"> for dwelling investment</w:t>
      </w:r>
      <w:r w:rsidR="001216D7" w:rsidRPr="00C61FA2">
        <w:t xml:space="preserve"> in the near term, with a</w:t>
      </w:r>
      <w:r w:rsidR="0071371E" w:rsidRPr="00C61FA2">
        <w:t xml:space="preserve">pproval numbers </w:t>
      </w:r>
      <w:r w:rsidR="001216D7" w:rsidRPr="00C61FA2">
        <w:t>down</w:t>
      </w:r>
      <w:r w:rsidR="0071371E" w:rsidRPr="00C61FA2">
        <w:t xml:space="preserve"> for the second consecutive quarter</w:t>
      </w:r>
      <w:r w:rsidR="008930B9">
        <w:t xml:space="preserve"> in September</w:t>
      </w:r>
      <w:r w:rsidR="0071371E" w:rsidRPr="00C61FA2">
        <w:t xml:space="preserve">. </w:t>
      </w:r>
    </w:p>
    <w:p w:rsidR="0071371E" w:rsidRPr="00C61FA2" w:rsidRDefault="001216D7" w:rsidP="00C61FA2">
      <w:r w:rsidRPr="00C61FA2">
        <w:t>Over the forecast period higher</w:t>
      </w:r>
      <w:r w:rsidR="0071371E" w:rsidRPr="00C61FA2">
        <w:t xml:space="preserve"> interest rates and supply constraints (namely skilled labour shortages, difficulties with the planning and approvals process and land supply issues) will continue to weigh on growth.  </w:t>
      </w:r>
    </w:p>
    <w:p w:rsidR="00AF3475" w:rsidRDefault="00AF3475" w:rsidP="00C61FA2">
      <w:pPr>
        <w:pStyle w:val="Heading4"/>
        <w:keepNext w:val="0"/>
        <w:spacing w:before="0"/>
      </w:pPr>
      <w:bookmarkStart w:id="33" w:name="_Toc187553173"/>
      <w:bookmarkStart w:id="34" w:name="_Toc280363576"/>
      <w:bookmarkEnd w:id="31"/>
      <w:r w:rsidRPr="00B0461A">
        <w:t>Business investment</w:t>
      </w:r>
      <w:bookmarkEnd w:id="33"/>
      <w:bookmarkEnd w:id="34"/>
    </w:p>
    <w:p w:rsidR="002F67DC" w:rsidRDefault="00747FC8" w:rsidP="002F67DC">
      <w:bookmarkStart w:id="35" w:name="_Toc195517449"/>
      <w:bookmarkStart w:id="36" w:name="_Toc185498664"/>
      <w:bookmarkStart w:id="37" w:name="_Toc185498663"/>
      <w:r>
        <w:t>The outlook for b</w:t>
      </w:r>
      <w:r w:rsidR="002C5A92">
        <w:t xml:space="preserve">usiness investment </w:t>
      </w:r>
      <w:r>
        <w:t>remains very strong</w:t>
      </w:r>
      <w:r w:rsidR="008930B9">
        <w:t xml:space="preserve">. </w:t>
      </w:r>
      <w:r>
        <w:t xml:space="preserve"> </w:t>
      </w:r>
      <w:r w:rsidR="008930B9">
        <w:t>F</w:t>
      </w:r>
      <w:r>
        <w:t xml:space="preserve">urther resource projects </w:t>
      </w:r>
      <w:r w:rsidR="008930B9">
        <w:t>have been</w:t>
      </w:r>
      <w:r>
        <w:t xml:space="preserve"> added to the </w:t>
      </w:r>
      <w:r w:rsidR="008930B9">
        <w:t xml:space="preserve">investment </w:t>
      </w:r>
      <w:r>
        <w:t xml:space="preserve">pipeline in recent weeks, </w:t>
      </w:r>
      <w:r w:rsidR="008930B9">
        <w:t xml:space="preserve">and the September quarter </w:t>
      </w:r>
      <w:r>
        <w:t xml:space="preserve">CAPEX survey </w:t>
      </w:r>
      <w:r w:rsidR="008930B9">
        <w:t xml:space="preserve">pointed to a strong pick up in investment in 2010-11, underpinned by expectations of continued high commodity </w:t>
      </w:r>
      <w:r w:rsidR="008930B9">
        <w:lastRenderedPageBreak/>
        <w:t>prices</w:t>
      </w:r>
      <w:r>
        <w:t xml:space="preserve">. </w:t>
      </w:r>
      <w:r w:rsidR="002F67DC">
        <w:t xml:space="preserve">While the transition from public investment to private investment remains on track, </w:t>
      </w:r>
      <w:r w:rsidR="008930B9">
        <w:t xml:space="preserve">an unanticipated decline in machinery and equipment investment has led to a re-profiling of the forecasts. </w:t>
      </w:r>
      <w:r w:rsidR="002F67DC" w:rsidRPr="00C61FA2">
        <w:rPr>
          <w:b/>
        </w:rPr>
        <w:t>New business investment</w:t>
      </w:r>
      <w:r w:rsidR="002F67DC">
        <w:t xml:space="preserve"> is expected to be slightly weaker in 2010-11, growing by 6½ per cent. However, growth in 2011-12 is expected to be stronger</w:t>
      </w:r>
      <w:r w:rsidR="003001E5" w:rsidRPr="003001E5">
        <w:t xml:space="preserve"> </w:t>
      </w:r>
      <w:r w:rsidR="003001E5">
        <w:t>at 15½ per cent</w:t>
      </w:r>
      <w:r w:rsidR="002F67DC">
        <w:t xml:space="preserve">. The continued robust outlook for mining investment is expected to see growth maintained at 13 per cent in 2012-13 (Chart 4). </w:t>
      </w:r>
    </w:p>
    <w:p w:rsidR="006C6597" w:rsidRDefault="002F67DC" w:rsidP="002F67DC">
      <w:r>
        <w:t xml:space="preserve">In recent months, survey measures of business conditions, business confidence and investment intentions have stabilised around long-run average levels.  </w:t>
      </w:r>
      <w:r w:rsidR="008930B9">
        <w:t>These</w:t>
      </w:r>
      <w:r>
        <w:t xml:space="preserve"> surveys have </w:t>
      </w:r>
      <w:r w:rsidR="008930B9">
        <w:t xml:space="preserve">also </w:t>
      </w:r>
      <w:r>
        <w:t>highlighted significant differences across the economy</w:t>
      </w:r>
      <w:r w:rsidR="008930B9">
        <w:t>,</w:t>
      </w:r>
      <w:r w:rsidRPr="00411E7A">
        <w:t xml:space="preserve"> </w:t>
      </w:r>
      <w:r>
        <w:t>with the resources sector well ahead of other sectors.</w:t>
      </w:r>
    </w:p>
    <w:p w:rsidR="0086331D" w:rsidRPr="007711BC" w:rsidRDefault="0086331D" w:rsidP="0086331D">
      <w:pPr>
        <w:keepNext/>
        <w:spacing w:after="0"/>
        <w:jc w:val="center"/>
        <w:rPr>
          <w:rFonts w:ascii="Tahoma" w:hAnsi="Tahoma" w:cs="Tahoma"/>
          <w:b/>
        </w:rPr>
      </w:pPr>
      <w:r w:rsidRPr="007711BC">
        <w:rPr>
          <w:rFonts w:ascii="Tahoma" w:hAnsi="Tahoma" w:cs="Tahoma"/>
          <w:b/>
        </w:rPr>
        <w:t xml:space="preserve">Chart </w:t>
      </w:r>
      <w:r>
        <w:rPr>
          <w:rFonts w:ascii="Tahoma" w:hAnsi="Tahoma" w:cs="Tahoma"/>
          <w:b/>
        </w:rPr>
        <w:t>4</w:t>
      </w:r>
      <w:r w:rsidRPr="007711BC">
        <w:rPr>
          <w:rFonts w:ascii="Tahoma" w:hAnsi="Tahoma" w:cs="Tahoma"/>
          <w:b/>
        </w:rPr>
        <w:t xml:space="preserve">: </w:t>
      </w:r>
      <w:r>
        <w:rPr>
          <w:rFonts w:ascii="Tahoma" w:hAnsi="Tahoma" w:cs="Tahoma"/>
          <w:b/>
        </w:rPr>
        <w:t>Business investment to GDP</w:t>
      </w:r>
    </w:p>
    <w:p w:rsidR="0036388B" w:rsidRDefault="00112B5B" w:rsidP="0036388B">
      <w:pPr>
        <w:spacing w:after="0" w:line="240" w:lineRule="auto"/>
        <w:jc w:val="left"/>
        <w:rPr>
          <w:rFonts w:cs="Tahoma"/>
        </w:rPr>
      </w:pPr>
      <w:r>
        <w:rPr>
          <w:rFonts w:cs="Tahoma"/>
        </w:rPr>
        <w:pict>
          <v:shape id="_x0000_i1030" type="#_x0000_t75" style="width:199.7pt;height:199.7pt">
            <v:imagedata r:id="rId23" o:title=""/>
          </v:shape>
        </w:pict>
      </w:r>
    </w:p>
    <w:p w:rsidR="0086331D" w:rsidRPr="0086331D" w:rsidRDefault="0086331D" w:rsidP="0086331D">
      <w:pPr>
        <w:spacing w:line="240" w:lineRule="auto"/>
        <w:jc w:val="left"/>
        <w:rPr>
          <w:rFonts w:ascii="Tahoma" w:hAnsi="Tahoma" w:cs="Tahoma"/>
          <w:sz w:val="16"/>
          <w:szCs w:val="16"/>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Pr>
          <w:rFonts w:ascii="Tahoma" w:hAnsi="Tahoma" w:cs="Tahoma"/>
          <w:sz w:val="16"/>
          <w:szCs w:val="16"/>
        </w:rPr>
        <w:t>5206.0</w:t>
      </w:r>
      <w:r w:rsidR="00DE7F21">
        <w:rPr>
          <w:rFonts w:ascii="Tahoma" w:hAnsi="Tahoma" w:cs="Tahoma"/>
          <w:sz w:val="16"/>
          <w:szCs w:val="16"/>
        </w:rPr>
        <w:t xml:space="preserve"> and Treasury</w:t>
      </w:r>
      <w:r w:rsidR="003001E5">
        <w:rPr>
          <w:rFonts w:ascii="Tahoma" w:hAnsi="Tahoma" w:cs="Tahoma"/>
          <w:sz w:val="16"/>
          <w:szCs w:val="16"/>
        </w:rPr>
        <w:t>.</w:t>
      </w:r>
    </w:p>
    <w:p w:rsidR="002F67DC" w:rsidRDefault="002F67DC" w:rsidP="002F67DC">
      <w:pPr>
        <w:autoSpaceDE w:val="0"/>
        <w:autoSpaceDN w:val="0"/>
        <w:rPr>
          <w:szCs w:val="20"/>
        </w:rPr>
      </w:pPr>
      <w:r>
        <w:rPr>
          <w:szCs w:val="20"/>
        </w:rPr>
        <w:t xml:space="preserve">The outlook for </w:t>
      </w:r>
      <w:r w:rsidRPr="001D209A">
        <w:rPr>
          <w:b/>
          <w:szCs w:val="20"/>
        </w:rPr>
        <w:t>new</w:t>
      </w:r>
      <w:r>
        <w:rPr>
          <w:szCs w:val="20"/>
        </w:rPr>
        <w:t xml:space="preserve"> </w:t>
      </w:r>
      <w:r>
        <w:rPr>
          <w:b/>
          <w:bCs/>
          <w:szCs w:val="20"/>
        </w:rPr>
        <w:t xml:space="preserve">machinery and equipment investment </w:t>
      </w:r>
      <w:r w:rsidR="00DE7F21">
        <w:rPr>
          <w:szCs w:val="20"/>
        </w:rPr>
        <w:t>is weaker in the near</w:t>
      </w:r>
      <w:r w:rsidR="00DE7F21">
        <w:rPr>
          <w:szCs w:val="20"/>
        </w:rPr>
        <w:noBreakHyphen/>
      </w:r>
      <w:r>
        <w:rPr>
          <w:szCs w:val="20"/>
        </w:rPr>
        <w:t xml:space="preserve">term than </w:t>
      </w:r>
      <w:r w:rsidR="008930B9">
        <w:rPr>
          <w:szCs w:val="20"/>
        </w:rPr>
        <w:t xml:space="preserve">forecast in the September round, with </w:t>
      </w:r>
      <w:r>
        <w:rPr>
          <w:szCs w:val="20"/>
        </w:rPr>
        <w:t xml:space="preserve">a further decline in the September quarter </w:t>
      </w:r>
      <w:r w:rsidR="008930B9">
        <w:rPr>
          <w:szCs w:val="20"/>
        </w:rPr>
        <w:t>suggesting</w:t>
      </w:r>
      <w:r w:rsidR="00DE7F21">
        <w:rPr>
          <w:szCs w:val="20"/>
        </w:rPr>
        <w:t xml:space="preserve"> delays</w:t>
      </w:r>
      <w:r>
        <w:rPr>
          <w:szCs w:val="20"/>
        </w:rPr>
        <w:t>. After recording strong growth in the previous estimate, the latest CAPEX survey estimate for 2010-11 rose only marginally and now implies soft growth this financial year. Despite this, machinery and equipment investment is still expected to rebound strongly over coming years d</w:t>
      </w:r>
      <w:r w:rsidR="0068166A">
        <w:rPr>
          <w:szCs w:val="20"/>
        </w:rPr>
        <w:t>riven by mining-</w:t>
      </w:r>
      <w:r>
        <w:rPr>
          <w:szCs w:val="20"/>
        </w:rPr>
        <w:t xml:space="preserve">related activity and </w:t>
      </w:r>
      <w:r>
        <w:t>necessary maintenance and replacement spending</w:t>
      </w:r>
      <w:r>
        <w:rPr>
          <w:szCs w:val="20"/>
        </w:rPr>
        <w:t>. Machinery and equipment investment is</w:t>
      </w:r>
      <w:r w:rsidR="003001E5">
        <w:rPr>
          <w:szCs w:val="20"/>
        </w:rPr>
        <w:t xml:space="preserve"> now expected to grow by 1½ per </w:t>
      </w:r>
      <w:r>
        <w:rPr>
          <w:szCs w:val="20"/>
        </w:rPr>
        <w:t xml:space="preserve">cent in 2010-11, before </w:t>
      </w:r>
      <w:r w:rsidR="003001E5">
        <w:rPr>
          <w:szCs w:val="20"/>
        </w:rPr>
        <w:t xml:space="preserve">accelerating </w:t>
      </w:r>
      <w:r>
        <w:rPr>
          <w:szCs w:val="20"/>
        </w:rPr>
        <w:t xml:space="preserve">with </w:t>
      </w:r>
      <w:r>
        <w:rPr>
          <w:szCs w:val="20"/>
        </w:rPr>
        <w:lastRenderedPageBreak/>
        <w:t xml:space="preserve">growth of </w:t>
      </w:r>
      <w:r w:rsidR="00867B5F">
        <w:t>16</w:t>
      </w:r>
      <w:r w:rsidR="003001E5">
        <w:rPr>
          <w:szCs w:val="20"/>
        </w:rPr>
        <w:t xml:space="preserve"> per cent </w:t>
      </w:r>
      <w:r w:rsidR="0068166A">
        <w:rPr>
          <w:szCs w:val="20"/>
        </w:rPr>
        <w:t>in 2011</w:t>
      </w:r>
      <w:r w:rsidR="0068166A">
        <w:rPr>
          <w:szCs w:val="20"/>
        </w:rPr>
        <w:noBreakHyphen/>
        <w:t xml:space="preserve">12 </w:t>
      </w:r>
      <w:r>
        <w:rPr>
          <w:szCs w:val="20"/>
        </w:rPr>
        <w:t xml:space="preserve">and </w:t>
      </w:r>
      <w:r w:rsidR="0068166A">
        <w:rPr>
          <w:szCs w:val="20"/>
        </w:rPr>
        <w:t xml:space="preserve">12½ per cent </w:t>
      </w:r>
      <w:r>
        <w:rPr>
          <w:szCs w:val="20"/>
        </w:rPr>
        <w:t>in 2012-13.</w:t>
      </w:r>
    </w:p>
    <w:p w:rsidR="002F67DC" w:rsidRDefault="002F67DC" w:rsidP="002F67DC">
      <w:pPr>
        <w:keepLines/>
      </w:pPr>
      <w:r>
        <w:t xml:space="preserve">Strong growth in </w:t>
      </w:r>
      <w:r w:rsidRPr="00476153">
        <w:rPr>
          <w:b/>
        </w:rPr>
        <w:t>n</w:t>
      </w:r>
      <w:r w:rsidRPr="00B540C3">
        <w:rPr>
          <w:b/>
        </w:rPr>
        <w:t xml:space="preserve">ew </w:t>
      </w:r>
      <w:r w:rsidRPr="00137FBF">
        <w:rPr>
          <w:b/>
        </w:rPr>
        <w:t>engineering construction</w:t>
      </w:r>
      <w:r w:rsidRPr="002748A7">
        <w:t xml:space="preserve"> investme</w:t>
      </w:r>
      <w:r>
        <w:t xml:space="preserve">nt over the past two quarters </w:t>
      </w:r>
      <w:r w:rsidR="00A03CF2">
        <w:t>suggests that the anticipated surge in mining investment is underway</w:t>
      </w:r>
      <w:r>
        <w:t xml:space="preserve">. Forecasts have been revised upwards since the September round following the announcement of positive final investment decisions for a number of projects including </w:t>
      </w:r>
      <w:r w:rsidRPr="003B27CE">
        <w:t>Rio Tinto</w:t>
      </w:r>
      <w:r>
        <w:t xml:space="preserve"> and Fortescue Metal</w:t>
      </w:r>
      <w:r w:rsidRPr="003B27CE">
        <w:t>s</w:t>
      </w:r>
      <w:r>
        <w:t>’</w:t>
      </w:r>
      <w:r w:rsidRPr="003B27CE">
        <w:t xml:space="preserve"> US$</w:t>
      </w:r>
      <w:r>
        <w:t>7.2</w:t>
      </w:r>
      <w:r w:rsidRPr="003B27CE">
        <w:t xml:space="preserve"> billion</w:t>
      </w:r>
      <w:r>
        <w:t xml:space="preserve"> and US$8.4 billion</w:t>
      </w:r>
      <w:r w:rsidRPr="003B27CE">
        <w:t xml:space="preserve"> </w:t>
      </w:r>
      <w:r>
        <w:t xml:space="preserve">Pilbara iron ore </w:t>
      </w:r>
      <w:r w:rsidRPr="003B27CE">
        <w:t>expansions and BG’s US$1</w:t>
      </w:r>
      <w:r>
        <w:t>5 billion Queensland Curtis LNG</w:t>
      </w:r>
      <w:r w:rsidR="007559C2">
        <w:t xml:space="preserve"> project</w:t>
      </w:r>
      <w:r>
        <w:t xml:space="preserve">.  Engineering construction investment is now expected to </w:t>
      </w:r>
      <w:r w:rsidR="003001E5">
        <w:t>grow by</w:t>
      </w:r>
      <w:r>
        <w:t xml:space="preserve"> 19½ per cent in 2010-11, 29 per cent in 2011-12 and 19½ per cent in 2012-13.  </w:t>
      </w:r>
    </w:p>
    <w:p w:rsidR="002F67DC" w:rsidRDefault="002F67DC" w:rsidP="002F67DC">
      <w:pPr>
        <w:autoSpaceDE w:val="0"/>
        <w:autoSpaceDN w:val="0"/>
      </w:pPr>
      <w:r>
        <w:rPr>
          <w:szCs w:val="20"/>
        </w:rPr>
        <w:t xml:space="preserve">Investment in </w:t>
      </w:r>
      <w:r w:rsidRPr="001D209A">
        <w:rPr>
          <w:b/>
          <w:szCs w:val="20"/>
        </w:rPr>
        <w:t>new</w:t>
      </w:r>
      <w:r>
        <w:rPr>
          <w:szCs w:val="20"/>
        </w:rPr>
        <w:t xml:space="preserve"> </w:t>
      </w:r>
      <w:r w:rsidRPr="004A1901">
        <w:rPr>
          <w:b/>
          <w:szCs w:val="20"/>
        </w:rPr>
        <w:t>non-residential building</w:t>
      </w:r>
      <w:r>
        <w:rPr>
          <w:szCs w:val="20"/>
        </w:rPr>
        <w:t xml:space="preserve"> during 2010 has been driven by activity under the Building the Education Revolution (BER) program a</w:t>
      </w:r>
      <w:r w:rsidR="00FB09F4">
        <w:rPr>
          <w:szCs w:val="20"/>
        </w:rPr>
        <w:t>nd a stronger-than-</w:t>
      </w:r>
      <w:r w:rsidR="00DE7F21">
        <w:rPr>
          <w:szCs w:val="20"/>
        </w:rPr>
        <w:t>expected run</w:t>
      </w:r>
      <w:r w:rsidR="00DE7F21">
        <w:rPr>
          <w:szCs w:val="20"/>
        </w:rPr>
        <w:noBreakHyphen/>
      </w:r>
      <w:r>
        <w:rPr>
          <w:szCs w:val="20"/>
        </w:rPr>
        <w:t>down of the existing stock of work. As a result</w:t>
      </w:r>
      <w:r w:rsidR="00DE7F21">
        <w:rPr>
          <w:szCs w:val="20"/>
        </w:rPr>
        <w:t>,</w:t>
      </w:r>
      <w:r>
        <w:rPr>
          <w:szCs w:val="20"/>
        </w:rPr>
        <w:t xml:space="preserve"> new building investment is forecast to </w:t>
      </w:r>
      <w:r w:rsidR="00FB09F4">
        <w:rPr>
          <w:szCs w:val="20"/>
        </w:rPr>
        <w:t>grow by</w:t>
      </w:r>
      <w:r>
        <w:rPr>
          <w:szCs w:val="20"/>
        </w:rPr>
        <w:t xml:space="preserve"> 3 per cent in 2010-11. However, underlying conditions in the sector remain weak with the pipeline of future projects contracting further and continued high vacancy rates weighing on the sector.  These conditions are expected to continue into 2011.  Accordingly the sector is only expected to </w:t>
      </w:r>
      <w:r w:rsidR="00FB09F4">
        <w:rPr>
          <w:szCs w:val="20"/>
        </w:rPr>
        <w:t>grow</w:t>
      </w:r>
      <w:r>
        <w:rPr>
          <w:szCs w:val="20"/>
        </w:rPr>
        <w:t xml:space="preserve"> 1½ per cent in 2011-12. As the economy expands and l</w:t>
      </w:r>
      <w:r w:rsidR="003001E5">
        <w:rPr>
          <w:szCs w:val="20"/>
        </w:rPr>
        <w:t>abour demand continues to grow</w:t>
      </w:r>
      <w:r>
        <w:rPr>
          <w:szCs w:val="20"/>
        </w:rPr>
        <w:t xml:space="preserve"> strongly, underlying demand for new floor space is expected to rebound</w:t>
      </w:r>
      <w:r w:rsidR="007D7BFD">
        <w:rPr>
          <w:szCs w:val="20"/>
        </w:rPr>
        <w:t>,</w:t>
      </w:r>
      <w:r>
        <w:rPr>
          <w:szCs w:val="20"/>
        </w:rPr>
        <w:t xml:space="preserve"> leading to growth in in</w:t>
      </w:r>
      <w:r w:rsidR="007D7BFD">
        <w:rPr>
          <w:szCs w:val="20"/>
        </w:rPr>
        <w:t>vestment of 7½ per cent in 2012</w:t>
      </w:r>
      <w:r w:rsidR="007D7BFD">
        <w:rPr>
          <w:szCs w:val="20"/>
        </w:rPr>
        <w:noBreakHyphen/>
      </w:r>
      <w:r>
        <w:rPr>
          <w:szCs w:val="20"/>
        </w:rPr>
        <w:t xml:space="preserve">13. </w:t>
      </w:r>
    </w:p>
    <w:p w:rsidR="009D7882" w:rsidRDefault="006B4DF6" w:rsidP="001D505A">
      <w:pPr>
        <w:pStyle w:val="Heading4"/>
        <w:keepNext w:val="0"/>
        <w:spacing w:before="0"/>
      </w:pPr>
      <w:bookmarkStart w:id="38" w:name="_Toc280363577"/>
      <w:r w:rsidRPr="00B845F5">
        <w:t>Public final demand</w:t>
      </w:r>
      <w:bookmarkEnd w:id="35"/>
      <w:bookmarkEnd w:id="38"/>
    </w:p>
    <w:p w:rsidR="002F67DC" w:rsidRDefault="002F67DC" w:rsidP="002F67DC">
      <w:pPr>
        <w:autoSpaceDE w:val="0"/>
        <w:autoSpaceDN w:val="0"/>
        <w:adjustRightInd w:val="0"/>
        <w:spacing w:after="0"/>
        <w:rPr>
          <w:rFonts w:cs="Book Antiqua"/>
          <w:szCs w:val="20"/>
        </w:rPr>
      </w:pPr>
      <w:r>
        <w:rPr>
          <w:rFonts w:cs="Book Antiqua"/>
          <w:szCs w:val="20"/>
        </w:rPr>
        <w:t xml:space="preserve">The withdrawal of stimulus continued to detract from growth in the September quarter 2010, and further detractions are expected in 2010-11 and 2011-12. The withdrawal of the stimulus is expected to detract around </w:t>
      </w:r>
      <w:r w:rsidRPr="00057219">
        <w:rPr>
          <w:rFonts w:cs="Book Antiqua"/>
          <w:szCs w:val="20"/>
        </w:rPr>
        <w:t>1 percentag</w:t>
      </w:r>
      <w:r w:rsidR="00057219" w:rsidRPr="00057219">
        <w:rPr>
          <w:rFonts w:cs="Book Antiqua"/>
          <w:szCs w:val="20"/>
        </w:rPr>
        <w:t>e</w:t>
      </w:r>
      <w:r w:rsidR="00057219">
        <w:rPr>
          <w:rFonts w:cs="Book Antiqua"/>
          <w:szCs w:val="20"/>
        </w:rPr>
        <w:t xml:space="preserve"> point from GDP growth in 2010</w:t>
      </w:r>
      <w:r w:rsidR="00057219">
        <w:rPr>
          <w:rFonts w:cs="Book Antiqua"/>
          <w:szCs w:val="20"/>
        </w:rPr>
        <w:noBreakHyphen/>
      </w:r>
      <w:proofErr w:type="gramStart"/>
      <w:r w:rsidR="00057219">
        <w:rPr>
          <w:rFonts w:cs="Book Antiqua"/>
          <w:szCs w:val="20"/>
        </w:rPr>
        <w:t xml:space="preserve">11  </w:t>
      </w:r>
      <w:r>
        <w:rPr>
          <w:rFonts w:cs="Book Antiqua"/>
          <w:szCs w:val="20"/>
        </w:rPr>
        <w:t>and</w:t>
      </w:r>
      <w:proofErr w:type="gramEnd"/>
      <w:r>
        <w:rPr>
          <w:rFonts w:cs="Book Antiqua"/>
          <w:szCs w:val="20"/>
        </w:rPr>
        <w:t xml:space="preserve"> </w:t>
      </w:r>
      <w:r w:rsidR="00057219">
        <w:rPr>
          <w:rFonts w:cs="Book Antiqua"/>
          <w:szCs w:val="20"/>
        </w:rPr>
        <w:t>½ </w:t>
      </w:r>
      <w:r>
        <w:rPr>
          <w:rFonts w:cs="Book Antiqua"/>
          <w:szCs w:val="20"/>
        </w:rPr>
        <w:t>of a percentage point in 2011</w:t>
      </w:r>
      <w:r w:rsidR="00057219">
        <w:rPr>
          <w:rFonts w:cs="Book Antiqua"/>
          <w:szCs w:val="20"/>
        </w:rPr>
        <w:noBreakHyphen/>
        <w:t>12</w:t>
      </w:r>
      <w:r>
        <w:rPr>
          <w:rFonts w:cs="Book Antiqua"/>
          <w:szCs w:val="20"/>
        </w:rPr>
        <w:t>.</w:t>
      </w:r>
    </w:p>
    <w:p w:rsidR="002F67DC" w:rsidRDefault="002F67DC" w:rsidP="002F67DC">
      <w:pPr>
        <w:autoSpaceDE w:val="0"/>
        <w:autoSpaceDN w:val="0"/>
        <w:adjustRightInd w:val="0"/>
        <w:spacing w:after="0"/>
        <w:rPr>
          <w:rFonts w:cs="Book Antiqua"/>
          <w:szCs w:val="20"/>
        </w:rPr>
      </w:pPr>
    </w:p>
    <w:p w:rsidR="00937399" w:rsidRDefault="002F67DC" w:rsidP="002F67DC">
      <w:pPr>
        <w:autoSpaceDE w:val="0"/>
        <w:autoSpaceDN w:val="0"/>
        <w:adjustRightInd w:val="0"/>
        <w:rPr>
          <w:rFonts w:cs="Book Antiqua"/>
          <w:b/>
          <w:szCs w:val="20"/>
        </w:rPr>
      </w:pPr>
      <w:r>
        <w:rPr>
          <w:rFonts w:cs="Book Antiqua"/>
          <w:szCs w:val="20"/>
        </w:rPr>
        <w:t>After peaking at 7.0 per cent in 2009</w:t>
      </w:r>
      <w:r>
        <w:rPr>
          <w:rFonts w:cs="Book Antiqua"/>
          <w:szCs w:val="20"/>
        </w:rPr>
        <w:noBreakHyphen/>
        <w:t xml:space="preserve">10, </w:t>
      </w:r>
      <w:r w:rsidR="00644EE6">
        <w:rPr>
          <w:rFonts w:cs="Book Antiqua"/>
          <w:szCs w:val="20"/>
        </w:rPr>
        <w:t xml:space="preserve">growth in </w:t>
      </w:r>
      <w:r>
        <w:rPr>
          <w:rFonts w:cs="Book Antiqua"/>
          <w:szCs w:val="20"/>
        </w:rPr>
        <w:t xml:space="preserve">public final demand is forecast </w:t>
      </w:r>
      <w:r w:rsidR="00644EE6">
        <w:rPr>
          <w:rFonts w:cs="Book Antiqua"/>
          <w:szCs w:val="20"/>
        </w:rPr>
        <w:t xml:space="preserve">to be </w:t>
      </w:r>
      <w:r w:rsidRPr="00867B5F">
        <w:rPr>
          <w:rFonts w:cs="Book Antiqua"/>
          <w:szCs w:val="20"/>
        </w:rPr>
        <w:t>2</w:t>
      </w:r>
      <w:r>
        <w:rPr>
          <w:rFonts w:cs="Book Antiqua"/>
          <w:szCs w:val="20"/>
        </w:rPr>
        <w:t xml:space="preserve"> per cent in 2010-11.  Growth has been upgraded since September, reflecting stronger </w:t>
      </w:r>
      <w:r>
        <w:rPr>
          <w:rFonts w:cs="Book Antiqua"/>
          <w:szCs w:val="20"/>
        </w:rPr>
        <w:lastRenderedPageBreak/>
        <w:t>growth expectations for Commonwealth investment</w:t>
      </w:r>
      <w:r w:rsidR="004D1463">
        <w:rPr>
          <w:rFonts w:cs="Book Antiqua"/>
          <w:szCs w:val="20"/>
        </w:rPr>
        <w:t xml:space="preserve"> due to an increase in estimated NBN investment</w:t>
      </w:r>
      <w:r>
        <w:rPr>
          <w:rFonts w:cs="Book Antiqua"/>
          <w:szCs w:val="20"/>
        </w:rPr>
        <w:t xml:space="preserve">.  Public final demand is forecast to fall </w:t>
      </w:r>
      <w:r w:rsidR="00867B5F">
        <w:rPr>
          <w:rFonts w:cs="Book Antiqua"/>
          <w:szCs w:val="20"/>
        </w:rPr>
        <w:t>½ </w:t>
      </w:r>
      <w:r>
        <w:rPr>
          <w:rFonts w:cs="Book Antiqua"/>
          <w:szCs w:val="20"/>
        </w:rPr>
        <w:t>per cent in 2011</w:t>
      </w:r>
      <w:r>
        <w:rPr>
          <w:rFonts w:cs="Book Antiqua"/>
          <w:szCs w:val="20"/>
        </w:rPr>
        <w:noBreakHyphen/>
        <w:t xml:space="preserve">12, and </w:t>
      </w:r>
      <w:r w:rsidR="00867B5F">
        <w:rPr>
          <w:rFonts w:cs="Book Antiqua"/>
          <w:szCs w:val="20"/>
        </w:rPr>
        <w:t>remain flat</w:t>
      </w:r>
      <w:r>
        <w:rPr>
          <w:rFonts w:cs="Book Antiqua"/>
          <w:szCs w:val="20"/>
        </w:rPr>
        <w:t xml:space="preserve"> in 2012-13.  </w:t>
      </w:r>
      <w:r w:rsidR="00A83E41">
        <w:rPr>
          <w:rFonts w:cs="Book Antiqua"/>
          <w:szCs w:val="20"/>
        </w:rPr>
        <w:t xml:space="preserve"> </w:t>
      </w:r>
    </w:p>
    <w:p w:rsidR="005B389D" w:rsidRDefault="005B389D" w:rsidP="003D5B58">
      <w:pPr>
        <w:pStyle w:val="Heading4"/>
        <w:keepNext w:val="0"/>
        <w:spacing w:before="0"/>
        <w:jc w:val="both"/>
      </w:pPr>
      <w:bookmarkStart w:id="39" w:name="_Toc280363578"/>
      <w:r w:rsidRPr="00B0461A">
        <w:t>Exports, imports and the current account deficit</w:t>
      </w:r>
      <w:bookmarkEnd w:id="39"/>
    </w:p>
    <w:p w:rsidR="00090E63" w:rsidRPr="005053CD" w:rsidRDefault="00090E63" w:rsidP="00090E63">
      <w:pPr>
        <w:rPr>
          <w:rFonts w:cs="Book Antiqua"/>
          <w:szCs w:val="20"/>
        </w:rPr>
      </w:pPr>
      <w:r>
        <w:rPr>
          <w:rFonts w:cs="Book Antiqua"/>
          <w:szCs w:val="20"/>
        </w:rPr>
        <w:t>While ongoing strong demand for Australia’s bulk commodity exports still underpins the export forecasts, e</w:t>
      </w:r>
      <w:r w:rsidRPr="007C60D2">
        <w:rPr>
          <w:rFonts w:cs="Book Antiqua"/>
          <w:szCs w:val="20"/>
        </w:rPr>
        <w:t>xport volumes</w:t>
      </w:r>
      <w:r w:rsidRPr="005053CD">
        <w:rPr>
          <w:rFonts w:cs="Book Antiqua"/>
          <w:szCs w:val="20"/>
        </w:rPr>
        <w:t xml:space="preserve"> </w:t>
      </w:r>
      <w:r>
        <w:rPr>
          <w:rFonts w:cs="Book Antiqua"/>
          <w:szCs w:val="20"/>
        </w:rPr>
        <w:t xml:space="preserve">growth </w:t>
      </w:r>
      <w:r w:rsidRPr="005053CD">
        <w:rPr>
          <w:rFonts w:cs="Book Antiqua"/>
          <w:szCs w:val="20"/>
        </w:rPr>
        <w:t xml:space="preserve">in 2010-11 </w:t>
      </w:r>
      <w:r>
        <w:rPr>
          <w:rFonts w:cs="Book Antiqua"/>
          <w:szCs w:val="20"/>
        </w:rPr>
        <w:t>is</w:t>
      </w:r>
      <w:r w:rsidRPr="005053CD">
        <w:rPr>
          <w:rFonts w:cs="Book Antiqua"/>
          <w:szCs w:val="20"/>
        </w:rPr>
        <w:t xml:space="preserve"> expected to be lower than at September, largely reflecting</w:t>
      </w:r>
      <w:r>
        <w:rPr>
          <w:rFonts w:cs="Book Antiqua"/>
          <w:szCs w:val="20"/>
        </w:rPr>
        <w:t xml:space="preserve"> the effect of recent</w:t>
      </w:r>
      <w:r w:rsidRPr="005053CD">
        <w:rPr>
          <w:rFonts w:cs="Book Antiqua"/>
          <w:szCs w:val="20"/>
        </w:rPr>
        <w:t xml:space="preserve"> heavy rains in Queensland</w:t>
      </w:r>
      <w:r w:rsidR="00E55B96">
        <w:rPr>
          <w:rFonts w:cs="Book Antiqua"/>
          <w:szCs w:val="20"/>
        </w:rPr>
        <w:t xml:space="preserve"> </w:t>
      </w:r>
      <w:r w:rsidRPr="00191673">
        <w:rPr>
          <w:rFonts w:cs="Book Antiqua"/>
          <w:szCs w:val="20"/>
        </w:rPr>
        <w:t>—</w:t>
      </w:r>
      <w:r>
        <w:rPr>
          <w:rFonts w:cs="Book Antiqua"/>
          <w:szCs w:val="20"/>
        </w:rPr>
        <w:t xml:space="preserve"> reducing </w:t>
      </w:r>
      <w:r w:rsidRPr="005053CD">
        <w:rPr>
          <w:rFonts w:cs="Book Antiqua"/>
          <w:szCs w:val="20"/>
        </w:rPr>
        <w:t>non-rural commodity export volumes.</w:t>
      </w:r>
      <w:r>
        <w:rPr>
          <w:rFonts w:cs="Book Antiqua"/>
          <w:szCs w:val="20"/>
        </w:rPr>
        <w:t xml:space="preserve"> Total exports are expected to increase by 5½ per cent in 2010</w:t>
      </w:r>
      <w:r>
        <w:rPr>
          <w:rFonts w:cs="Book Antiqua"/>
          <w:szCs w:val="20"/>
        </w:rPr>
        <w:noBreakHyphen/>
        <w:t>11, 5 per cent in 2011-12 and 3</w:t>
      </w:r>
      <w:r w:rsidR="00F7453E">
        <w:rPr>
          <w:rFonts w:cs="Book Antiqua"/>
          <w:szCs w:val="20"/>
        </w:rPr>
        <w:t>½ per cent in 2012</w:t>
      </w:r>
      <w:r w:rsidR="00F7453E">
        <w:rPr>
          <w:rFonts w:cs="Book Antiqua"/>
          <w:szCs w:val="20"/>
        </w:rPr>
        <w:noBreakHyphen/>
      </w:r>
      <w:r>
        <w:rPr>
          <w:rFonts w:cs="Book Antiqua"/>
          <w:szCs w:val="20"/>
        </w:rPr>
        <w:t>13.</w:t>
      </w:r>
    </w:p>
    <w:p w:rsidR="00090E63" w:rsidRDefault="00090E63" w:rsidP="00090E63">
      <w:pPr>
        <w:rPr>
          <w:rFonts w:cs="Book Antiqua"/>
          <w:b/>
          <w:szCs w:val="20"/>
        </w:rPr>
      </w:pPr>
      <w:r w:rsidRPr="00191673">
        <w:rPr>
          <w:rFonts w:cs="Book Antiqua"/>
          <w:b/>
          <w:szCs w:val="20"/>
        </w:rPr>
        <w:t>Net exports</w:t>
      </w:r>
      <w:r w:rsidRPr="005053CD">
        <w:rPr>
          <w:rFonts w:cs="Book Antiqua"/>
          <w:szCs w:val="20"/>
        </w:rPr>
        <w:t xml:space="preserve"> are expected to detract ½ of a percentage point from GDP growth in 2010-11, </w:t>
      </w:r>
      <w:r w:rsidR="00E13C81">
        <w:rPr>
          <w:rFonts w:cs="Book Antiqua"/>
          <w:szCs w:val="20"/>
        </w:rPr>
        <w:t>a smaller subtraction than</w:t>
      </w:r>
      <w:r w:rsidRPr="005053CD">
        <w:rPr>
          <w:rFonts w:cs="Book Antiqua"/>
          <w:szCs w:val="20"/>
        </w:rPr>
        <w:t xml:space="preserve"> Sept</w:t>
      </w:r>
      <w:r w:rsidR="007D7BFD">
        <w:rPr>
          <w:rFonts w:cs="Book Antiqua"/>
          <w:szCs w:val="20"/>
        </w:rPr>
        <w:t>ember, reflecting weaker import</w:t>
      </w:r>
      <w:r w:rsidRPr="005053CD">
        <w:rPr>
          <w:rFonts w:cs="Book Antiqua"/>
          <w:szCs w:val="20"/>
        </w:rPr>
        <w:t xml:space="preserve"> volumes, and ¾ of a percentage point in 2011</w:t>
      </w:r>
      <w:r>
        <w:rPr>
          <w:rFonts w:cs="Book Antiqua"/>
          <w:szCs w:val="20"/>
        </w:rPr>
        <w:noBreakHyphen/>
      </w:r>
      <w:r w:rsidRPr="005053CD">
        <w:rPr>
          <w:rFonts w:cs="Book Antiqua"/>
          <w:szCs w:val="20"/>
        </w:rPr>
        <w:t xml:space="preserve">12, </w:t>
      </w:r>
      <w:r>
        <w:rPr>
          <w:rFonts w:cs="Book Antiqua"/>
          <w:szCs w:val="20"/>
        </w:rPr>
        <w:t>the same as at</w:t>
      </w:r>
      <w:r w:rsidRPr="005053CD">
        <w:rPr>
          <w:rFonts w:cs="Book Antiqua"/>
          <w:szCs w:val="20"/>
        </w:rPr>
        <w:t xml:space="preserve"> September. Net exports are set to detract 1¼ percentage points from GDP growth in 2012</w:t>
      </w:r>
      <w:r>
        <w:rPr>
          <w:rFonts w:cs="Book Antiqua"/>
          <w:szCs w:val="20"/>
        </w:rPr>
        <w:noBreakHyphen/>
      </w:r>
      <w:r w:rsidRPr="005053CD">
        <w:rPr>
          <w:rFonts w:cs="Book Antiqua"/>
          <w:szCs w:val="20"/>
        </w:rPr>
        <w:t>13.</w:t>
      </w:r>
      <w:r w:rsidRPr="00191673">
        <w:rPr>
          <w:rFonts w:cs="Book Antiqua"/>
          <w:b/>
          <w:szCs w:val="20"/>
        </w:rPr>
        <w:t xml:space="preserve"> </w:t>
      </w:r>
    </w:p>
    <w:p w:rsidR="004262C0" w:rsidRPr="007711BC" w:rsidRDefault="004262C0" w:rsidP="00FD1287">
      <w:pPr>
        <w:keepNext/>
        <w:widowControl w:val="0"/>
        <w:spacing w:after="0"/>
        <w:jc w:val="center"/>
        <w:rPr>
          <w:rFonts w:ascii="Tahoma" w:hAnsi="Tahoma" w:cs="Tahoma"/>
          <w:b/>
        </w:rPr>
      </w:pPr>
      <w:r w:rsidRPr="007711BC">
        <w:rPr>
          <w:rFonts w:ascii="Tahoma" w:hAnsi="Tahoma" w:cs="Tahoma"/>
          <w:b/>
        </w:rPr>
        <w:t xml:space="preserve">Chart </w:t>
      </w:r>
      <w:r>
        <w:rPr>
          <w:rFonts w:ascii="Tahoma" w:hAnsi="Tahoma" w:cs="Tahoma"/>
          <w:b/>
        </w:rPr>
        <w:t>5</w:t>
      </w:r>
      <w:r w:rsidRPr="007711BC">
        <w:rPr>
          <w:rFonts w:ascii="Tahoma" w:hAnsi="Tahoma" w:cs="Tahoma"/>
          <w:b/>
        </w:rPr>
        <w:t xml:space="preserve">: </w:t>
      </w:r>
      <w:r>
        <w:rPr>
          <w:rFonts w:ascii="Tahoma" w:hAnsi="Tahoma" w:cs="Tahoma"/>
          <w:b/>
        </w:rPr>
        <w:t>Net exports – contribution to GDP growth</w:t>
      </w:r>
    </w:p>
    <w:p w:rsidR="00057219" w:rsidRDefault="00112B5B" w:rsidP="00FD1287">
      <w:pPr>
        <w:keepNext/>
        <w:widowControl w:val="0"/>
        <w:spacing w:after="0" w:line="240" w:lineRule="auto"/>
        <w:jc w:val="center"/>
        <w:rPr>
          <w:rFonts w:cs="Tahoma"/>
        </w:rPr>
      </w:pPr>
      <w:r>
        <w:rPr>
          <w:rFonts w:cs="Tahoma"/>
        </w:rPr>
        <w:pict>
          <v:shape id="_x0000_i1031" type="#_x0000_t75" style="width:199.7pt;height:199.7pt">
            <v:imagedata r:id="rId24" o:title=""/>
          </v:shape>
        </w:pict>
      </w:r>
    </w:p>
    <w:p w:rsidR="00315D18" w:rsidRDefault="00315D18" w:rsidP="00FD1287">
      <w:pPr>
        <w:widowControl w:val="0"/>
        <w:spacing w:line="240" w:lineRule="auto"/>
        <w:rPr>
          <w:rFonts w:cs="Tahoma"/>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sidR="00DA447F">
        <w:rPr>
          <w:rFonts w:ascii="Tahoma" w:hAnsi="Tahoma" w:cs="Tahoma"/>
          <w:sz w:val="16"/>
          <w:szCs w:val="16"/>
        </w:rPr>
        <w:t>5206.0</w:t>
      </w:r>
      <w:r>
        <w:rPr>
          <w:rFonts w:ascii="Tahoma" w:hAnsi="Tahoma" w:cs="Tahoma"/>
          <w:sz w:val="16"/>
          <w:szCs w:val="16"/>
        </w:rPr>
        <w:t xml:space="preserve"> and Treasury</w:t>
      </w:r>
      <w:r w:rsidR="00FD1287">
        <w:rPr>
          <w:rFonts w:ascii="Tahoma" w:hAnsi="Tahoma" w:cs="Tahoma"/>
          <w:sz w:val="16"/>
          <w:szCs w:val="16"/>
        </w:rPr>
        <w:t>.</w:t>
      </w:r>
    </w:p>
    <w:p w:rsidR="00F95F37" w:rsidRPr="005053CD" w:rsidRDefault="00F95F37" w:rsidP="00F95F37">
      <w:pPr>
        <w:autoSpaceDE w:val="0"/>
        <w:autoSpaceDN w:val="0"/>
        <w:adjustRightInd w:val="0"/>
        <w:rPr>
          <w:rFonts w:cs="Book Antiqua"/>
          <w:szCs w:val="20"/>
        </w:rPr>
      </w:pPr>
      <w:r w:rsidRPr="00191673">
        <w:rPr>
          <w:rFonts w:cs="Book Antiqua"/>
          <w:b/>
          <w:szCs w:val="20"/>
        </w:rPr>
        <w:t>Rural exports</w:t>
      </w:r>
      <w:r w:rsidRPr="005053CD">
        <w:rPr>
          <w:rFonts w:cs="Book Antiqua"/>
          <w:szCs w:val="20"/>
        </w:rPr>
        <w:t xml:space="preserve"> </w:t>
      </w:r>
      <w:r>
        <w:rPr>
          <w:rFonts w:cs="Book Antiqua"/>
          <w:szCs w:val="20"/>
        </w:rPr>
        <w:t xml:space="preserve">are expected to grow rapidly in 2010-11 (and stronger than at September), increasing by 15 per cent, before declining by 4½ per cent in </w:t>
      </w:r>
      <w:r w:rsidR="00ED6664">
        <w:rPr>
          <w:rFonts w:cs="Book Antiqua"/>
          <w:szCs w:val="20"/>
        </w:rPr>
        <w:t>2011-12 and 3½ per cent in 2012</w:t>
      </w:r>
      <w:r w:rsidR="00ED6664">
        <w:rPr>
          <w:rFonts w:cs="Book Antiqua"/>
          <w:szCs w:val="20"/>
        </w:rPr>
        <w:noBreakHyphen/>
      </w:r>
      <w:r>
        <w:rPr>
          <w:rFonts w:cs="Book Antiqua"/>
          <w:szCs w:val="20"/>
        </w:rPr>
        <w:t xml:space="preserve">13.  Good rainfall for much of the winter has led to a strong upgrade to </w:t>
      </w:r>
      <w:r w:rsidR="00E55B96">
        <w:rPr>
          <w:rFonts w:cs="Book Antiqua"/>
          <w:szCs w:val="20"/>
        </w:rPr>
        <w:t xml:space="preserve">expected </w:t>
      </w:r>
      <w:r>
        <w:rPr>
          <w:rFonts w:cs="Book Antiqua"/>
          <w:szCs w:val="20"/>
        </w:rPr>
        <w:t xml:space="preserve">winter </w:t>
      </w:r>
      <w:r>
        <w:rPr>
          <w:rFonts w:cs="Book Antiqua"/>
          <w:szCs w:val="20"/>
        </w:rPr>
        <w:lastRenderedPageBreak/>
        <w:t xml:space="preserve">crop production for 2010-11.  This, along with higher prices resulting from unfavourable </w:t>
      </w:r>
      <w:r w:rsidR="00E55B96">
        <w:rPr>
          <w:rFonts w:cs="Book Antiqua"/>
          <w:szCs w:val="20"/>
        </w:rPr>
        <w:t xml:space="preserve">weather </w:t>
      </w:r>
      <w:r>
        <w:rPr>
          <w:rFonts w:cs="Book Antiqua"/>
          <w:szCs w:val="20"/>
        </w:rPr>
        <w:t>across producing countries, is expected to lead to higher export volumes as farmers export from existing inventories in addition to the current harvest.  However, continued heavy rainfall through spring across eastern Australia has reduced the quality of the winter crop, and more recent flooding represents a downside risk to the size of the crop, and thus export volumes.  The falls in export volumes</w:t>
      </w:r>
      <w:r w:rsidR="00DE58DC">
        <w:rPr>
          <w:rFonts w:cs="Book Antiqua"/>
          <w:szCs w:val="20"/>
        </w:rPr>
        <w:t xml:space="preserve"> in 2011-12 and 2012-13 reflect</w:t>
      </w:r>
      <w:r>
        <w:rPr>
          <w:rFonts w:cs="Book Antiqua"/>
          <w:szCs w:val="20"/>
        </w:rPr>
        <w:t xml:space="preserve"> lower farm production in those years </w:t>
      </w:r>
      <w:r w:rsidRPr="00FE3D9B">
        <w:rPr>
          <w:rFonts w:cs="Book Antiqua"/>
          <w:szCs w:val="20"/>
        </w:rPr>
        <w:t>—</w:t>
      </w:r>
      <w:r>
        <w:rPr>
          <w:rFonts w:cs="Book Antiqua"/>
          <w:szCs w:val="20"/>
        </w:rPr>
        <w:t xml:space="preserve"> consistent with a return to more normal seasonal conditions</w:t>
      </w:r>
    </w:p>
    <w:p w:rsidR="00F95F37" w:rsidRDefault="00F95F37" w:rsidP="00F95F37">
      <w:pPr>
        <w:rPr>
          <w:rFonts w:cs="Book Antiqua"/>
          <w:szCs w:val="20"/>
        </w:rPr>
      </w:pPr>
      <w:r w:rsidRPr="00191673">
        <w:rPr>
          <w:rFonts w:cs="Book Antiqua"/>
          <w:b/>
          <w:szCs w:val="20"/>
        </w:rPr>
        <w:t>Non-rural commodity exports</w:t>
      </w:r>
      <w:r w:rsidRPr="005053CD">
        <w:rPr>
          <w:rFonts w:cs="Book Antiqua"/>
          <w:szCs w:val="20"/>
        </w:rPr>
        <w:t xml:space="preserve"> </w:t>
      </w:r>
      <w:r>
        <w:rPr>
          <w:rFonts w:cs="Book Antiqua"/>
          <w:szCs w:val="20"/>
        </w:rPr>
        <w:t xml:space="preserve">are expected to increase </w:t>
      </w:r>
      <w:r w:rsidR="00A03CF2">
        <w:rPr>
          <w:rFonts w:cs="Book Antiqua"/>
          <w:szCs w:val="20"/>
        </w:rPr>
        <w:t>strongly</w:t>
      </w:r>
      <w:r>
        <w:rPr>
          <w:rFonts w:cs="Book Antiqua"/>
          <w:szCs w:val="20"/>
        </w:rPr>
        <w:t xml:space="preserve"> over the forecast period, as ongoing expansions to mine and infrastructure capacity allow for greater export volumes. Growth is expected to be </w:t>
      </w:r>
      <w:r w:rsidR="00ED6664" w:rsidRPr="00DE58DC">
        <w:rPr>
          <w:rFonts w:cs="Book Antiqua"/>
          <w:szCs w:val="20"/>
        </w:rPr>
        <w:t>5½ </w:t>
      </w:r>
      <w:r w:rsidR="007D7BFD">
        <w:rPr>
          <w:rFonts w:cs="Book Antiqua"/>
          <w:szCs w:val="20"/>
        </w:rPr>
        <w:t>per cent in 2010</w:t>
      </w:r>
      <w:r w:rsidR="007D7BFD">
        <w:rPr>
          <w:rFonts w:cs="Book Antiqua"/>
          <w:szCs w:val="20"/>
        </w:rPr>
        <w:noBreakHyphen/>
      </w:r>
      <w:r w:rsidRPr="00DE58DC">
        <w:rPr>
          <w:rFonts w:cs="Book Antiqua"/>
          <w:szCs w:val="20"/>
        </w:rPr>
        <w:t>11, followed by 8</w:t>
      </w:r>
      <w:r w:rsidR="00ED6664" w:rsidRPr="00DE58DC">
        <w:rPr>
          <w:rFonts w:cs="Book Antiqua"/>
          <w:szCs w:val="20"/>
        </w:rPr>
        <w:t>½ </w:t>
      </w:r>
      <w:r w:rsidRPr="00DE58DC">
        <w:rPr>
          <w:rFonts w:cs="Book Antiqua"/>
          <w:szCs w:val="20"/>
        </w:rPr>
        <w:t>pe</w:t>
      </w:r>
      <w:r w:rsidR="00E55B96">
        <w:rPr>
          <w:rFonts w:cs="Book Antiqua"/>
          <w:szCs w:val="20"/>
        </w:rPr>
        <w:t>r cent and 5 per </w:t>
      </w:r>
      <w:r>
        <w:rPr>
          <w:rFonts w:cs="Book Antiqua"/>
          <w:szCs w:val="20"/>
        </w:rPr>
        <w:t xml:space="preserve">cent in 2011-12 and 2012-13.  </w:t>
      </w:r>
    </w:p>
    <w:p w:rsidR="00F95F37" w:rsidRDefault="00F95F37" w:rsidP="00F95F37">
      <w:pPr>
        <w:rPr>
          <w:rFonts w:cs="Book Antiqua"/>
          <w:szCs w:val="20"/>
        </w:rPr>
      </w:pPr>
      <w:r>
        <w:rPr>
          <w:rFonts w:cs="Book Antiqua"/>
          <w:szCs w:val="20"/>
        </w:rPr>
        <w:t>The forecast for 2010-11 is lower that at September, largely reflecting</w:t>
      </w:r>
      <w:r w:rsidRPr="005053CD">
        <w:rPr>
          <w:rFonts w:cs="Book Antiqua"/>
          <w:szCs w:val="20"/>
        </w:rPr>
        <w:t xml:space="preserve"> </w:t>
      </w:r>
      <w:r>
        <w:rPr>
          <w:rFonts w:cs="Book Antiqua"/>
          <w:szCs w:val="20"/>
        </w:rPr>
        <w:t xml:space="preserve">the recent </w:t>
      </w:r>
      <w:r w:rsidRPr="005053CD">
        <w:rPr>
          <w:rFonts w:cs="Book Antiqua"/>
          <w:szCs w:val="20"/>
        </w:rPr>
        <w:t>weather</w:t>
      </w:r>
      <w:r>
        <w:rPr>
          <w:rFonts w:cs="Book Antiqua"/>
          <w:szCs w:val="20"/>
        </w:rPr>
        <w:t>-</w:t>
      </w:r>
      <w:r w:rsidRPr="005053CD">
        <w:rPr>
          <w:rFonts w:cs="Book Antiqua"/>
          <w:szCs w:val="20"/>
        </w:rPr>
        <w:t xml:space="preserve">related </w:t>
      </w:r>
      <w:r>
        <w:rPr>
          <w:rFonts w:cs="Book Antiqua"/>
          <w:szCs w:val="20"/>
        </w:rPr>
        <w:t>disruptions to Queensland’s</w:t>
      </w:r>
      <w:r w:rsidRPr="005053CD">
        <w:rPr>
          <w:rFonts w:cs="Book Antiqua"/>
          <w:szCs w:val="20"/>
        </w:rPr>
        <w:t xml:space="preserve"> metallurgical coal</w:t>
      </w:r>
      <w:r>
        <w:rPr>
          <w:rFonts w:cs="Book Antiqua"/>
          <w:szCs w:val="20"/>
        </w:rPr>
        <w:t xml:space="preserve"> supply chain</w:t>
      </w:r>
      <w:r w:rsidRPr="005053CD">
        <w:rPr>
          <w:rFonts w:cs="Book Antiqua"/>
          <w:szCs w:val="20"/>
        </w:rPr>
        <w:t xml:space="preserve">.  </w:t>
      </w:r>
      <w:r>
        <w:rPr>
          <w:rFonts w:cs="Book Antiqua"/>
          <w:szCs w:val="20"/>
        </w:rPr>
        <w:t>T</w:t>
      </w:r>
      <w:r w:rsidRPr="005053CD">
        <w:rPr>
          <w:rFonts w:cs="Book Antiqua"/>
          <w:szCs w:val="20"/>
        </w:rPr>
        <w:t xml:space="preserve">he September quarter </w:t>
      </w:r>
      <w:r>
        <w:rPr>
          <w:rFonts w:cs="Book Antiqua"/>
          <w:szCs w:val="20"/>
        </w:rPr>
        <w:t xml:space="preserve">2010 saw </w:t>
      </w:r>
      <w:r w:rsidRPr="005053CD">
        <w:rPr>
          <w:rFonts w:cs="Book Antiqua"/>
          <w:szCs w:val="20"/>
        </w:rPr>
        <w:t>non</w:t>
      </w:r>
      <w:r>
        <w:rPr>
          <w:rFonts w:cs="Book Antiqua"/>
          <w:szCs w:val="20"/>
        </w:rPr>
        <w:noBreakHyphen/>
      </w:r>
      <w:r w:rsidRPr="005053CD">
        <w:rPr>
          <w:rFonts w:cs="Book Antiqua"/>
          <w:szCs w:val="20"/>
        </w:rPr>
        <w:t xml:space="preserve">rural </w:t>
      </w:r>
      <w:r>
        <w:rPr>
          <w:rFonts w:cs="Book Antiqua"/>
          <w:szCs w:val="20"/>
        </w:rPr>
        <w:t xml:space="preserve">commodity </w:t>
      </w:r>
      <w:r w:rsidRPr="005053CD">
        <w:rPr>
          <w:rFonts w:cs="Book Antiqua"/>
          <w:szCs w:val="20"/>
        </w:rPr>
        <w:t xml:space="preserve">exports </w:t>
      </w:r>
      <w:r>
        <w:rPr>
          <w:rFonts w:cs="Book Antiqua"/>
          <w:szCs w:val="20"/>
        </w:rPr>
        <w:t>record their</w:t>
      </w:r>
      <w:r w:rsidRPr="005053CD">
        <w:rPr>
          <w:rFonts w:cs="Book Antiqua"/>
          <w:szCs w:val="20"/>
        </w:rPr>
        <w:t xml:space="preserve"> largest fall in over a decade</w:t>
      </w:r>
      <w:r w:rsidR="00A03CF2">
        <w:rPr>
          <w:rFonts w:cs="Book Antiqua"/>
          <w:szCs w:val="20"/>
        </w:rPr>
        <w:t xml:space="preserve"> (albeit to the second highest level on record)</w:t>
      </w:r>
      <w:r w:rsidRPr="005053CD">
        <w:rPr>
          <w:rFonts w:cs="Book Antiqua"/>
          <w:szCs w:val="20"/>
        </w:rPr>
        <w:t xml:space="preserve">, </w:t>
      </w:r>
      <w:r>
        <w:rPr>
          <w:rFonts w:cs="Book Antiqua"/>
          <w:szCs w:val="20"/>
        </w:rPr>
        <w:t>largely reflecting lower</w:t>
      </w:r>
      <w:r w:rsidR="00E55B96">
        <w:rPr>
          <w:rFonts w:cs="Book Antiqua"/>
          <w:szCs w:val="20"/>
        </w:rPr>
        <w:t xml:space="preserve"> metallurgical</w:t>
      </w:r>
      <w:r>
        <w:rPr>
          <w:rFonts w:cs="Book Antiqua"/>
          <w:szCs w:val="20"/>
        </w:rPr>
        <w:t xml:space="preserve"> coal volumes</w:t>
      </w:r>
      <w:r w:rsidRPr="005053CD">
        <w:rPr>
          <w:rFonts w:cs="Book Antiqua"/>
          <w:szCs w:val="20"/>
        </w:rPr>
        <w:t xml:space="preserve">.  </w:t>
      </w:r>
      <w:r>
        <w:rPr>
          <w:rFonts w:cs="Book Antiqua"/>
          <w:szCs w:val="20"/>
        </w:rPr>
        <w:t>Thus far in the December quarter, ongoing h</w:t>
      </w:r>
      <w:r w:rsidRPr="005053CD">
        <w:rPr>
          <w:rFonts w:cs="Book Antiqua"/>
          <w:szCs w:val="20"/>
        </w:rPr>
        <w:t xml:space="preserve">eavy rains in Queensland’s key coal mining regions have </w:t>
      </w:r>
      <w:r>
        <w:rPr>
          <w:rFonts w:cs="Book Antiqua"/>
          <w:szCs w:val="20"/>
        </w:rPr>
        <w:t xml:space="preserve">disrupted </w:t>
      </w:r>
      <w:r w:rsidRPr="005053CD">
        <w:rPr>
          <w:rFonts w:cs="Book Antiqua"/>
          <w:szCs w:val="20"/>
        </w:rPr>
        <w:t xml:space="preserve">mine production, </w:t>
      </w:r>
      <w:r>
        <w:rPr>
          <w:rFonts w:cs="Book Antiqua"/>
          <w:szCs w:val="20"/>
        </w:rPr>
        <w:t xml:space="preserve">and forced </w:t>
      </w:r>
      <w:r w:rsidRPr="005053CD">
        <w:rPr>
          <w:rFonts w:cs="Book Antiqua"/>
          <w:szCs w:val="20"/>
        </w:rPr>
        <w:t xml:space="preserve">the closure of a major rail line </w:t>
      </w:r>
      <w:r w:rsidR="00E55B96">
        <w:rPr>
          <w:rFonts w:cs="Book Antiqua"/>
          <w:szCs w:val="20"/>
        </w:rPr>
        <w:t xml:space="preserve">that services key </w:t>
      </w:r>
      <w:r>
        <w:rPr>
          <w:rFonts w:cs="Book Antiqua"/>
          <w:szCs w:val="20"/>
        </w:rPr>
        <w:t xml:space="preserve">Queensland coal ports.  Over the forecast period, significant expansions to </w:t>
      </w:r>
      <w:r w:rsidRPr="005053CD">
        <w:rPr>
          <w:rFonts w:cs="Book Antiqua"/>
          <w:szCs w:val="20"/>
        </w:rPr>
        <w:t>mine and infrastructure capacity</w:t>
      </w:r>
      <w:r>
        <w:rPr>
          <w:rFonts w:cs="Book Antiqua"/>
          <w:szCs w:val="20"/>
        </w:rPr>
        <w:t xml:space="preserve"> are expected. In particular, t</w:t>
      </w:r>
      <w:r w:rsidRPr="005053CD">
        <w:rPr>
          <w:rFonts w:cs="Book Antiqua"/>
          <w:szCs w:val="20"/>
        </w:rPr>
        <w:t>he anticipated completion of BHP’s Rapid Growth Project</w:t>
      </w:r>
      <w:r>
        <w:rPr>
          <w:rFonts w:cs="Book Antiqua"/>
          <w:szCs w:val="20"/>
        </w:rPr>
        <w:t xml:space="preserve"> 5 </w:t>
      </w:r>
      <w:r w:rsidR="00E55B96">
        <w:rPr>
          <w:rFonts w:cs="Book Antiqua"/>
          <w:szCs w:val="20"/>
        </w:rPr>
        <w:t>in early</w:t>
      </w:r>
      <w:r w:rsidRPr="005053CD">
        <w:rPr>
          <w:rFonts w:cs="Book Antiqua"/>
          <w:szCs w:val="20"/>
        </w:rPr>
        <w:t xml:space="preserve"> 2011-12 is expected to provide a substantial boost to iron ore exports.</w:t>
      </w:r>
    </w:p>
    <w:p w:rsidR="00DE58DC" w:rsidRPr="007711BC" w:rsidRDefault="00DE58DC" w:rsidP="00380DD5">
      <w:pPr>
        <w:keepNext/>
        <w:widowControl w:val="0"/>
        <w:spacing w:after="0"/>
        <w:jc w:val="center"/>
        <w:rPr>
          <w:rFonts w:ascii="Tahoma" w:hAnsi="Tahoma" w:cs="Tahoma"/>
          <w:b/>
        </w:rPr>
      </w:pPr>
      <w:r w:rsidRPr="007711BC">
        <w:rPr>
          <w:rFonts w:ascii="Tahoma" w:hAnsi="Tahoma" w:cs="Tahoma"/>
          <w:b/>
        </w:rPr>
        <w:lastRenderedPageBreak/>
        <w:t xml:space="preserve">Chart </w:t>
      </w:r>
      <w:r>
        <w:rPr>
          <w:rFonts w:ascii="Tahoma" w:hAnsi="Tahoma" w:cs="Tahoma"/>
          <w:b/>
        </w:rPr>
        <w:t>6</w:t>
      </w:r>
      <w:r w:rsidRPr="007711BC">
        <w:rPr>
          <w:rFonts w:ascii="Tahoma" w:hAnsi="Tahoma" w:cs="Tahoma"/>
          <w:b/>
        </w:rPr>
        <w:t xml:space="preserve">: </w:t>
      </w:r>
      <w:r w:rsidR="00004D90">
        <w:rPr>
          <w:rFonts w:ascii="Tahoma" w:hAnsi="Tahoma" w:cs="Tahoma"/>
          <w:b/>
        </w:rPr>
        <w:t>Non-rural commodity exports</w:t>
      </w:r>
    </w:p>
    <w:p w:rsidR="00DE58DC" w:rsidRDefault="00112B5B" w:rsidP="00380DD5">
      <w:pPr>
        <w:keepNext/>
        <w:widowControl w:val="0"/>
        <w:spacing w:after="0" w:line="240" w:lineRule="auto"/>
        <w:jc w:val="center"/>
        <w:rPr>
          <w:rFonts w:cs="Tahoma"/>
        </w:rPr>
      </w:pPr>
      <w:r>
        <w:rPr>
          <w:rFonts w:cs="Tahoma"/>
        </w:rPr>
        <w:pict>
          <v:shape id="_x0000_i1032" type="#_x0000_t75" style="width:199.7pt;height:199.7pt">
            <v:imagedata r:id="rId25" o:title=""/>
          </v:shape>
        </w:pict>
      </w:r>
    </w:p>
    <w:p w:rsidR="00315D18" w:rsidRPr="009B0B08" w:rsidRDefault="00315D18" w:rsidP="00380DD5">
      <w:pPr>
        <w:widowControl w:val="0"/>
        <w:spacing w:line="240" w:lineRule="auto"/>
        <w:rPr>
          <w:rFonts w:cs="Tahoma"/>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sidR="00116F5A">
        <w:rPr>
          <w:rFonts w:ascii="Tahoma" w:hAnsi="Tahoma" w:cs="Tahoma"/>
          <w:sz w:val="16"/>
          <w:szCs w:val="16"/>
        </w:rPr>
        <w:t>5302.0</w:t>
      </w:r>
      <w:r>
        <w:rPr>
          <w:rFonts w:ascii="Tahoma" w:hAnsi="Tahoma" w:cs="Tahoma"/>
          <w:sz w:val="16"/>
          <w:szCs w:val="16"/>
        </w:rPr>
        <w:t xml:space="preserve"> and Treasury</w:t>
      </w:r>
      <w:r w:rsidR="00380DD5">
        <w:rPr>
          <w:rFonts w:ascii="Tahoma" w:hAnsi="Tahoma" w:cs="Tahoma"/>
          <w:sz w:val="16"/>
          <w:szCs w:val="16"/>
        </w:rPr>
        <w:t>.</w:t>
      </w:r>
    </w:p>
    <w:p w:rsidR="00F95F37" w:rsidRPr="005053CD" w:rsidRDefault="00F95F37" w:rsidP="00F95F37">
      <w:pPr>
        <w:rPr>
          <w:rFonts w:cs="Book Antiqua"/>
          <w:szCs w:val="20"/>
        </w:rPr>
      </w:pPr>
      <w:r w:rsidRPr="004E585F">
        <w:rPr>
          <w:rFonts w:cs="Book Antiqua"/>
          <w:szCs w:val="20"/>
        </w:rPr>
        <w:t>The outlook for</w:t>
      </w:r>
      <w:r>
        <w:rPr>
          <w:rFonts w:cs="Book Antiqua"/>
          <w:szCs w:val="20"/>
        </w:rPr>
        <w:t xml:space="preserve"> exports of</w:t>
      </w:r>
      <w:r w:rsidRPr="004E585F">
        <w:rPr>
          <w:rFonts w:cs="Book Antiqua"/>
          <w:b/>
          <w:szCs w:val="20"/>
        </w:rPr>
        <w:t xml:space="preserve"> </w:t>
      </w:r>
      <w:r w:rsidRPr="00191673">
        <w:rPr>
          <w:rFonts w:cs="Book Antiqua"/>
          <w:b/>
          <w:szCs w:val="20"/>
        </w:rPr>
        <w:t>elab</w:t>
      </w:r>
      <w:r>
        <w:rPr>
          <w:rFonts w:cs="Book Antiqua"/>
          <w:b/>
          <w:szCs w:val="20"/>
        </w:rPr>
        <w:t>orately transformed manufacture</w:t>
      </w:r>
      <w:r w:rsidRPr="00191673">
        <w:rPr>
          <w:rFonts w:cs="Book Antiqua"/>
          <w:b/>
          <w:szCs w:val="20"/>
        </w:rPr>
        <w:t>s</w:t>
      </w:r>
      <w:r>
        <w:rPr>
          <w:rFonts w:cs="Book Antiqua"/>
          <w:b/>
          <w:szCs w:val="20"/>
        </w:rPr>
        <w:t xml:space="preserve"> (ETMs) </w:t>
      </w:r>
      <w:r>
        <w:rPr>
          <w:rFonts w:cs="Book Antiqua"/>
          <w:szCs w:val="20"/>
        </w:rPr>
        <w:t xml:space="preserve">and </w:t>
      </w:r>
      <w:r w:rsidRPr="00392889">
        <w:rPr>
          <w:rFonts w:cs="Book Antiqua"/>
          <w:b/>
          <w:szCs w:val="20"/>
        </w:rPr>
        <w:t>services</w:t>
      </w:r>
      <w:r w:rsidRPr="005053CD">
        <w:rPr>
          <w:rFonts w:cs="Book Antiqua"/>
          <w:szCs w:val="20"/>
        </w:rPr>
        <w:t xml:space="preserve"> </w:t>
      </w:r>
      <w:r>
        <w:rPr>
          <w:rFonts w:cs="Book Antiqua"/>
          <w:szCs w:val="20"/>
        </w:rPr>
        <w:t>is weaker than at September, with volumes growth for both sectors adversely affected by the higher</w:t>
      </w:r>
      <w:r w:rsidRPr="005053CD">
        <w:rPr>
          <w:rFonts w:cs="Book Antiqua"/>
          <w:szCs w:val="20"/>
        </w:rPr>
        <w:t xml:space="preserve"> exchange rate</w:t>
      </w:r>
      <w:r>
        <w:rPr>
          <w:rFonts w:cs="Book Antiqua"/>
          <w:szCs w:val="20"/>
        </w:rPr>
        <w:t xml:space="preserve">.  </w:t>
      </w:r>
      <w:r w:rsidRPr="005053CD">
        <w:rPr>
          <w:rFonts w:cs="Book Antiqua"/>
          <w:szCs w:val="20"/>
        </w:rPr>
        <w:t>ETM</w:t>
      </w:r>
      <w:r>
        <w:rPr>
          <w:rFonts w:cs="Book Antiqua"/>
          <w:szCs w:val="20"/>
        </w:rPr>
        <w:t>s</w:t>
      </w:r>
      <w:r w:rsidRPr="005053CD">
        <w:rPr>
          <w:rFonts w:cs="Book Antiqua"/>
          <w:szCs w:val="20"/>
        </w:rPr>
        <w:t xml:space="preserve"> exports are expected to grow by 1 per cent in 2010-11 and 4 per cent in both 2011-12 and 2012-13.</w:t>
      </w:r>
      <w:r>
        <w:rPr>
          <w:rFonts w:cs="Book Antiqua"/>
          <w:szCs w:val="20"/>
        </w:rPr>
        <w:t xml:space="preserve">  For services, further declines i</w:t>
      </w:r>
      <w:r w:rsidR="009B0B08">
        <w:rPr>
          <w:rFonts w:cs="Book Antiqua"/>
          <w:szCs w:val="20"/>
        </w:rPr>
        <w:t>n student commencements forewarn</w:t>
      </w:r>
      <w:r>
        <w:rPr>
          <w:rFonts w:cs="Book Antiqua"/>
          <w:szCs w:val="20"/>
        </w:rPr>
        <w:t xml:space="preserve"> </w:t>
      </w:r>
      <w:r w:rsidR="00112D4D">
        <w:rPr>
          <w:rFonts w:cs="Book Antiqua"/>
          <w:szCs w:val="20"/>
        </w:rPr>
        <w:t xml:space="preserve">of </w:t>
      </w:r>
      <w:r w:rsidRPr="009F2B6C">
        <w:rPr>
          <w:rFonts w:cs="Book Antiqua"/>
          <w:szCs w:val="20"/>
        </w:rPr>
        <w:t xml:space="preserve">continued </w:t>
      </w:r>
      <w:r>
        <w:rPr>
          <w:rFonts w:cs="Book Antiqua"/>
          <w:szCs w:val="20"/>
        </w:rPr>
        <w:t>weakness</w:t>
      </w:r>
      <w:r w:rsidRPr="009F2B6C">
        <w:rPr>
          <w:rFonts w:cs="Book Antiqua"/>
          <w:szCs w:val="20"/>
        </w:rPr>
        <w:t xml:space="preserve"> in Australia’s education-related exports</w:t>
      </w:r>
      <w:r w:rsidRPr="00F233BD">
        <w:rPr>
          <w:rFonts w:cs="Book Antiqua"/>
          <w:szCs w:val="20"/>
        </w:rPr>
        <w:t>.  This reflects reduced demand from key markets in South Asia</w:t>
      </w:r>
      <w:r w:rsidR="009B0B08">
        <w:rPr>
          <w:rFonts w:cs="Book Antiqua"/>
          <w:szCs w:val="20"/>
        </w:rPr>
        <w:t xml:space="preserve"> </w:t>
      </w:r>
      <w:r w:rsidRPr="00F233BD">
        <w:rPr>
          <w:rFonts w:cs="Book Antiqua"/>
          <w:szCs w:val="20"/>
        </w:rPr>
        <w:t>— in addition to a higher exchange rate.  Services</w:t>
      </w:r>
      <w:r w:rsidRPr="005053CD">
        <w:rPr>
          <w:rFonts w:cs="Book Antiqua"/>
          <w:szCs w:val="20"/>
        </w:rPr>
        <w:t xml:space="preserve"> exports are </w:t>
      </w:r>
      <w:r w:rsidRPr="009F2B6C">
        <w:rPr>
          <w:rFonts w:cs="Book Antiqua"/>
          <w:szCs w:val="20"/>
        </w:rPr>
        <w:t>expected to fall by 1</w:t>
      </w:r>
      <w:r>
        <w:rPr>
          <w:rFonts w:cs="Book Antiqua"/>
          <w:szCs w:val="20"/>
        </w:rPr>
        <w:t> </w:t>
      </w:r>
      <w:r w:rsidRPr="009F2B6C">
        <w:rPr>
          <w:rFonts w:cs="Book Antiqua"/>
          <w:szCs w:val="20"/>
        </w:rPr>
        <w:t>per</w:t>
      </w:r>
      <w:r>
        <w:rPr>
          <w:rFonts w:cs="Book Antiqua"/>
          <w:szCs w:val="20"/>
        </w:rPr>
        <w:t> </w:t>
      </w:r>
      <w:r w:rsidRPr="009F2B6C">
        <w:rPr>
          <w:rFonts w:cs="Book Antiqua"/>
          <w:szCs w:val="20"/>
        </w:rPr>
        <w:t xml:space="preserve">cent in 2010-11, before growing by a weak 1½ per cent in 2011-12 and </w:t>
      </w:r>
      <w:r w:rsidR="00532E69">
        <w:rPr>
          <w:rFonts w:cs="Book Antiqua"/>
          <w:szCs w:val="20"/>
        </w:rPr>
        <w:t xml:space="preserve">½ per cent in </w:t>
      </w:r>
      <w:r w:rsidRPr="009F2B6C">
        <w:rPr>
          <w:rFonts w:cs="Book Antiqua"/>
          <w:szCs w:val="20"/>
        </w:rPr>
        <w:t>2012-13.</w:t>
      </w:r>
    </w:p>
    <w:p w:rsidR="00F95F37" w:rsidRDefault="00F95F37" w:rsidP="00F95F37">
      <w:pPr>
        <w:autoSpaceDE w:val="0"/>
        <w:autoSpaceDN w:val="0"/>
        <w:adjustRightInd w:val="0"/>
        <w:rPr>
          <w:rFonts w:cs="Book Antiqua"/>
          <w:szCs w:val="20"/>
        </w:rPr>
      </w:pPr>
      <w:r w:rsidRPr="00300145">
        <w:rPr>
          <w:rFonts w:cs="Book Antiqua"/>
          <w:b/>
          <w:szCs w:val="20"/>
        </w:rPr>
        <w:t>Import</w:t>
      </w:r>
      <w:r w:rsidRPr="005053CD">
        <w:rPr>
          <w:rFonts w:cs="Book Antiqua"/>
          <w:szCs w:val="20"/>
        </w:rPr>
        <w:t xml:space="preserve"> </w:t>
      </w:r>
      <w:r>
        <w:rPr>
          <w:rFonts w:cs="Book Antiqua"/>
          <w:szCs w:val="20"/>
        </w:rPr>
        <w:t xml:space="preserve">volumes are expected to increase </w:t>
      </w:r>
      <w:r w:rsidR="00315D18">
        <w:rPr>
          <w:rFonts w:cs="Book Antiqua"/>
          <w:szCs w:val="20"/>
        </w:rPr>
        <w:t>strongly</w:t>
      </w:r>
      <w:r>
        <w:rPr>
          <w:rFonts w:cs="Book Antiqua"/>
          <w:szCs w:val="20"/>
        </w:rPr>
        <w:t xml:space="preserve"> over the forecast period</w:t>
      </w:r>
      <w:r w:rsidR="00A03CF2">
        <w:rPr>
          <w:rFonts w:cs="Book Antiqua"/>
          <w:szCs w:val="20"/>
        </w:rPr>
        <w:t>, supported by the high exchange rate and</w:t>
      </w:r>
      <w:r>
        <w:rPr>
          <w:rFonts w:cs="Book Antiqua"/>
          <w:szCs w:val="20"/>
        </w:rPr>
        <w:t xml:space="preserve"> driven by capital equipment imports for the resources sector </w:t>
      </w:r>
      <w:r w:rsidRPr="002C7AC5">
        <w:rPr>
          <w:rFonts w:cs="Book Antiqua"/>
          <w:szCs w:val="20"/>
        </w:rPr>
        <w:t>—</w:t>
      </w:r>
      <w:r>
        <w:rPr>
          <w:rFonts w:cs="Book Antiqua"/>
          <w:szCs w:val="20"/>
        </w:rPr>
        <w:t xml:space="preserve"> particularly, for the construction of major LNG projects. With </w:t>
      </w:r>
      <w:r w:rsidR="00A03CF2">
        <w:rPr>
          <w:rFonts w:cs="Book Antiqua"/>
          <w:szCs w:val="20"/>
        </w:rPr>
        <w:t>the re</w:t>
      </w:r>
      <w:r w:rsidR="00015E50">
        <w:rPr>
          <w:rFonts w:cs="Book Antiqua"/>
          <w:szCs w:val="20"/>
        </w:rPr>
        <w:t>-</w:t>
      </w:r>
      <w:r w:rsidR="00A03CF2">
        <w:rPr>
          <w:rFonts w:cs="Book Antiqua"/>
          <w:szCs w:val="20"/>
        </w:rPr>
        <w:t>profiling of forecast investment in machinery and equipment</w:t>
      </w:r>
      <w:r>
        <w:rPr>
          <w:rFonts w:cs="Book Antiqua"/>
          <w:szCs w:val="20"/>
        </w:rPr>
        <w:t xml:space="preserve">, the forecast for import volumes has growth weaker in 2010-11 (at 7½ per cent), but stronger in 2011-12 (at 9 per cent), compared </w:t>
      </w:r>
      <w:r w:rsidR="00112D4D">
        <w:rPr>
          <w:rFonts w:cs="Book Antiqua"/>
          <w:szCs w:val="20"/>
        </w:rPr>
        <w:t>with</w:t>
      </w:r>
      <w:r>
        <w:rPr>
          <w:rFonts w:cs="Book Antiqua"/>
          <w:szCs w:val="20"/>
        </w:rPr>
        <w:t xml:space="preserve"> the September forecasts. In 2012-13, import volumes are expected to increase by 8½ per cent.</w:t>
      </w:r>
    </w:p>
    <w:p w:rsidR="00F95F37" w:rsidRPr="005053CD" w:rsidRDefault="00F95F37" w:rsidP="00F95F37">
      <w:pPr>
        <w:rPr>
          <w:rFonts w:cs="Book Antiqua"/>
          <w:szCs w:val="20"/>
        </w:rPr>
      </w:pPr>
      <w:r>
        <w:rPr>
          <w:rFonts w:cs="Book Antiqua"/>
          <w:szCs w:val="20"/>
        </w:rPr>
        <w:t xml:space="preserve">The forecast for </w:t>
      </w:r>
      <w:r w:rsidRPr="002A4B90">
        <w:rPr>
          <w:rFonts w:cs="Book Antiqua"/>
          <w:b/>
          <w:szCs w:val="20"/>
        </w:rPr>
        <w:t>terms of trade</w:t>
      </w:r>
      <w:r>
        <w:rPr>
          <w:rFonts w:cs="Book Antiqua"/>
          <w:szCs w:val="20"/>
        </w:rPr>
        <w:t xml:space="preserve"> growth is </w:t>
      </w:r>
      <w:r w:rsidR="00A03CF2">
        <w:rPr>
          <w:rFonts w:cs="Book Antiqua"/>
          <w:szCs w:val="20"/>
        </w:rPr>
        <w:t xml:space="preserve">slightly </w:t>
      </w:r>
      <w:r>
        <w:rPr>
          <w:rFonts w:cs="Book Antiqua"/>
          <w:szCs w:val="20"/>
        </w:rPr>
        <w:t xml:space="preserve">higher than at September on the back of an improved outlook for bulk commodity prices. The </w:t>
      </w:r>
      <w:r w:rsidRPr="002A4B90">
        <w:rPr>
          <w:rFonts w:cs="Book Antiqua"/>
          <w:szCs w:val="20"/>
        </w:rPr>
        <w:t>terms of trade</w:t>
      </w:r>
      <w:r>
        <w:rPr>
          <w:rFonts w:cs="Book Antiqua"/>
          <w:b/>
          <w:szCs w:val="20"/>
        </w:rPr>
        <w:t xml:space="preserve"> </w:t>
      </w:r>
      <w:r>
        <w:rPr>
          <w:rFonts w:cs="Book Antiqua"/>
          <w:szCs w:val="20"/>
        </w:rPr>
        <w:t>are expected to rise by 16</w:t>
      </w:r>
      <w:r w:rsidR="00F63B54">
        <w:rPr>
          <w:rFonts w:cs="Book Antiqua"/>
          <w:szCs w:val="20"/>
        </w:rPr>
        <w:t>¼ </w:t>
      </w:r>
      <w:r w:rsidR="00ED4858">
        <w:rPr>
          <w:rFonts w:cs="Book Antiqua"/>
          <w:szCs w:val="20"/>
        </w:rPr>
        <w:t>per cent in 2010-11, before declining</w:t>
      </w:r>
      <w:r>
        <w:rPr>
          <w:rFonts w:cs="Book Antiqua"/>
          <w:szCs w:val="20"/>
        </w:rPr>
        <w:t xml:space="preserve"> by </w:t>
      </w:r>
      <w:r>
        <w:rPr>
          <w:rFonts w:cs="Book Antiqua"/>
          <w:szCs w:val="20"/>
        </w:rPr>
        <w:lastRenderedPageBreak/>
        <w:t>½ of a percentage point in 2011-12 and 2</w:t>
      </w:r>
      <w:r w:rsidR="00ED4858">
        <w:rPr>
          <w:rFonts w:cs="Book Antiqua"/>
          <w:szCs w:val="20"/>
        </w:rPr>
        <w:t xml:space="preserve">¾ per cent in 2012-13 </w:t>
      </w:r>
      <w:r w:rsidR="00ED4858" w:rsidRPr="00ED4858">
        <w:rPr>
          <w:rFonts w:cs="Book Antiqua"/>
          <w:szCs w:val="20"/>
        </w:rPr>
        <w:t>—</w:t>
      </w:r>
      <w:r>
        <w:rPr>
          <w:rFonts w:cs="Book Antiqua"/>
          <w:szCs w:val="20"/>
        </w:rPr>
        <w:t xml:space="preserve"> as commodity prices start to come off in line with increased global supply.  The expected decline in commodity prices </w:t>
      </w:r>
      <w:r w:rsidR="00ED4858">
        <w:rPr>
          <w:rFonts w:cs="Book Antiqua"/>
          <w:szCs w:val="20"/>
        </w:rPr>
        <w:t xml:space="preserve">is </w:t>
      </w:r>
      <w:r w:rsidR="00FB09F4">
        <w:rPr>
          <w:rFonts w:cs="Book Antiqua"/>
          <w:szCs w:val="20"/>
        </w:rPr>
        <w:t xml:space="preserve">a little </w:t>
      </w:r>
      <w:r w:rsidR="00ED4858">
        <w:rPr>
          <w:rFonts w:cs="Book Antiqua"/>
          <w:szCs w:val="20"/>
        </w:rPr>
        <w:t>more muted than at September</w:t>
      </w:r>
      <w:r w:rsidR="00644EE6">
        <w:rPr>
          <w:rFonts w:cs="Book Antiqua"/>
          <w:szCs w:val="20"/>
        </w:rPr>
        <w:t xml:space="preserve">. </w:t>
      </w:r>
      <w:r w:rsidR="00ED4858">
        <w:rPr>
          <w:rFonts w:cs="Book Antiqua"/>
          <w:szCs w:val="20"/>
        </w:rPr>
        <w:t>This</w:t>
      </w:r>
      <w:r w:rsidRPr="005053CD">
        <w:rPr>
          <w:rFonts w:cs="Book Antiqua"/>
          <w:szCs w:val="20"/>
        </w:rPr>
        <w:t xml:space="preserve"> reflect</w:t>
      </w:r>
      <w:r>
        <w:rPr>
          <w:rFonts w:cs="Book Antiqua"/>
          <w:szCs w:val="20"/>
        </w:rPr>
        <w:t>s</w:t>
      </w:r>
      <w:r w:rsidRPr="005053CD">
        <w:rPr>
          <w:rFonts w:cs="Book Antiqua"/>
          <w:szCs w:val="20"/>
        </w:rPr>
        <w:t xml:space="preserve"> </w:t>
      </w:r>
      <w:r>
        <w:rPr>
          <w:rFonts w:cs="Book Antiqua"/>
          <w:szCs w:val="20"/>
        </w:rPr>
        <w:t xml:space="preserve">a </w:t>
      </w:r>
      <w:r w:rsidRPr="005053CD">
        <w:rPr>
          <w:rFonts w:cs="Book Antiqua"/>
          <w:szCs w:val="20"/>
        </w:rPr>
        <w:t>growing view amongst market analysts that much of the expected global</w:t>
      </w:r>
      <w:r>
        <w:rPr>
          <w:rFonts w:cs="Book Antiqua"/>
          <w:szCs w:val="20"/>
        </w:rPr>
        <w:t xml:space="preserve"> mine</w:t>
      </w:r>
      <w:r w:rsidRPr="005053CD">
        <w:rPr>
          <w:rFonts w:cs="Book Antiqua"/>
          <w:szCs w:val="20"/>
        </w:rPr>
        <w:t xml:space="preserve"> supply of iron ore</w:t>
      </w:r>
      <w:r>
        <w:rPr>
          <w:rFonts w:cs="Book Antiqua"/>
          <w:szCs w:val="20"/>
        </w:rPr>
        <w:t xml:space="preserve"> and co</w:t>
      </w:r>
      <w:r w:rsidRPr="009B0B08">
        <w:rPr>
          <w:rFonts w:cs="Book Antiqua"/>
          <w:szCs w:val="20"/>
        </w:rPr>
        <w:t xml:space="preserve">al is unlikely to come on line as previously scheduled, including in Australia.  </w:t>
      </w:r>
      <w:r w:rsidR="009B0B08">
        <w:rPr>
          <w:rFonts w:cs="Book Antiqua"/>
          <w:szCs w:val="20"/>
        </w:rPr>
        <w:t>Over the forecast period, continued</w:t>
      </w:r>
      <w:r w:rsidRPr="009B0B08">
        <w:rPr>
          <w:rFonts w:cs="Book Antiqua"/>
          <w:szCs w:val="20"/>
        </w:rPr>
        <w:t xml:space="preserve"> rail-related infrastructure bottlenecks in Queensland and New South Wales are expected to </w:t>
      </w:r>
      <w:r w:rsidR="009B0B08" w:rsidRPr="009B0B08">
        <w:rPr>
          <w:rFonts w:cs="Book Antiqua"/>
          <w:szCs w:val="20"/>
        </w:rPr>
        <w:t>limit the potential</w:t>
      </w:r>
      <w:r w:rsidRPr="009B0B08">
        <w:rPr>
          <w:rFonts w:cs="Book Antiqua"/>
          <w:szCs w:val="20"/>
        </w:rPr>
        <w:t xml:space="preserve"> </w:t>
      </w:r>
      <w:r w:rsidR="009B0B08" w:rsidRPr="009B0B08">
        <w:rPr>
          <w:rFonts w:cs="Book Antiqua"/>
          <w:szCs w:val="20"/>
        </w:rPr>
        <w:t xml:space="preserve">of </w:t>
      </w:r>
      <w:r w:rsidRPr="009B0B08">
        <w:rPr>
          <w:rFonts w:cs="Book Antiqua"/>
          <w:szCs w:val="20"/>
        </w:rPr>
        <w:t>coal exports whilst mine and port capacity expand</w:t>
      </w:r>
      <w:r w:rsidR="007308CA">
        <w:rPr>
          <w:rFonts w:cs="Book Antiqua"/>
          <w:szCs w:val="20"/>
        </w:rPr>
        <w:t xml:space="preserve"> </w:t>
      </w:r>
      <w:r w:rsidR="007308CA" w:rsidRPr="007308CA">
        <w:rPr>
          <w:rFonts w:cs="Book Antiqua"/>
          <w:szCs w:val="20"/>
        </w:rPr>
        <w:t>—</w:t>
      </w:r>
      <w:r w:rsidR="007308CA">
        <w:rPr>
          <w:rFonts w:cs="Book Antiqua"/>
          <w:szCs w:val="20"/>
        </w:rPr>
        <w:t xml:space="preserve"> providing support to coal prices</w:t>
      </w:r>
      <w:r w:rsidRPr="009B0B08">
        <w:rPr>
          <w:rFonts w:cs="Book Antiqua"/>
          <w:szCs w:val="20"/>
        </w:rPr>
        <w:t>.</w:t>
      </w:r>
      <w:r>
        <w:rPr>
          <w:rFonts w:cs="Book Antiqua"/>
          <w:szCs w:val="20"/>
        </w:rPr>
        <w:t xml:space="preserve">  </w:t>
      </w:r>
    </w:p>
    <w:p w:rsidR="00F95F37" w:rsidRDefault="00F95F37" w:rsidP="006204B7">
      <w:pPr>
        <w:keepNext/>
        <w:widowControl w:val="0"/>
        <w:spacing w:after="0"/>
        <w:jc w:val="center"/>
        <w:rPr>
          <w:rFonts w:ascii="Tahoma" w:hAnsi="Tahoma" w:cs="Tahoma"/>
          <w:b/>
        </w:rPr>
      </w:pPr>
      <w:r w:rsidRPr="00315D18">
        <w:rPr>
          <w:rFonts w:ascii="Tahoma" w:hAnsi="Tahoma" w:cs="Tahoma"/>
          <w:b/>
        </w:rPr>
        <w:t xml:space="preserve">Chart </w:t>
      </w:r>
      <w:r w:rsidR="00315D18">
        <w:rPr>
          <w:rFonts w:ascii="Tahoma" w:hAnsi="Tahoma" w:cs="Tahoma"/>
          <w:b/>
        </w:rPr>
        <w:t>7</w:t>
      </w:r>
      <w:r w:rsidRPr="00315D18">
        <w:rPr>
          <w:rFonts w:ascii="Tahoma" w:hAnsi="Tahoma" w:cs="Tahoma"/>
          <w:b/>
        </w:rPr>
        <w:t>: Terms of Trade</w:t>
      </w:r>
    </w:p>
    <w:p w:rsidR="00315D18" w:rsidRDefault="00112B5B" w:rsidP="006204B7">
      <w:pPr>
        <w:keepNext/>
        <w:widowControl w:val="0"/>
        <w:spacing w:after="0" w:line="240" w:lineRule="auto"/>
        <w:jc w:val="center"/>
        <w:rPr>
          <w:rFonts w:ascii="Tahoma" w:hAnsi="Tahoma" w:cs="Tahoma"/>
          <w:b/>
        </w:rPr>
      </w:pPr>
      <w:r>
        <w:rPr>
          <w:rFonts w:ascii="Tahoma" w:hAnsi="Tahoma" w:cs="Tahoma"/>
          <w:b/>
        </w:rPr>
        <w:pict>
          <v:shape id="_x0000_i1033" type="#_x0000_t75" style="width:199.7pt;height:199.7pt">
            <v:imagedata r:id="rId26" o:title=""/>
          </v:shape>
        </w:pict>
      </w:r>
    </w:p>
    <w:p w:rsidR="00315D18" w:rsidRDefault="00315D18" w:rsidP="006204B7">
      <w:pPr>
        <w:widowControl w:val="0"/>
        <w:spacing w:line="240" w:lineRule="auto"/>
        <w:rPr>
          <w:rFonts w:cs="Tahoma"/>
        </w:rPr>
      </w:pPr>
      <w:r w:rsidRPr="00FE56C9">
        <w:rPr>
          <w:rFonts w:ascii="Tahoma" w:hAnsi="Tahoma" w:cs="Tahoma"/>
          <w:sz w:val="16"/>
          <w:szCs w:val="16"/>
        </w:rPr>
        <w:t>Source:</w:t>
      </w:r>
      <w:r>
        <w:rPr>
          <w:szCs w:val="20"/>
        </w:rPr>
        <w:t xml:space="preserve">  </w:t>
      </w:r>
      <w:r w:rsidRPr="002877EB">
        <w:rPr>
          <w:rFonts w:ascii="Tahoma" w:hAnsi="Tahoma" w:cs="Tahoma"/>
          <w:sz w:val="16"/>
          <w:szCs w:val="16"/>
        </w:rPr>
        <w:t xml:space="preserve">ABS Catalogue Number </w:t>
      </w:r>
      <w:r w:rsidR="00B73974">
        <w:rPr>
          <w:rFonts w:ascii="Tahoma" w:hAnsi="Tahoma" w:cs="Tahoma"/>
          <w:sz w:val="16"/>
          <w:szCs w:val="16"/>
        </w:rPr>
        <w:t>5206</w:t>
      </w:r>
      <w:r w:rsidR="00DA447F">
        <w:rPr>
          <w:rFonts w:ascii="Tahoma" w:hAnsi="Tahoma" w:cs="Tahoma"/>
          <w:sz w:val="16"/>
          <w:szCs w:val="16"/>
        </w:rPr>
        <w:t>.0</w:t>
      </w:r>
      <w:r>
        <w:rPr>
          <w:rFonts w:ascii="Tahoma" w:hAnsi="Tahoma" w:cs="Tahoma"/>
          <w:sz w:val="16"/>
          <w:szCs w:val="16"/>
        </w:rPr>
        <w:t xml:space="preserve"> and Treasury</w:t>
      </w:r>
      <w:r w:rsidR="006204B7">
        <w:rPr>
          <w:rFonts w:ascii="Tahoma" w:hAnsi="Tahoma" w:cs="Tahoma"/>
          <w:sz w:val="16"/>
          <w:szCs w:val="16"/>
        </w:rPr>
        <w:t>.</w:t>
      </w:r>
    </w:p>
    <w:p w:rsidR="00315D18" w:rsidRPr="00315D18" w:rsidRDefault="00315D18" w:rsidP="00315D18">
      <w:pPr>
        <w:keepNext/>
        <w:spacing w:after="0" w:line="240" w:lineRule="auto"/>
        <w:jc w:val="center"/>
        <w:rPr>
          <w:rFonts w:ascii="Tahoma" w:hAnsi="Tahoma" w:cs="Tahoma"/>
          <w:b/>
        </w:rPr>
      </w:pPr>
    </w:p>
    <w:p w:rsidR="00F95F37" w:rsidRPr="005053CD" w:rsidRDefault="00F95F37" w:rsidP="00F95F37">
      <w:pPr>
        <w:rPr>
          <w:rFonts w:cs="Book Antiqua"/>
          <w:szCs w:val="20"/>
        </w:rPr>
      </w:pPr>
      <w:r w:rsidRPr="005053CD">
        <w:rPr>
          <w:rFonts w:cs="Book Antiqua"/>
          <w:szCs w:val="20"/>
        </w:rPr>
        <w:t xml:space="preserve">The </w:t>
      </w:r>
      <w:r w:rsidRPr="00CB3BF5">
        <w:rPr>
          <w:rFonts w:cs="Book Antiqua"/>
          <w:b/>
          <w:szCs w:val="20"/>
        </w:rPr>
        <w:t>current account deficit</w:t>
      </w:r>
      <w:r w:rsidRPr="005053CD">
        <w:rPr>
          <w:rFonts w:cs="Book Antiqua"/>
          <w:szCs w:val="20"/>
        </w:rPr>
        <w:t xml:space="preserve"> is expected to narrow sharply in 2010-11 to 2 per cent of GDP — with the trade balance moving into surplus, partly offset by a wider net income deficit.  </w:t>
      </w:r>
      <w:r>
        <w:rPr>
          <w:rFonts w:cs="Book Antiqua"/>
          <w:szCs w:val="20"/>
        </w:rPr>
        <w:t>Thereafter, t</w:t>
      </w:r>
      <w:r w:rsidRPr="005053CD">
        <w:rPr>
          <w:rFonts w:cs="Book Antiqua"/>
          <w:szCs w:val="20"/>
        </w:rPr>
        <w:t xml:space="preserve">he current account deficit is expected to widen to 3½ per </w:t>
      </w:r>
      <w:r w:rsidR="00E13C81">
        <w:rPr>
          <w:rFonts w:cs="Book Antiqua"/>
          <w:szCs w:val="20"/>
        </w:rPr>
        <w:t>cent of GDP in 2011-12 and to 5</w:t>
      </w:r>
      <w:r w:rsidR="00672FBB">
        <w:rPr>
          <w:rFonts w:cs="Book Antiqua"/>
          <w:szCs w:val="20"/>
        </w:rPr>
        <w:t>¼ </w:t>
      </w:r>
      <w:r w:rsidRPr="005053CD">
        <w:rPr>
          <w:rFonts w:cs="Book Antiqua"/>
          <w:szCs w:val="20"/>
        </w:rPr>
        <w:t xml:space="preserve">per cent of GDP in 2012-13, reflecting a decline in the trade surplus and a </w:t>
      </w:r>
      <w:r>
        <w:rPr>
          <w:rFonts w:cs="Book Antiqua"/>
          <w:szCs w:val="20"/>
        </w:rPr>
        <w:t>wider net income deficit.</w:t>
      </w:r>
    </w:p>
    <w:p w:rsidR="00F95F37" w:rsidRPr="005053CD" w:rsidRDefault="00F95F37" w:rsidP="00F95F37">
      <w:pPr>
        <w:rPr>
          <w:rFonts w:cs="Book Antiqua"/>
          <w:szCs w:val="20"/>
        </w:rPr>
      </w:pPr>
      <w:r w:rsidRPr="005053CD">
        <w:rPr>
          <w:rFonts w:cs="Book Antiqua"/>
          <w:szCs w:val="20"/>
        </w:rPr>
        <w:t xml:space="preserve">The </w:t>
      </w:r>
      <w:r w:rsidRPr="00CB3BF5">
        <w:rPr>
          <w:rFonts w:cs="Book Antiqua"/>
          <w:b/>
          <w:szCs w:val="20"/>
        </w:rPr>
        <w:t>trade balance</w:t>
      </w:r>
      <w:r w:rsidRPr="005053CD">
        <w:rPr>
          <w:rFonts w:cs="Book Antiqua"/>
          <w:szCs w:val="20"/>
        </w:rPr>
        <w:t xml:space="preserve"> is expected to </w:t>
      </w:r>
      <w:r w:rsidR="00A03CF2">
        <w:rPr>
          <w:rFonts w:cs="Book Antiqua"/>
          <w:szCs w:val="20"/>
        </w:rPr>
        <w:t>reach a</w:t>
      </w:r>
      <w:r w:rsidRPr="005053CD">
        <w:rPr>
          <w:rFonts w:cs="Book Antiqua"/>
          <w:szCs w:val="20"/>
        </w:rPr>
        <w:t xml:space="preserve"> surplus</w:t>
      </w:r>
      <w:r w:rsidR="00A03CF2">
        <w:rPr>
          <w:rFonts w:cs="Book Antiqua"/>
          <w:szCs w:val="20"/>
        </w:rPr>
        <w:t xml:space="preserve"> of</w:t>
      </w:r>
      <w:r w:rsidRPr="005053CD">
        <w:rPr>
          <w:rFonts w:cs="Book Antiqua"/>
          <w:szCs w:val="20"/>
        </w:rPr>
        <w:t xml:space="preserve"> 2½ per cent of GDP</w:t>
      </w:r>
      <w:r w:rsidR="00A03CF2" w:rsidRPr="00A03CF2">
        <w:rPr>
          <w:rFonts w:cs="Book Antiqua"/>
          <w:szCs w:val="20"/>
        </w:rPr>
        <w:t xml:space="preserve"> </w:t>
      </w:r>
      <w:r w:rsidR="00A03CF2" w:rsidRPr="005053CD">
        <w:rPr>
          <w:rFonts w:cs="Book Antiqua"/>
          <w:szCs w:val="20"/>
        </w:rPr>
        <w:t>in 2010-11</w:t>
      </w:r>
      <w:r w:rsidRPr="005053CD">
        <w:rPr>
          <w:rFonts w:cs="Book Antiqua"/>
          <w:szCs w:val="20"/>
        </w:rPr>
        <w:t>, driven by increased prices for non-rural commodity exports.  Thi</w:t>
      </w:r>
      <w:r>
        <w:rPr>
          <w:rFonts w:cs="Book Antiqua"/>
          <w:szCs w:val="20"/>
        </w:rPr>
        <w:t>s is higher than at September, </w:t>
      </w:r>
      <w:r w:rsidRPr="005053CD">
        <w:rPr>
          <w:rFonts w:cs="Book Antiqua"/>
          <w:szCs w:val="20"/>
        </w:rPr>
        <w:t>largely reflecting lower</w:t>
      </w:r>
      <w:r>
        <w:rPr>
          <w:rFonts w:cs="Book Antiqua"/>
          <w:szCs w:val="20"/>
        </w:rPr>
        <w:t xml:space="preserve"> capital</w:t>
      </w:r>
      <w:r w:rsidRPr="005053CD">
        <w:rPr>
          <w:rFonts w:cs="Book Antiqua"/>
          <w:szCs w:val="20"/>
        </w:rPr>
        <w:t xml:space="preserve"> import volum</w:t>
      </w:r>
      <w:r>
        <w:rPr>
          <w:rFonts w:cs="Book Antiqua"/>
          <w:szCs w:val="20"/>
        </w:rPr>
        <w:t xml:space="preserve">es related to the </w:t>
      </w:r>
      <w:r w:rsidRPr="005053CD">
        <w:rPr>
          <w:rFonts w:cs="Book Antiqua"/>
          <w:szCs w:val="20"/>
        </w:rPr>
        <w:t xml:space="preserve">resources sector.  The trade </w:t>
      </w:r>
      <w:r w:rsidR="00A03CF2">
        <w:rPr>
          <w:rFonts w:cs="Book Antiqua"/>
          <w:szCs w:val="20"/>
        </w:rPr>
        <w:t>surplus</w:t>
      </w:r>
      <w:r w:rsidR="00E13C81">
        <w:rPr>
          <w:rFonts w:cs="Book Antiqua"/>
          <w:szCs w:val="20"/>
        </w:rPr>
        <w:t xml:space="preserve"> is expected to decline to 1½ </w:t>
      </w:r>
      <w:r w:rsidRPr="005053CD">
        <w:rPr>
          <w:rFonts w:cs="Book Antiqua"/>
          <w:szCs w:val="20"/>
        </w:rPr>
        <w:t xml:space="preserve">per cent of GDP in 2011-12 </w:t>
      </w:r>
      <w:r w:rsidR="00A03CF2">
        <w:rPr>
          <w:rFonts w:cs="Book Antiqua"/>
          <w:szCs w:val="20"/>
        </w:rPr>
        <w:t xml:space="preserve">before reaching </w:t>
      </w:r>
      <w:r w:rsidR="00E13C81">
        <w:rPr>
          <w:rFonts w:cs="Book Antiqua"/>
          <w:szCs w:val="20"/>
        </w:rPr>
        <w:t>balance</w:t>
      </w:r>
      <w:r w:rsidRPr="005053CD">
        <w:rPr>
          <w:rFonts w:cs="Book Antiqua"/>
          <w:szCs w:val="20"/>
        </w:rPr>
        <w:t xml:space="preserve"> in 2012-13 – with </w:t>
      </w:r>
      <w:r w:rsidRPr="005053CD">
        <w:rPr>
          <w:rFonts w:cs="Book Antiqua"/>
          <w:szCs w:val="20"/>
        </w:rPr>
        <w:lastRenderedPageBreak/>
        <w:t>prices for non</w:t>
      </w:r>
      <w:r w:rsidRPr="005053CD">
        <w:rPr>
          <w:rFonts w:cs="Book Antiqua"/>
          <w:szCs w:val="20"/>
        </w:rPr>
        <w:noBreakHyphen/>
        <w:t xml:space="preserve">rural commodities declining slightly, and import volumes continuing to increase </w:t>
      </w:r>
      <w:r>
        <w:rPr>
          <w:rFonts w:cs="Book Antiqua"/>
          <w:szCs w:val="20"/>
        </w:rPr>
        <w:t xml:space="preserve">at a </w:t>
      </w:r>
      <w:r w:rsidR="00532E69">
        <w:rPr>
          <w:rFonts w:cs="Book Antiqua"/>
          <w:szCs w:val="20"/>
        </w:rPr>
        <w:t>strong</w:t>
      </w:r>
      <w:r>
        <w:rPr>
          <w:rFonts w:cs="Book Antiqua"/>
          <w:szCs w:val="20"/>
        </w:rPr>
        <w:t xml:space="preserve"> pace</w:t>
      </w:r>
      <w:r w:rsidRPr="005053CD">
        <w:rPr>
          <w:rFonts w:cs="Book Antiqua"/>
          <w:szCs w:val="20"/>
        </w:rPr>
        <w:t>.</w:t>
      </w:r>
    </w:p>
    <w:p w:rsidR="00F95F37" w:rsidRPr="005053CD" w:rsidRDefault="00F95F37" w:rsidP="00F95F37">
      <w:pPr>
        <w:rPr>
          <w:rFonts w:cs="Book Antiqua"/>
          <w:szCs w:val="20"/>
        </w:rPr>
      </w:pPr>
      <w:r w:rsidRPr="005053CD">
        <w:rPr>
          <w:rFonts w:cs="Book Antiqua"/>
          <w:szCs w:val="20"/>
        </w:rPr>
        <w:t xml:space="preserve">The </w:t>
      </w:r>
      <w:r w:rsidRPr="00CB3BF5">
        <w:rPr>
          <w:rFonts w:cs="Book Antiqua"/>
          <w:b/>
          <w:szCs w:val="20"/>
        </w:rPr>
        <w:t>net income</w:t>
      </w:r>
      <w:r w:rsidRPr="005053CD">
        <w:rPr>
          <w:rFonts w:cs="Book Antiqua"/>
          <w:szCs w:val="20"/>
        </w:rPr>
        <w:t xml:space="preserve"> deficit is expected to widen in 2010-11 and 2011-12, as was the case at September, with a considerable proportion of the increased income from non-rural commodity exports flowing to foreign investors.  The net income deficit is expected to </w:t>
      </w:r>
      <w:r>
        <w:rPr>
          <w:rFonts w:cs="Book Antiqua"/>
          <w:szCs w:val="20"/>
        </w:rPr>
        <w:t>widen to</w:t>
      </w:r>
      <w:r w:rsidRPr="005053CD">
        <w:rPr>
          <w:rFonts w:cs="Book Antiqua"/>
          <w:szCs w:val="20"/>
        </w:rPr>
        <w:t xml:space="preserve"> </w:t>
      </w:r>
      <w:r w:rsidR="00532E69">
        <w:rPr>
          <w:rFonts w:cs="Book Antiqua"/>
          <w:szCs w:val="20"/>
        </w:rPr>
        <w:t>4</w:t>
      </w:r>
      <w:r w:rsidR="00ED4858">
        <w:rPr>
          <w:rFonts w:cs="Book Antiqua"/>
          <w:szCs w:val="20"/>
        </w:rPr>
        <w:t>¼ </w:t>
      </w:r>
      <w:r w:rsidRPr="005053CD">
        <w:rPr>
          <w:rFonts w:cs="Book Antiqua"/>
          <w:szCs w:val="20"/>
        </w:rPr>
        <w:t>per </w:t>
      </w:r>
      <w:r>
        <w:rPr>
          <w:rFonts w:cs="Book Antiqua"/>
          <w:szCs w:val="20"/>
        </w:rPr>
        <w:t>cent of GDP in 2010-11 and</w:t>
      </w:r>
      <w:r w:rsidR="00BD52EE">
        <w:rPr>
          <w:rFonts w:cs="Book Antiqua"/>
          <w:szCs w:val="20"/>
        </w:rPr>
        <w:t xml:space="preserve"> to 5</w:t>
      </w:r>
      <w:r w:rsidRPr="005053CD">
        <w:rPr>
          <w:rFonts w:cs="Book Antiqua"/>
          <w:szCs w:val="20"/>
        </w:rPr>
        <w:t xml:space="preserve"> per cent of GDP in 2011-12</w:t>
      </w:r>
      <w:r w:rsidR="00ED4858">
        <w:rPr>
          <w:rFonts w:cs="Book Antiqua"/>
          <w:szCs w:val="20"/>
        </w:rPr>
        <w:t>,</w:t>
      </w:r>
      <w:r w:rsidR="00892D54">
        <w:rPr>
          <w:rFonts w:cs="Book Antiqua"/>
          <w:szCs w:val="20"/>
        </w:rPr>
        <w:t xml:space="preserve"> and 2012-13</w:t>
      </w:r>
      <w:r w:rsidRPr="005053CD">
        <w:rPr>
          <w:rFonts w:cs="Book Antiqua"/>
          <w:szCs w:val="20"/>
        </w:rPr>
        <w:t xml:space="preserve">.  </w:t>
      </w:r>
    </w:p>
    <w:p w:rsidR="00F95F37" w:rsidRDefault="00F95F37" w:rsidP="00090E63">
      <w:pPr>
        <w:rPr>
          <w:rFonts w:cs="Book Antiqua"/>
          <w:b/>
          <w:szCs w:val="20"/>
        </w:rPr>
      </w:pPr>
    </w:p>
    <w:p w:rsidR="005B389D" w:rsidRDefault="005B389D" w:rsidP="009D7882">
      <w:pPr>
        <w:pStyle w:val="Heading4"/>
        <w:keepNext w:val="0"/>
        <w:spacing w:before="0"/>
      </w:pPr>
      <w:bookmarkStart w:id="40" w:name="_Toc280363579"/>
      <w:r w:rsidRPr="00B0461A">
        <w:t>Employment, wages and inflation</w:t>
      </w:r>
      <w:bookmarkEnd w:id="40"/>
    </w:p>
    <w:bookmarkEnd w:id="26"/>
    <w:bookmarkEnd w:id="36"/>
    <w:bookmarkEnd w:id="37"/>
    <w:p w:rsidR="00535CED" w:rsidRPr="00DC3300" w:rsidRDefault="00535CED" w:rsidP="00535CED">
      <w:pPr>
        <w:shd w:val="clear" w:color="auto" w:fill="FFFFFF"/>
        <w:rPr>
          <w:szCs w:val="20"/>
        </w:rPr>
      </w:pPr>
      <w:r w:rsidRPr="00DC3300">
        <w:rPr>
          <w:szCs w:val="20"/>
        </w:rPr>
        <w:t xml:space="preserve">Forecasts for </w:t>
      </w:r>
      <w:r w:rsidRPr="00DC3300">
        <w:rPr>
          <w:b/>
          <w:szCs w:val="20"/>
        </w:rPr>
        <w:t>employment growth</w:t>
      </w:r>
      <w:r w:rsidRPr="00DC3300">
        <w:rPr>
          <w:szCs w:val="20"/>
        </w:rPr>
        <w:t xml:space="preserve"> are largely unchanged since the September round. While the </w:t>
      </w:r>
      <w:r w:rsidR="00FB09F4">
        <w:rPr>
          <w:szCs w:val="20"/>
        </w:rPr>
        <w:t>outcome</w:t>
      </w:r>
      <w:r w:rsidR="00996304">
        <w:rPr>
          <w:szCs w:val="20"/>
        </w:rPr>
        <w:t>s to date in</w:t>
      </w:r>
      <w:r w:rsidRPr="00DC3300">
        <w:rPr>
          <w:szCs w:val="20"/>
        </w:rPr>
        <w:t xml:space="preserve"> the December quarter 2010 </w:t>
      </w:r>
      <w:r w:rsidR="00996304">
        <w:rPr>
          <w:szCs w:val="20"/>
        </w:rPr>
        <w:t>have been strong</w:t>
      </w:r>
      <w:r>
        <w:rPr>
          <w:szCs w:val="20"/>
        </w:rPr>
        <w:t xml:space="preserve">, this has been </w:t>
      </w:r>
      <w:r w:rsidRPr="00DC3300">
        <w:rPr>
          <w:szCs w:val="20"/>
        </w:rPr>
        <w:t xml:space="preserve">offset by a weaker outlook </w:t>
      </w:r>
      <w:r>
        <w:rPr>
          <w:szCs w:val="20"/>
        </w:rPr>
        <w:t xml:space="preserve">over the remainder </w:t>
      </w:r>
      <w:r w:rsidRPr="00DC3300">
        <w:rPr>
          <w:szCs w:val="20"/>
        </w:rPr>
        <w:t>of the forecast horizon</w:t>
      </w:r>
      <w:r>
        <w:rPr>
          <w:szCs w:val="20"/>
        </w:rPr>
        <w:t xml:space="preserve"> </w:t>
      </w:r>
      <w:r w:rsidRPr="00DC3300">
        <w:rPr>
          <w:szCs w:val="20"/>
        </w:rPr>
        <w:t>in lin</w:t>
      </w:r>
      <w:r w:rsidR="007559C2">
        <w:rPr>
          <w:szCs w:val="20"/>
        </w:rPr>
        <w:t>e with the downgrade to</w:t>
      </w:r>
      <w:r w:rsidRPr="00DC3300">
        <w:rPr>
          <w:szCs w:val="20"/>
        </w:rPr>
        <w:t xml:space="preserve"> GDP growth.  The labour market is now expected to approach capacity </w:t>
      </w:r>
      <w:r>
        <w:rPr>
          <w:szCs w:val="20"/>
        </w:rPr>
        <w:t>during 2</w:t>
      </w:r>
      <w:r w:rsidRPr="00DC3300">
        <w:rPr>
          <w:szCs w:val="20"/>
        </w:rPr>
        <w:t>011-1</w:t>
      </w:r>
      <w:r w:rsidRPr="00374FE4">
        <w:rPr>
          <w:color w:val="000000"/>
          <w:szCs w:val="20"/>
        </w:rPr>
        <w:t xml:space="preserve">2, with the unemployment rate expected to be 5 per cent in the June quarter 2011 and 4¾ per cent in the June quarters of 2012 and 2013. The forecasts for the unemployment rate are slightly higher </w:t>
      </w:r>
      <w:r w:rsidRPr="00DC3300">
        <w:rPr>
          <w:szCs w:val="20"/>
        </w:rPr>
        <w:t>than at Septembe</w:t>
      </w:r>
      <w:r w:rsidRPr="00C56322">
        <w:rPr>
          <w:szCs w:val="20"/>
        </w:rPr>
        <w:t xml:space="preserve">r, largely reflecting </w:t>
      </w:r>
      <w:r w:rsidR="007945AF" w:rsidRPr="00C56322">
        <w:rPr>
          <w:szCs w:val="20"/>
        </w:rPr>
        <w:t>a higher participation rate throughout the forecast period (</w:t>
      </w:r>
      <w:r w:rsidR="00FB09F4">
        <w:rPr>
          <w:szCs w:val="20"/>
        </w:rPr>
        <w:t>C</w:t>
      </w:r>
      <w:r w:rsidR="007945AF" w:rsidRPr="00C56322">
        <w:rPr>
          <w:szCs w:val="20"/>
        </w:rPr>
        <w:t>hart 8)</w:t>
      </w:r>
      <w:r w:rsidRPr="00C56322">
        <w:rPr>
          <w:szCs w:val="20"/>
        </w:rPr>
        <w:t>.</w:t>
      </w:r>
    </w:p>
    <w:p w:rsidR="00535CED" w:rsidRPr="00DC3300" w:rsidRDefault="00535CED" w:rsidP="00535CED">
      <w:pPr>
        <w:shd w:val="clear" w:color="auto" w:fill="FFFFFF"/>
        <w:rPr>
          <w:szCs w:val="20"/>
        </w:rPr>
      </w:pPr>
      <w:r w:rsidRPr="00DC3300">
        <w:rPr>
          <w:b/>
          <w:szCs w:val="20"/>
        </w:rPr>
        <w:t>Employment growth</w:t>
      </w:r>
      <w:r w:rsidR="007830E5">
        <w:rPr>
          <w:szCs w:val="20"/>
        </w:rPr>
        <w:t xml:space="preserve"> is forecast to be 2¾ </w:t>
      </w:r>
      <w:r w:rsidRPr="00DC3300">
        <w:rPr>
          <w:szCs w:val="20"/>
        </w:rPr>
        <w:t xml:space="preserve">per cent through the year </w:t>
      </w:r>
      <w:r w:rsidR="00BC2D22">
        <w:rPr>
          <w:szCs w:val="20"/>
        </w:rPr>
        <w:t>to the June quarter of 2011,</w:t>
      </w:r>
      <w:r w:rsidRPr="00DC3300">
        <w:rPr>
          <w:szCs w:val="20"/>
        </w:rPr>
        <w:t xml:space="preserve"> 2 per cent to the June quarter of 2012</w:t>
      </w:r>
      <w:r w:rsidR="00112D4D">
        <w:rPr>
          <w:szCs w:val="20"/>
        </w:rPr>
        <w:t>, and 1</w:t>
      </w:r>
      <w:r w:rsidR="00BC2D22">
        <w:rPr>
          <w:szCs w:val="20"/>
        </w:rPr>
        <w:t>½ per cent to the June quarter of 2013</w:t>
      </w:r>
      <w:r w:rsidRPr="00DC3300">
        <w:rPr>
          <w:szCs w:val="20"/>
        </w:rPr>
        <w:t xml:space="preserve">. </w:t>
      </w:r>
    </w:p>
    <w:p w:rsidR="00535CED" w:rsidRPr="00DC3300" w:rsidRDefault="00535CED" w:rsidP="00535CED">
      <w:pPr>
        <w:shd w:val="clear" w:color="auto" w:fill="FFFFFF"/>
        <w:rPr>
          <w:szCs w:val="20"/>
        </w:rPr>
      </w:pPr>
      <w:r w:rsidRPr="00DC3300">
        <w:rPr>
          <w:szCs w:val="20"/>
        </w:rPr>
        <w:t xml:space="preserve">The </w:t>
      </w:r>
      <w:r w:rsidRPr="00DC3300">
        <w:rPr>
          <w:b/>
          <w:szCs w:val="20"/>
        </w:rPr>
        <w:t>participation rate</w:t>
      </w:r>
      <w:r w:rsidRPr="00DC3300">
        <w:rPr>
          <w:szCs w:val="20"/>
        </w:rPr>
        <w:t xml:space="preserve"> is forecast to </w:t>
      </w:r>
      <w:r>
        <w:rPr>
          <w:szCs w:val="20"/>
        </w:rPr>
        <w:t xml:space="preserve">be </w:t>
      </w:r>
      <w:r w:rsidRPr="00DC3300">
        <w:rPr>
          <w:szCs w:val="20"/>
        </w:rPr>
        <w:t>6</w:t>
      </w:r>
      <w:r w:rsidR="004664F1">
        <w:rPr>
          <w:szCs w:val="20"/>
        </w:rPr>
        <w:t>6</w:t>
      </w:r>
      <w:r w:rsidRPr="00DC3300">
        <w:rPr>
          <w:szCs w:val="20"/>
        </w:rPr>
        <w:t xml:space="preserve"> per cent </w:t>
      </w:r>
      <w:r>
        <w:rPr>
          <w:szCs w:val="20"/>
        </w:rPr>
        <w:t>at</w:t>
      </w:r>
      <w:r w:rsidRPr="00DC3300">
        <w:rPr>
          <w:szCs w:val="20"/>
        </w:rPr>
        <w:t xml:space="preserve"> the end of the forecast period. The upgrade in the participation rate reflects </w:t>
      </w:r>
      <w:r>
        <w:rPr>
          <w:szCs w:val="20"/>
        </w:rPr>
        <w:t xml:space="preserve">the </w:t>
      </w:r>
      <w:r w:rsidRPr="00DC3300">
        <w:rPr>
          <w:szCs w:val="20"/>
        </w:rPr>
        <w:t>unexpected</w:t>
      </w:r>
      <w:r>
        <w:rPr>
          <w:szCs w:val="20"/>
        </w:rPr>
        <w:t>ly strong outcomes of recent months</w:t>
      </w:r>
      <w:r w:rsidR="004664F1">
        <w:rPr>
          <w:szCs w:val="20"/>
        </w:rPr>
        <w:t xml:space="preserve"> and the ongoing trend of increasing participation by </w:t>
      </w:r>
      <w:r w:rsidR="007559C2">
        <w:rPr>
          <w:szCs w:val="20"/>
        </w:rPr>
        <w:t>people 55 and over</w:t>
      </w:r>
      <w:r w:rsidRPr="00DC3300">
        <w:rPr>
          <w:szCs w:val="20"/>
        </w:rPr>
        <w:t>.</w:t>
      </w:r>
    </w:p>
    <w:p w:rsidR="00535CED" w:rsidRPr="007945AF" w:rsidRDefault="00535CED" w:rsidP="007945AF">
      <w:pPr>
        <w:keepNext/>
        <w:spacing w:after="0"/>
        <w:jc w:val="center"/>
        <w:rPr>
          <w:rFonts w:ascii="Tahoma" w:hAnsi="Tahoma" w:cs="Tahoma"/>
          <w:b/>
        </w:rPr>
      </w:pPr>
      <w:r w:rsidRPr="007945AF">
        <w:rPr>
          <w:rFonts w:ascii="Tahoma" w:hAnsi="Tahoma" w:cs="Tahoma"/>
          <w:b/>
        </w:rPr>
        <w:lastRenderedPageBreak/>
        <w:t xml:space="preserve">Chart </w:t>
      </w:r>
      <w:r w:rsidR="007945AF">
        <w:rPr>
          <w:rFonts w:ascii="Tahoma" w:hAnsi="Tahoma" w:cs="Tahoma"/>
          <w:b/>
        </w:rPr>
        <w:t>8</w:t>
      </w:r>
      <w:r w:rsidRPr="007945AF">
        <w:rPr>
          <w:rFonts w:ascii="Tahoma" w:hAnsi="Tahoma" w:cs="Tahoma"/>
          <w:b/>
        </w:rPr>
        <w:t>: Unemploymen</w:t>
      </w:r>
      <w:r w:rsidR="007945AF">
        <w:rPr>
          <w:rFonts w:ascii="Tahoma" w:hAnsi="Tahoma" w:cs="Tahoma"/>
          <w:b/>
        </w:rPr>
        <w:t>t and Participation Rates</w:t>
      </w:r>
    </w:p>
    <w:p w:rsidR="00535CED" w:rsidRPr="00DC3300" w:rsidRDefault="00112B5B" w:rsidP="00535CED">
      <w:pPr>
        <w:pStyle w:val="ChartGraphic0"/>
        <w:rPr>
          <w:rFonts w:ascii="Book Antiqua" w:hAnsi="Book Antiqua"/>
        </w:rPr>
      </w:pPr>
      <w:r>
        <w:rPr>
          <w:rFonts w:ascii="Book Antiqua" w:hAnsi="Book Antiqua"/>
        </w:rPr>
        <w:pict>
          <v:shape id="_x0000_i1034" type="#_x0000_t75" style="width:198.45pt;height:198.45pt">
            <v:imagedata r:id="rId27" o:title=""/>
          </v:shape>
        </w:pict>
      </w:r>
    </w:p>
    <w:p w:rsidR="00535CED" w:rsidRPr="005F7DAE" w:rsidRDefault="00535CED" w:rsidP="005F7DAE">
      <w:pPr>
        <w:spacing w:line="240" w:lineRule="auto"/>
        <w:rPr>
          <w:rFonts w:ascii="Tahoma" w:hAnsi="Tahoma" w:cs="Tahoma"/>
          <w:sz w:val="16"/>
          <w:szCs w:val="16"/>
        </w:rPr>
      </w:pPr>
      <w:r w:rsidRPr="007945AF">
        <w:rPr>
          <w:rFonts w:ascii="Tahoma" w:hAnsi="Tahoma" w:cs="Tahoma"/>
          <w:sz w:val="16"/>
          <w:szCs w:val="16"/>
        </w:rPr>
        <w:t>Source: ABS Catalogue Number 6202.0 and Treasury.</w:t>
      </w:r>
    </w:p>
    <w:p w:rsidR="00535CED" w:rsidRDefault="00535CED" w:rsidP="00535CED">
      <w:pPr>
        <w:rPr>
          <w:szCs w:val="20"/>
        </w:rPr>
      </w:pPr>
      <w:r>
        <w:rPr>
          <w:szCs w:val="20"/>
        </w:rPr>
        <w:t xml:space="preserve">Forecasts for wages are broadly unchanged since the September round. Following </w:t>
      </w:r>
      <w:r w:rsidRPr="00A352CC">
        <w:rPr>
          <w:szCs w:val="20"/>
        </w:rPr>
        <w:t>a stronger-than-expected outcome for the September quarter</w:t>
      </w:r>
      <w:r>
        <w:rPr>
          <w:szCs w:val="20"/>
        </w:rPr>
        <w:t>, wa</w:t>
      </w:r>
      <w:r w:rsidRPr="00A352CC">
        <w:rPr>
          <w:szCs w:val="20"/>
        </w:rPr>
        <w:t xml:space="preserve">ges have recovered </w:t>
      </w:r>
      <w:r>
        <w:rPr>
          <w:szCs w:val="20"/>
        </w:rPr>
        <w:t xml:space="preserve">during 2010 </w:t>
      </w:r>
      <w:r w:rsidR="00FB09F4">
        <w:rPr>
          <w:szCs w:val="20"/>
        </w:rPr>
        <w:t xml:space="preserve">to </w:t>
      </w:r>
      <w:r>
        <w:rPr>
          <w:szCs w:val="20"/>
        </w:rPr>
        <w:t xml:space="preserve">close </w:t>
      </w:r>
      <w:r w:rsidRPr="00A352CC">
        <w:rPr>
          <w:szCs w:val="20"/>
        </w:rPr>
        <w:t>to trend growth rates</w:t>
      </w:r>
      <w:r>
        <w:rPr>
          <w:szCs w:val="20"/>
        </w:rPr>
        <w:t>.</w:t>
      </w:r>
    </w:p>
    <w:p w:rsidR="00535CED" w:rsidRPr="00715628" w:rsidRDefault="00535CED" w:rsidP="00715628">
      <w:pPr>
        <w:keepNext/>
        <w:spacing w:after="0"/>
        <w:jc w:val="center"/>
        <w:rPr>
          <w:rFonts w:ascii="Tahoma" w:hAnsi="Tahoma" w:cs="Tahoma"/>
          <w:b/>
        </w:rPr>
      </w:pPr>
      <w:r w:rsidRPr="00715628">
        <w:rPr>
          <w:rFonts w:ascii="Tahoma" w:hAnsi="Tahoma" w:cs="Tahoma"/>
          <w:b/>
        </w:rPr>
        <w:t xml:space="preserve">Chart </w:t>
      </w:r>
      <w:r w:rsidR="007945AF" w:rsidRPr="00715628">
        <w:rPr>
          <w:rFonts w:ascii="Tahoma" w:hAnsi="Tahoma" w:cs="Tahoma"/>
          <w:b/>
        </w:rPr>
        <w:t>9</w:t>
      </w:r>
      <w:r w:rsidRPr="00715628">
        <w:rPr>
          <w:rFonts w:ascii="Tahoma" w:hAnsi="Tahoma" w:cs="Tahoma"/>
          <w:b/>
        </w:rPr>
        <w:t>: Wage Price Index growth</w:t>
      </w:r>
    </w:p>
    <w:p w:rsidR="00C61FA2" w:rsidRDefault="00112B5B" w:rsidP="00CB6C49">
      <w:pPr>
        <w:spacing w:after="0" w:line="240" w:lineRule="auto"/>
        <w:jc w:val="center"/>
        <w:rPr>
          <w:b/>
          <w:szCs w:val="20"/>
        </w:rPr>
      </w:pPr>
      <w:r>
        <w:rPr>
          <w:b/>
          <w:szCs w:val="20"/>
        </w:rPr>
        <w:pict>
          <v:shape id="_x0000_i1035" type="#_x0000_t75" style="width:199.7pt;height:199.7pt">
            <v:imagedata r:id="rId28" o:title=""/>
          </v:shape>
        </w:pict>
      </w:r>
    </w:p>
    <w:p w:rsidR="00535CED" w:rsidRPr="005F7DAE" w:rsidRDefault="00535CED" w:rsidP="005F7DAE">
      <w:pPr>
        <w:spacing w:line="240" w:lineRule="auto"/>
        <w:rPr>
          <w:b/>
          <w:szCs w:val="20"/>
        </w:rPr>
      </w:pPr>
      <w:r w:rsidRPr="00515E7C">
        <w:rPr>
          <w:rFonts w:ascii="Tahoma" w:hAnsi="Tahoma" w:cs="Tahoma"/>
          <w:sz w:val="16"/>
          <w:szCs w:val="16"/>
        </w:rPr>
        <w:t>So</w:t>
      </w:r>
      <w:r>
        <w:rPr>
          <w:rFonts w:ascii="Tahoma" w:hAnsi="Tahoma" w:cs="Tahoma"/>
          <w:sz w:val="16"/>
          <w:szCs w:val="16"/>
        </w:rPr>
        <w:t>urce: ABS Catalogue Number 6345.0 and Treasury.</w:t>
      </w:r>
    </w:p>
    <w:p w:rsidR="00715628" w:rsidRDefault="00715628" w:rsidP="00715628">
      <w:pPr>
        <w:rPr>
          <w:szCs w:val="20"/>
        </w:rPr>
      </w:pPr>
      <w:r w:rsidRPr="00A352CC">
        <w:rPr>
          <w:szCs w:val="20"/>
        </w:rPr>
        <w:t xml:space="preserve">The </w:t>
      </w:r>
      <w:r w:rsidRPr="00A352CC">
        <w:rPr>
          <w:b/>
          <w:szCs w:val="20"/>
        </w:rPr>
        <w:t>Wage Price Index</w:t>
      </w:r>
      <w:r>
        <w:rPr>
          <w:szCs w:val="20"/>
        </w:rPr>
        <w:t xml:space="preserve"> is expected to grow by 3</w:t>
      </w:r>
      <w:r w:rsidRPr="00A352CC">
        <w:rPr>
          <w:szCs w:val="20"/>
        </w:rPr>
        <w:t xml:space="preserve">¾ per cent through the year to the June quarter of 2011, and </w:t>
      </w:r>
      <w:r>
        <w:rPr>
          <w:szCs w:val="20"/>
        </w:rPr>
        <w:t>4</w:t>
      </w:r>
      <w:r w:rsidRPr="00A352CC">
        <w:rPr>
          <w:szCs w:val="20"/>
        </w:rPr>
        <w:t xml:space="preserve"> per cent through the year to the June quarters of</w:t>
      </w:r>
      <w:r>
        <w:rPr>
          <w:szCs w:val="20"/>
        </w:rPr>
        <w:t xml:space="preserve"> both</w:t>
      </w:r>
      <w:r w:rsidRPr="00A352CC">
        <w:rPr>
          <w:szCs w:val="20"/>
        </w:rPr>
        <w:t xml:space="preserve"> 2012 and 2013</w:t>
      </w:r>
      <w:r>
        <w:rPr>
          <w:szCs w:val="20"/>
        </w:rPr>
        <w:t xml:space="preserve">.  These forecasts reflect an </w:t>
      </w:r>
      <w:r w:rsidRPr="00A352CC">
        <w:rPr>
          <w:szCs w:val="20"/>
        </w:rPr>
        <w:t xml:space="preserve">expectation that the labour market </w:t>
      </w:r>
      <w:r>
        <w:rPr>
          <w:szCs w:val="20"/>
        </w:rPr>
        <w:t xml:space="preserve">will reach full capacity in 2011-12 and that the terms of trade will remain </w:t>
      </w:r>
      <w:r w:rsidR="00996304">
        <w:rPr>
          <w:szCs w:val="20"/>
        </w:rPr>
        <w:t>high, supporting</w:t>
      </w:r>
      <w:r>
        <w:rPr>
          <w:szCs w:val="20"/>
        </w:rPr>
        <w:t xml:space="preserve"> wages </w:t>
      </w:r>
      <w:r w:rsidR="00FB09F4">
        <w:rPr>
          <w:szCs w:val="20"/>
        </w:rPr>
        <w:t>in resource</w:t>
      </w:r>
      <w:r w:rsidR="00FB09F4">
        <w:rPr>
          <w:szCs w:val="20"/>
        </w:rPr>
        <w:noBreakHyphen/>
      </w:r>
      <w:r w:rsidR="00996304">
        <w:rPr>
          <w:szCs w:val="20"/>
        </w:rPr>
        <w:t>related industries (C</w:t>
      </w:r>
      <w:r>
        <w:rPr>
          <w:szCs w:val="20"/>
        </w:rPr>
        <w:t>hart 9)</w:t>
      </w:r>
      <w:r w:rsidRPr="00A352CC">
        <w:rPr>
          <w:szCs w:val="20"/>
        </w:rPr>
        <w:t>.</w:t>
      </w:r>
    </w:p>
    <w:p w:rsidR="00535CED" w:rsidRPr="00FE56C9" w:rsidRDefault="00535CED" w:rsidP="00535CED">
      <w:pPr>
        <w:rPr>
          <w:szCs w:val="20"/>
        </w:rPr>
      </w:pPr>
      <w:r w:rsidRPr="00FE56C9">
        <w:rPr>
          <w:szCs w:val="20"/>
        </w:rPr>
        <w:lastRenderedPageBreak/>
        <w:t xml:space="preserve">Headline and underlying inflation forecasts are </w:t>
      </w:r>
      <w:r w:rsidR="00D359F3">
        <w:rPr>
          <w:szCs w:val="20"/>
        </w:rPr>
        <w:t>little changed</w:t>
      </w:r>
      <w:r w:rsidRPr="00FE56C9">
        <w:rPr>
          <w:szCs w:val="20"/>
        </w:rPr>
        <w:t xml:space="preserve"> since the September round</w:t>
      </w:r>
      <w:r w:rsidR="00A03CF2">
        <w:rPr>
          <w:szCs w:val="20"/>
        </w:rPr>
        <w:t>,</w:t>
      </w:r>
      <w:r w:rsidR="005F7DAE">
        <w:rPr>
          <w:szCs w:val="20"/>
        </w:rPr>
        <w:t xml:space="preserve"> with</w:t>
      </w:r>
      <w:r w:rsidR="005F7DAE" w:rsidRPr="005F7DAE">
        <w:rPr>
          <w:szCs w:val="20"/>
        </w:rPr>
        <w:t xml:space="preserve"> </w:t>
      </w:r>
      <w:r w:rsidR="005F7DAE">
        <w:rPr>
          <w:szCs w:val="20"/>
        </w:rPr>
        <w:t>rising inflation toward the end of t</w:t>
      </w:r>
      <w:r w:rsidR="00FB09F4">
        <w:rPr>
          <w:szCs w:val="20"/>
        </w:rPr>
        <w:t>he forecast period reflecting</w:t>
      </w:r>
      <w:r w:rsidR="005F7DAE">
        <w:rPr>
          <w:szCs w:val="20"/>
        </w:rPr>
        <w:t xml:space="preserve"> an economy approaching capacity in 2011-12. </w:t>
      </w:r>
      <w:r>
        <w:rPr>
          <w:szCs w:val="20"/>
        </w:rPr>
        <w:t>The labour market is expected to be relatively weaker than at the September round</w:t>
      </w:r>
      <w:r w:rsidR="005F7DAE">
        <w:rPr>
          <w:szCs w:val="20"/>
        </w:rPr>
        <w:t>, reducing pressure on underlying inflation</w:t>
      </w:r>
      <w:r>
        <w:rPr>
          <w:szCs w:val="20"/>
        </w:rPr>
        <w:t xml:space="preserve">, </w:t>
      </w:r>
      <w:r w:rsidRPr="00FE56C9">
        <w:rPr>
          <w:szCs w:val="20"/>
        </w:rPr>
        <w:t xml:space="preserve">while persistent increases in administered prices </w:t>
      </w:r>
      <w:r w:rsidR="005F7DAE">
        <w:rPr>
          <w:szCs w:val="20"/>
        </w:rPr>
        <w:t xml:space="preserve">are expected to contribute </w:t>
      </w:r>
      <w:r w:rsidRPr="00FE56C9">
        <w:rPr>
          <w:szCs w:val="20"/>
        </w:rPr>
        <w:t xml:space="preserve">to headline inflation </w:t>
      </w:r>
      <w:r w:rsidR="00A03CF2">
        <w:rPr>
          <w:szCs w:val="20"/>
        </w:rPr>
        <w:t>throughout the forecast period</w:t>
      </w:r>
      <w:r w:rsidRPr="00FE56C9">
        <w:rPr>
          <w:szCs w:val="20"/>
        </w:rPr>
        <w:t>.</w:t>
      </w:r>
      <w:r>
        <w:rPr>
          <w:szCs w:val="20"/>
        </w:rPr>
        <w:t xml:space="preserve"> </w:t>
      </w:r>
    </w:p>
    <w:p w:rsidR="00535CED" w:rsidRPr="00FE56C9" w:rsidRDefault="00535CED" w:rsidP="00535CED">
      <w:pPr>
        <w:rPr>
          <w:szCs w:val="20"/>
        </w:rPr>
      </w:pPr>
      <w:r w:rsidRPr="00FE56C9">
        <w:rPr>
          <w:b/>
          <w:szCs w:val="20"/>
        </w:rPr>
        <w:t>Consumer Price Index (CPI)</w:t>
      </w:r>
      <w:r w:rsidRPr="00FE56C9">
        <w:rPr>
          <w:szCs w:val="20"/>
        </w:rPr>
        <w:t xml:space="preserve"> </w:t>
      </w:r>
      <w:r w:rsidR="00A03CF2">
        <w:rPr>
          <w:szCs w:val="20"/>
        </w:rPr>
        <w:t>inflation</w:t>
      </w:r>
      <w:r>
        <w:rPr>
          <w:szCs w:val="20"/>
        </w:rPr>
        <w:t xml:space="preserve"> </w:t>
      </w:r>
      <w:r w:rsidRPr="00FE56C9">
        <w:rPr>
          <w:szCs w:val="20"/>
        </w:rPr>
        <w:t>eas</w:t>
      </w:r>
      <w:r>
        <w:rPr>
          <w:szCs w:val="20"/>
        </w:rPr>
        <w:t xml:space="preserve">ed </w:t>
      </w:r>
      <w:r w:rsidRPr="00FE56C9">
        <w:rPr>
          <w:szCs w:val="20"/>
        </w:rPr>
        <w:t xml:space="preserve">in </w:t>
      </w:r>
      <w:r>
        <w:rPr>
          <w:szCs w:val="20"/>
        </w:rPr>
        <w:t xml:space="preserve">the September quarter with </w:t>
      </w:r>
      <w:r w:rsidR="00BC64A5">
        <w:rPr>
          <w:szCs w:val="20"/>
        </w:rPr>
        <w:t>through-the-year measures of</w:t>
      </w:r>
      <w:r w:rsidR="001E02C4">
        <w:rPr>
          <w:szCs w:val="20"/>
        </w:rPr>
        <w:t xml:space="preserve"> </w:t>
      </w:r>
      <w:r>
        <w:rPr>
          <w:szCs w:val="20"/>
        </w:rPr>
        <w:t>h</w:t>
      </w:r>
      <w:r w:rsidRPr="00FE56C9">
        <w:rPr>
          <w:szCs w:val="20"/>
        </w:rPr>
        <w:t>eadline and underlying inflation</w:t>
      </w:r>
      <w:r>
        <w:rPr>
          <w:szCs w:val="20"/>
        </w:rPr>
        <w:t xml:space="preserve"> slowing</w:t>
      </w:r>
      <w:r w:rsidRPr="00FE56C9">
        <w:rPr>
          <w:szCs w:val="20"/>
        </w:rPr>
        <w:t>, reflecting weakness in market-driv</w:t>
      </w:r>
      <w:r>
        <w:rPr>
          <w:szCs w:val="20"/>
        </w:rPr>
        <w:t xml:space="preserve">en components and a seasonal slowing in the growth in the prices of administered items. However, administered prices, particularly utilities, </w:t>
      </w:r>
      <w:r w:rsidRPr="00FE56C9">
        <w:rPr>
          <w:szCs w:val="20"/>
        </w:rPr>
        <w:t xml:space="preserve">are expected to </w:t>
      </w:r>
      <w:r>
        <w:rPr>
          <w:szCs w:val="20"/>
        </w:rPr>
        <w:t>g</w:t>
      </w:r>
      <w:r w:rsidRPr="00FE56C9">
        <w:rPr>
          <w:szCs w:val="20"/>
        </w:rPr>
        <w:t>row strongly over the forecast period, exert</w:t>
      </w:r>
      <w:r>
        <w:rPr>
          <w:szCs w:val="20"/>
        </w:rPr>
        <w:t>ing</w:t>
      </w:r>
      <w:r w:rsidRPr="00FE56C9">
        <w:rPr>
          <w:szCs w:val="20"/>
        </w:rPr>
        <w:t xml:space="preserve"> </w:t>
      </w:r>
      <w:r>
        <w:rPr>
          <w:szCs w:val="20"/>
        </w:rPr>
        <w:t xml:space="preserve">upward </w:t>
      </w:r>
      <w:r w:rsidRPr="00FE56C9">
        <w:rPr>
          <w:szCs w:val="20"/>
        </w:rPr>
        <w:t>pressure on headline CPI</w:t>
      </w:r>
      <w:r>
        <w:rPr>
          <w:szCs w:val="20"/>
        </w:rPr>
        <w:t xml:space="preserve"> even as market price growth remains moderate</w:t>
      </w:r>
      <w:r w:rsidRPr="00FE56C9">
        <w:rPr>
          <w:szCs w:val="20"/>
        </w:rPr>
        <w:t>.</w:t>
      </w:r>
    </w:p>
    <w:p w:rsidR="00535CED" w:rsidRPr="00FE56C9" w:rsidRDefault="00535CED" w:rsidP="00535CED">
      <w:pPr>
        <w:rPr>
          <w:szCs w:val="20"/>
        </w:rPr>
      </w:pPr>
      <w:r w:rsidRPr="00FE56C9">
        <w:rPr>
          <w:b/>
          <w:szCs w:val="20"/>
        </w:rPr>
        <w:t>Underlying</w:t>
      </w:r>
      <w:r w:rsidR="00E26116">
        <w:rPr>
          <w:b/>
          <w:szCs w:val="20"/>
        </w:rPr>
        <w:t xml:space="preserve"> </w:t>
      </w:r>
      <w:r w:rsidRPr="00FE56C9">
        <w:rPr>
          <w:b/>
          <w:szCs w:val="20"/>
        </w:rPr>
        <w:t>inflation</w:t>
      </w:r>
      <w:r w:rsidR="004664F1">
        <w:rPr>
          <w:szCs w:val="20"/>
        </w:rPr>
        <w:t xml:space="preserve"> is expected to be 2¾ </w:t>
      </w:r>
      <w:r w:rsidRPr="00FE56C9">
        <w:rPr>
          <w:szCs w:val="20"/>
        </w:rPr>
        <w:t>per cent through the year to the June quarter</w:t>
      </w:r>
      <w:r w:rsidR="005142DD">
        <w:rPr>
          <w:szCs w:val="20"/>
        </w:rPr>
        <w:t>s</w:t>
      </w:r>
      <w:r w:rsidRPr="00FE56C9">
        <w:rPr>
          <w:szCs w:val="20"/>
        </w:rPr>
        <w:t xml:space="preserve"> of </w:t>
      </w:r>
      <w:r w:rsidR="005142DD">
        <w:rPr>
          <w:szCs w:val="20"/>
        </w:rPr>
        <w:t xml:space="preserve">both </w:t>
      </w:r>
      <w:r w:rsidRPr="00FE56C9">
        <w:rPr>
          <w:szCs w:val="20"/>
        </w:rPr>
        <w:t>2011</w:t>
      </w:r>
      <w:r w:rsidR="005142DD">
        <w:rPr>
          <w:szCs w:val="20"/>
        </w:rPr>
        <w:t xml:space="preserve"> and 2012</w:t>
      </w:r>
      <w:r w:rsidRPr="00FE56C9">
        <w:rPr>
          <w:szCs w:val="20"/>
        </w:rPr>
        <w:t>, before picking up to 3 per cent throu</w:t>
      </w:r>
      <w:r w:rsidR="005142DD">
        <w:rPr>
          <w:szCs w:val="20"/>
        </w:rPr>
        <w:t>gh the year to the June quarter of</w:t>
      </w:r>
      <w:r w:rsidRPr="00FE56C9">
        <w:rPr>
          <w:szCs w:val="20"/>
        </w:rPr>
        <w:t xml:space="preserve"> 2013.</w:t>
      </w:r>
      <w:r>
        <w:rPr>
          <w:szCs w:val="20"/>
        </w:rPr>
        <w:t xml:space="preserve"> </w:t>
      </w:r>
      <w:r>
        <w:rPr>
          <w:b/>
          <w:szCs w:val="20"/>
        </w:rPr>
        <w:t>Headline </w:t>
      </w:r>
      <w:r w:rsidRPr="00FE56C9">
        <w:rPr>
          <w:b/>
          <w:szCs w:val="20"/>
        </w:rPr>
        <w:t>inflation</w:t>
      </w:r>
      <w:r w:rsidRPr="00FE56C9">
        <w:rPr>
          <w:szCs w:val="20"/>
        </w:rPr>
        <w:t xml:space="preserve"> is expected to be 2¾ per cent through the year to the June quarter of 2011, before picking up to 3 per cent through the year to the June quarters of 2012 and 2013</w:t>
      </w:r>
      <w:r>
        <w:rPr>
          <w:szCs w:val="20"/>
        </w:rPr>
        <w:t xml:space="preserve">. </w:t>
      </w:r>
      <w:proofErr w:type="gramStart"/>
      <w:r w:rsidRPr="00FE56C9">
        <w:rPr>
          <w:szCs w:val="20"/>
        </w:rPr>
        <w:t>(</w:t>
      </w:r>
      <w:r w:rsidR="00D359F3">
        <w:rPr>
          <w:szCs w:val="20"/>
        </w:rPr>
        <w:t>C</w:t>
      </w:r>
      <w:r w:rsidRPr="00715628">
        <w:rPr>
          <w:szCs w:val="20"/>
        </w:rPr>
        <w:t xml:space="preserve">hart </w:t>
      </w:r>
      <w:r w:rsidR="00715628" w:rsidRPr="00715628">
        <w:rPr>
          <w:szCs w:val="20"/>
        </w:rPr>
        <w:t>10</w:t>
      </w:r>
      <w:r w:rsidRPr="00FE56C9">
        <w:rPr>
          <w:szCs w:val="20"/>
        </w:rPr>
        <w:t>)</w:t>
      </w:r>
      <w:r>
        <w:rPr>
          <w:szCs w:val="20"/>
        </w:rPr>
        <w:t>.</w:t>
      </w:r>
      <w:proofErr w:type="gramEnd"/>
    </w:p>
    <w:p w:rsidR="00535CED" w:rsidRPr="00333097" w:rsidRDefault="00535CED" w:rsidP="00333097">
      <w:pPr>
        <w:keepNext/>
        <w:spacing w:after="0"/>
        <w:jc w:val="center"/>
        <w:rPr>
          <w:rFonts w:ascii="Tahoma" w:hAnsi="Tahoma" w:cs="Tahoma"/>
          <w:b/>
        </w:rPr>
      </w:pPr>
      <w:r w:rsidRPr="00333097">
        <w:rPr>
          <w:rFonts w:ascii="Tahoma" w:hAnsi="Tahoma" w:cs="Tahoma"/>
          <w:b/>
        </w:rPr>
        <w:t xml:space="preserve">Chart </w:t>
      </w:r>
      <w:r w:rsidR="00333097">
        <w:rPr>
          <w:rFonts w:ascii="Tahoma" w:hAnsi="Tahoma" w:cs="Tahoma"/>
          <w:b/>
        </w:rPr>
        <w:t>10</w:t>
      </w:r>
      <w:r w:rsidRPr="00333097">
        <w:rPr>
          <w:rFonts w:ascii="Tahoma" w:hAnsi="Tahoma" w:cs="Tahoma"/>
          <w:b/>
        </w:rPr>
        <w:t>: Inflation</w:t>
      </w:r>
    </w:p>
    <w:p w:rsidR="00E467DA" w:rsidRDefault="00112B5B" w:rsidP="00E467DA">
      <w:pPr>
        <w:spacing w:after="0" w:line="240" w:lineRule="auto"/>
        <w:rPr>
          <w:b/>
          <w:szCs w:val="20"/>
        </w:rPr>
      </w:pPr>
      <w:r>
        <w:rPr>
          <w:b/>
          <w:szCs w:val="20"/>
        </w:rPr>
        <w:pict>
          <v:shape id="_x0000_i1036" type="#_x0000_t75" style="width:199.7pt;height:199.7pt">
            <v:imagedata r:id="rId29" o:title=""/>
          </v:shape>
        </w:pict>
      </w:r>
    </w:p>
    <w:p w:rsidR="00B33EC4" w:rsidRPr="00E467DA" w:rsidRDefault="00535CED" w:rsidP="00E467DA">
      <w:pPr>
        <w:spacing w:after="0" w:line="240" w:lineRule="auto"/>
        <w:rPr>
          <w:b/>
          <w:szCs w:val="20"/>
        </w:rPr>
      </w:pPr>
      <w:r w:rsidRPr="00FE56C9">
        <w:rPr>
          <w:rFonts w:ascii="Tahoma" w:hAnsi="Tahoma" w:cs="Tahoma"/>
          <w:sz w:val="16"/>
          <w:szCs w:val="16"/>
        </w:rPr>
        <w:t>Source:</w:t>
      </w:r>
      <w:r>
        <w:rPr>
          <w:szCs w:val="20"/>
        </w:rPr>
        <w:t xml:space="preserve">  </w:t>
      </w:r>
      <w:r w:rsidRPr="002877EB">
        <w:rPr>
          <w:rFonts w:ascii="Tahoma" w:hAnsi="Tahoma" w:cs="Tahoma"/>
          <w:sz w:val="16"/>
          <w:szCs w:val="16"/>
        </w:rPr>
        <w:t>A</w:t>
      </w:r>
      <w:r w:rsidR="00333097">
        <w:rPr>
          <w:rFonts w:ascii="Tahoma" w:hAnsi="Tahoma" w:cs="Tahoma"/>
          <w:sz w:val="16"/>
          <w:szCs w:val="16"/>
        </w:rPr>
        <w:t xml:space="preserve">BS Catalogue Number 6401.0 </w:t>
      </w:r>
      <w:r w:rsidRPr="002877EB">
        <w:rPr>
          <w:rFonts w:ascii="Tahoma" w:hAnsi="Tahoma" w:cs="Tahoma"/>
          <w:sz w:val="16"/>
          <w:szCs w:val="16"/>
        </w:rPr>
        <w:t>and Treasury.</w:t>
      </w:r>
    </w:p>
    <w:p w:rsidR="00405DE2" w:rsidRDefault="00405DE2" w:rsidP="00405DE2">
      <w:pPr>
        <w:rPr>
          <w:szCs w:val="20"/>
        </w:rPr>
        <w:sectPr w:rsidR="00405DE2" w:rsidSect="00736A29">
          <w:headerReference w:type="even" r:id="rId30"/>
          <w:footerReference w:type="default" r:id="rId31"/>
          <w:type w:val="continuous"/>
          <w:pgSz w:w="11907" w:h="16840" w:code="9"/>
          <w:pgMar w:top="1418" w:right="1418" w:bottom="1418" w:left="1418" w:header="567" w:footer="567" w:gutter="0"/>
          <w:cols w:num="2" w:space="72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464"/>
      </w:tblGrid>
      <w:tr w:rsidR="00405DE2" w:rsidRPr="00E727B5" w:rsidTr="00E727B5">
        <w:trPr>
          <w:trHeight w:val="14012"/>
        </w:trPr>
        <w:tc>
          <w:tcPr>
            <w:tcW w:w="9464" w:type="dxa"/>
            <w:shd w:val="clear" w:color="auto" w:fill="DDD9C3"/>
          </w:tcPr>
          <w:p w:rsidR="00405DE2" w:rsidRPr="00405DE2" w:rsidRDefault="00E72E0D" w:rsidP="00C61FA2">
            <w:pPr>
              <w:pStyle w:val="Heading3"/>
            </w:pPr>
            <w:bookmarkStart w:id="41" w:name="_Toc280363580"/>
            <w:r>
              <w:lastRenderedPageBreak/>
              <w:t xml:space="preserve">Box 1: </w:t>
            </w:r>
            <w:r w:rsidR="00C61FA2">
              <w:t>The terms of trade and exchange rate projections</w:t>
            </w:r>
            <w:bookmarkEnd w:id="41"/>
          </w:p>
          <w:p w:rsidR="00405DE2" w:rsidRPr="00E727B5" w:rsidRDefault="00405DE2" w:rsidP="00405DE2">
            <w:pPr>
              <w:rPr>
                <w:szCs w:val="20"/>
              </w:rPr>
            </w:pPr>
            <w:r w:rsidRPr="00E727B5">
              <w:rPr>
                <w:szCs w:val="20"/>
              </w:rPr>
              <w:t>Treasury’s economic estimates consist of around 2-3 ye</w:t>
            </w:r>
            <w:r w:rsidR="00996304">
              <w:rPr>
                <w:szCs w:val="20"/>
              </w:rPr>
              <w:t>ars of forecasts and around 20</w:t>
            </w:r>
            <w:r w:rsidRPr="00E727B5">
              <w:rPr>
                <w:szCs w:val="20"/>
              </w:rPr>
              <w:t xml:space="preserve"> years of projections which are based upon medium-term assumptions.  From this round, the exchange rate assumption </w:t>
            </w:r>
            <w:r w:rsidR="00996304">
              <w:rPr>
                <w:szCs w:val="20"/>
              </w:rPr>
              <w:t>has been changed</w:t>
            </w:r>
            <w:r w:rsidRPr="00E727B5">
              <w:rPr>
                <w:szCs w:val="20"/>
              </w:rPr>
              <w:t xml:space="preserve"> in the projection</w:t>
            </w:r>
            <w:r w:rsidR="00996304">
              <w:rPr>
                <w:szCs w:val="20"/>
              </w:rPr>
              <w:t xml:space="preserve"> period</w:t>
            </w:r>
            <w:r w:rsidRPr="00E727B5">
              <w:rPr>
                <w:szCs w:val="20"/>
              </w:rPr>
              <w:t xml:space="preserve">.  In the forecast period, Treasury will continue its current methodology of </w:t>
            </w:r>
            <w:r w:rsidR="00112D4D">
              <w:rPr>
                <w:szCs w:val="20"/>
              </w:rPr>
              <w:t xml:space="preserve">keeping </w:t>
            </w:r>
            <w:r w:rsidR="00A03CF2">
              <w:rPr>
                <w:szCs w:val="20"/>
              </w:rPr>
              <w:t xml:space="preserve">the exchange rate </w:t>
            </w:r>
            <w:r w:rsidR="00112D4D">
              <w:rPr>
                <w:szCs w:val="20"/>
              </w:rPr>
              <w:t>constant</w:t>
            </w:r>
            <w:r w:rsidRPr="00E727B5">
              <w:rPr>
                <w:szCs w:val="20"/>
              </w:rPr>
              <w:t xml:space="preserve">, while in the projection period </w:t>
            </w:r>
            <w:r w:rsidR="00A03CF2">
              <w:rPr>
                <w:szCs w:val="20"/>
              </w:rPr>
              <w:t xml:space="preserve">the exchange rate </w:t>
            </w:r>
            <w:r w:rsidRPr="00E727B5">
              <w:rPr>
                <w:szCs w:val="20"/>
              </w:rPr>
              <w:t>will be linked to the projected terms of trade.</w:t>
            </w:r>
          </w:p>
          <w:p w:rsidR="00405DE2" w:rsidRPr="00E727B5" w:rsidRDefault="00405DE2" w:rsidP="00405DE2">
            <w:pPr>
              <w:rPr>
                <w:szCs w:val="20"/>
              </w:rPr>
            </w:pPr>
            <w:r w:rsidRPr="00E727B5">
              <w:rPr>
                <w:szCs w:val="20"/>
              </w:rPr>
              <w:t xml:space="preserve">In their seminal paper, </w:t>
            </w:r>
            <w:r w:rsidRPr="00E727B5">
              <w:rPr>
                <w:i/>
                <w:szCs w:val="20"/>
              </w:rPr>
              <w:t>Empirical exchange rate models of the seventies: Do they fit out of sample?</w:t>
            </w:r>
            <w:r w:rsidR="001E02C4">
              <w:rPr>
                <w:szCs w:val="20"/>
              </w:rPr>
              <w:t>, Mee</w:t>
            </w:r>
            <w:r w:rsidRPr="00E727B5">
              <w:rPr>
                <w:szCs w:val="20"/>
              </w:rPr>
              <w:t xml:space="preserve">se and </w:t>
            </w:r>
            <w:proofErr w:type="spellStart"/>
            <w:r w:rsidRPr="00E727B5">
              <w:rPr>
                <w:szCs w:val="20"/>
              </w:rPr>
              <w:t>Rogoff</w:t>
            </w:r>
            <w:proofErr w:type="spellEnd"/>
            <w:r w:rsidRPr="00E727B5">
              <w:rPr>
                <w:szCs w:val="20"/>
              </w:rPr>
              <w:t xml:space="preserve"> (1983) </w:t>
            </w:r>
            <w:r w:rsidR="007559C2">
              <w:rPr>
                <w:szCs w:val="20"/>
              </w:rPr>
              <w:t>demonstrate</w:t>
            </w:r>
            <w:r w:rsidRPr="00E727B5">
              <w:rPr>
                <w:szCs w:val="20"/>
              </w:rPr>
              <w:t xml:space="preserve"> that over the short-run (aroun</w:t>
            </w:r>
            <w:r w:rsidR="00925222" w:rsidRPr="00E727B5">
              <w:rPr>
                <w:szCs w:val="20"/>
              </w:rPr>
              <w:t xml:space="preserve">d one year) exchange rates </w:t>
            </w:r>
            <w:r w:rsidR="00D3399D" w:rsidRPr="00E727B5">
              <w:rPr>
                <w:szCs w:val="20"/>
              </w:rPr>
              <w:t>move unpredictably</w:t>
            </w:r>
            <w:r w:rsidRPr="00E727B5">
              <w:rPr>
                <w:szCs w:val="20"/>
              </w:rPr>
              <w:t xml:space="preserve"> and the current spot rate is the best predictor of the future exchange rate.  However, in the medium-term</w:t>
            </w:r>
            <w:r w:rsidR="00925222" w:rsidRPr="00E727B5">
              <w:rPr>
                <w:szCs w:val="20"/>
              </w:rPr>
              <w:t>,</w:t>
            </w:r>
            <w:r w:rsidRPr="00E727B5">
              <w:rPr>
                <w:szCs w:val="20"/>
              </w:rPr>
              <w:t xml:space="preserve"> exchange rates are likely to move in line with economic fundamentals.</w:t>
            </w:r>
            <w:r w:rsidR="00996304">
              <w:rPr>
                <w:szCs w:val="20"/>
              </w:rPr>
              <w:t xml:space="preserve"> </w:t>
            </w:r>
            <w:r w:rsidR="00006E4D">
              <w:rPr>
                <w:szCs w:val="20"/>
              </w:rPr>
              <w:t xml:space="preserve">This is now the standard view of modelling exchange rates, with these findings having since been repeated frequently in the literature. </w:t>
            </w:r>
          </w:p>
          <w:p w:rsidR="00405DE2" w:rsidRPr="00E727B5" w:rsidRDefault="00405DE2" w:rsidP="00405DE2">
            <w:pPr>
              <w:rPr>
                <w:szCs w:val="20"/>
              </w:rPr>
            </w:pPr>
            <w:r w:rsidRPr="00E727B5">
              <w:rPr>
                <w:szCs w:val="20"/>
              </w:rPr>
              <w:t xml:space="preserve">Prior to the December </w:t>
            </w:r>
            <w:r w:rsidR="00925222" w:rsidRPr="00E727B5">
              <w:rPr>
                <w:szCs w:val="20"/>
              </w:rPr>
              <w:t xml:space="preserve">2010 </w:t>
            </w:r>
            <w:r w:rsidRPr="00E727B5">
              <w:rPr>
                <w:szCs w:val="20"/>
              </w:rPr>
              <w:t xml:space="preserve">JEFG, Treasury had adopted the </w:t>
            </w:r>
            <w:r w:rsidR="007559C2">
              <w:rPr>
                <w:szCs w:val="20"/>
              </w:rPr>
              <w:t>assumption that</w:t>
            </w:r>
            <w:r w:rsidRPr="00E727B5">
              <w:rPr>
                <w:szCs w:val="20"/>
              </w:rPr>
              <w:t xml:space="preserve"> the best predictor of the future exchange </w:t>
            </w:r>
            <w:r w:rsidR="00925222" w:rsidRPr="00E727B5">
              <w:rPr>
                <w:szCs w:val="20"/>
              </w:rPr>
              <w:t xml:space="preserve">rate </w:t>
            </w:r>
            <w:r w:rsidR="007559C2">
              <w:rPr>
                <w:szCs w:val="20"/>
              </w:rPr>
              <w:t>is the current rate.  T</w:t>
            </w:r>
            <w:r w:rsidRPr="00E727B5">
              <w:rPr>
                <w:szCs w:val="20"/>
              </w:rPr>
              <w:t xml:space="preserve">he exchange rate was </w:t>
            </w:r>
            <w:r w:rsidR="007559C2">
              <w:rPr>
                <w:szCs w:val="20"/>
              </w:rPr>
              <w:t xml:space="preserve">therefore </w:t>
            </w:r>
            <w:r w:rsidRPr="00E727B5">
              <w:rPr>
                <w:szCs w:val="20"/>
              </w:rPr>
              <w:t xml:space="preserve">held constant over the forecast horizon and </w:t>
            </w:r>
            <w:r w:rsidR="007559C2">
              <w:rPr>
                <w:szCs w:val="20"/>
              </w:rPr>
              <w:t xml:space="preserve">the </w:t>
            </w:r>
            <w:r w:rsidRPr="00E727B5">
              <w:rPr>
                <w:szCs w:val="20"/>
              </w:rPr>
              <w:t xml:space="preserve">projection period.  This </w:t>
            </w:r>
            <w:r w:rsidR="007559C2">
              <w:rPr>
                <w:szCs w:val="20"/>
              </w:rPr>
              <w:t>remains</w:t>
            </w:r>
            <w:r w:rsidRPr="00E727B5">
              <w:rPr>
                <w:szCs w:val="20"/>
              </w:rPr>
              <w:t xml:space="preserve"> Treasury’s preferred methodology over the forecast </w:t>
            </w:r>
            <w:r w:rsidR="00112D4D">
              <w:rPr>
                <w:szCs w:val="20"/>
              </w:rPr>
              <w:t>horizon</w:t>
            </w:r>
            <w:r w:rsidRPr="00E727B5">
              <w:rPr>
                <w:szCs w:val="20"/>
              </w:rPr>
              <w:t>.</w:t>
            </w:r>
          </w:p>
          <w:p w:rsidR="00405DE2" w:rsidRPr="00E727B5" w:rsidRDefault="00925222" w:rsidP="00405DE2">
            <w:pPr>
              <w:rPr>
                <w:szCs w:val="20"/>
              </w:rPr>
            </w:pPr>
            <w:r w:rsidRPr="00E727B5">
              <w:rPr>
                <w:szCs w:val="20"/>
              </w:rPr>
              <w:t>I</w:t>
            </w:r>
            <w:r w:rsidR="00405DE2" w:rsidRPr="00E727B5">
              <w:rPr>
                <w:szCs w:val="20"/>
              </w:rPr>
              <w:t>n the longer term, Australia’s exchange rate is determined by factors such as the terms of trade and interest rate differentials.  Over the projection period, the terms of trade is assumed to fall by arou</w:t>
            </w:r>
            <w:r w:rsidRPr="00E727B5">
              <w:rPr>
                <w:szCs w:val="20"/>
              </w:rPr>
              <w:t>nd 20 per cent over 15 years. The</w:t>
            </w:r>
            <w:r w:rsidR="00405DE2" w:rsidRPr="00E727B5">
              <w:rPr>
                <w:szCs w:val="20"/>
              </w:rPr>
              <w:t xml:space="preserve"> current high prices and continued strong demand for Australia’s bulk commodities are expected t</w:t>
            </w:r>
            <w:r w:rsidR="00A03CF2">
              <w:rPr>
                <w:szCs w:val="20"/>
              </w:rPr>
              <w:t>o elicit a global supply response</w:t>
            </w:r>
            <w:r w:rsidR="00405DE2" w:rsidRPr="00E727B5">
              <w:rPr>
                <w:szCs w:val="20"/>
              </w:rPr>
              <w:t xml:space="preserve"> which will see global prices (and the terms of trade) decline.</w:t>
            </w:r>
          </w:p>
          <w:p w:rsidR="00405DE2" w:rsidRPr="00E727B5" w:rsidRDefault="00405DE2" w:rsidP="00405DE2">
            <w:pPr>
              <w:rPr>
                <w:szCs w:val="20"/>
              </w:rPr>
            </w:pPr>
            <w:r w:rsidRPr="00E727B5">
              <w:rPr>
                <w:szCs w:val="20"/>
              </w:rPr>
              <w:t xml:space="preserve">Such a substantial change in the terms of trade will likely be reflected in the </w:t>
            </w:r>
            <w:r w:rsidR="00A03CF2">
              <w:rPr>
                <w:szCs w:val="20"/>
              </w:rPr>
              <w:t xml:space="preserve">real effective </w:t>
            </w:r>
            <w:r w:rsidRPr="00E727B5">
              <w:rPr>
                <w:szCs w:val="20"/>
              </w:rPr>
              <w:t xml:space="preserve">exchange rate.  There are a range of estimates in the literature of </w:t>
            </w:r>
            <w:r w:rsidR="00925222" w:rsidRPr="00E727B5">
              <w:rPr>
                <w:szCs w:val="20"/>
              </w:rPr>
              <w:t>the relationship between</w:t>
            </w:r>
            <w:r w:rsidRPr="00E727B5">
              <w:rPr>
                <w:szCs w:val="20"/>
              </w:rPr>
              <w:t xml:space="preserve"> the Australian dollar </w:t>
            </w:r>
            <w:r w:rsidR="00925222" w:rsidRPr="00E727B5">
              <w:rPr>
                <w:szCs w:val="20"/>
              </w:rPr>
              <w:t xml:space="preserve">and </w:t>
            </w:r>
            <w:r w:rsidRPr="00E727B5">
              <w:rPr>
                <w:szCs w:val="20"/>
              </w:rPr>
              <w:t>the terms of trade.  These, combined with Treasury modelling, suggest that a</w:t>
            </w:r>
            <w:r w:rsidR="00925222" w:rsidRPr="00E727B5">
              <w:rPr>
                <w:szCs w:val="20"/>
              </w:rPr>
              <w:t xml:space="preserve"> 1 per cent fall in the terms of trade </w:t>
            </w:r>
            <w:r w:rsidR="00D3399D" w:rsidRPr="00E727B5">
              <w:rPr>
                <w:szCs w:val="20"/>
              </w:rPr>
              <w:t xml:space="preserve">will lead to </w:t>
            </w:r>
            <w:r w:rsidR="00925222" w:rsidRPr="00E727B5">
              <w:rPr>
                <w:szCs w:val="20"/>
              </w:rPr>
              <w:t xml:space="preserve">a 0.6 per cent fall in the </w:t>
            </w:r>
            <w:r w:rsidR="00996304">
              <w:rPr>
                <w:szCs w:val="20"/>
              </w:rPr>
              <w:t xml:space="preserve">real effective </w:t>
            </w:r>
            <w:r w:rsidR="00925222" w:rsidRPr="00E727B5">
              <w:rPr>
                <w:szCs w:val="20"/>
              </w:rPr>
              <w:t>exchange rate</w:t>
            </w:r>
            <w:r w:rsidR="00D3399D" w:rsidRPr="00E727B5">
              <w:rPr>
                <w:szCs w:val="20"/>
              </w:rPr>
              <w:t xml:space="preserve"> on average</w:t>
            </w:r>
            <w:r w:rsidRPr="00E727B5">
              <w:rPr>
                <w:szCs w:val="20"/>
              </w:rPr>
              <w:t xml:space="preserve">.  </w:t>
            </w:r>
          </w:p>
          <w:p w:rsidR="00405DE2" w:rsidRPr="00E727B5" w:rsidRDefault="00405DE2" w:rsidP="00405DE2">
            <w:pPr>
              <w:rPr>
                <w:szCs w:val="20"/>
              </w:rPr>
            </w:pPr>
            <w:r w:rsidRPr="00E727B5">
              <w:rPr>
                <w:szCs w:val="20"/>
              </w:rPr>
              <w:t xml:space="preserve">As such, the </w:t>
            </w:r>
            <w:r w:rsidR="00112D4D">
              <w:rPr>
                <w:szCs w:val="20"/>
              </w:rPr>
              <w:t xml:space="preserve">real </w:t>
            </w:r>
            <w:r w:rsidR="00A03CF2">
              <w:rPr>
                <w:szCs w:val="20"/>
              </w:rPr>
              <w:t xml:space="preserve">effective </w:t>
            </w:r>
            <w:r w:rsidRPr="00E727B5">
              <w:rPr>
                <w:szCs w:val="20"/>
              </w:rPr>
              <w:t xml:space="preserve">exchange rate is now projected to decline by around 0.85 per cent </w:t>
            </w:r>
            <w:r w:rsidR="00996304">
              <w:rPr>
                <w:szCs w:val="20"/>
              </w:rPr>
              <w:t xml:space="preserve">(0.6 times the 1.4 per cent annual decline in the terms of trade) </w:t>
            </w:r>
            <w:r w:rsidRPr="00E727B5">
              <w:rPr>
                <w:szCs w:val="20"/>
              </w:rPr>
              <w:t>each year over the projection period.</w:t>
            </w:r>
          </w:p>
          <w:p w:rsidR="00B323F7" w:rsidRPr="00E727B5" w:rsidRDefault="00B323F7" w:rsidP="00E727B5">
            <w:pPr>
              <w:keepNext/>
              <w:spacing w:after="0"/>
              <w:jc w:val="center"/>
              <w:rPr>
                <w:rFonts w:ascii="Tahoma" w:hAnsi="Tahoma" w:cs="Tahoma"/>
                <w:b/>
              </w:rPr>
            </w:pPr>
            <w:r w:rsidRPr="00E727B5">
              <w:rPr>
                <w:rFonts w:ascii="Tahoma" w:hAnsi="Tahoma" w:cs="Tahoma"/>
                <w:b/>
              </w:rPr>
              <w:t xml:space="preserve">Chart </w:t>
            </w:r>
            <w:r w:rsidR="00A03CF2">
              <w:rPr>
                <w:rFonts w:ascii="Tahoma" w:hAnsi="Tahoma" w:cs="Tahoma"/>
                <w:b/>
              </w:rPr>
              <w:t>A</w:t>
            </w:r>
            <w:r w:rsidRPr="00E727B5">
              <w:rPr>
                <w:rFonts w:ascii="Tahoma" w:hAnsi="Tahoma" w:cs="Tahoma"/>
                <w:b/>
              </w:rPr>
              <w:t>:  Terms of trade and real TWI</w:t>
            </w:r>
          </w:p>
          <w:p w:rsidR="00405DE2" w:rsidRPr="00E727B5" w:rsidRDefault="00112B5B" w:rsidP="00E727B5">
            <w:pPr>
              <w:spacing w:line="240" w:lineRule="auto"/>
              <w:jc w:val="center"/>
              <w:rPr>
                <w:szCs w:val="20"/>
              </w:rPr>
            </w:pPr>
            <w:r>
              <w:rPr>
                <w:szCs w:val="20"/>
              </w:rPr>
              <w:pict>
                <v:shape id="_x0000_i1037" type="#_x0000_t75" style="width:360.65pt;height:216.65pt">
                  <v:imagedata r:id="rId32" o:title=""/>
                </v:shape>
              </w:pict>
            </w:r>
          </w:p>
        </w:tc>
      </w:tr>
    </w:tbl>
    <w:p w:rsidR="00405DE2" w:rsidRDefault="00405DE2" w:rsidP="00B33EC4">
      <w:pPr>
        <w:rPr>
          <w:szCs w:val="20"/>
        </w:rPr>
        <w:sectPr w:rsidR="00405DE2" w:rsidSect="00405DE2">
          <w:type w:val="continuous"/>
          <w:pgSz w:w="11907" w:h="16840" w:code="9"/>
          <w:pgMar w:top="1418" w:right="1418" w:bottom="1418" w:left="1418" w:header="567" w:footer="567" w:gutter="0"/>
          <w:cols w:space="720"/>
        </w:sectPr>
      </w:pPr>
    </w:p>
    <w:p w:rsidR="00736A29" w:rsidRPr="00B323F7" w:rsidRDefault="00150650" w:rsidP="00B323F7">
      <w:pPr>
        <w:rPr>
          <w:szCs w:val="20"/>
        </w:rPr>
        <w:sectPr w:rsidR="00736A29" w:rsidRPr="00B323F7" w:rsidSect="00736A29">
          <w:type w:val="continuous"/>
          <w:pgSz w:w="11907" w:h="16840" w:code="9"/>
          <w:pgMar w:top="1418" w:right="1418" w:bottom="1418" w:left="1418" w:header="567" w:footer="567" w:gutter="0"/>
          <w:cols w:num="2" w:space="720"/>
        </w:sectPr>
      </w:pPr>
      <w:r>
        <w:lastRenderedPageBreak/>
        <w:br w:type="page"/>
      </w:r>
    </w:p>
    <w:p w:rsidR="000B5084" w:rsidRPr="00F355E8" w:rsidRDefault="000B5084" w:rsidP="000B5084">
      <w:pPr>
        <w:pStyle w:val="Heading3"/>
        <w:sectPr w:rsidR="000B5084" w:rsidRPr="00F355E8">
          <w:type w:val="continuous"/>
          <w:pgSz w:w="11907" w:h="16840" w:code="9"/>
          <w:pgMar w:top="1418" w:right="1418" w:bottom="1418" w:left="1418" w:header="567" w:footer="567" w:gutter="0"/>
          <w:cols w:space="720"/>
        </w:sectPr>
      </w:pPr>
      <w:bookmarkStart w:id="42" w:name="_Toc280363581"/>
      <w:r w:rsidRPr="00F355E8">
        <w:lastRenderedPageBreak/>
        <w:t>Outlook for the international economy</w:t>
      </w:r>
      <w:bookmarkStart w:id="43" w:name="_Toc90977891"/>
      <w:bookmarkEnd w:id="42"/>
      <w:r w:rsidR="00150650" w:rsidRPr="00F355E8">
        <w:t xml:space="preserve"> </w:t>
      </w:r>
    </w:p>
    <w:bookmarkEnd w:id="43"/>
    <w:p w:rsidR="00F355E8" w:rsidRPr="00F355E8" w:rsidRDefault="00F355E8" w:rsidP="00F355E8">
      <w:pPr>
        <w:pStyle w:val="TableHeadingCharChar"/>
      </w:pPr>
      <w:r w:rsidRPr="00F355E8">
        <w:lastRenderedPageBreak/>
        <w:t xml:space="preserve">Table </w:t>
      </w:r>
      <w:r w:rsidR="0092613B">
        <w:t>3</w:t>
      </w:r>
      <w:r w:rsidRPr="00F355E8">
        <w:t xml:space="preserve">: International GDP growth </w:t>
      </w:r>
      <w:proofErr w:type="gramStart"/>
      <w:r w:rsidRPr="00F355E8">
        <w:t>forecasts</w:t>
      </w:r>
      <w:r w:rsidRPr="00F355E8">
        <w:rPr>
          <w:rFonts w:cs="Tahoma"/>
          <w:bCs/>
          <w:szCs w:val="22"/>
          <w:vertAlign w:val="superscript"/>
        </w:rPr>
        <w:t>(</w:t>
      </w:r>
      <w:proofErr w:type="gramEnd"/>
      <w:r w:rsidRPr="00F355E8">
        <w:rPr>
          <w:rFonts w:cs="Tahoma"/>
          <w:bCs/>
          <w:szCs w:val="22"/>
          <w:vertAlign w:val="superscript"/>
        </w:rPr>
        <w:t>a)</w:t>
      </w:r>
    </w:p>
    <w:p w:rsidR="00F355E8" w:rsidRPr="00F355E8" w:rsidRDefault="00112B5B" w:rsidP="00F355E8">
      <w:pPr>
        <w:pStyle w:val="ChartGraphic0"/>
        <w:rPr>
          <w:color w:val="auto"/>
        </w:rPr>
      </w:pPr>
      <w:r>
        <w:pict>
          <v:shape id="_x0000_i1038" type="#_x0000_t75" style="width:453.3pt;height:178.45pt">
            <v:imagedata r:id="rId33" o:title=""/>
          </v:shape>
        </w:pict>
      </w:r>
    </w:p>
    <w:p w:rsidR="00F355E8" w:rsidRPr="00F355E8" w:rsidRDefault="00F355E8" w:rsidP="00F355E8">
      <w:pPr>
        <w:pStyle w:val="ChartGraphic0"/>
        <w:rPr>
          <w:color w:val="auto"/>
        </w:rPr>
      </w:pPr>
    </w:p>
    <w:p w:rsidR="00F355E8" w:rsidRPr="00F355E8" w:rsidRDefault="00F355E8" w:rsidP="00F355E8">
      <w:pPr>
        <w:spacing w:line="240" w:lineRule="auto"/>
        <w:ind w:right="-142"/>
        <w:jc w:val="left"/>
        <w:rPr>
          <w:rFonts w:cs="Arial"/>
          <w:sz w:val="16"/>
          <w:szCs w:val="16"/>
        </w:rPr>
        <w:sectPr w:rsidR="00F355E8" w:rsidRPr="00F355E8">
          <w:headerReference w:type="default" r:id="rId34"/>
          <w:footerReference w:type="even" r:id="rId35"/>
          <w:footerReference w:type="default" r:id="rId36"/>
          <w:type w:val="continuous"/>
          <w:pgSz w:w="11907" w:h="16840" w:code="9"/>
          <w:pgMar w:top="1418" w:right="1418" w:bottom="1418" w:left="1418" w:header="567" w:footer="567" w:gutter="0"/>
          <w:cols w:space="709"/>
        </w:sectPr>
      </w:pPr>
    </w:p>
    <w:p w:rsidR="00F355E8" w:rsidRPr="00F355E8" w:rsidRDefault="00F355E8" w:rsidP="00F355E8">
      <w:pPr>
        <w:pStyle w:val="Heading4"/>
        <w:spacing w:after="120"/>
      </w:pPr>
      <w:bookmarkStart w:id="44" w:name="_Toc280363582"/>
      <w:r w:rsidRPr="00F355E8">
        <w:lastRenderedPageBreak/>
        <w:t>World outlook</w:t>
      </w:r>
      <w:bookmarkEnd w:id="44"/>
    </w:p>
    <w:p w:rsidR="00535CED" w:rsidRPr="000747B3" w:rsidRDefault="00535CED" w:rsidP="00535CED">
      <w:pPr>
        <w:rPr>
          <w:color w:val="000000"/>
        </w:rPr>
      </w:pPr>
      <w:r w:rsidRPr="000747B3">
        <w:rPr>
          <w:color w:val="000000"/>
        </w:rPr>
        <w:t>As in the 2010</w:t>
      </w:r>
      <w:r w:rsidRPr="000747B3">
        <w:rPr>
          <w:color w:val="000000"/>
        </w:rPr>
        <w:noBreakHyphen/>
        <w:t>11 MYEFO, the global economy is forecast to continue growing at solid rates over the forecast horizon, with the two</w:t>
      </w:r>
      <w:r w:rsidRPr="000747B3">
        <w:rPr>
          <w:color w:val="000000"/>
        </w:rPr>
        <w:noBreakHyphen/>
        <w:t xml:space="preserve">speed global recovery expected to persist. Since the September JEFG round, however, the global outlook has become more uncertain and downside risks still predominate.  </w:t>
      </w:r>
    </w:p>
    <w:p w:rsidR="00535CED" w:rsidRPr="000747B3" w:rsidRDefault="00535CED" w:rsidP="00535CED">
      <w:pPr>
        <w:rPr>
          <w:color w:val="000000"/>
        </w:rPr>
      </w:pPr>
      <w:r w:rsidRPr="000747B3">
        <w:rPr>
          <w:color w:val="000000"/>
        </w:rPr>
        <w:t xml:space="preserve">The 2010 </w:t>
      </w:r>
      <w:r w:rsidRPr="000747B3">
        <w:rPr>
          <w:b/>
          <w:color w:val="000000"/>
        </w:rPr>
        <w:t>global growth</w:t>
      </w:r>
      <w:r w:rsidRPr="000747B3">
        <w:rPr>
          <w:color w:val="000000"/>
        </w:rPr>
        <w:t xml:space="preserve"> forecast has been revised up to 4¾ per cent (Table </w:t>
      </w:r>
      <w:r w:rsidR="000747B3">
        <w:rPr>
          <w:color w:val="000000"/>
        </w:rPr>
        <w:t>3</w:t>
      </w:r>
      <w:r w:rsidRPr="000747B3">
        <w:rPr>
          <w:color w:val="000000"/>
        </w:rPr>
        <w:t xml:space="preserve"> and Chart </w:t>
      </w:r>
      <w:r w:rsidR="000747B3">
        <w:rPr>
          <w:color w:val="000000"/>
        </w:rPr>
        <w:t>11</w:t>
      </w:r>
      <w:r w:rsidRPr="000747B3">
        <w:rPr>
          <w:color w:val="000000"/>
        </w:rPr>
        <w:t xml:space="preserve">), reflecting in large part,  continued upside surprises from major East Asian economies and the United Kingdom. Australia’s </w:t>
      </w:r>
      <w:r w:rsidRPr="000747B3">
        <w:rPr>
          <w:b/>
          <w:color w:val="000000"/>
        </w:rPr>
        <w:t>major trading partners</w:t>
      </w:r>
      <w:r w:rsidRPr="000747B3">
        <w:rPr>
          <w:color w:val="000000"/>
        </w:rPr>
        <w:t xml:space="preserve"> are forecast to grow at 6¼ per cent, the fastest annual rate in more than 20 years.</w:t>
      </w:r>
    </w:p>
    <w:p w:rsidR="00F355E8" w:rsidRPr="000747B3" w:rsidRDefault="00535CED" w:rsidP="00F355E8">
      <w:pPr>
        <w:rPr>
          <w:color w:val="000000"/>
        </w:rPr>
      </w:pPr>
      <w:r w:rsidRPr="000747B3">
        <w:rPr>
          <w:color w:val="000000"/>
        </w:rPr>
        <w:t xml:space="preserve">However, growth in 2010 is off </w:t>
      </w:r>
      <w:proofErr w:type="gramStart"/>
      <w:r w:rsidRPr="000747B3">
        <w:rPr>
          <w:color w:val="000000"/>
        </w:rPr>
        <w:t>an</w:t>
      </w:r>
      <w:proofErr w:type="gramEnd"/>
      <w:r w:rsidRPr="000747B3">
        <w:rPr>
          <w:color w:val="000000"/>
        </w:rPr>
        <w:t xml:space="preserve"> historically low base and has been assisted by temporary factors such as fiscal stimulus and inventory rebuilding. Accordingly, global growth is forecast to ease to 4 per cent in 2011, as these temporary supports abate. Emerging economies are forecast to continue to grow strongly and at more sustainable rates.</w:t>
      </w:r>
    </w:p>
    <w:p w:rsidR="000747B3" w:rsidRDefault="000747B3" w:rsidP="000747B3">
      <w:pPr>
        <w:widowControl w:val="0"/>
        <w:spacing w:line="240" w:lineRule="auto"/>
        <w:jc w:val="left"/>
        <w:rPr>
          <w:rFonts w:ascii="Tahoma" w:hAnsi="Tahoma"/>
          <w:b/>
        </w:rPr>
      </w:pPr>
    </w:p>
    <w:p w:rsidR="000747B3" w:rsidRDefault="000747B3" w:rsidP="000747B3">
      <w:pPr>
        <w:widowControl w:val="0"/>
        <w:spacing w:line="240" w:lineRule="auto"/>
        <w:jc w:val="left"/>
        <w:rPr>
          <w:rFonts w:ascii="Tahoma" w:hAnsi="Tahoma"/>
          <w:b/>
        </w:rPr>
      </w:pPr>
    </w:p>
    <w:p w:rsidR="000747B3" w:rsidRDefault="000747B3" w:rsidP="000747B3">
      <w:pPr>
        <w:widowControl w:val="0"/>
        <w:spacing w:line="240" w:lineRule="auto"/>
        <w:jc w:val="left"/>
        <w:rPr>
          <w:rFonts w:ascii="Tahoma" w:hAnsi="Tahoma"/>
          <w:b/>
        </w:rPr>
      </w:pPr>
    </w:p>
    <w:p w:rsidR="00F355E8" w:rsidRPr="00F355E8" w:rsidRDefault="00F355E8" w:rsidP="000747B3">
      <w:pPr>
        <w:widowControl w:val="0"/>
        <w:spacing w:line="240" w:lineRule="auto"/>
        <w:jc w:val="center"/>
        <w:rPr>
          <w:rFonts w:ascii="Tahoma" w:hAnsi="Tahoma" w:cs="Tahoma"/>
        </w:rPr>
      </w:pPr>
      <w:r w:rsidRPr="00F355E8">
        <w:rPr>
          <w:rFonts w:ascii="Tahoma" w:hAnsi="Tahoma"/>
          <w:b/>
        </w:rPr>
        <w:lastRenderedPageBreak/>
        <w:t>Chart 1</w:t>
      </w:r>
      <w:r w:rsidR="000747B3">
        <w:rPr>
          <w:rFonts w:ascii="Tahoma" w:hAnsi="Tahoma"/>
          <w:b/>
        </w:rPr>
        <w:t>1</w:t>
      </w:r>
      <w:r w:rsidRPr="00F355E8">
        <w:rPr>
          <w:rFonts w:ascii="Tahoma" w:hAnsi="Tahoma"/>
          <w:b/>
        </w:rPr>
        <w:t>: World GDP growth</w:t>
      </w:r>
      <w:r w:rsidR="00112B5B">
        <w:pict>
          <v:shape id="_x0000_i1039" type="#_x0000_t75" style="width:198.45pt;height:199.1pt">
            <v:imagedata r:id="rId37" o:title=""/>
          </v:shape>
        </w:pict>
      </w:r>
      <w:r w:rsidRPr="00F355E8">
        <w:t xml:space="preserve"> </w:t>
      </w:r>
      <w:r w:rsidRPr="00F355E8">
        <w:rPr>
          <w:b/>
          <w:sz w:val="16"/>
          <w:szCs w:val="16"/>
        </w:rPr>
        <w:t xml:space="preserve"> </w:t>
      </w:r>
      <w:r w:rsidRPr="00F355E8">
        <w:rPr>
          <w:rFonts w:ascii="Tahoma" w:hAnsi="Tahoma" w:cs="Tahoma"/>
          <w:sz w:val="16"/>
          <w:szCs w:val="16"/>
        </w:rPr>
        <w:t>Source: IMF and Treasury.</w:t>
      </w:r>
    </w:p>
    <w:p w:rsidR="00535CED" w:rsidRPr="000747B3" w:rsidRDefault="00535CED" w:rsidP="00535CED">
      <w:pPr>
        <w:rPr>
          <w:color w:val="000000"/>
        </w:rPr>
      </w:pPr>
      <w:bookmarkStart w:id="45" w:name="_Toc116366082"/>
      <w:bookmarkStart w:id="46" w:name="OLE_LINK3"/>
      <w:r w:rsidRPr="000747B3">
        <w:rPr>
          <w:color w:val="000000"/>
        </w:rPr>
        <w:t xml:space="preserve">Fiscal stimulus in advanced economies is being progressively removed, with recent developments in the United States an exception.  However, ongoing moderate rates of growth and subdued inflation mean that very accommodative monetary policy settings will remain in most advanced economies for some time, most notably in the US.    </w:t>
      </w:r>
    </w:p>
    <w:p w:rsidR="00535CED" w:rsidRPr="000747B3" w:rsidRDefault="00535CED" w:rsidP="00535CED">
      <w:pPr>
        <w:rPr>
          <w:color w:val="000000"/>
        </w:rPr>
      </w:pPr>
      <w:r w:rsidRPr="000747B3">
        <w:rPr>
          <w:color w:val="000000"/>
        </w:rPr>
        <w:t xml:space="preserve">The global growth forecast for 2012 of 4¼ per cent is unchanged from September JEFG, with most economies assumed to return to around trend rates. A notable exception is the euro area, where fiscal consolidation and </w:t>
      </w:r>
      <w:r w:rsidRPr="000747B3">
        <w:rPr>
          <w:color w:val="000000"/>
        </w:rPr>
        <w:lastRenderedPageBreak/>
        <w:t xml:space="preserve">structural impediments will continue to weigh on growth.  </w:t>
      </w:r>
    </w:p>
    <w:p w:rsidR="00535CED" w:rsidRPr="000747B3" w:rsidRDefault="00BD1DFE" w:rsidP="00535CED">
      <w:pPr>
        <w:rPr>
          <w:color w:val="000000"/>
        </w:rPr>
      </w:pPr>
      <w:r>
        <w:rPr>
          <w:color w:val="000000"/>
        </w:rPr>
        <w:t>There are some clear downside risks to the outlook. P</w:t>
      </w:r>
      <w:r w:rsidR="00535CED" w:rsidRPr="000747B3">
        <w:rPr>
          <w:color w:val="000000"/>
        </w:rPr>
        <w:t xml:space="preserve">lanned fiscal consolidation in 2011 may prove excessive, and ill-timed for some advanced economies. The euro area periphery’s sovereign debt problems are another well known risk.  </w:t>
      </w:r>
    </w:p>
    <w:p w:rsidR="00535CED" w:rsidRPr="000747B3" w:rsidRDefault="00535CED" w:rsidP="00535CED">
      <w:pPr>
        <w:rPr>
          <w:color w:val="000000"/>
        </w:rPr>
      </w:pPr>
      <w:r w:rsidRPr="000747B3">
        <w:rPr>
          <w:color w:val="000000"/>
        </w:rPr>
        <w:t xml:space="preserve">Market concerns persist over the risk of contagion from Ireland to Portugal, and possibly to Spain. The persistent uncertainty in global financial markets regarding the periphery may reflect the ad hoc nature of the bailouts to date </w:t>
      </w:r>
      <w:r w:rsidR="00BD1DFE">
        <w:rPr>
          <w:color w:val="000000"/>
        </w:rPr>
        <w:t xml:space="preserve">which </w:t>
      </w:r>
      <w:r w:rsidRPr="000747B3">
        <w:rPr>
          <w:color w:val="000000"/>
        </w:rPr>
        <w:t xml:space="preserve">have not addressed the periphery’s underlying debt problems. </w:t>
      </w:r>
      <w:r w:rsidR="00BD1DFE">
        <w:rPr>
          <w:color w:val="000000"/>
        </w:rPr>
        <w:t>T</w:t>
      </w:r>
      <w:r w:rsidRPr="000747B3">
        <w:rPr>
          <w:color w:val="000000"/>
        </w:rPr>
        <w:t xml:space="preserve">he prospect of a debt restructuring cannot be ruled out, a scenario that could prove very disruptive not just to the rest of Europe, but to the global financial system. </w:t>
      </w:r>
    </w:p>
    <w:p w:rsidR="00535CED" w:rsidRPr="000747B3" w:rsidRDefault="00535CED" w:rsidP="00535CED">
      <w:pPr>
        <w:rPr>
          <w:color w:val="000000"/>
        </w:rPr>
      </w:pPr>
      <w:r w:rsidRPr="000747B3">
        <w:rPr>
          <w:color w:val="000000"/>
        </w:rPr>
        <w:t xml:space="preserve">However, so far there is no evidence that the problems in the euro area periphery are affecting economic performance in the core euro area countries, or causing disruption to the financial markets or the real economies of the UK, US or Asia. </w:t>
      </w:r>
    </w:p>
    <w:p w:rsidR="0010366A" w:rsidRPr="0010366A" w:rsidRDefault="0010366A" w:rsidP="0010366A">
      <w:pPr>
        <w:rPr>
          <w:color w:val="000000"/>
        </w:rPr>
      </w:pPr>
      <w:r w:rsidRPr="0010366A">
        <w:rPr>
          <w:color w:val="000000"/>
        </w:rPr>
        <w:t xml:space="preserve">Financial market conditions more broadly are also being influenced by the adoption of a second round of quantitative easing (QE2) in the US. The implementation of QE2 raises the prospect of even larger capital flows and further asset </w:t>
      </w:r>
      <w:r w:rsidR="006D09DF">
        <w:rPr>
          <w:color w:val="000000"/>
        </w:rPr>
        <w:t xml:space="preserve">and consumer </w:t>
      </w:r>
      <w:r w:rsidRPr="0010366A">
        <w:rPr>
          <w:color w:val="000000"/>
        </w:rPr>
        <w:t>price pressures in high</w:t>
      </w:r>
      <w:r w:rsidRPr="0010366A">
        <w:rPr>
          <w:color w:val="000000"/>
        </w:rPr>
        <w:noBreakHyphen/>
        <w:t xml:space="preserve">growth emerging economies as investors seek higher yields. While one of QE2’s transmission channels is downward pressure on the US dollar and a boost to US exports, this effect may be offset by any flight to safety to US assets (and therefore US dollars) by global investors, say due to European sovereign debt concerns. </w:t>
      </w:r>
    </w:p>
    <w:p w:rsidR="00535CED" w:rsidRPr="000747B3" w:rsidRDefault="00535CED" w:rsidP="00535CED">
      <w:pPr>
        <w:rPr>
          <w:color w:val="000000"/>
        </w:rPr>
      </w:pPr>
      <w:r w:rsidRPr="000747B3">
        <w:rPr>
          <w:color w:val="000000"/>
        </w:rPr>
        <w:t xml:space="preserve">In addition to the downside risks identified above tensions among G20 members regarding perceived currency manipulation and large and volatile capital flows have emerged as an additional risk.  While these tensions appear to have </w:t>
      </w:r>
      <w:r w:rsidR="00BD1DFE">
        <w:rPr>
          <w:color w:val="000000"/>
        </w:rPr>
        <w:t>abated</w:t>
      </w:r>
      <w:r w:rsidRPr="000747B3">
        <w:rPr>
          <w:color w:val="000000"/>
        </w:rPr>
        <w:t xml:space="preserve"> in the aftermath of the G20 summit in Seoul in early November, they remain unresolved. </w:t>
      </w:r>
    </w:p>
    <w:p w:rsidR="00535CED" w:rsidRPr="000747B3" w:rsidRDefault="00535CED" w:rsidP="00535CED">
      <w:pPr>
        <w:rPr>
          <w:color w:val="000000"/>
        </w:rPr>
      </w:pPr>
      <w:r w:rsidRPr="000747B3">
        <w:rPr>
          <w:color w:val="000000"/>
        </w:rPr>
        <w:lastRenderedPageBreak/>
        <w:t>If these concerns were to flare up again they present a risk of permanent capital controls and protectionism, thus stifling global capital and trade flows and hindering global growth.</w:t>
      </w:r>
    </w:p>
    <w:p w:rsidR="00535CED" w:rsidRPr="000747B3" w:rsidRDefault="00535CED" w:rsidP="00535CED">
      <w:pPr>
        <w:rPr>
          <w:color w:val="000000"/>
        </w:rPr>
      </w:pPr>
      <w:r w:rsidRPr="000747B3">
        <w:rPr>
          <w:color w:val="000000"/>
        </w:rPr>
        <w:t xml:space="preserve">While the balance of risks is on the downside, as at September JEFG there is one significant upside risk.  If a ‘circuit breaker’ could be found to the current uncertainty, financial market sentiment could quickly rebound.  Given the volume of liquidity, particularly the very high levels of profits and excess reserves held by US corporates and banks respectively, a sharp upward shift in sentiment could see lending rebound rapidly, substantially boosting real economic activity.  </w:t>
      </w:r>
    </w:p>
    <w:p w:rsidR="00535CED" w:rsidRPr="000747B3" w:rsidRDefault="00535CED" w:rsidP="00535CED">
      <w:pPr>
        <w:rPr>
          <w:color w:val="000000"/>
        </w:rPr>
      </w:pPr>
      <w:r w:rsidRPr="000747B3">
        <w:rPr>
          <w:color w:val="000000"/>
        </w:rPr>
        <w:t>A positive development has been the diminishing of two downside risks since September JEFG. The recent run of largely positive partial data suggests that the</w:t>
      </w:r>
      <w:r w:rsidR="006D09DF">
        <w:rPr>
          <w:color w:val="000000"/>
        </w:rPr>
        <w:t xml:space="preserve"> imminent</w:t>
      </w:r>
      <w:r w:rsidRPr="000747B3">
        <w:rPr>
          <w:color w:val="000000"/>
        </w:rPr>
        <w:t xml:space="preserve"> prospect of a double dip recession in the US has passed. </w:t>
      </w:r>
      <w:r w:rsidR="006D09DF" w:rsidRPr="006D09DF">
        <w:rPr>
          <w:color w:val="000000"/>
        </w:rPr>
        <w:t>Similarly, the risk of China experiencing a more severe near-term slowdown than expected due to a rapid policy tightening appears to have passed</w:t>
      </w:r>
      <w:r w:rsidRPr="000747B3">
        <w:rPr>
          <w:color w:val="000000"/>
        </w:rPr>
        <w:t>. However, China still faces pressure to tighten macro policy to address rising inflation and excess liquidity.</w:t>
      </w:r>
    </w:p>
    <w:p w:rsidR="00F355E8" w:rsidRPr="000747B3" w:rsidRDefault="00F355E8" w:rsidP="00F355E8">
      <w:pPr>
        <w:pStyle w:val="Heading4"/>
        <w:rPr>
          <w:color w:val="000000"/>
        </w:rPr>
      </w:pPr>
      <w:bookmarkStart w:id="47" w:name="_Toc280363583"/>
      <w:r w:rsidRPr="000747B3">
        <w:rPr>
          <w:color w:val="000000"/>
        </w:rPr>
        <w:t>Country summaries</w:t>
      </w:r>
      <w:bookmarkEnd w:id="45"/>
      <w:bookmarkEnd w:id="46"/>
      <w:bookmarkEnd w:id="47"/>
    </w:p>
    <w:p w:rsidR="00535CED" w:rsidRPr="000747B3" w:rsidRDefault="00535CED" w:rsidP="00535CED">
      <w:pPr>
        <w:rPr>
          <w:color w:val="000000"/>
        </w:rPr>
      </w:pPr>
      <w:r w:rsidRPr="000747B3">
        <w:rPr>
          <w:color w:val="000000"/>
        </w:rPr>
        <w:t xml:space="preserve">The outlook for the </w:t>
      </w:r>
      <w:r w:rsidRPr="000747B3">
        <w:rPr>
          <w:b/>
          <w:color w:val="000000"/>
        </w:rPr>
        <w:t>United States</w:t>
      </w:r>
      <w:r w:rsidRPr="000747B3">
        <w:rPr>
          <w:color w:val="000000"/>
        </w:rPr>
        <w:t xml:space="preserve"> has improved since September JEFG, with previous concerns over a double</w:t>
      </w:r>
      <w:r w:rsidRPr="000747B3">
        <w:rPr>
          <w:color w:val="000000"/>
        </w:rPr>
        <w:noBreakHyphen/>
        <w:t>dip recession abating. Consumer spending has picked up modestly, and indicators of future business investment have improved following mid</w:t>
      </w:r>
      <w:r w:rsidRPr="000747B3">
        <w:rPr>
          <w:color w:val="000000"/>
        </w:rPr>
        <w:noBreakHyphen/>
        <w:t xml:space="preserve">year lows. However, high unemployment and a depressed housing sector will continue to weigh upon consumer and business confidence, and contribute to a subdued recovery in the US. As such, GDP growth forecasts remain unchanged at 2¾ per cent in 2010, 2¼ per cent in 2011 and 2½ per cent in 2012.   </w:t>
      </w:r>
    </w:p>
    <w:p w:rsidR="00535CED" w:rsidRPr="000747B3" w:rsidRDefault="00535CED" w:rsidP="00535CED">
      <w:pPr>
        <w:rPr>
          <w:color w:val="000000"/>
        </w:rPr>
      </w:pPr>
      <w:r w:rsidRPr="000747B3">
        <w:rPr>
          <w:color w:val="000000"/>
        </w:rPr>
        <w:t xml:space="preserve">In response to the slow economic recovery and historically low underlying inflation, in early November the US Federal Reserve announced a further US$600 billion in asset purchases (known as ‘QE2’). However, while QE2 may boost consumer demand and encourage </w:t>
      </w:r>
      <w:r w:rsidRPr="000747B3">
        <w:rPr>
          <w:color w:val="000000"/>
        </w:rPr>
        <w:lastRenderedPageBreak/>
        <w:t xml:space="preserve">business investment through lower interest rates and higher asset prices, its impact on the real economy is expected to be small, as it will do little to address the underlying demand deficit. US businesses and banks are already sitting on large reserves of cash, and will be reluctant to increase investment and lending respectively until consumption increases. This, in turn, will be dependent on a fall in the unemployment rate, further repair of consumer balance sheets, and a recovery in the housing market – the outlook for all three remains subdued. </w:t>
      </w:r>
    </w:p>
    <w:p w:rsidR="00BD1DFE" w:rsidRDefault="00535CED" w:rsidP="00535CED">
      <w:pPr>
        <w:rPr>
          <w:color w:val="000000"/>
        </w:rPr>
      </w:pPr>
      <w:r w:rsidRPr="000747B3">
        <w:rPr>
          <w:color w:val="000000"/>
        </w:rPr>
        <w:t xml:space="preserve">Overall, the US economy is expected to grow below trend over the forecast horizon, with some upside risk if the impact of QE2 on consumer and business confidence and activity is better than expected.  </w:t>
      </w:r>
    </w:p>
    <w:p w:rsidR="00535CED" w:rsidRPr="000747B3" w:rsidRDefault="00BD1DFE" w:rsidP="00535CED">
      <w:pPr>
        <w:rPr>
          <w:color w:val="000000"/>
        </w:rPr>
      </w:pPr>
      <w:r>
        <w:rPr>
          <w:color w:val="000000"/>
        </w:rPr>
        <w:t xml:space="preserve">Since the finalisation of the forecasts, the US government has </w:t>
      </w:r>
      <w:proofErr w:type="gramStart"/>
      <w:r>
        <w:rPr>
          <w:color w:val="000000"/>
        </w:rPr>
        <w:t>legislated</w:t>
      </w:r>
      <w:proofErr w:type="gramEnd"/>
      <w:r>
        <w:rPr>
          <w:color w:val="000000"/>
        </w:rPr>
        <w:t xml:space="preserve"> a fiscal package</w:t>
      </w:r>
      <w:r w:rsidR="00535CED" w:rsidRPr="000747B3">
        <w:rPr>
          <w:color w:val="000000"/>
        </w:rPr>
        <w:t xml:space="preserve"> that </w:t>
      </w:r>
      <w:r>
        <w:rPr>
          <w:color w:val="000000"/>
        </w:rPr>
        <w:t>includes</w:t>
      </w:r>
      <w:r w:rsidR="00535CED" w:rsidRPr="000747B3">
        <w:rPr>
          <w:color w:val="000000"/>
        </w:rPr>
        <w:t xml:space="preserve"> a combination of </w:t>
      </w:r>
      <w:r w:rsidR="00B95EB9">
        <w:rPr>
          <w:color w:val="000000"/>
        </w:rPr>
        <w:t xml:space="preserve">business tax incentives, </w:t>
      </w:r>
      <w:r w:rsidR="00535CED" w:rsidRPr="000747B3">
        <w:rPr>
          <w:color w:val="000000"/>
        </w:rPr>
        <w:t>a deferral of income tax rate increases, payroll tax cuts, tax credits, and a further extension of unemployment benefits.</w:t>
      </w:r>
      <w:r>
        <w:rPr>
          <w:color w:val="000000"/>
        </w:rPr>
        <w:t xml:space="preserve"> This has led to an upgrading of </w:t>
      </w:r>
      <w:r w:rsidR="00B95EB9">
        <w:rPr>
          <w:color w:val="000000"/>
        </w:rPr>
        <w:t>market</w:t>
      </w:r>
      <w:r>
        <w:rPr>
          <w:color w:val="000000"/>
        </w:rPr>
        <w:t xml:space="preserve"> forecasts for US growth in 2011. </w:t>
      </w:r>
      <w:r w:rsidR="00535CED" w:rsidRPr="000747B3">
        <w:rPr>
          <w:color w:val="000000"/>
        </w:rPr>
        <w:t xml:space="preserve"> </w:t>
      </w:r>
    </w:p>
    <w:p w:rsidR="00535CED" w:rsidRPr="000747B3" w:rsidRDefault="00535CED" w:rsidP="00535CED">
      <w:pPr>
        <w:rPr>
          <w:color w:val="000000"/>
        </w:rPr>
      </w:pPr>
      <w:r w:rsidRPr="000747B3">
        <w:rPr>
          <w:color w:val="000000"/>
        </w:rPr>
        <w:t xml:space="preserve">The outlook for </w:t>
      </w:r>
      <w:r w:rsidRPr="000747B3">
        <w:rPr>
          <w:b/>
          <w:color w:val="000000"/>
        </w:rPr>
        <w:t>China</w:t>
      </w:r>
      <w:r w:rsidRPr="000747B3">
        <w:rPr>
          <w:color w:val="000000"/>
        </w:rPr>
        <w:t xml:space="preserve"> remains broadly unchanged from September JEFG. China’s economy is expected to grow by 10 per cent in 2010 and by 8¾ per cent in 2011. The marginal downward revision to 2011 growth is primarily due to expectations that r</w:t>
      </w:r>
      <w:r w:rsidR="001E02C4">
        <w:rPr>
          <w:color w:val="000000"/>
        </w:rPr>
        <w:t>ecent Government efforts to rei</w:t>
      </w:r>
      <w:r w:rsidRPr="000747B3">
        <w:rPr>
          <w:color w:val="000000"/>
        </w:rPr>
        <w:t xml:space="preserve">n in accelerating inflation – a result of excess liquidity and disruptions in food supplies from natural disasters – may result in a slower pace of expansion. The outlook for growth in 2012 of 9 per cent remains unchanged. </w:t>
      </w:r>
    </w:p>
    <w:p w:rsidR="00535CED" w:rsidRPr="000747B3" w:rsidRDefault="00535CED" w:rsidP="00535CED">
      <w:pPr>
        <w:rPr>
          <w:color w:val="000000"/>
        </w:rPr>
      </w:pPr>
      <w:r w:rsidRPr="000747B3">
        <w:rPr>
          <w:color w:val="000000"/>
        </w:rPr>
        <w:t>As the Government’s infrastructure-focused stimulus measures wind down and energy intensity reduction targets are enforced, last year’s drivers of growth – industrial production, loan growth and investment – continue to moderate as expected. Efforts to engineer a slower pace for growth and reduce inflationary pressures suggest the Government is confident with the fundamental drivers of the econom</w:t>
      </w:r>
      <w:r w:rsidR="00BD1DFE">
        <w:rPr>
          <w:color w:val="000000"/>
        </w:rPr>
        <w:t>y, with authorities aiming for</w:t>
      </w:r>
      <w:r w:rsidRPr="000747B3">
        <w:rPr>
          <w:color w:val="000000"/>
        </w:rPr>
        <w:t xml:space="preserve"> more stable and sustainable growth. Strong domestic demand is expected to continue </w:t>
      </w:r>
      <w:r w:rsidRPr="000747B3">
        <w:rPr>
          <w:color w:val="000000"/>
        </w:rPr>
        <w:lastRenderedPageBreak/>
        <w:t>driving growth, while net exports, after detracting from growth in 2009, are expected to make a small positive contribution between 2010 and 2012.</w:t>
      </w:r>
    </w:p>
    <w:p w:rsidR="00535CED" w:rsidRPr="000747B3" w:rsidRDefault="00535CED" w:rsidP="00535CED">
      <w:pPr>
        <w:rPr>
          <w:color w:val="000000"/>
          <w:highlight w:val="yellow"/>
        </w:rPr>
      </w:pPr>
      <w:r w:rsidRPr="000747B3">
        <w:rPr>
          <w:color w:val="000000"/>
        </w:rPr>
        <w:t xml:space="preserve">Risks to growth largely depend on the effectiveness of the government’s response to accelerating inflation. Authorities have recently introduced a range of measures aimed at reducing excess liquidity and food price inflation. These include raising the reserve requirement ratio by 150 basis points during November and December to date, increasing benchmark interest rates by </w:t>
      </w:r>
      <w:r w:rsidR="006D09DF">
        <w:rPr>
          <w:color w:val="000000"/>
        </w:rPr>
        <w:t xml:space="preserve">at least </w:t>
      </w:r>
      <w:r w:rsidRPr="000747B3">
        <w:rPr>
          <w:color w:val="000000"/>
        </w:rPr>
        <w:t>25 basis points, and enacting price controls. Tightening measures are expected to continue in 2011, including further interest rate increases. A slower-than-expected recovery in developed countries, leading to sluggish demand for Chinese goods, may also adversely impact on growth.</w:t>
      </w:r>
    </w:p>
    <w:p w:rsidR="00535CED" w:rsidRPr="000747B3" w:rsidRDefault="00535CED" w:rsidP="00535CED">
      <w:pPr>
        <w:rPr>
          <w:color w:val="000000"/>
        </w:rPr>
      </w:pPr>
      <w:r w:rsidRPr="000747B3">
        <w:rPr>
          <w:b/>
          <w:color w:val="000000"/>
        </w:rPr>
        <w:t xml:space="preserve">Japan’s </w:t>
      </w:r>
      <w:r w:rsidRPr="000747B3">
        <w:rPr>
          <w:color w:val="000000"/>
        </w:rPr>
        <w:t xml:space="preserve">outlook remains uncertain. Stronger than expected growth in the September quarter combined with sharp upward revisions to growth over the past year indicate that Japan’s recovery has been stronger than previously thought. However, the September quarter pickup reflects temporary factors to some degree — with recent data across a range of indicators pointing to flat or negative growth in the December quarter and possibly some softness early next year. </w:t>
      </w:r>
      <w:r w:rsidR="00BD1DFE">
        <w:rPr>
          <w:color w:val="000000"/>
        </w:rPr>
        <w:t>S</w:t>
      </w:r>
      <w:r w:rsidRPr="000747B3">
        <w:rPr>
          <w:color w:val="000000"/>
        </w:rPr>
        <w:t>trong underlying deflationary pressures remain</w:t>
      </w:r>
      <w:r w:rsidR="00BD1DFE">
        <w:rPr>
          <w:color w:val="000000"/>
        </w:rPr>
        <w:t>,</w:t>
      </w:r>
      <w:r w:rsidR="00BD1DFE" w:rsidRPr="00BD1DFE">
        <w:rPr>
          <w:color w:val="000000"/>
        </w:rPr>
        <w:t xml:space="preserve"> </w:t>
      </w:r>
      <w:r w:rsidR="00BD1DFE">
        <w:rPr>
          <w:color w:val="000000"/>
        </w:rPr>
        <w:t>d</w:t>
      </w:r>
      <w:r w:rsidR="00BD1DFE" w:rsidRPr="000747B3">
        <w:rPr>
          <w:color w:val="000000"/>
        </w:rPr>
        <w:t xml:space="preserve">espite a recent </w:t>
      </w:r>
      <w:r w:rsidR="00BD1DFE">
        <w:rPr>
          <w:color w:val="000000"/>
        </w:rPr>
        <w:t xml:space="preserve">increase in </w:t>
      </w:r>
      <w:r w:rsidR="00B95EB9">
        <w:rPr>
          <w:color w:val="000000"/>
        </w:rPr>
        <w:t>headline inflation rate due to</w:t>
      </w:r>
      <w:r w:rsidR="00BD1DFE">
        <w:rPr>
          <w:color w:val="000000"/>
        </w:rPr>
        <w:t xml:space="preserve"> tax </w:t>
      </w:r>
      <w:r w:rsidR="00B95EB9">
        <w:rPr>
          <w:color w:val="000000"/>
        </w:rPr>
        <w:t>changes</w:t>
      </w:r>
      <w:r w:rsidRPr="000747B3">
        <w:rPr>
          <w:color w:val="000000"/>
        </w:rPr>
        <w:t>. Overall, the Japanese economy is expected to slow sharply from an estimated 4¼ per cent growth in 2010 to 1¼ per cent in both 2011 and 2012.</w:t>
      </w:r>
    </w:p>
    <w:p w:rsidR="00535CED" w:rsidRPr="000747B3" w:rsidRDefault="00535CED" w:rsidP="00535CED">
      <w:pPr>
        <w:rPr>
          <w:color w:val="000000"/>
          <w:highlight w:val="yellow"/>
        </w:rPr>
      </w:pPr>
      <w:r w:rsidRPr="000747B3">
        <w:rPr>
          <w:color w:val="000000"/>
        </w:rPr>
        <w:t xml:space="preserve">The </w:t>
      </w:r>
      <w:r w:rsidRPr="000747B3">
        <w:rPr>
          <w:b/>
          <w:color w:val="000000"/>
        </w:rPr>
        <w:t>Indian</w:t>
      </w:r>
      <w:r w:rsidRPr="000747B3">
        <w:rPr>
          <w:color w:val="000000"/>
        </w:rPr>
        <w:t xml:space="preserve"> economy has grown strongly over the past year. Reflecting a stronger than expected September quarter, India’s economy is now forecast to grow by 10 per cent in 2010, before slowing to 8¾ per cent in both 2011 and 2012. While there are signs that industrial sector growth may be moderating, private domestic demand is expected to remain strong, supported by robust labour market conditions and rising disposable income. Going forward, the large fiscal deficit and high inflation are likely to be the main macroeconomic pressure points affecting India’s growth performance.</w:t>
      </w:r>
    </w:p>
    <w:p w:rsidR="00535CED" w:rsidRPr="000747B3" w:rsidRDefault="00535CED" w:rsidP="00535CED">
      <w:pPr>
        <w:rPr>
          <w:color w:val="000000"/>
        </w:rPr>
      </w:pPr>
      <w:r w:rsidRPr="000747B3">
        <w:rPr>
          <w:color w:val="000000"/>
        </w:rPr>
        <w:lastRenderedPageBreak/>
        <w:t xml:space="preserve">Since September JEFG, economic activity in the </w:t>
      </w:r>
      <w:r w:rsidRPr="000747B3">
        <w:rPr>
          <w:b/>
          <w:color w:val="000000"/>
        </w:rPr>
        <w:t>euro area</w:t>
      </w:r>
      <w:r w:rsidRPr="000747B3">
        <w:rPr>
          <w:color w:val="000000"/>
        </w:rPr>
        <w:t xml:space="preserve"> has slowed in line with expectations.  The two-speed economy that has emerged in the region is expected to continue. The recent depreciation in the euro will boost exports, while increasing private sector demand in the core economies should also support growth. However, persistent high unemployment, additional fiscal consolidation efforts in 2011, and ongoing weakness in the periphery will offset part of the strength in the core. GDP is forecast to grow 1¾ per cent in 2010 before slowing to 1¼ per cent in 2011 and 2012.</w:t>
      </w:r>
    </w:p>
    <w:p w:rsidR="00535CED" w:rsidRPr="000747B3" w:rsidRDefault="00535CED" w:rsidP="00535CED">
      <w:pPr>
        <w:rPr>
          <w:color w:val="000000"/>
        </w:rPr>
      </w:pPr>
      <w:r w:rsidRPr="000747B3">
        <w:rPr>
          <w:color w:val="000000"/>
        </w:rPr>
        <w:t xml:space="preserve">The </w:t>
      </w:r>
      <w:r w:rsidRPr="000747B3">
        <w:rPr>
          <w:b/>
          <w:color w:val="000000"/>
        </w:rPr>
        <w:t>United Kingdom</w:t>
      </w:r>
      <w:r w:rsidRPr="000747B3">
        <w:rPr>
          <w:color w:val="000000"/>
        </w:rPr>
        <w:t xml:space="preserve"> economy has grown </w:t>
      </w:r>
      <w:r w:rsidR="001B0169">
        <w:rPr>
          <w:color w:val="000000"/>
        </w:rPr>
        <w:t>more strongly</w:t>
      </w:r>
      <w:r w:rsidRPr="000747B3">
        <w:rPr>
          <w:color w:val="000000"/>
        </w:rPr>
        <w:t xml:space="preserve"> than expected so far in 2010. Looking forward, however, the recovery is expected to be protracted, as growth is held back by the Government’s fiscal consolidation measures and efforts to reduce private sector indebtedness.  After contracting by 5 per cent in 2009, GDP is forecast to record modest growth of 1¾ per cent in both 2010 and 2011, before stronger growth of 2¼ per cent in 2012.</w:t>
      </w:r>
    </w:p>
    <w:p w:rsidR="00535CED" w:rsidRPr="000747B3" w:rsidRDefault="00535CED" w:rsidP="00535CED">
      <w:pPr>
        <w:rPr>
          <w:bCs/>
          <w:color w:val="000000"/>
        </w:rPr>
      </w:pPr>
      <w:r w:rsidRPr="000747B3">
        <w:rPr>
          <w:color w:val="000000"/>
        </w:rPr>
        <w:t xml:space="preserve">The </w:t>
      </w:r>
      <w:r w:rsidRPr="000747B3">
        <w:rPr>
          <w:b/>
          <w:color w:val="000000"/>
        </w:rPr>
        <w:t>Newly Industrialised Economies</w:t>
      </w:r>
      <w:r w:rsidRPr="000747B3">
        <w:rPr>
          <w:b/>
          <w:bCs/>
          <w:color w:val="000000"/>
        </w:rPr>
        <w:t xml:space="preserve"> (NIEs)</w:t>
      </w:r>
      <w:r w:rsidRPr="000747B3">
        <w:rPr>
          <w:bCs/>
          <w:color w:val="000000"/>
        </w:rPr>
        <w:t xml:space="preserve"> have recovered strongly from the global financial crisis and growth is expected to continue, albeit at a slower pace. Fiscal stimulus and capital inflows have helped the stronger</w:t>
      </w:r>
      <w:r w:rsidRPr="000747B3">
        <w:rPr>
          <w:bCs/>
          <w:color w:val="000000"/>
        </w:rPr>
        <w:noBreakHyphen/>
        <w:t>than</w:t>
      </w:r>
      <w:r w:rsidRPr="000747B3">
        <w:rPr>
          <w:bCs/>
          <w:color w:val="000000"/>
        </w:rPr>
        <w:noBreakHyphen/>
        <w:t xml:space="preserve">expected recovery.  Going </w:t>
      </w:r>
      <w:r w:rsidRPr="000747B3">
        <w:rPr>
          <w:bCs/>
          <w:color w:val="000000"/>
        </w:rPr>
        <w:lastRenderedPageBreak/>
        <w:t xml:space="preserve">forward, the governments of the NIEs are seeking sustainable growth, and have taken measures to address risks related to strong capital flows and associated asset-price inflation. Real GDP is expected to grow by 8 per cent in 2010, 4¼ per cent in 2011 and 5 per cent in 2012.  </w:t>
      </w:r>
    </w:p>
    <w:p w:rsidR="00535CED" w:rsidRPr="000747B3" w:rsidRDefault="00535CED" w:rsidP="00535CED">
      <w:pPr>
        <w:rPr>
          <w:color w:val="000000"/>
        </w:rPr>
      </w:pPr>
      <w:r w:rsidRPr="000747B3">
        <w:rPr>
          <w:color w:val="000000"/>
        </w:rPr>
        <w:t xml:space="preserve">Economic activity in the </w:t>
      </w:r>
      <w:r w:rsidRPr="000747B3">
        <w:rPr>
          <w:b/>
          <w:color w:val="000000"/>
        </w:rPr>
        <w:t>ASEAN-5</w:t>
      </w:r>
      <w:r w:rsidRPr="000747B3">
        <w:rPr>
          <w:color w:val="000000"/>
        </w:rPr>
        <w:t xml:space="preserve"> rebounded strongly in the first half of 2010, supported by strong domestic demand and a rebound in exports which propelled economies such as the Philippines and Malaysia to their strongest growth rates in recent years. </w:t>
      </w:r>
    </w:p>
    <w:p w:rsidR="00535CED" w:rsidRPr="000747B3" w:rsidRDefault="00535CED" w:rsidP="00535CED">
      <w:pPr>
        <w:rPr>
          <w:color w:val="000000"/>
        </w:rPr>
      </w:pPr>
      <w:r w:rsidRPr="000747B3">
        <w:rPr>
          <w:color w:val="000000"/>
        </w:rPr>
        <w:t xml:space="preserve">However, economic activity is now returning to more sustainable levels, with trade, industrial production and domestic demand all moderating over recent months. Economic growth for the year has peaked, with GDP in Thailand, Malaysia and the Philippines contracting in the September quarter and coming in below market expectations, while growth in Indonesia also moderated. Nevertheless, the policy environment remains largely accommodative and will help to underpin growth going forward. Growth in the region is forecast to be 6¾ per cent in 2010 before moderating to 5¾ per cent in 2011 and 6 per cent in 2012. </w:t>
      </w:r>
      <w:r w:rsidRPr="000747B3">
        <w:rPr>
          <w:color w:val="000000"/>
        </w:rPr>
        <w:tab/>
      </w:r>
    </w:p>
    <w:p w:rsidR="00F355E8" w:rsidRPr="00F355E8" w:rsidRDefault="00F355E8" w:rsidP="00F355E8">
      <w:pPr>
        <w:sectPr w:rsidR="00F355E8" w:rsidRPr="00F355E8" w:rsidSect="00F355E8">
          <w:headerReference w:type="default" r:id="rId38"/>
          <w:footerReference w:type="even" r:id="rId39"/>
          <w:footerReference w:type="default" r:id="rId40"/>
          <w:type w:val="continuous"/>
          <w:pgSz w:w="11907" w:h="16840" w:code="9"/>
          <w:pgMar w:top="1418" w:right="1418" w:bottom="1418" w:left="1418" w:header="567" w:footer="567" w:gutter="0"/>
          <w:cols w:num="2" w:space="709"/>
        </w:sectPr>
      </w:pPr>
    </w:p>
    <w:p w:rsidR="00F355E8" w:rsidRPr="00F355E8" w:rsidRDefault="00F355E8" w:rsidP="00F355E8">
      <w:pPr>
        <w:rPr>
          <w:vanish/>
        </w:rPr>
      </w:pPr>
      <w:r w:rsidRPr="00F355E8">
        <w:rPr>
          <w:vanish/>
        </w:rPr>
        <w:lastRenderedPageBreak/>
        <w:t>Source for table &amp; charts:</w:t>
      </w:r>
    </w:p>
    <w:p w:rsidR="00F355E8" w:rsidRPr="00F355E8" w:rsidRDefault="00F355E8" w:rsidP="00F355E8">
      <w:r w:rsidRPr="00F355E8">
        <w:rPr>
          <w:vanish/>
        </w:rPr>
        <w:t>H:\IED\Forecasting\1 JEFG-Budget material\DAT - World - GDP - IED - Forecasts - Dec JEFG 2009 - final (JP revision) - RS - 091214.xlsH:\IED\Forecasting\DAT - World - GDP - IED - Forecasts - Current.xls</w:t>
      </w:r>
      <w:hyperlink r:id="rId41" w:history="1">
        <w:r w:rsidRPr="00F355E8">
          <w:rPr>
            <w:rStyle w:val="Hyperlink"/>
            <w:vanish/>
            <w:color w:val="auto"/>
          </w:rPr>
          <w:t>H:\IED\Forecasting\1 JEFG-Budget material\DAT - World - GDP - IED - Forecasts - MYEFO Oct 09 final - RS - 091026.xls</w:t>
        </w:r>
      </w:hyperlink>
    </w:p>
    <w:p w:rsidR="00A06546" w:rsidRPr="00F355E8" w:rsidRDefault="00A06546" w:rsidP="00F355E8">
      <w:pPr>
        <w:pStyle w:val="TableHeadingCharChar"/>
      </w:pPr>
    </w:p>
    <w:sectPr w:rsidR="00A06546" w:rsidRPr="00F355E8" w:rsidSect="00F355E8">
      <w:type w:val="continuous"/>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21" w:rsidRDefault="00367621">
      <w:r>
        <w:separator/>
      </w:r>
    </w:p>
  </w:endnote>
  <w:endnote w:type="continuationSeparator" w:id="0">
    <w:p w:rsidR="00367621" w:rsidRDefault="003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rsidP="00A37748">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367621">
      <w:rPr>
        <w:rStyle w:val="PageNumber"/>
        <w:noProof/>
      </w:rPr>
      <w:t>2</w:t>
    </w:r>
    <w:r>
      <w:rPr>
        <w:rStyle w:val="PageNumber"/>
      </w:rPr>
      <w:fldChar w:fldCharType="end"/>
    </w:r>
  </w:p>
  <w:p w:rsidR="00367621" w:rsidRDefault="00367621" w:rsidP="0060744E">
    <w:pPr>
      <w:pStyle w:val="Footer"/>
      <w:ind w:right="360" w:firstLine="360"/>
      <w:jc w:val="center"/>
    </w:pPr>
    <w:r>
      <w:t>PROTECTED</w:t>
    </w:r>
    <w:r w:rsidR="004D4273">
      <w:fldChar w:fldCharType="begin"/>
    </w:r>
    <w:r>
      <w:instrText xml:space="preserve"> COMMENTS  \* MERGEFORMAT </w:instrText>
    </w:r>
    <w:r w:rsidR="004D42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rsidP="00BC450E">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112B5B">
      <w:rPr>
        <w:rStyle w:val="PageNumber"/>
        <w:noProof/>
      </w:rPr>
      <w:t>2</w:t>
    </w:r>
    <w:r>
      <w:rPr>
        <w:rStyle w:val="PageNumber"/>
      </w:rPr>
      <w:fldChar w:fldCharType="end"/>
    </w:r>
  </w:p>
  <w:p w:rsidR="00367621" w:rsidRPr="00704E0D" w:rsidRDefault="00367621" w:rsidP="002D26C9">
    <w:pPr>
      <w:pStyle w:val="Classificatio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5B" w:rsidRDefault="00112B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112B5B">
      <w:rPr>
        <w:rStyle w:val="PageNumber"/>
        <w:noProof/>
      </w:rPr>
      <w:t>6</w:t>
    </w:r>
    <w:r>
      <w:rPr>
        <w:rStyle w:val="PageNumber"/>
      </w:rPr>
      <w:fldChar w:fldCharType="end"/>
    </w:r>
  </w:p>
  <w:p w:rsidR="00367621" w:rsidRDefault="004D4273">
    <w:pPr>
      <w:pStyle w:val="Footer"/>
      <w:ind w:right="360"/>
      <w:jc w:val="right"/>
    </w:pPr>
    <w:r>
      <w:fldChar w:fldCharType="begin"/>
    </w:r>
    <w:r w:rsidR="00367621">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2D26C9">
    <w:pPr>
      <w:pStyle w:val="Footer"/>
      <w:jc w:val="right"/>
    </w:pPr>
    <w:r>
      <w:fldChar w:fldCharType="begin"/>
    </w:r>
    <w:r>
      <w:instrText xml:space="preserve"> PAGE   \* MERGEFORMAT </w:instrText>
    </w:r>
    <w:r>
      <w:fldChar w:fldCharType="separate"/>
    </w:r>
    <w:r w:rsidR="00112B5B">
      <w:rPr>
        <w:noProof/>
      </w:rPr>
      <w:t>14</w:t>
    </w:r>
    <w:r>
      <w:rPr>
        <w:noProof/>
      </w:rPr>
      <w:fldChar w:fldCharType="end"/>
    </w:r>
  </w:p>
  <w:p w:rsidR="00367621" w:rsidRDefault="00367621">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367621">
      <w:rPr>
        <w:rStyle w:val="PageNumber"/>
        <w:noProof/>
      </w:rPr>
      <w:t>2</w:t>
    </w:r>
    <w:r>
      <w:rPr>
        <w:rStyle w:val="PageNumber"/>
      </w:rPr>
      <w:fldChar w:fldCharType="end"/>
    </w:r>
  </w:p>
  <w:p w:rsidR="00367621" w:rsidRDefault="004D4273">
    <w:pPr>
      <w:pStyle w:val="Footer"/>
      <w:ind w:right="360"/>
      <w:jc w:val="right"/>
    </w:pPr>
    <w:r>
      <w:fldChar w:fldCharType="begin"/>
    </w:r>
    <w:r w:rsidR="00367621">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367621">
      <w:rPr>
        <w:rStyle w:val="PageNumber"/>
        <w:noProof/>
      </w:rPr>
      <w:t>5</w:t>
    </w:r>
    <w:r>
      <w:rPr>
        <w:rStyle w:val="PageNumber"/>
      </w:rPr>
      <w:fldChar w:fldCharType="end"/>
    </w:r>
  </w:p>
  <w:p w:rsidR="00367621" w:rsidRDefault="004D4273">
    <w:pPr>
      <w:pStyle w:val="Footer"/>
      <w:ind w:right="360"/>
      <w:jc w:val="right"/>
    </w:pPr>
    <w:r>
      <w:fldChar w:fldCharType="begin"/>
    </w:r>
    <w:r w:rsidR="00367621">
      <w:instrText xml:space="preserve"> COMMENTS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367621">
      <w:rPr>
        <w:rStyle w:val="PageNumber"/>
        <w:noProof/>
      </w:rPr>
      <w:t>4</w:t>
    </w:r>
    <w:r>
      <w:rPr>
        <w:rStyle w:val="PageNumber"/>
      </w:rPr>
      <w:fldChar w:fldCharType="end"/>
    </w:r>
  </w:p>
  <w:p w:rsidR="00367621" w:rsidRDefault="004D4273">
    <w:pPr>
      <w:pStyle w:val="Footer"/>
      <w:ind w:right="360"/>
      <w:jc w:val="right"/>
    </w:pPr>
    <w:r>
      <w:fldChar w:fldCharType="begin"/>
    </w:r>
    <w:r w:rsidR="00367621">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4D4273">
    <w:pPr>
      <w:pStyle w:val="Footer"/>
      <w:framePr w:wrap="around" w:vAnchor="text" w:hAnchor="margin" w:xAlign="right" w:y="1"/>
      <w:rPr>
        <w:rStyle w:val="PageNumber"/>
      </w:rPr>
    </w:pPr>
    <w:r>
      <w:rPr>
        <w:rStyle w:val="PageNumber"/>
      </w:rPr>
      <w:fldChar w:fldCharType="begin"/>
    </w:r>
    <w:r w:rsidR="00367621">
      <w:rPr>
        <w:rStyle w:val="PageNumber"/>
      </w:rPr>
      <w:instrText xml:space="preserve">PAGE  </w:instrText>
    </w:r>
    <w:r>
      <w:rPr>
        <w:rStyle w:val="PageNumber"/>
      </w:rPr>
      <w:fldChar w:fldCharType="separate"/>
    </w:r>
    <w:r w:rsidR="00112B5B">
      <w:rPr>
        <w:rStyle w:val="PageNumber"/>
        <w:noProof/>
      </w:rPr>
      <w:t>17</w:t>
    </w:r>
    <w:r>
      <w:rPr>
        <w:rStyle w:val="PageNumber"/>
      </w:rPr>
      <w:fldChar w:fldCharType="end"/>
    </w:r>
  </w:p>
  <w:p w:rsidR="00367621" w:rsidRDefault="004D4273">
    <w:pPr>
      <w:pStyle w:val="Footer"/>
      <w:ind w:right="360"/>
      <w:jc w:val="right"/>
    </w:pPr>
    <w:r>
      <w:fldChar w:fldCharType="begin"/>
    </w:r>
    <w:r w:rsidR="00367621">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21" w:rsidRDefault="00367621">
      <w:pPr>
        <w:pStyle w:val="TableBodyText"/>
        <w:spacing w:before="120" w:after="120"/>
      </w:pPr>
      <w:r>
        <w:separator/>
      </w:r>
    </w:p>
  </w:footnote>
  <w:footnote w:type="continuationSeparator" w:id="0">
    <w:p w:rsidR="00367621" w:rsidRDefault="0036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5B" w:rsidRDefault="00112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5B" w:rsidRDefault="00112B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5B" w:rsidRDefault="00112B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367621" w:rsidP="003F6407">
    <w:pPr>
      <w:pStyle w:val="Header"/>
      <w:jc w:val="center"/>
    </w:pPr>
    <w:r>
      <w:rPr>
        <w:rStyle w:val="FramedHeader"/>
      </w:rPr>
      <w:t>PROTECTED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Pr="002D26C9" w:rsidRDefault="00367621" w:rsidP="002D26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367621" w:rsidP="005224FD">
    <w:pPr>
      <w:pStyle w:val="Header"/>
      <w:jc w:val="center"/>
    </w:pPr>
    <w:r>
      <w:rPr>
        <w:rStyle w:val="FramedHeader"/>
      </w:rPr>
      <w:t>PROTECTED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2D26C9">
    <w:pPr>
      <w:framePr w:wrap="around" w:vAnchor="page" w:hAnchor="margin" w:x="14460" w:y="7939" w:anchorLock="1"/>
      <w:rPr>
        <w:rStyle w:val="FramedHeader"/>
      </w:rPr>
    </w:pPr>
    <w:fldSimple w:instr=" TITLE  \* MERGEFORMAT ">
      <w:r w:rsidR="008A1D76" w:rsidRPr="008A1D76">
        <w:rPr>
          <w:rStyle w:val="FramedHeader"/>
        </w:rPr>
        <w:t>March 06 Forecasting Report</w:t>
      </w:r>
    </w:fldSimple>
  </w:p>
  <w:p w:rsidR="00367621" w:rsidRDefault="0036762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21" w:rsidRDefault="002D26C9">
    <w:pPr>
      <w:framePr w:wrap="around" w:vAnchor="page" w:hAnchor="margin" w:x="14460" w:y="7939" w:anchorLock="1"/>
      <w:rPr>
        <w:rStyle w:val="FramedHeader"/>
      </w:rPr>
    </w:pPr>
    <w:fldSimple w:instr=" TITLE  \* MERGEFORMAT ">
      <w:r w:rsidR="008A1D76" w:rsidRPr="008A1D76">
        <w:rPr>
          <w:rStyle w:val="FramedHeader"/>
        </w:rPr>
        <w:t>March 06 Forecasting Report</w:t>
      </w:r>
    </w:fldSimple>
  </w:p>
  <w:p w:rsidR="00367621" w:rsidRDefault="00367621" w:rsidP="002D26C9">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pStyle w:val="Dash"/>
      <w:lvlText w:val=""/>
      <w:lvlJc w:val="left"/>
      <w:pPr>
        <w:tabs>
          <w:tab w:val="num" w:pos="646"/>
        </w:tabs>
        <w:ind w:left="283" w:firstLine="0"/>
      </w:pPr>
      <w:rPr>
        <w:rFonts w:ascii="Symbol" w:hAnsi="Symbol" w:hint="default"/>
        <w:b w:val="0"/>
        <w:i w:val="0"/>
        <w:caps w:val="0"/>
        <w:smallCaps w:val="0"/>
        <w:strike w:val="0"/>
        <w:dstrike w:val="0"/>
        <w:outline w:val="0"/>
        <w:shadow w:val="0"/>
        <w:emboss w:val="0"/>
        <w:imprint w:val="0"/>
        <w:vanish w:val="0"/>
        <w:sz w:val="20"/>
        <w:u w:val="none"/>
        <w:vertAlign w:val="base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outline w:val="0"/>
        <w:shadow w:val="0"/>
        <w:emboss w:val="0"/>
        <w:imprint w:val="0"/>
        <w:vanish w:val="0"/>
        <w:sz w:val="20"/>
        <w:vertAlign w:val="base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outline w:val="0"/>
        <w:shadow w:val="0"/>
        <w:emboss w:val="0"/>
        <w:imprint w:val="0"/>
        <w:vanish w:val="0"/>
        <w:sz w:val="24"/>
        <w:vertAlign w:val="base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outline w:val="0"/>
        <w:shadow w:val="0"/>
        <w:emboss w:val="0"/>
        <w:imprint w:val="0"/>
        <w:vanish w:val="0"/>
        <w:sz w:val="16"/>
        <w:vertAlign w:val="base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2">
    <w:nsid w:val="24CF4120"/>
    <w:multiLevelType w:val="singleLevel"/>
    <w:tmpl w:val="5492F112"/>
    <w:lvl w:ilvl="0">
      <w:start w:val="1"/>
      <w:numFmt w:val="bullet"/>
      <w:pStyle w:val="DoubleDot"/>
      <w:lvlText w:val=":"/>
      <w:lvlJc w:val="left"/>
      <w:pPr>
        <w:tabs>
          <w:tab w:val="num" w:pos="357"/>
        </w:tabs>
        <w:ind w:left="283" w:hanging="283"/>
      </w:pPr>
      <w:rPr>
        <w:rFonts w:ascii="Times New Roman" w:hAnsi="Times New Roman" w:hint="default"/>
        <w:b/>
        <w:i w:val="0"/>
        <w:caps w:val="0"/>
        <w:strike w:val="0"/>
        <w:dstrike w:val="0"/>
        <w:outline w:val="0"/>
        <w:shadow w:val="0"/>
        <w:emboss w:val="0"/>
        <w:imprint w:val="0"/>
        <w:vanish w:val="0"/>
        <w:sz w:val="24"/>
        <w:vertAlign w:val="base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4">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5">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6">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17">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18">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9">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0">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1">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22">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outline w:val="0"/>
        <w:shadow w:val="0"/>
        <w:emboss w:val="0"/>
        <w:imprint w:val="0"/>
        <w:vanish w:val="0"/>
        <w:sz w:val="20"/>
        <w:vertAlign w:val="baseline"/>
      </w:rPr>
    </w:lvl>
  </w:abstractNum>
  <w:abstractNum w:abstractNumId="23">
    <w:nsid w:val="3B8B757B"/>
    <w:multiLevelType w:val="singleLevel"/>
    <w:tmpl w:val="3D8230E8"/>
    <w:lvl w:ilvl="0">
      <w:start w:val="2"/>
      <w:numFmt w:val="decimal"/>
      <w:pStyle w:val="NumberedParagraph"/>
      <w:lvlText w:val="%1."/>
      <w:lvlJc w:val="left"/>
      <w:pPr>
        <w:tabs>
          <w:tab w:val="num" w:pos="567"/>
        </w:tabs>
        <w:ind w:left="0" w:firstLine="0"/>
      </w:pPr>
    </w:lvl>
  </w:abstractNum>
  <w:abstractNum w:abstractNumId="24">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25">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outline w:val="0"/>
        <w:shadow w:val="0"/>
        <w:emboss w:val="0"/>
        <w:imprint w:val="0"/>
        <w:vanish w:val="0"/>
        <w:sz w:val="20"/>
        <w:vertAlign w:val="baseline"/>
      </w:rPr>
    </w:lvl>
  </w:abstractNum>
  <w:abstractNum w:abstractNumId="26">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27">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28">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29">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0">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31">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2">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3">
    <w:nsid w:val="66022277"/>
    <w:multiLevelType w:val="singleLevel"/>
    <w:tmpl w:val="644063B8"/>
    <w:name w:val="StandardNumberedParagraphList"/>
    <w:lvl w:ilvl="0">
      <w:start w:val="1"/>
      <w:numFmt w:val="lowerLetter"/>
      <w:lvlRestart w:val="0"/>
      <w:pStyle w:val="ChartandTableFootnoteAlpha"/>
      <w:lvlText w:val="(%1)"/>
      <w:lvlJc w:val="left"/>
      <w:pPr>
        <w:tabs>
          <w:tab w:val="num" w:pos="283"/>
        </w:tabs>
        <w:ind w:left="283" w:hanging="283"/>
      </w:pPr>
      <w:rPr>
        <w:rFonts w:ascii="Arial" w:hAnsi="Arial" w:hint="default"/>
      </w:rPr>
    </w:lvl>
  </w:abstractNum>
  <w:abstractNum w:abstractNumId="34">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35">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6">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7">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8">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39">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40">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0"/>
  </w:num>
  <w:num w:numId="2">
    <w:abstractNumId w:val="26"/>
  </w:num>
  <w:num w:numId="3">
    <w:abstractNumId w:val="19"/>
  </w:num>
  <w:num w:numId="4">
    <w:abstractNumId w:val="39"/>
  </w:num>
  <w:num w:numId="5">
    <w:abstractNumId w:val="11"/>
  </w:num>
  <w:num w:numId="6">
    <w:abstractNumId w:val="14"/>
  </w:num>
  <w:num w:numId="7">
    <w:abstractNumId w:val="18"/>
  </w:num>
  <w:num w:numId="8">
    <w:abstractNumId w:val="32"/>
  </w:num>
  <w:num w:numId="9">
    <w:abstractNumId w:val="35"/>
  </w:num>
  <w:num w:numId="10">
    <w:abstractNumId w:val="15"/>
  </w:num>
  <w:num w:numId="11">
    <w:abstractNumId w:val="31"/>
  </w:num>
  <w:num w:numId="12">
    <w:abstractNumId w:val="20"/>
  </w:num>
  <w:num w:numId="13">
    <w:abstractNumId w:val="38"/>
  </w:num>
  <w:num w:numId="14">
    <w:abstractNumId w:val="13"/>
  </w:num>
  <w:num w:numId="15">
    <w:abstractNumId w:val="1"/>
  </w:num>
  <w:num w:numId="16">
    <w:abstractNumId w:val="7"/>
  </w:num>
  <w:num w:numId="17">
    <w:abstractNumId w:val="29"/>
  </w:num>
  <w:num w:numId="18">
    <w:abstractNumId w:val="4"/>
  </w:num>
  <w:num w:numId="19">
    <w:abstractNumId w:val="25"/>
  </w:num>
  <w:num w:numId="20">
    <w:abstractNumId w:val="2"/>
  </w:num>
  <w:num w:numId="21">
    <w:abstractNumId w:val="6"/>
  </w:num>
  <w:num w:numId="22">
    <w:abstractNumId w:val="8"/>
  </w:num>
  <w:num w:numId="23">
    <w:abstractNumId w:val="22"/>
  </w:num>
  <w:num w:numId="24">
    <w:abstractNumId w:val="40"/>
  </w:num>
  <w:num w:numId="25">
    <w:abstractNumId w:val="16"/>
  </w:num>
  <w:num w:numId="26">
    <w:abstractNumId w:val="36"/>
  </w:num>
  <w:num w:numId="27">
    <w:abstractNumId w:val="3"/>
  </w:num>
  <w:num w:numId="28">
    <w:abstractNumId w:val="21"/>
  </w:num>
  <w:num w:numId="29">
    <w:abstractNumId w:val="17"/>
  </w:num>
  <w:num w:numId="30">
    <w:abstractNumId w:val="24"/>
  </w:num>
  <w:num w:numId="31">
    <w:abstractNumId w:val="37"/>
  </w:num>
  <w:num w:numId="32">
    <w:abstractNumId w:val="10"/>
  </w:num>
  <w:num w:numId="33">
    <w:abstractNumId w:val="28"/>
  </w:num>
  <w:num w:numId="34">
    <w:abstractNumId w:val="9"/>
  </w:num>
  <w:num w:numId="35">
    <w:abstractNumId w:val="5"/>
  </w:num>
  <w:num w:numId="36">
    <w:abstractNumId w:val="0"/>
  </w:num>
  <w:num w:numId="37">
    <w:abstractNumId w:val="12"/>
  </w:num>
  <w:num w:numId="38">
    <w:abstractNumId w:val="34"/>
  </w:num>
  <w:num w:numId="39">
    <w:abstractNumId w:val="33"/>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EE6"/>
    <w:rsid w:val="00000E3B"/>
    <w:rsid w:val="00000F89"/>
    <w:rsid w:val="0000168C"/>
    <w:rsid w:val="00001847"/>
    <w:rsid w:val="00001ECA"/>
    <w:rsid w:val="00001ED7"/>
    <w:rsid w:val="00001F20"/>
    <w:rsid w:val="00002B6E"/>
    <w:rsid w:val="000032D9"/>
    <w:rsid w:val="0000336A"/>
    <w:rsid w:val="00003654"/>
    <w:rsid w:val="0000396B"/>
    <w:rsid w:val="00003AB4"/>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75"/>
    <w:rsid w:val="0000776A"/>
    <w:rsid w:val="00007813"/>
    <w:rsid w:val="0000785F"/>
    <w:rsid w:val="00007DA9"/>
    <w:rsid w:val="0001006B"/>
    <w:rsid w:val="00010FD8"/>
    <w:rsid w:val="00011C71"/>
    <w:rsid w:val="00012704"/>
    <w:rsid w:val="00012B6C"/>
    <w:rsid w:val="00012B77"/>
    <w:rsid w:val="00012D40"/>
    <w:rsid w:val="000133E2"/>
    <w:rsid w:val="000144FD"/>
    <w:rsid w:val="0001469E"/>
    <w:rsid w:val="00014D9D"/>
    <w:rsid w:val="00014F14"/>
    <w:rsid w:val="00015306"/>
    <w:rsid w:val="000154D0"/>
    <w:rsid w:val="0001590F"/>
    <w:rsid w:val="00015E50"/>
    <w:rsid w:val="000164DE"/>
    <w:rsid w:val="00016578"/>
    <w:rsid w:val="0001662D"/>
    <w:rsid w:val="00016694"/>
    <w:rsid w:val="000168A0"/>
    <w:rsid w:val="00017156"/>
    <w:rsid w:val="0001742B"/>
    <w:rsid w:val="00017A31"/>
    <w:rsid w:val="00017BF6"/>
    <w:rsid w:val="00017C34"/>
    <w:rsid w:val="00020529"/>
    <w:rsid w:val="000209D4"/>
    <w:rsid w:val="00020A12"/>
    <w:rsid w:val="00020BE0"/>
    <w:rsid w:val="00020C26"/>
    <w:rsid w:val="000215D4"/>
    <w:rsid w:val="00021FD2"/>
    <w:rsid w:val="00022821"/>
    <w:rsid w:val="00022ABD"/>
    <w:rsid w:val="00022BBD"/>
    <w:rsid w:val="00022DE1"/>
    <w:rsid w:val="00023203"/>
    <w:rsid w:val="00023403"/>
    <w:rsid w:val="0002345B"/>
    <w:rsid w:val="000237FC"/>
    <w:rsid w:val="00025281"/>
    <w:rsid w:val="000258BF"/>
    <w:rsid w:val="000258CC"/>
    <w:rsid w:val="00025946"/>
    <w:rsid w:val="00025AF2"/>
    <w:rsid w:val="00026305"/>
    <w:rsid w:val="0002670C"/>
    <w:rsid w:val="000268F1"/>
    <w:rsid w:val="00026F4A"/>
    <w:rsid w:val="0003024F"/>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B13"/>
    <w:rsid w:val="00034D5E"/>
    <w:rsid w:val="000353BA"/>
    <w:rsid w:val="00035C48"/>
    <w:rsid w:val="00035D8E"/>
    <w:rsid w:val="00035EA0"/>
    <w:rsid w:val="00035F8B"/>
    <w:rsid w:val="00035FCB"/>
    <w:rsid w:val="000360C1"/>
    <w:rsid w:val="000364AD"/>
    <w:rsid w:val="0003672D"/>
    <w:rsid w:val="00036879"/>
    <w:rsid w:val="00036EEC"/>
    <w:rsid w:val="000373FA"/>
    <w:rsid w:val="0003768F"/>
    <w:rsid w:val="0003784F"/>
    <w:rsid w:val="00037DDD"/>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66C"/>
    <w:rsid w:val="000458F6"/>
    <w:rsid w:val="00045976"/>
    <w:rsid w:val="000459F5"/>
    <w:rsid w:val="00046D2C"/>
    <w:rsid w:val="00047449"/>
    <w:rsid w:val="00047F8E"/>
    <w:rsid w:val="0005012C"/>
    <w:rsid w:val="000501DE"/>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FE2"/>
    <w:rsid w:val="00064071"/>
    <w:rsid w:val="00064179"/>
    <w:rsid w:val="00064748"/>
    <w:rsid w:val="00064AB4"/>
    <w:rsid w:val="000656FF"/>
    <w:rsid w:val="000657E9"/>
    <w:rsid w:val="00065811"/>
    <w:rsid w:val="00065CCB"/>
    <w:rsid w:val="00065D28"/>
    <w:rsid w:val="000660EC"/>
    <w:rsid w:val="000664B6"/>
    <w:rsid w:val="00066F39"/>
    <w:rsid w:val="000679BF"/>
    <w:rsid w:val="00067CA6"/>
    <w:rsid w:val="000707BB"/>
    <w:rsid w:val="00070B41"/>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3F4"/>
    <w:rsid w:val="0008026B"/>
    <w:rsid w:val="00080673"/>
    <w:rsid w:val="0008103D"/>
    <w:rsid w:val="00081333"/>
    <w:rsid w:val="0008183C"/>
    <w:rsid w:val="00081C5A"/>
    <w:rsid w:val="00082638"/>
    <w:rsid w:val="00082E6A"/>
    <w:rsid w:val="00083320"/>
    <w:rsid w:val="000839C7"/>
    <w:rsid w:val="00083DC9"/>
    <w:rsid w:val="00083EC2"/>
    <w:rsid w:val="00084887"/>
    <w:rsid w:val="00084AA3"/>
    <w:rsid w:val="00085741"/>
    <w:rsid w:val="00085D16"/>
    <w:rsid w:val="00085FEA"/>
    <w:rsid w:val="0008641A"/>
    <w:rsid w:val="000868D7"/>
    <w:rsid w:val="00086BDC"/>
    <w:rsid w:val="00086D25"/>
    <w:rsid w:val="00086D69"/>
    <w:rsid w:val="00087675"/>
    <w:rsid w:val="00090E63"/>
    <w:rsid w:val="0009108E"/>
    <w:rsid w:val="000911BE"/>
    <w:rsid w:val="000912DF"/>
    <w:rsid w:val="0009171F"/>
    <w:rsid w:val="000919AA"/>
    <w:rsid w:val="00091E39"/>
    <w:rsid w:val="00092E11"/>
    <w:rsid w:val="00092EFD"/>
    <w:rsid w:val="00093064"/>
    <w:rsid w:val="0009345A"/>
    <w:rsid w:val="000935EE"/>
    <w:rsid w:val="00093778"/>
    <w:rsid w:val="00093BC7"/>
    <w:rsid w:val="00094375"/>
    <w:rsid w:val="00094ABB"/>
    <w:rsid w:val="00095781"/>
    <w:rsid w:val="00095F2B"/>
    <w:rsid w:val="000962B5"/>
    <w:rsid w:val="000967A8"/>
    <w:rsid w:val="00096846"/>
    <w:rsid w:val="00096D8E"/>
    <w:rsid w:val="0009720F"/>
    <w:rsid w:val="00097478"/>
    <w:rsid w:val="0009771A"/>
    <w:rsid w:val="00097B8F"/>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E00"/>
    <w:rsid w:val="000A5F56"/>
    <w:rsid w:val="000A620D"/>
    <w:rsid w:val="000A6C7C"/>
    <w:rsid w:val="000A6E3C"/>
    <w:rsid w:val="000A7696"/>
    <w:rsid w:val="000A77F9"/>
    <w:rsid w:val="000A79FB"/>
    <w:rsid w:val="000B00A1"/>
    <w:rsid w:val="000B1DBB"/>
    <w:rsid w:val="000B1DEF"/>
    <w:rsid w:val="000B1FEF"/>
    <w:rsid w:val="000B2636"/>
    <w:rsid w:val="000B2788"/>
    <w:rsid w:val="000B286A"/>
    <w:rsid w:val="000B2CCF"/>
    <w:rsid w:val="000B3011"/>
    <w:rsid w:val="000B3C04"/>
    <w:rsid w:val="000B3ED5"/>
    <w:rsid w:val="000B413C"/>
    <w:rsid w:val="000B4418"/>
    <w:rsid w:val="000B5084"/>
    <w:rsid w:val="000B5C5B"/>
    <w:rsid w:val="000B5ED5"/>
    <w:rsid w:val="000B62E0"/>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B3D"/>
    <w:rsid w:val="000C3E1D"/>
    <w:rsid w:val="000C3F0A"/>
    <w:rsid w:val="000C4B88"/>
    <w:rsid w:val="000C4E37"/>
    <w:rsid w:val="000C4FF9"/>
    <w:rsid w:val="000C5211"/>
    <w:rsid w:val="000C54DC"/>
    <w:rsid w:val="000C596E"/>
    <w:rsid w:val="000C5A7B"/>
    <w:rsid w:val="000C61DD"/>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F9F"/>
    <w:rsid w:val="000D63AD"/>
    <w:rsid w:val="000D63DA"/>
    <w:rsid w:val="000D6430"/>
    <w:rsid w:val="000D66DB"/>
    <w:rsid w:val="000D6AA5"/>
    <w:rsid w:val="000D6D5A"/>
    <w:rsid w:val="000D6F29"/>
    <w:rsid w:val="000D73E5"/>
    <w:rsid w:val="000D79EB"/>
    <w:rsid w:val="000D7D91"/>
    <w:rsid w:val="000E0420"/>
    <w:rsid w:val="000E06FF"/>
    <w:rsid w:val="000E08F9"/>
    <w:rsid w:val="000E1586"/>
    <w:rsid w:val="000E1758"/>
    <w:rsid w:val="000E1BEF"/>
    <w:rsid w:val="000E20D7"/>
    <w:rsid w:val="000E23B5"/>
    <w:rsid w:val="000E24C2"/>
    <w:rsid w:val="000E3149"/>
    <w:rsid w:val="000E32E7"/>
    <w:rsid w:val="000E39CB"/>
    <w:rsid w:val="000E446B"/>
    <w:rsid w:val="000E4560"/>
    <w:rsid w:val="000E457E"/>
    <w:rsid w:val="000E4649"/>
    <w:rsid w:val="000E4655"/>
    <w:rsid w:val="000E4ECF"/>
    <w:rsid w:val="000E5DD8"/>
    <w:rsid w:val="000E6802"/>
    <w:rsid w:val="000E6E1A"/>
    <w:rsid w:val="000E6EE6"/>
    <w:rsid w:val="000E7334"/>
    <w:rsid w:val="000E7D54"/>
    <w:rsid w:val="000F024D"/>
    <w:rsid w:val="000F0522"/>
    <w:rsid w:val="000F18A2"/>
    <w:rsid w:val="000F1C6E"/>
    <w:rsid w:val="000F212F"/>
    <w:rsid w:val="000F2232"/>
    <w:rsid w:val="000F246A"/>
    <w:rsid w:val="000F2749"/>
    <w:rsid w:val="000F2994"/>
    <w:rsid w:val="000F303D"/>
    <w:rsid w:val="000F30C2"/>
    <w:rsid w:val="000F3549"/>
    <w:rsid w:val="000F369B"/>
    <w:rsid w:val="000F3B9E"/>
    <w:rsid w:val="000F40BE"/>
    <w:rsid w:val="000F4480"/>
    <w:rsid w:val="000F4AC6"/>
    <w:rsid w:val="000F4C12"/>
    <w:rsid w:val="000F5299"/>
    <w:rsid w:val="000F5600"/>
    <w:rsid w:val="000F59C1"/>
    <w:rsid w:val="000F59DC"/>
    <w:rsid w:val="000F5C54"/>
    <w:rsid w:val="000F5DFE"/>
    <w:rsid w:val="000F608E"/>
    <w:rsid w:val="000F7767"/>
    <w:rsid w:val="000F7B6B"/>
    <w:rsid w:val="001002BA"/>
    <w:rsid w:val="00100C13"/>
    <w:rsid w:val="00100C44"/>
    <w:rsid w:val="00100CC8"/>
    <w:rsid w:val="0010113D"/>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7297"/>
    <w:rsid w:val="00107593"/>
    <w:rsid w:val="00107901"/>
    <w:rsid w:val="00107C65"/>
    <w:rsid w:val="00110E11"/>
    <w:rsid w:val="00110E60"/>
    <w:rsid w:val="00110F33"/>
    <w:rsid w:val="00111018"/>
    <w:rsid w:val="0011147D"/>
    <w:rsid w:val="00111721"/>
    <w:rsid w:val="00111C85"/>
    <w:rsid w:val="00111EBC"/>
    <w:rsid w:val="0011200D"/>
    <w:rsid w:val="001121DD"/>
    <w:rsid w:val="001121E2"/>
    <w:rsid w:val="00112274"/>
    <w:rsid w:val="00112576"/>
    <w:rsid w:val="00112B5B"/>
    <w:rsid w:val="00112D4D"/>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FE"/>
    <w:rsid w:val="00122EFA"/>
    <w:rsid w:val="00123AF5"/>
    <w:rsid w:val="00123C56"/>
    <w:rsid w:val="00123F25"/>
    <w:rsid w:val="00124243"/>
    <w:rsid w:val="001255A6"/>
    <w:rsid w:val="0012560B"/>
    <w:rsid w:val="00125CC7"/>
    <w:rsid w:val="00125E26"/>
    <w:rsid w:val="001260CC"/>
    <w:rsid w:val="00126C9C"/>
    <w:rsid w:val="00126EEE"/>
    <w:rsid w:val="001270BC"/>
    <w:rsid w:val="0012767B"/>
    <w:rsid w:val="00130221"/>
    <w:rsid w:val="00131171"/>
    <w:rsid w:val="00131818"/>
    <w:rsid w:val="00132233"/>
    <w:rsid w:val="0013229B"/>
    <w:rsid w:val="00132C59"/>
    <w:rsid w:val="001334AE"/>
    <w:rsid w:val="001338A1"/>
    <w:rsid w:val="00133985"/>
    <w:rsid w:val="001339AC"/>
    <w:rsid w:val="00133FE3"/>
    <w:rsid w:val="00134230"/>
    <w:rsid w:val="0013465B"/>
    <w:rsid w:val="00134663"/>
    <w:rsid w:val="00134AEA"/>
    <w:rsid w:val="0013558E"/>
    <w:rsid w:val="001355E1"/>
    <w:rsid w:val="00135FBC"/>
    <w:rsid w:val="00136BFF"/>
    <w:rsid w:val="001370DE"/>
    <w:rsid w:val="001373BC"/>
    <w:rsid w:val="001376F7"/>
    <w:rsid w:val="00137B03"/>
    <w:rsid w:val="00137DB7"/>
    <w:rsid w:val="00137E4E"/>
    <w:rsid w:val="00137FBF"/>
    <w:rsid w:val="00140023"/>
    <w:rsid w:val="00141DEC"/>
    <w:rsid w:val="00142CB5"/>
    <w:rsid w:val="00142CCD"/>
    <w:rsid w:val="00142CE6"/>
    <w:rsid w:val="001440B4"/>
    <w:rsid w:val="00144455"/>
    <w:rsid w:val="00144866"/>
    <w:rsid w:val="0014491F"/>
    <w:rsid w:val="00145115"/>
    <w:rsid w:val="001459BF"/>
    <w:rsid w:val="00145ACD"/>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90B"/>
    <w:rsid w:val="00153069"/>
    <w:rsid w:val="00153940"/>
    <w:rsid w:val="00154110"/>
    <w:rsid w:val="00154807"/>
    <w:rsid w:val="0015540F"/>
    <w:rsid w:val="001561EB"/>
    <w:rsid w:val="001571E2"/>
    <w:rsid w:val="001577EB"/>
    <w:rsid w:val="001578A8"/>
    <w:rsid w:val="00157F35"/>
    <w:rsid w:val="00160830"/>
    <w:rsid w:val="00160EFE"/>
    <w:rsid w:val="00161069"/>
    <w:rsid w:val="00161A99"/>
    <w:rsid w:val="00162649"/>
    <w:rsid w:val="0016298D"/>
    <w:rsid w:val="00162B76"/>
    <w:rsid w:val="0016342F"/>
    <w:rsid w:val="00163ABD"/>
    <w:rsid w:val="00163E47"/>
    <w:rsid w:val="00164316"/>
    <w:rsid w:val="001647A1"/>
    <w:rsid w:val="001648FE"/>
    <w:rsid w:val="00164AE8"/>
    <w:rsid w:val="00164C98"/>
    <w:rsid w:val="001652F2"/>
    <w:rsid w:val="001654A9"/>
    <w:rsid w:val="00165860"/>
    <w:rsid w:val="00165CDE"/>
    <w:rsid w:val="00166576"/>
    <w:rsid w:val="001672F6"/>
    <w:rsid w:val="00167EA5"/>
    <w:rsid w:val="0017044D"/>
    <w:rsid w:val="00170868"/>
    <w:rsid w:val="0017192A"/>
    <w:rsid w:val="00171930"/>
    <w:rsid w:val="00171A03"/>
    <w:rsid w:val="001720C8"/>
    <w:rsid w:val="001724FC"/>
    <w:rsid w:val="00172A53"/>
    <w:rsid w:val="00172A57"/>
    <w:rsid w:val="001734AE"/>
    <w:rsid w:val="00173AFD"/>
    <w:rsid w:val="00174351"/>
    <w:rsid w:val="00174563"/>
    <w:rsid w:val="00174D62"/>
    <w:rsid w:val="00175934"/>
    <w:rsid w:val="00175C6B"/>
    <w:rsid w:val="001763B9"/>
    <w:rsid w:val="00176700"/>
    <w:rsid w:val="001769D4"/>
    <w:rsid w:val="001771F7"/>
    <w:rsid w:val="00177899"/>
    <w:rsid w:val="00177A89"/>
    <w:rsid w:val="00180213"/>
    <w:rsid w:val="00180BC5"/>
    <w:rsid w:val="0018175C"/>
    <w:rsid w:val="0018269D"/>
    <w:rsid w:val="00182BE5"/>
    <w:rsid w:val="00182FEC"/>
    <w:rsid w:val="00183791"/>
    <w:rsid w:val="001839A5"/>
    <w:rsid w:val="00183BE1"/>
    <w:rsid w:val="00184161"/>
    <w:rsid w:val="0018431A"/>
    <w:rsid w:val="001844AA"/>
    <w:rsid w:val="00184C5F"/>
    <w:rsid w:val="00184E3D"/>
    <w:rsid w:val="00184FBD"/>
    <w:rsid w:val="00184FF7"/>
    <w:rsid w:val="001850CB"/>
    <w:rsid w:val="001850FF"/>
    <w:rsid w:val="00185794"/>
    <w:rsid w:val="00185DA7"/>
    <w:rsid w:val="00185FEA"/>
    <w:rsid w:val="00186A5A"/>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7D4"/>
    <w:rsid w:val="001937F9"/>
    <w:rsid w:val="00193846"/>
    <w:rsid w:val="00193BA0"/>
    <w:rsid w:val="00194364"/>
    <w:rsid w:val="0019482D"/>
    <w:rsid w:val="00194A9B"/>
    <w:rsid w:val="00194B60"/>
    <w:rsid w:val="00195060"/>
    <w:rsid w:val="00195218"/>
    <w:rsid w:val="001954D2"/>
    <w:rsid w:val="0019582D"/>
    <w:rsid w:val="00195D78"/>
    <w:rsid w:val="001963AD"/>
    <w:rsid w:val="00196498"/>
    <w:rsid w:val="001966BE"/>
    <w:rsid w:val="00197163"/>
    <w:rsid w:val="001971D5"/>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3014"/>
    <w:rsid w:val="001A32A6"/>
    <w:rsid w:val="001A3532"/>
    <w:rsid w:val="001A3755"/>
    <w:rsid w:val="001A3AAA"/>
    <w:rsid w:val="001A40C2"/>
    <w:rsid w:val="001A4307"/>
    <w:rsid w:val="001A43BF"/>
    <w:rsid w:val="001A474C"/>
    <w:rsid w:val="001A4774"/>
    <w:rsid w:val="001A4888"/>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353B"/>
    <w:rsid w:val="001B372F"/>
    <w:rsid w:val="001B3FE1"/>
    <w:rsid w:val="001B4CAC"/>
    <w:rsid w:val="001B4E1C"/>
    <w:rsid w:val="001B4E89"/>
    <w:rsid w:val="001B4F4D"/>
    <w:rsid w:val="001B55FE"/>
    <w:rsid w:val="001B573B"/>
    <w:rsid w:val="001B5C13"/>
    <w:rsid w:val="001B5F39"/>
    <w:rsid w:val="001B604C"/>
    <w:rsid w:val="001B6400"/>
    <w:rsid w:val="001B6598"/>
    <w:rsid w:val="001B6765"/>
    <w:rsid w:val="001B6DBD"/>
    <w:rsid w:val="001B70D9"/>
    <w:rsid w:val="001B7970"/>
    <w:rsid w:val="001B7B5E"/>
    <w:rsid w:val="001C0875"/>
    <w:rsid w:val="001C0A89"/>
    <w:rsid w:val="001C0C34"/>
    <w:rsid w:val="001C0EEA"/>
    <w:rsid w:val="001C13C2"/>
    <w:rsid w:val="001C1AF3"/>
    <w:rsid w:val="001C1B89"/>
    <w:rsid w:val="001C1DD8"/>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CC0"/>
    <w:rsid w:val="001D4E61"/>
    <w:rsid w:val="001D4E67"/>
    <w:rsid w:val="001D505A"/>
    <w:rsid w:val="001D56BF"/>
    <w:rsid w:val="001D5775"/>
    <w:rsid w:val="001D5A2A"/>
    <w:rsid w:val="001D5ADC"/>
    <w:rsid w:val="001D5C7B"/>
    <w:rsid w:val="001D5EA6"/>
    <w:rsid w:val="001D6453"/>
    <w:rsid w:val="001D749E"/>
    <w:rsid w:val="001D7A21"/>
    <w:rsid w:val="001E01BD"/>
    <w:rsid w:val="001E02C4"/>
    <w:rsid w:val="001E02EC"/>
    <w:rsid w:val="001E06F7"/>
    <w:rsid w:val="001E098E"/>
    <w:rsid w:val="001E1202"/>
    <w:rsid w:val="001E12A8"/>
    <w:rsid w:val="001E16CF"/>
    <w:rsid w:val="001E1860"/>
    <w:rsid w:val="001E1D32"/>
    <w:rsid w:val="001E21DB"/>
    <w:rsid w:val="001E234F"/>
    <w:rsid w:val="001E2971"/>
    <w:rsid w:val="001E2DFD"/>
    <w:rsid w:val="001E31BA"/>
    <w:rsid w:val="001E3D6E"/>
    <w:rsid w:val="001E41D6"/>
    <w:rsid w:val="001E47F3"/>
    <w:rsid w:val="001E4D11"/>
    <w:rsid w:val="001E4EF3"/>
    <w:rsid w:val="001E5878"/>
    <w:rsid w:val="001E6493"/>
    <w:rsid w:val="001E6967"/>
    <w:rsid w:val="001E6E6B"/>
    <w:rsid w:val="001E723F"/>
    <w:rsid w:val="001E79AA"/>
    <w:rsid w:val="001E7E88"/>
    <w:rsid w:val="001F0384"/>
    <w:rsid w:val="001F099D"/>
    <w:rsid w:val="001F0AF0"/>
    <w:rsid w:val="001F0B75"/>
    <w:rsid w:val="001F100E"/>
    <w:rsid w:val="001F1298"/>
    <w:rsid w:val="001F133A"/>
    <w:rsid w:val="001F1719"/>
    <w:rsid w:val="001F18CE"/>
    <w:rsid w:val="001F1C53"/>
    <w:rsid w:val="001F23AE"/>
    <w:rsid w:val="001F4E9F"/>
    <w:rsid w:val="001F5F51"/>
    <w:rsid w:val="001F64A6"/>
    <w:rsid w:val="001F6A86"/>
    <w:rsid w:val="001F6B2C"/>
    <w:rsid w:val="001F6BC4"/>
    <w:rsid w:val="001F7193"/>
    <w:rsid w:val="001F72DE"/>
    <w:rsid w:val="001F783E"/>
    <w:rsid w:val="001F79AC"/>
    <w:rsid w:val="00201224"/>
    <w:rsid w:val="00201370"/>
    <w:rsid w:val="002019E6"/>
    <w:rsid w:val="00201C89"/>
    <w:rsid w:val="00201ED5"/>
    <w:rsid w:val="002020D5"/>
    <w:rsid w:val="0020347C"/>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603A"/>
    <w:rsid w:val="00216767"/>
    <w:rsid w:val="002169C5"/>
    <w:rsid w:val="00216C30"/>
    <w:rsid w:val="00217722"/>
    <w:rsid w:val="002179EA"/>
    <w:rsid w:val="00217B46"/>
    <w:rsid w:val="00220229"/>
    <w:rsid w:val="002203F0"/>
    <w:rsid w:val="00220690"/>
    <w:rsid w:val="0022086A"/>
    <w:rsid w:val="0022108D"/>
    <w:rsid w:val="00221519"/>
    <w:rsid w:val="0022163F"/>
    <w:rsid w:val="00221CCD"/>
    <w:rsid w:val="00221DD8"/>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D"/>
    <w:rsid w:val="002344D1"/>
    <w:rsid w:val="00234998"/>
    <w:rsid w:val="00234D4B"/>
    <w:rsid w:val="0023557E"/>
    <w:rsid w:val="00235759"/>
    <w:rsid w:val="002366BD"/>
    <w:rsid w:val="00236852"/>
    <w:rsid w:val="002369A3"/>
    <w:rsid w:val="00236B0C"/>
    <w:rsid w:val="00237635"/>
    <w:rsid w:val="00237A1E"/>
    <w:rsid w:val="00237B5E"/>
    <w:rsid w:val="00237BA9"/>
    <w:rsid w:val="00240A1D"/>
    <w:rsid w:val="00241B19"/>
    <w:rsid w:val="00241BB5"/>
    <w:rsid w:val="00242470"/>
    <w:rsid w:val="002425BE"/>
    <w:rsid w:val="002426CB"/>
    <w:rsid w:val="0024287D"/>
    <w:rsid w:val="00243506"/>
    <w:rsid w:val="00243964"/>
    <w:rsid w:val="00243B7C"/>
    <w:rsid w:val="00243C9D"/>
    <w:rsid w:val="002446F9"/>
    <w:rsid w:val="00244FF9"/>
    <w:rsid w:val="00245046"/>
    <w:rsid w:val="002451FA"/>
    <w:rsid w:val="00245339"/>
    <w:rsid w:val="002460DD"/>
    <w:rsid w:val="002462F1"/>
    <w:rsid w:val="00246F35"/>
    <w:rsid w:val="002471EC"/>
    <w:rsid w:val="002478FF"/>
    <w:rsid w:val="002501F1"/>
    <w:rsid w:val="002502F9"/>
    <w:rsid w:val="00250634"/>
    <w:rsid w:val="0025082F"/>
    <w:rsid w:val="00250ADF"/>
    <w:rsid w:val="0025101E"/>
    <w:rsid w:val="00251CAC"/>
    <w:rsid w:val="00252DCD"/>
    <w:rsid w:val="00252E8E"/>
    <w:rsid w:val="00253393"/>
    <w:rsid w:val="00253655"/>
    <w:rsid w:val="00253E0D"/>
    <w:rsid w:val="00253F78"/>
    <w:rsid w:val="00254068"/>
    <w:rsid w:val="00254337"/>
    <w:rsid w:val="002543DA"/>
    <w:rsid w:val="0025454A"/>
    <w:rsid w:val="002546A6"/>
    <w:rsid w:val="0025492C"/>
    <w:rsid w:val="00254CFE"/>
    <w:rsid w:val="00254E89"/>
    <w:rsid w:val="002550A9"/>
    <w:rsid w:val="002556B2"/>
    <w:rsid w:val="00255A0A"/>
    <w:rsid w:val="00256279"/>
    <w:rsid w:val="00256983"/>
    <w:rsid w:val="002571F3"/>
    <w:rsid w:val="0025799B"/>
    <w:rsid w:val="00257A2D"/>
    <w:rsid w:val="00257B0C"/>
    <w:rsid w:val="00257C51"/>
    <w:rsid w:val="00257E74"/>
    <w:rsid w:val="00260428"/>
    <w:rsid w:val="00260AFE"/>
    <w:rsid w:val="00261200"/>
    <w:rsid w:val="00261478"/>
    <w:rsid w:val="0026167C"/>
    <w:rsid w:val="00261CC1"/>
    <w:rsid w:val="00263767"/>
    <w:rsid w:val="00263B3E"/>
    <w:rsid w:val="00263DF0"/>
    <w:rsid w:val="002643BE"/>
    <w:rsid w:val="00264992"/>
    <w:rsid w:val="00264BF5"/>
    <w:rsid w:val="00264F69"/>
    <w:rsid w:val="00265379"/>
    <w:rsid w:val="00265494"/>
    <w:rsid w:val="00265C5F"/>
    <w:rsid w:val="0026606D"/>
    <w:rsid w:val="002660ED"/>
    <w:rsid w:val="0026620E"/>
    <w:rsid w:val="002670A4"/>
    <w:rsid w:val="00267168"/>
    <w:rsid w:val="0027087A"/>
    <w:rsid w:val="00270F5E"/>
    <w:rsid w:val="00271494"/>
    <w:rsid w:val="002714BA"/>
    <w:rsid w:val="0027160A"/>
    <w:rsid w:val="00271C65"/>
    <w:rsid w:val="00272246"/>
    <w:rsid w:val="00272443"/>
    <w:rsid w:val="002726FA"/>
    <w:rsid w:val="002728E7"/>
    <w:rsid w:val="00272A1D"/>
    <w:rsid w:val="00272A51"/>
    <w:rsid w:val="00272F28"/>
    <w:rsid w:val="0027352A"/>
    <w:rsid w:val="002739C4"/>
    <w:rsid w:val="00273A21"/>
    <w:rsid w:val="002741C2"/>
    <w:rsid w:val="0027461D"/>
    <w:rsid w:val="0027465D"/>
    <w:rsid w:val="00274997"/>
    <w:rsid w:val="002749BA"/>
    <w:rsid w:val="00274A9B"/>
    <w:rsid w:val="00274BA3"/>
    <w:rsid w:val="002750F9"/>
    <w:rsid w:val="00275740"/>
    <w:rsid w:val="002766ED"/>
    <w:rsid w:val="00276BD4"/>
    <w:rsid w:val="00276D87"/>
    <w:rsid w:val="002775DA"/>
    <w:rsid w:val="002779E9"/>
    <w:rsid w:val="00280408"/>
    <w:rsid w:val="002807E3"/>
    <w:rsid w:val="00280EEC"/>
    <w:rsid w:val="0028117F"/>
    <w:rsid w:val="00281343"/>
    <w:rsid w:val="00281543"/>
    <w:rsid w:val="00281BDD"/>
    <w:rsid w:val="00281D69"/>
    <w:rsid w:val="0028263C"/>
    <w:rsid w:val="002827A1"/>
    <w:rsid w:val="00282DF2"/>
    <w:rsid w:val="00282F6A"/>
    <w:rsid w:val="002831FB"/>
    <w:rsid w:val="00283701"/>
    <w:rsid w:val="00283C45"/>
    <w:rsid w:val="00284338"/>
    <w:rsid w:val="00284409"/>
    <w:rsid w:val="00284707"/>
    <w:rsid w:val="00284812"/>
    <w:rsid w:val="00284FA5"/>
    <w:rsid w:val="00285FDE"/>
    <w:rsid w:val="00286222"/>
    <w:rsid w:val="002863A7"/>
    <w:rsid w:val="0028648D"/>
    <w:rsid w:val="002868BF"/>
    <w:rsid w:val="0028724A"/>
    <w:rsid w:val="00287508"/>
    <w:rsid w:val="00287CA7"/>
    <w:rsid w:val="00287F52"/>
    <w:rsid w:val="002906E6"/>
    <w:rsid w:val="00290C60"/>
    <w:rsid w:val="00290CBB"/>
    <w:rsid w:val="00290D7A"/>
    <w:rsid w:val="002918D5"/>
    <w:rsid w:val="00291A4B"/>
    <w:rsid w:val="00291E8B"/>
    <w:rsid w:val="00291EDD"/>
    <w:rsid w:val="00291F39"/>
    <w:rsid w:val="00292048"/>
    <w:rsid w:val="0029279F"/>
    <w:rsid w:val="00293562"/>
    <w:rsid w:val="002936DE"/>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158B"/>
    <w:rsid w:val="002A1687"/>
    <w:rsid w:val="002A18E4"/>
    <w:rsid w:val="002A1C98"/>
    <w:rsid w:val="002A264C"/>
    <w:rsid w:val="002A2950"/>
    <w:rsid w:val="002A30C2"/>
    <w:rsid w:val="002A3483"/>
    <w:rsid w:val="002A3AF2"/>
    <w:rsid w:val="002A45F6"/>
    <w:rsid w:val="002A5297"/>
    <w:rsid w:val="002A5A73"/>
    <w:rsid w:val="002A629C"/>
    <w:rsid w:val="002A649C"/>
    <w:rsid w:val="002A6AAC"/>
    <w:rsid w:val="002A6B09"/>
    <w:rsid w:val="002A6DC4"/>
    <w:rsid w:val="002A6EC6"/>
    <w:rsid w:val="002A7173"/>
    <w:rsid w:val="002A71FE"/>
    <w:rsid w:val="002A7345"/>
    <w:rsid w:val="002B0236"/>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951"/>
    <w:rsid w:val="002B2A67"/>
    <w:rsid w:val="002B2CC6"/>
    <w:rsid w:val="002B2E82"/>
    <w:rsid w:val="002B3249"/>
    <w:rsid w:val="002B336A"/>
    <w:rsid w:val="002B3882"/>
    <w:rsid w:val="002B4975"/>
    <w:rsid w:val="002B50D3"/>
    <w:rsid w:val="002B5111"/>
    <w:rsid w:val="002B512A"/>
    <w:rsid w:val="002B521A"/>
    <w:rsid w:val="002B56D5"/>
    <w:rsid w:val="002B5AAE"/>
    <w:rsid w:val="002B6C55"/>
    <w:rsid w:val="002B79DF"/>
    <w:rsid w:val="002C001B"/>
    <w:rsid w:val="002C065E"/>
    <w:rsid w:val="002C0705"/>
    <w:rsid w:val="002C0B45"/>
    <w:rsid w:val="002C1B0D"/>
    <w:rsid w:val="002C207D"/>
    <w:rsid w:val="002C24C8"/>
    <w:rsid w:val="002C3123"/>
    <w:rsid w:val="002C4092"/>
    <w:rsid w:val="002C4620"/>
    <w:rsid w:val="002C4771"/>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6C9"/>
    <w:rsid w:val="002D2788"/>
    <w:rsid w:val="002D283B"/>
    <w:rsid w:val="002D2A0A"/>
    <w:rsid w:val="002D3066"/>
    <w:rsid w:val="002D3BED"/>
    <w:rsid w:val="002D3D0F"/>
    <w:rsid w:val="002D4433"/>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77C"/>
    <w:rsid w:val="002E0B3C"/>
    <w:rsid w:val="002E1285"/>
    <w:rsid w:val="002E1883"/>
    <w:rsid w:val="002E199E"/>
    <w:rsid w:val="002E1C88"/>
    <w:rsid w:val="002E2DE1"/>
    <w:rsid w:val="002E2E14"/>
    <w:rsid w:val="002E315F"/>
    <w:rsid w:val="002E31A0"/>
    <w:rsid w:val="002E39F6"/>
    <w:rsid w:val="002E4119"/>
    <w:rsid w:val="002E446C"/>
    <w:rsid w:val="002E465C"/>
    <w:rsid w:val="002E4735"/>
    <w:rsid w:val="002E4D36"/>
    <w:rsid w:val="002E4D3D"/>
    <w:rsid w:val="002E4E77"/>
    <w:rsid w:val="002E5132"/>
    <w:rsid w:val="002E5742"/>
    <w:rsid w:val="002E5A20"/>
    <w:rsid w:val="002E5AC5"/>
    <w:rsid w:val="002E6D48"/>
    <w:rsid w:val="002E6E9B"/>
    <w:rsid w:val="002E6FB8"/>
    <w:rsid w:val="002E73FB"/>
    <w:rsid w:val="002E757D"/>
    <w:rsid w:val="002E7D04"/>
    <w:rsid w:val="002E7D46"/>
    <w:rsid w:val="002F004C"/>
    <w:rsid w:val="002F0A49"/>
    <w:rsid w:val="002F0AC7"/>
    <w:rsid w:val="002F1275"/>
    <w:rsid w:val="002F1396"/>
    <w:rsid w:val="002F1742"/>
    <w:rsid w:val="002F1D6E"/>
    <w:rsid w:val="002F271E"/>
    <w:rsid w:val="002F27FE"/>
    <w:rsid w:val="002F2837"/>
    <w:rsid w:val="002F28A7"/>
    <w:rsid w:val="002F3952"/>
    <w:rsid w:val="002F4544"/>
    <w:rsid w:val="002F49DE"/>
    <w:rsid w:val="002F5249"/>
    <w:rsid w:val="002F5A20"/>
    <w:rsid w:val="002F629B"/>
    <w:rsid w:val="002F6550"/>
    <w:rsid w:val="002F65C6"/>
    <w:rsid w:val="002F6658"/>
    <w:rsid w:val="002F66E9"/>
    <w:rsid w:val="002F67DC"/>
    <w:rsid w:val="002F6AD9"/>
    <w:rsid w:val="002F6C56"/>
    <w:rsid w:val="002F70A3"/>
    <w:rsid w:val="002F77A3"/>
    <w:rsid w:val="002F7DE5"/>
    <w:rsid w:val="002F7F30"/>
    <w:rsid w:val="002F7F34"/>
    <w:rsid w:val="002F7F4A"/>
    <w:rsid w:val="003001E5"/>
    <w:rsid w:val="00300EA9"/>
    <w:rsid w:val="00301020"/>
    <w:rsid w:val="00301274"/>
    <w:rsid w:val="00301560"/>
    <w:rsid w:val="00301670"/>
    <w:rsid w:val="00301EE2"/>
    <w:rsid w:val="003022B5"/>
    <w:rsid w:val="00302435"/>
    <w:rsid w:val="00302446"/>
    <w:rsid w:val="00302831"/>
    <w:rsid w:val="0030297A"/>
    <w:rsid w:val="0030305C"/>
    <w:rsid w:val="00303B2D"/>
    <w:rsid w:val="00304B0A"/>
    <w:rsid w:val="00305E5E"/>
    <w:rsid w:val="0030604E"/>
    <w:rsid w:val="00306292"/>
    <w:rsid w:val="00306357"/>
    <w:rsid w:val="00306D87"/>
    <w:rsid w:val="003075E9"/>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D8F"/>
    <w:rsid w:val="003208D8"/>
    <w:rsid w:val="00320C0F"/>
    <w:rsid w:val="0032157D"/>
    <w:rsid w:val="003219D3"/>
    <w:rsid w:val="00321A1C"/>
    <w:rsid w:val="00321B44"/>
    <w:rsid w:val="00321DD4"/>
    <w:rsid w:val="0032271A"/>
    <w:rsid w:val="00322BB5"/>
    <w:rsid w:val="0032410C"/>
    <w:rsid w:val="00324679"/>
    <w:rsid w:val="00324795"/>
    <w:rsid w:val="00324923"/>
    <w:rsid w:val="00324B7A"/>
    <w:rsid w:val="003252CD"/>
    <w:rsid w:val="00325B0C"/>
    <w:rsid w:val="003265A8"/>
    <w:rsid w:val="00326804"/>
    <w:rsid w:val="00327789"/>
    <w:rsid w:val="003304CE"/>
    <w:rsid w:val="00330763"/>
    <w:rsid w:val="00330A71"/>
    <w:rsid w:val="00330BA2"/>
    <w:rsid w:val="00330D37"/>
    <w:rsid w:val="00330F6D"/>
    <w:rsid w:val="00331197"/>
    <w:rsid w:val="003312EF"/>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B11"/>
    <w:rsid w:val="00343BF8"/>
    <w:rsid w:val="00343DD3"/>
    <w:rsid w:val="00343DFE"/>
    <w:rsid w:val="00344306"/>
    <w:rsid w:val="00344EF7"/>
    <w:rsid w:val="003468EB"/>
    <w:rsid w:val="003469B5"/>
    <w:rsid w:val="00346B70"/>
    <w:rsid w:val="00347078"/>
    <w:rsid w:val="003472B7"/>
    <w:rsid w:val="00347564"/>
    <w:rsid w:val="003477B2"/>
    <w:rsid w:val="003477EB"/>
    <w:rsid w:val="0035048A"/>
    <w:rsid w:val="00350802"/>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504F"/>
    <w:rsid w:val="0036522A"/>
    <w:rsid w:val="0036528D"/>
    <w:rsid w:val="00365836"/>
    <w:rsid w:val="00365A93"/>
    <w:rsid w:val="00365C11"/>
    <w:rsid w:val="0036635A"/>
    <w:rsid w:val="00366661"/>
    <w:rsid w:val="00366A80"/>
    <w:rsid w:val="00366C32"/>
    <w:rsid w:val="00366C38"/>
    <w:rsid w:val="00367621"/>
    <w:rsid w:val="00367A7C"/>
    <w:rsid w:val="00367E97"/>
    <w:rsid w:val="00370116"/>
    <w:rsid w:val="003707EF"/>
    <w:rsid w:val="00370C02"/>
    <w:rsid w:val="00370C21"/>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887"/>
    <w:rsid w:val="003A3AFB"/>
    <w:rsid w:val="003A4C6E"/>
    <w:rsid w:val="003A5505"/>
    <w:rsid w:val="003A5D91"/>
    <w:rsid w:val="003A6C18"/>
    <w:rsid w:val="003A7C56"/>
    <w:rsid w:val="003A7DBE"/>
    <w:rsid w:val="003B03C9"/>
    <w:rsid w:val="003B04DE"/>
    <w:rsid w:val="003B0A76"/>
    <w:rsid w:val="003B0BB8"/>
    <w:rsid w:val="003B0C33"/>
    <w:rsid w:val="003B0D8F"/>
    <w:rsid w:val="003B0EA4"/>
    <w:rsid w:val="003B0FC8"/>
    <w:rsid w:val="003B1759"/>
    <w:rsid w:val="003B1B69"/>
    <w:rsid w:val="003B1EB3"/>
    <w:rsid w:val="003B22FE"/>
    <w:rsid w:val="003B2480"/>
    <w:rsid w:val="003B2AA1"/>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528"/>
    <w:rsid w:val="003C55E4"/>
    <w:rsid w:val="003C57C0"/>
    <w:rsid w:val="003C6A94"/>
    <w:rsid w:val="003C6E0B"/>
    <w:rsid w:val="003C7224"/>
    <w:rsid w:val="003C73B6"/>
    <w:rsid w:val="003D0A09"/>
    <w:rsid w:val="003D0B0A"/>
    <w:rsid w:val="003D16F6"/>
    <w:rsid w:val="003D188D"/>
    <w:rsid w:val="003D18BA"/>
    <w:rsid w:val="003D1A27"/>
    <w:rsid w:val="003D1C26"/>
    <w:rsid w:val="003D2633"/>
    <w:rsid w:val="003D26D2"/>
    <w:rsid w:val="003D2E26"/>
    <w:rsid w:val="003D3648"/>
    <w:rsid w:val="003D397E"/>
    <w:rsid w:val="003D5200"/>
    <w:rsid w:val="003D59D1"/>
    <w:rsid w:val="003D5A65"/>
    <w:rsid w:val="003D5B58"/>
    <w:rsid w:val="003D5BA0"/>
    <w:rsid w:val="003D622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54"/>
    <w:rsid w:val="003E297C"/>
    <w:rsid w:val="003E3686"/>
    <w:rsid w:val="003E3EDE"/>
    <w:rsid w:val="003E46AF"/>
    <w:rsid w:val="003E4AC5"/>
    <w:rsid w:val="003E528C"/>
    <w:rsid w:val="003E5766"/>
    <w:rsid w:val="003E57A6"/>
    <w:rsid w:val="003E6258"/>
    <w:rsid w:val="003E663C"/>
    <w:rsid w:val="003E6B2F"/>
    <w:rsid w:val="003E6C4F"/>
    <w:rsid w:val="003F00CC"/>
    <w:rsid w:val="003F0187"/>
    <w:rsid w:val="003F069D"/>
    <w:rsid w:val="003F129A"/>
    <w:rsid w:val="003F1470"/>
    <w:rsid w:val="003F168F"/>
    <w:rsid w:val="003F18A5"/>
    <w:rsid w:val="003F18A9"/>
    <w:rsid w:val="003F31C9"/>
    <w:rsid w:val="003F3315"/>
    <w:rsid w:val="003F33A5"/>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40020E"/>
    <w:rsid w:val="004003F0"/>
    <w:rsid w:val="0040085F"/>
    <w:rsid w:val="00400984"/>
    <w:rsid w:val="004012A4"/>
    <w:rsid w:val="0040136A"/>
    <w:rsid w:val="0040156C"/>
    <w:rsid w:val="00401602"/>
    <w:rsid w:val="004017FB"/>
    <w:rsid w:val="00401F86"/>
    <w:rsid w:val="0040267F"/>
    <w:rsid w:val="00402C7B"/>
    <w:rsid w:val="004036D1"/>
    <w:rsid w:val="00404D4F"/>
    <w:rsid w:val="00404F12"/>
    <w:rsid w:val="004050AA"/>
    <w:rsid w:val="004052B3"/>
    <w:rsid w:val="00405AAA"/>
    <w:rsid w:val="00405DE2"/>
    <w:rsid w:val="004070DA"/>
    <w:rsid w:val="004073B6"/>
    <w:rsid w:val="00407C5C"/>
    <w:rsid w:val="00407ECB"/>
    <w:rsid w:val="00410070"/>
    <w:rsid w:val="0041062E"/>
    <w:rsid w:val="0041089F"/>
    <w:rsid w:val="00410A22"/>
    <w:rsid w:val="00410B5D"/>
    <w:rsid w:val="0041121B"/>
    <w:rsid w:val="004112CA"/>
    <w:rsid w:val="00411B10"/>
    <w:rsid w:val="00412563"/>
    <w:rsid w:val="00412877"/>
    <w:rsid w:val="00412A18"/>
    <w:rsid w:val="00412C66"/>
    <w:rsid w:val="004135D0"/>
    <w:rsid w:val="00413668"/>
    <w:rsid w:val="00413E01"/>
    <w:rsid w:val="00414D56"/>
    <w:rsid w:val="00414E38"/>
    <w:rsid w:val="00415DB9"/>
    <w:rsid w:val="00415F7C"/>
    <w:rsid w:val="00416762"/>
    <w:rsid w:val="00416A70"/>
    <w:rsid w:val="00416E67"/>
    <w:rsid w:val="0041715A"/>
    <w:rsid w:val="004202E7"/>
    <w:rsid w:val="0042030F"/>
    <w:rsid w:val="004214C0"/>
    <w:rsid w:val="004216FE"/>
    <w:rsid w:val="00421D33"/>
    <w:rsid w:val="0042264F"/>
    <w:rsid w:val="004235B8"/>
    <w:rsid w:val="00423837"/>
    <w:rsid w:val="004239E1"/>
    <w:rsid w:val="00423A2A"/>
    <w:rsid w:val="00423ADE"/>
    <w:rsid w:val="0042408A"/>
    <w:rsid w:val="00424E37"/>
    <w:rsid w:val="00425A64"/>
    <w:rsid w:val="00425BCC"/>
    <w:rsid w:val="00425F0B"/>
    <w:rsid w:val="004262C0"/>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21A7"/>
    <w:rsid w:val="0044237F"/>
    <w:rsid w:val="00442483"/>
    <w:rsid w:val="00442C6E"/>
    <w:rsid w:val="00442CDB"/>
    <w:rsid w:val="0044312A"/>
    <w:rsid w:val="004432ED"/>
    <w:rsid w:val="00443443"/>
    <w:rsid w:val="004440EE"/>
    <w:rsid w:val="004444E7"/>
    <w:rsid w:val="004445C7"/>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D66"/>
    <w:rsid w:val="0045113B"/>
    <w:rsid w:val="004517D3"/>
    <w:rsid w:val="00451C82"/>
    <w:rsid w:val="0045274A"/>
    <w:rsid w:val="00453A46"/>
    <w:rsid w:val="0045438E"/>
    <w:rsid w:val="00454685"/>
    <w:rsid w:val="00454788"/>
    <w:rsid w:val="00455280"/>
    <w:rsid w:val="004554D6"/>
    <w:rsid w:val="00455C1C"/>
    <w:rsid w:val="00455C6C"/>
    <w:rsid w:val="00455CB8"/>
    <w:rsid w:val="004562DB"/>
    <w:rsid w:val="00457167"/>
    <w:rsid w:val="004573FB"/>
    <w:rsid w:val="00457654"/>
    <w:rsid w:val="00460EF3"/>
    <w:rsid w:val="00460F96"/>
    <w:rsid w:val="00461095"/>
    <w:rsid w:val="004618A5"/>
    <w:rsid w:val="00462729"/>
    <w:rsid w:val="00462FB7"/>
    <w:rsid w:val="00463219"/>
    <w:rsid w:val="0046322E"/>
    <w:rsid w:val="0046333F"/>
    <w:rsid w:val="00463EF9"/>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D97"/>
    <w:rsid w:val="00472FA0"/>
    <w:rsid w:val="00472FAA"/>
    <w:rsid w:val="004740D8"/>
    <w:rsid w:val="004746B5"/>
    <w:rsid w:val="004748BE"/>
    <w:rsid w:val="004748DA"/>
    <w:rsid w:val="00474D83"/>
    <w:rsid w:val="004755DC"/>
    <w:rsid w:val="00475A90"/>
    <w:rsid w:val="0047686B"/>
    <w:rsid w:val="0047690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E5"/>
    <w:rsid w:val="004838EC"/>
    <w:rsid w:val="00483D71"/>
    <w:rsid w:val="00484377"/>
    <w:rsid w:val="0048443B"/>
    <w:rsid w:val="00484CAF"/>
    <w:rsid w:val="00484FA7"/>
    <w:rsid w:val="00485970"/>
    <w:rsid w:val="00485B66"/>
    <w:rsid w:val="00485BE6"/>
    <w:rsid w:val="004864EF"/>
    <w:rsid w:val="00487131"/>
    <w:rsid w:val="0048743C"/>
    <w:rsid w:val="0048755A"/>
    <w:rsid w:val="00487C12"/>
    <w:rsid w:val="00487CA0"/>
    <w:rsid w:val="00487EBA"/>
    <w:rsid w:val="004902A5"/>
    <w:rsid w:val="00490304"/>
    <w:rsid w:val="00490E20"/>
    <w:rsid w:val="00491189"/>
    <w:rsid w:val="0049140D"/>
    <w:rsid w:val="004917AA"/>
    <w:rsid w:val="00491D57"/>
    <w:rsid w:val="004922CC"/>
    <w:rsid w:val="004923D6"/>
    <w:rsid w:val="00492A91"/>
    <w:rsid w:val="00492C22"/>
    <w:rsid w:val="00493D49"/>
    <w:rsid w:val="00493E85"/>
    <w:rsid w:val="00493FAF"/>
    <w:rsid w:val="004947C5"/>
    <w:rsid w:val="004956B4"/>
    <w:rsid w:val="004956FB"/>
    <w:rsid w:val="00495B8D"/>
    <w:rsid w:val="00495C42"/>
    <w:rsid w:val="00496377"/>
    <w:rsid w:val="00496AA1"/>
    <w:rsid w:val="00496BCA"/>
    <w:rsid w:val="00496FEF"/>
    <w:rsid w:val="00497693"/>
    <w:rsid w:val="00497786"/>
    <w:rsid w:val="004978A0"/>
    <w:rsid w:val="00497A7E"/>
    <w:rsid w:val="00497D67"/>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DED"/>
    <w:rsid w:val="004A6E71"/>
    <w:rsid w:val="004A71BC"/>
    <w:rsid w:val="004A72CC"/>
    <w:rsid w:val="004A739C"/>
    <w:rsid w:val="004A73ED"/>
    <w:rsid w:val="004A758A"/>
    <w:rsid w:val="004A76A0"/>
    <w:rsid w:val="004A76E4"/>
    <w:rsid w:val="004A7946"/>
    <w:rsid w:val="004B0755"/>
    <w:rsid w:val="004B0896"/>
    <w:rsid w:val="004B1686"/>
    <w:rsid w:val="004B1BB0"/>
    <w:rsid w:val="004B1E25"/>
    <w:rsid w:val="004B1F38"/>
    <w:rsid w:val="004B2217"/>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B04"/>
    <w:rsid w:val="004B662F"/>
    <w:rsid w:val="004B6712"/>
    <w:rsid w:val="004B7149"/>
    <w:rsid w:val="004B76F0"/>
    <w:rsid w:val="004B779F"/>
    <w:rsid w:val="004B78DC"/>
    <w:rsid w:val="004B797E"/>
    <w:rsid w:val="004B7A52"/>
    <w:rsid w:val="004C03E7"/>
    <w:rsid w:val="004C0813"/>
    <w:rsid w:val="004C0C0B"/>
    <w:rsid w:val="004C10C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CA3"/>
    <w:rsid w:val="004C6155"/>
    <w:rsid w:val="004C644C"/>
    <w:rsid w:val="004C7A05"/>
    <w:rsid w:val="004C7A39"/>
    <w:rsid w:val="004C7E8D"/>
    <w:rsid w:val="004C7F01"/>
    <w:rsid w:val="004C7F6D"/>
    <w:rsid w:val="004D0F00"/>
    <w:rsid w:val="004D101E"/>
    <w:rsid w:val="004D115F"/>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757"/>
    <w:rsid w:val="004D5819"/>
    <w:rsid w:val="004D6046"/>
    <w:rsid w:val="004D6EC1"/>
    <w:rsid w:val="004D6F04"/>
    <w:rsid w:val="004D739B"/>
    <w:rsid w:val="004E094D"/>
    <w:rsid w:val="004E0BA0"/>
    <w:rsid w:val="004E0CA7"/>
    <w:rsid w:val="004E1021"/>
    <w:rsid w:val="004E112B"/>
    <w:rsid w:val="004E14B0"/>
    <w:rsid w:val="004E1562"/>
    <w:rsid w:val="004E15C9"/>
    <w:rsid w:val="004E1829"/>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EE4"/>
    <w:rsid w:val="004F713A"/>
    <w:rsid w:val="004F79CB"/>
    <w:rsid w:val="004F7A2F"/>
    <w:rsid w:val="004F7E84"/>
    <w:rsid w:val="00500002"/>
    <w:rsid w:val="00500463"/>
    <w:rsid w:val="00500817"/>
    <w:rsid w:val="0050197A"/>
    <w:rsid w:val="00501DBB"/>
    <w:rsid w:val="00501F6F"/>
    <w:rsid w:val="005023B0"/>
    <w:rsid w:val="005023E8"/>
    <w:rsid w:val="0050250C"/>
    <w:rsid w:val="00502686"/>
    <w:rsid w:val="00502F45"/>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711A"/>
    <w:rsid w:val="005072C9"/>
    <w:rsid w:val="00507D19"/>
    <w:rsid w:val="00510395"/>
    <w:rsid w:val="00510C1E"/>
    <w:rsid w:val="00510D01"/>
    <w:rsid w:val="00510DF0"/>
    <w:rsid w:val="00511321"/>
    <w:rsid w:val="00511600"/>
    <w:rsid w:val="005116EB"/>
    <w:rsid w:val="00511787"/>
    <w:rsid w:val="005119AD"/>
    <w:rsid w:val="00511BA0"/>
    <w:rsid w:val="00511D11"/>
    <w:rsid w:val="00511D31"/>
    <w:rsid w:val="00511E7E"/>
    <w:rsid w:val="0051222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6A5"/>
    <w:rsid w:val="005228C2"/>
    <w:rsid w:val="00523374"/>
    <w:rsid w:val="0052390F"/>
    <w:rsid w:val="0052398D"/>
    <w:rsid w:val="0052463C"/>
    <w:rsid w:val="00524DE0"/>
    <w:rsid w:val="00524F2B"/>
    <w:rsid w:val="0052501C"/>
    <w:rsid w:val="005257C1"/>
    <w:rsid w:val="00525808"/>
    <w:rsid w:val="00525E77"/>
    <w:rsid w:val="00525F10"/>
    <w:rsid w:val="005263BC"/>
    <w:rsid w:val="0052658B"/>
    <w:rsid w:val="005265EA"/>
    <w:rsid w:val="005266AE"/>
    <w:rsid w:val="00526791"/>
    <w:rsid w:val="00527048"/>
    <w:rsid w:val="00527D14"/>
    <w:rsid w:val="00527DCF"/>
    <w:rsid w:val="00527EB8"/>
    <w:rsid w:val="005303A3"/>
    <w:rsid w:val="0053091D"/>
    <w:rsid w:val="00530E7C"/>
    <w:rsid w:val="00531176"/>
    <w:rsid w:val="00531311"/>
    <w:rsid w:val="00531533"/>
    <w:rsid w:val="00531CD8"/>
    <w:rsid w:val="00531E0C"/>
    <w:rsid w:val="00532043"/>
    <w:rsid w:val="0053251E"/>
    <w:rsid w:val="0053293F"/>
    <w:rsid w:val="00532D4A"/>
    <w:rsid w:val="00532E3F"/>
    <w:rsid w:val="00532E69"/>
    <w:rsid w:val="00533A87"/>
    <w:rsid w:val="005343AC"/>
    <w:rsid w:val="00534B65"/>
    <w:rsid w:val="00534D9A"/>
    <w:rsid w:val="00534DA0"/>
    <w:rsid w:val="00534E63"/>
    <w:rsid w:val="00535588"/>
    <w:rsid w:val="00535CED"/>
    <w:rsid w:val="00535D79"/>
    <w:rsid w:val="0053617A"/>
    <w:rsid w:val="005364CB"/>
    <w:rsid w:val="00537566"/>
    <w:rsid w:val="00537AF3"/>
    <w:rsid w:val="00537D58"/>
    <w:rsid w:val="00540013"/>
    <w:rsid w:val="00540D48"/>
    <w:rsid w:val="00540FE4"/>
    <w:rsid w:val="0054165D"/>
    <w:rsid w:val="005420BC"/>
    <w:rsid w:val="0054262E"/>
    <w:rsid w:val="0054289F"/>
    <w:rsid w:val="00542912"/>
    <w:rsid w:val="0054293C"/>
    <w:rsid w:val="00542C20"/>
    <w:rsid w:val="00543267"/>
    <w:rsid w:val="0054345C"/>
    <w:rsid w:val="005441D8"/>
    <w:rsid w:val="0054427E"/>
    <w:rsid w:val="00544BE5"/>
    <w:rsid w:val="00545045"/>
    <w:rsid w:val="0054523E"/>
    <w:rsid w:val="00545EA4"/>
    <w:rsid w:val="00546EDE"/>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CA0"/>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866"/>
    <w:rsid w:val="00561599"/>
    <w:rsid w:val="0056194B"/>
    <w:rsid w:val="00561A73"/>
    <w:rsid w:val="005628FA"/>
    <w:rsid w:val="0056297B"/>
    <w:rsid w:val="00562A3F"/>
    <w:rsid w:val="005633A7"/>
    <w:rsid w:val="00563825"/>
    <w:rsid w:val="00563DC0"/>
    <w:rsid w:val="00563FEC"/>
    <w:rsid w:val="00564419"/>
    <w:rsid w:val="00564A71"/>
    <w:rsid w:val="00565027"/>
    <w:rsid w:val="005650C9"/>
    <w:rsid w:val="00565336"/>
    <w:rsid w:val="005658D4"/>
    <w:rsid w:val="005662B2"/>
    <w:rsid w:val="005664AD"/>
    <w:rsid w:val="005668E0"/>
    <w:rsid w:val="00566A8E"/>
    <w:rsid w:val="00566D89"/>
    <w:rsid w:val="00566EDA"/>
    <w:rsid w:val="005674C3"/>
    <w:rsid w:val="00567C72"/>
    <w:rsid w:val="00567DA3"/>
    <w:rsid w:val="0057083F"/>
    <w:rsid w:val="005709A3"/>
    <w:rsid w:val="00570F1F"/>
    <w:rsid w:val="00571772"/>
    <w:rsid w:val="005719AE"/>
    <w:rsid w:val="00572362"/>
    <w:rsid w:val="005726F8"/>
    <w:rsid w:val="00573493"/>
    <w:rsid w:val="0057368F"/>
    <w:rsid w:val="0057393F"/>
    <w:rsid w:val="00573AC2"/>
    <w:rsid w:val="00573BA3"/>
    <w:rsid w:val="00574246"/>
    <w:rsid w:val="005745F1"/>
    <w:rsid w:val="0057469C"/>
    <w:rsid w:val="005748A0"/>
    <w:rsid w:val="00574AF2"/>
    <w:rsid w:val="00574BF1"/>
    <w:rsid w:val="00576310"/>
    <w:rsid w:val="005768C1"/>
    <w:rsid w:val="0057732F"/>
    <w:rsid w:val="00577F9F"/>
    <w:rsid w:val="005801BF"/>
    <w:rsid w:val="0058028B"/>
    <w:rsid w:val="005803F7"/>
    <w:rsid w:val="00580E78"/>
    <w:rsid w:val="00581002"/>
    <w:rsid w:val="00581081"/>
    <w:rsid w:val="00581084"/>
    <w:rsid w:val="00581295"/>
    <w:rsid w:val="00581BEB"/>
    <w:rsid w:val="00582B4B"/>
    <w:rsid w:val="005836E4"/>
    <w:rsid w:val="00584084"/>
    <w:rsid w:val="005843AD"/>
    <w:rsid w:val="0058486B"/>
    <w:rsid w:val="00584997"/>
    <w:rsid w:val="00584BE7"/>
    <w:rsid w:val="00584CC2"/>
    <w:rsid w:val="00584DEA"/>
    <w:rsid w:val="0058526A"/>
    <w:rsid w:val="00585865"/>
    <w:rsid w:val="00585F10"/>
    <w:rsid w:val="00586097"/>
    <w:rsid w:val="005868C6"/>
    <w:rsid w:val="00586D76"/>
    <w:rsid w:val="005875B2"/>
    <w:rsid w:val="00587EC3"/>
    <w:rsid w:val="00587FEB"/>
    <w:rsid w:val="005903D6"/>
    <w:rsid w:val="005909A9"/>
    <w:rsid w:val="00590E7E"/>
    <w:rsid w:val="005914E3"/>
    <w:rsid w:val="00591CDB"/>
    <w:rsid w:val="00591D26"/>
    <w:rsid w:val="00591D8F"/>
    <w:rsid w:val="005924B9"/>
    <w:rsid w:val="005924CF"/>
    <w:rsid w:val="00592C4F"/>
    <w:rsid w:val="0059309A"/>
    <w:rsid w:val="00593C31"/>
    <w:rsid w:val="00593D49"/>
    <w:rsid w:val="00594077"/>
    <w:rsid w:val="005944C9"/>
    <w:rsid w:val="0059455A"/>
    <w:rsid w:val="0059472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7060"/>
    <w:rsid w:val="005972D0"/>
    <w:rsid w:val="00597309"/>
    <w:rsid w:val="00597516"/>
    <w:rsid w:val="00597915"/>
    <w:rsid w:val="00597DC0"/>
    <w:rsid w:val="005A024A"/>
    <w:rsid w:val="005A08DF"/>
    <w:rsid w:val="005A1086"/>
    <w:rsid w:val="005A1E0F"/>
    <w:rsid w:val="005A2798"/>
    <w:rsid w:val="005A2D06"/>
    <w:rsid w:val="005A2D4A"/>
    <w:rsid w:val="005A2D9F"/>
    <w:rsid w:val="005A3F69"/>
    <w:rsid w:val="005A4467"/>
    <w:rsid w:val="005A44FB"/>
    <w:rsid w:val="005A4725"/>
    <w:rsid w:val="005A56F0"/>
    <w:rsid w:val="005A5977"/>
    <w:rsid w:val="005A643D"/>
    <w:rsid w:val="005A6538"/>
    <w:rsid w:val="005A68F9"/>
    <w:rsid w:val="005A6D61"/>
    <w:rsid w:val="005A7019"/>
    <w:rsid w:val="005A71D0"/>
    <w:rsid w:val="005A7276"/>
    <w:rsid w:val="005A76BA"/>
    <w:rsid w:val="005A7EAA"/>
    <w:rsid w:val="005B0603"/>
    <w:rsid w:val="005B103B"/>
    <w:rsid w:val="005B10F6"/>
    <w:rsid w:val="005B130B"/>
    <w:rsid w:val="005B1562"/>
    <w:rsid w:val="005B18EA"/>
    <w:rsid w:val="005B1BB7"/>
    <w:rsid w:val="005B29B5"/>
    <w:rsid w:val="005B2A90"/>
    <w:rsid w:val="005B2E64"/>
    <w:rsid w:val="005B354C"/>
    <w:rsid w:val="005B376B"/>
    <w:rsid w:val="005B389D"/>
    <w:rsid w:val="005B3C03"/>
    <w:rsid w:val="005B3CD5"/>
    <w:rsid w:val="005B442B"/>
    <w:rsid w:val="005B4DE2"/>
    <w:rsid w:val="005B4F59"/>
    <w:rsid w:val="005B5027"/>
    <w:rsid w:val="005B5522"/>
    <w:rsid w:val="005B5B49"/>
    <w:rsid w:val="005B5F38"/>
    <w:rsid w:val="005B6B9C"/>
    <w:rsid w:val="005B6FC4"/>
    <w:rsid w:val="005B7625"/>
    <w:rsid w:val="005B79E3"/>
    <w:rsid w:val="005C06B5"/>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708F"/>
    <w:rsid w:val="005D007D"/>
    <w:rsid w:val="005D0198"/>
    <w:rsid w:val="005D0CEC"/>
    <w:rsid w:val="005D0CFF"/>
    <w:rsid w:val="005D148D"/>
    <w:rsid w:val="005D206F"/>
    <w:rsid w:val="005D2233"/>
    <w:rsid w:val="005D225C"/>
    <w:rsid w:val="005D2266"/>
    <w:rsid w:val="005D24E7"/>
    <w:rsid w:val="005D2DDE"/>
    <w:rsid w:val="005D323A"/>
    <w:rsid w:val="005D34E7"/>
    <w:rsid w:val="005D3EAB"/>
    <w:rsid w:val="005D452F"/>
    <w:rsid w:val="005D47E7"/>
    <w:rsid w:val="005D4CB8"/>
    <w:rsid w:val="005D4D47"/>
    <w:rsid w:val="005D52B3"/>
    <w:rsid w:val="005D5A8D"/>
    <w:rsid w:val="005D5D7D"/>
    <w:rsid w:val="005D6798"/>
    <w:rsid w:val="005D6990"/>
    <w:rsid w:val="005D6CD1"/>
    <w:rsid w:val="005E045B"/>
    <w:rsid w:val="005E0FBD"/>
    <w:rsid w:val="005E1672"/>
    <w:rsid w:val="005E2079"/>
    <w:rsid w:val="005E2957"/>
    <w:rsid w:val="005E2CA6"/>
    <w:rsid w:val="005E2D6F"/>
    <w:rsid w:val="005E2D77"/>
    <w:rsid w:val="005E3137"/>
    <w:rsid w:val="005E316F"/>
    <w:rsid w:val="005E3181"/>
    <w:rsid w:val="005E346F"/>
    <w:rsid w:val="005E3724"/>
    <w:rsid w:val="005E37D8"/>
    <w:rsid w:val="005E4518"/>
    <w:rsid w:val="005E4A87"/>
    <w:rsid w:val="005E4ABB"/>
    <w:rsid w:val="005E4F69"/>
    <w:rsid w:val="005E4FFB"/>
    <w:rsid w:val="005E520B"/>
    <w:rsid w:val="005E6551"/>
    <w:rsid w:val="005E7AAA"/>
    <w:rsid w:val="005F0650"/>
    <w:rsid w:val="005F0982"/>
    <w:rsid w:val="005F0A88"/>
    <w:rsid w:val="005F0F33"/>
    <w:rsid w:val="005F15B6"/>
    <w:rsid w:val="005F2026"/>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7AA0"/>
    <w:rsid w:val="005F7BC0"/>
    <w:rsid w:val="005F7DAE"/>
    <w:rsid w:val="0060045C"/>
    <w:rsid w:val="00600570"/>
    <w:rsid w:val="006005BC"/>
    <w:rsid w:val="006008E4"/>
    <w:rsid w:val="00600CD3"/>
    <w:rsid w:val="006013C6"/>
    <w:rsid w:val="006013E9"/>
    <w:rsid w:val="00601FC5"/>
    <w:rsid w:val="00602445"/>
    <w:rsid w:val="006028EF"/>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D7F"/>
    <w:rsid w:val="006100D1"/>
    <w:rsid w:val="006101FD"/>
    <w:rsid w:val="00610580"/>
    <w:rsid w:val="00610E0C"/>
    <w:rsid w:val="00611300"/>
    <w:rsid w:val="006118E9"/>
    <w:rsid w:val="00611971"/>
    <w:rsid w:val="006119D4"/>
    <w:rsid w:val="00611AEA"/>
    <w:rsid w:val="00611D49"/>
    <w:rsid w:val="0061214C"/>
    <w:rsid w:val="00612DED"/>
    <w:rsid w:val="00613622"/>
    <w:rsid w:val="00614081"/>
    <w:rsid w:val="00614863"/>
    <w:rsid w:val="00614BD9"/>
    <w:rsid w:val="00614D36"/>
    <w:rsid w:val="00614D6C"/>
    <w:rsid w:val="0061517A"/>
    <w:rsid w:val="00615344"/>
    <w:rsid w:val="00615527"/>
    <w:rsid w:val="00615CFE"/>
    <w:rsid w:val="00616838"/>
    <w:rsid w:val="00616864"/>
    <w:rsid w:val="0061719F"/>
    <w:rsid w:val="006171D1"/>
    <w:rsid w:val="006175B3"/>
    <w:rsid w:val="00617869"/>
    <w:rsid w:val="0061789D"/>
    <w:rsid w:val="006179AC"/>
    <w:rsid w:val="006179D7"/>
    <w:rsid w:val="006204B7"/>
    <w:rsid w:val="00620D25"/>
    <w:rsid w:val="0062116B"/>
    <w:rsid w:val="0062124A"/>
    <w:rsid w:val="006213E6"/>
    <w:rsid w:val="006218B8"/>
    <w:rsid w:val="00621A66"/>
    <w:rsid w:val="00621E9F"/>
    <w:rsid w:val="00622908"/>
    <w:rsid w:val="00622FF3"/>
    <w:rsid w:val="00623133"/>
    <w:rsid w:val="00623B3A"/>
    <w:rsid w:val="00623BB0"/>
    <w:rsid w:val="00623CBD"/>
    <w:rsid w:val="00623E53"/>
    <w:rsid w:val="00623F5F"/>
    <w:rsid w:val="0062404D"/>
    <w:rsid w:val="00624180"/>
    <w:rsid w:val="006246D5"/>
    <w:rsid w:val="00624827"/>
    <w:rsid w:val="00625123"/>
    <w:rsid w:val="00625553"/>
    <w:rsid w:val="00625953"/>
    <w:rsid w:val="00625A27"/>
    <w:rsid w:val="00625DE8"/>
    <w:rsid w:val="00625E4D"/>
    <w:rsid w:val="00625F55"/>
    <w:rsid w:val="00626031"/>
    <w:rsid w:val="00626681"/>
    <w:rsid w:val="0062704E"/>
    <w:rsid w:val="00627DE2"/>
    <w:rsid w:val="00630839"/>
    <w:rsid w:val="00630BCC"/>
    <w:rsid w:val="00630E44"/>
    <w:rsid w:val="00631766"/>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D70"/>
    <w:rsid w:val="00640E6B"/>
    <w:rsid w:val="006414B8"/>
    <w:rsid w:val="0064163F"/>
    <w:rsid w:val="00641705"/>
    <w:rsid w:val="00641A39"/>
    <w:rsid w:val="00641FD7"/>
    <w:rsid w:val="0064248A"/>
    <w:rsid w:val="00642B65"/>
    <w:rsid w:val="006436AA"/>
    <w:rsid w:val="00643889"/>
    <w:rsid w:val="00643DB1"/>
    <w:rsid w:val="00643F65"/>
    <w:rsid w:val="00644083"/>
    <w:rsid w:val="00644708"/>
    <w:rsid w:val="00644EE6"/>
    <w:rsid w:val="0064528D"/>
    <w:rsid w:val="0064580D"/>
    <w:rsid w:val="006458CB"/>
    <w:rsid w:val="00645983"/>
    <w:rsid w:val="00645A33"/>
    <w:rsid w:val="00645BC1"/>
    <w:rsid w:val="00646367"/>
    <w:rsid w:val="00646383"/>
    <w:rsid w:val="00646545"/>
    <w:rsid w:val="00646851"/>
    <w:rsid w:val="00646E33"/>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79F"/>
    <w:rsid w:val="00652CF3"/>
    <w:rsid w:val="00653424"/>
    <w:rsid w:val="006535F8"/>
    <w:rsid w:val="00653748"/>
    <w:rsid w:val="00653762"/>
    <w:rsid w:val="006538C5"/>
    <w:rsid w:val="00653AF8"/>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2458"/>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9C"/>
    <w:rsid w:val="006679B2"/>
    <w:rsid w:val="006704B4"/>
    <w:rsid w:val="006710AC"/>
    <w:rsid w:val="006710CC"/>
    <w:rsid w:val="00671334"/>
    <w:rsid w:val="0067148E"/>
    <w:rsid w:val="0067193F"/>
    <w:rsid w:val="00671977"/>
    <w:rsid w:val="00671CB2"/>
    <w:rsid w:val="00671ED7"/>
    <w:rsid w:val="006723D7"/>
    <w:rsid w:val="00672479"/>
    <w:rsid w:val="006726B6"/>
    <w:rsid w:val="00672D4C"/>
    <w:rsid w:val="00672FBB"/>
    <w:rsid w:val="006732C2"/>
    <w:rsid w:val="006734B0"/>
    <w:rsid w:val="006734B3"/>
    <w:rsid w:val="00673C3C"/>
    <w:rsid w:val="006740BF"/>
    <w:rsid w:val="006742EE"/>
    <w:rsid w:val="00674F90"/>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E3"/>
    <w:rsid w:val="0068202D"/>
    <w:rsid w:val="0068368A"/>
    <w:rsid w:val="00684167"/>
    <w:rsid w:val="006842E5"/>
    <w:rsid w:val="00684734"/>
    <w:rsid w:val="0068481F"/>
    <w:rsid w:val="0068494F"/>
    <w:rsid w:val="00684D55"/>
    <w:rsid w:val="00685973"/>
    <w:rsid w:val="00685A4B"/>
    <w:rsid w:val="00685C43"/>
    <w:rsid w:val="00685D7D"/>
    <w:rsid w:val="0068635D"/>
    <w:rsid w:val="00686E57"/>
    <w:rsid w:val="0068755D"/>
    <w:rsid w:val="00687596"/>
    <w:rsid w:val="00687947"/>
    <w:rsid w:val="006879C4"/>
    <w:rsid w:val="0069048A"/>
    <w:rsid w:val="00690DF0"/>
    <w:rsid w:val="00690F8C"/>
    <w:rsid w:val="006915CB"/>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98"/>
    <w:rsid w:val="006965BA"/>
    <w:rsid w:val="0069694D"/>
    <w:rsid w:val="00697273"/>
    <w:rsid w:val="00697483"/>
    <w:rsid w:val="006978ED"/>
    <w:rsid w:val="006979D2"/>
    <w:rsid w:val="00697B8D"/>
    <w:rsid w:val="00697C21"/>
    <w:rsid w:val="00697FE0"/>
    <w:rsid w:val="006A0055"/>
    <w:rsid w:val="006A0B7F"/>
    <w:rsid w:val="006A1C19"/>
    <w:rsid w:val="006A22FA"/>
    <w:rsid w:val="006A230B"/>
    <w:rsid w:val="006A34E1"/>
    <w:rsid w:val="006A3D49"/>
    <w:rsid w:val="006A3D51"/>
    <w:rsid w:val="006A41DB"/>
    <w:rsid w:val="006A429C"/>
    <w:rsid w:val="006A4377"/>
    <w:rsid w:val="006A4626"/>
    <w:rsid w:val="006A46E0"/>
    <w:rsid w:val="006A5252"/>
    <w:rsid w:val="006A53D4"/>
    <w:rsid w:val="006A5631"/>
    <w:rsid w:val="006A611E"/>
    <w:rsid w:val="006A69F8"/>
    <w:rsid w:val="006A6C5C"/>
    <w:rsid w:val="006A6F7B"/>
    <w:rsid w:val="006A7BA1"/>
    <w:rsid w:val="006A7E8D"/>
    <w:rsid w:val="006B0689"/>
    <w:rsid w:val="006B0FB4"/>
    <w:rsid w:val="006B1665"/>
    <w:rsid w:val="006B19B5"/>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5E4"/>
    <w:rsid w:val="006C0075"/>
    <w:rsid w:val="006C061C"/>
    <w:rsid w:val="006C0AF8"/>
    <w:rsid w:val="006C1303"/>
    <w:rsid w:val="006C1B20"/>
    <w:rsid w:val="006C1CDF"/>
    <w:rsid w:val="006C1E52"/>
    <w:rsid w:val="006C1EB3"/>
    <w:rsid w:val="006C2561"/>
    <w:rsid w:val="006C257B"/>
    <w:rsid w:val="006C2BD6"/>
    <w:rsid w:val="006C2C3D"/>
    <w:rsid w:val="006C39DA"/>
    <w:rsid w:val="006C4089"/>
    <w:rsid w:val="006C4813"/>
    <w:rsid w:val="006C4B0B"/>
    <w:rsid w:val="006C4EE4"/>
    <w:rsid w:val="006C4F23"/>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B7D"/>
    <w:rsid w:val="006E3ACE"/>
    <w:rsid w:val="006E3B0B"/>
    <w:rsid w:val="006E4296"/>
    <w:rsid w:val="006E530F"/>
    <w:rsid w:val="006E57CB"/>
    <w:rsid w:val="006E5A32"/>
    <w:rsid w:val="006E5A96"/>
    <w:rsid w:val="006E5D53"/>
    <w:rsid w:val="006E5EF9"/>
    <w:rsid w:val="006E6019"/>
    <w:rsid w:val="006E6152"/>
    <w:rsid w:val="006E6242"/>
    <w:rsid w:val="006E6CF2"/>
    <w:rsid w:val="006E70AF"/>
    <w:rsid w:val="006E72E7"/>
    <w:rsid w:val="006E7640"/>
    <w:rsid w:val="006E7D53"/>
    <w:rsid w:val="006F020B"/>
    <w:rsid w:val="006F09D0"/>
    <w:rsid w:val="006F0FAA"/>
    <w:rsid w:val="006F1649"/>
    <w:rsid w:val="006F1982"/>
    <w:rsid w:val="006F1FB9"/>
    <w:rsid w:val="006F2237"/>
    <w:rsid w:val="006F2292"/>
    <w:rsid w:val="006F23A2"/>
    <w:rsid w:val="006F23AC"/>
    <w:rsid w:val="006F2870"/>
    <w:rsid w:val="006F3770"/>
    <w:rsid w:val="006F3849"/>
    <w:rsid w:val="006F3D9B"/>
    <w:rsid w:val="006F40B2"/>
    <w:rsid w:val="006F42A3"/>
    <w:rsid w:val="006F4CD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3043"/>
    <w:rsid w:val="00703B5C"/>
    <w:rsid w:val="007040D1"/>
    <w:rsid w:val="0070418D"/>
    <w:rsid w:val="0070497B"/>
    <w:rsid w:val="00704E0D"/>
    <w:rsid w:val="00705400"/>
    <w:rsid w:val="00705F1D"/>
    <w:rsid w:val="007060B5"/>
    <w:rsid w:val="0070611B"/>
    <w:rsid w:val="00706203"/>
    <w:rsid w:val="007066CB"/>
    <w:rsid w:val="00707129"/>
    <w:rsid w:val="00707591"/>
    <w:rsid w:val="00707D7B"/>
    <w:rsid w:val="00707FED"/>
    <w:rsid w:val="00710095"/>
    <w:rsid w:val="00710201"/>
    <w:rsid w:val="00711548"/>
    <w:rsid w:val="00711F96"/>
    <w:rsid w:val="00712D7A"/>
    <w:rsid w:val="007131AB"/>
    <w:rsid w:val="00713328"/>
    <w:rsid w:val="00713578"/>
    <w:rsid w:val="0071371E"/>
    <w:rsid w:val="007137B3"/>
    <w:rsid w:val="00713B01"/>
    <w:rsid w:val="00713E7C"/>
    <w:rsid w:val="00714AB3"/>
    <w:rsid w:val="00714C81"/>
    <w:rsid w:val="00714D0C"/>
    <w:rsid w:val="00715628"/>
    <w:rsid w:val="00715F8C"/>
    <w:rsid w:val="007163BB"/>
    <w:rsid w:val="00716BA0"/>
    <w:rsid w:val="00716C92"/>
    <w:rsid w:val="007170E0"/>
    <w:rsid w:val="00717710"/>
    <w:rsid w:val="00717F58"/>
    <w:rsid w:val="00720A9A"/>
    <w:rsid w:val="00720AD9"/>
    <w:rsid w:val="00720D39"/>
    <w:rsid w:val="00721085"/>
    <w:rsid w:val="0072111B"/>
    <w:rsid w:val="0072121B"/>
    <w:rsid w:val="00721988"/>
    <w:rsid w:val="00722142"/>
    <w:rsid w:val="0072289D"/>
    <w:rsid w:val="00722D31"/>
    <w:rsid w:val="00722E09"/>
    <w:rsid w:val="0072338D"/>
    <w:rsid w:val="00724109"/>
    <w:rsid w:val="00724112"/>
    <w:rsid w:val="00724409"/>
    <w:rsid w:val="00724440"/>
    <w:rsid w:val="0072453A"/>
    <w:rsid w:val="0072485A"/>
    <w:rsid w:val="00724A08"/>
    <w:rsid w:val="00725423"/>
    <w:rsid w:val="0072590B"/>
    <w:rsid w:val="00725A3D"/>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246D"/>
    <w:rsid w:val="007324A9"/>
    <w:rsid w:val="0073293E"/>
    <w:rsid w:val="007331A9"/>
    <w:rsid w:val="00733423"/>
    <w:rsid w:val="00733810"/>
    <w:rsid w:val="007340C7"/>
    <w:rsid w:val="00734A59"/>
    <w:rsid w:val="0073584B"/>
    <w:rsid w:val="007359BF"/>
    <w:rsid w:val="00735DED"/>
    <w:rsid w:val="007363DD"/>
    <w:rsid w:val="00736A29"/>
    <w:rsid w:val="00736BAC"/>
    <w:rsid w:val="00736EB3"/>
    <w:rsid w:val="00737151"/>
    <w:rsid w:val="00737238"/>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6D8B"/>
    <w:rsid w:val="0074740E"/>
    <w:rsid w:val="00747CDD"/>
    <w:rsid w:val="00747FC8"/>
    <w:rsid w:val="00750A72"/>
    <w:rsid w:val="00750F54"/>
    <w:rsid w:val="00751528"/>
    <w:rsid w:val="00751618"/>
    <w:rsid w:val="007519CB"/>
    <w:rsid w:val="00752394"/>
    <w:rsid w:val="007525CC"/>
    <w:rsid w:val="00752EA4"/>
    <w:rsid w:val="0075342F"/>
    <w:rsid w:val="00754983"/>
    <w:rsid w:val="00754A69"/>
    <w:rsid w:val="00754D6C"/>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32B2"/>
    <w:rsid w:val="007634B2"/>
    <w:rsid w:val="007637DF"/>
    <w:rsid w:val="0076448E"/>
    <w:rsid w:val="00764907"/>
    <w:rsid w:val="00764CB7"/>
    <w:rsid w:val="00764F43"/>
    <w:rsid w:val="0076515E"/>
    <w:rsid w:val="007652E9"/>
    <w:rsid w:val="007653FA"/>
    <w:rsid w:val="00765437"/>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B18"/>
    <w:rsid w:val="00773413"/>
    <w:rsid w:val="007736B4"/>
    <w:rsid w:val="007737E8"/>
    <w:rsid w:val="0077458C"/>
    <w:rsid w:val="0077488B"/>
    <w:rsid w:val="00774A16"/>
    <w:rsid w:val="00775014"/>
    <w:rsid w:val="007755BF"/>
    <w:rsid w:val="007757C8"/>
    <w:rsid w:val="007759D9"/>
    <w:rsid w:val="007759E5"/>
    <w:rsid w:val="00775F35"/>
    <w:rsid w:val="007760EF"/>
    <w:rsid w:val="00776264"/>
    <w:rsid w:val="007764FF"/>
    <w:rsid w:val="007766EB"/>
    <w:rsid w:val="007768BC"/>
    <w:rsid w:val="007772AC"/>
    <w:rsid w:val="007776F0"/>
    <w:rsid w:val="00777A28"/>
    <w:rsid w:val="00777E59"/>
    <w:rsid w:val="00777F11"/>
    <w:rsid w:val="00780223"/>
    <w:rsid w:val="0078028D"/>
    <w:rsid w:val="007802AC"/>
    <w:rsid w:val="007811D0"/>
    <w:rsid w:val="00781F92"/>
    <w:rsid w:val="00782680"/>
    <w:rsid w:val="007830E5"/>
    <w:rsid w:val="0078387D"/>
    <w:rsid w:val="007839AD"/>
    <w:rsid w:val="00783C6C"/>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9057E"/>
    <w:rsid w:val="007905B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FD4"/>
    <w:rsid w:val="007945AF"/>
    <w:rsid w:val="00795310"/>
    <w:rsid w:val="00795586"/>
    <w:rsid w:val="00795660"/>
    <w:rsid w:val="00795770"/>
    <w:rsid w:val="0079594B"/>
    <w:rsid w:val="00795C5D"/>
    <w:rsid w:val="007965DA"/>
    <w:rsid w:val="00796708"/>
    <w:rsid w:val="007970E4"/>
    <w:rsid w:val="00797D4B"/>
    <w:rsid w:val="007A0A4D"/>
    <w:rsid w:val="007A0CFD"/>
    <w:rsid w:val="007A0D65"/>
    <w:rsid w:val="007A0EC1"/>
    <w:rsid w:val="007A1ACC"/>
    <w:rsid w:val="007A1E35"/>
    <w:rsid w:val="007A2225"/>
    <w:rsid w:val="007A2354"/>
    <w:rsid w:val="007A26BA"/>
    <w:rsid w:val="007A2B2A"/>
    <w:rsid w:val="007A2D52"/>
    <w:rsid w:val="007A2F3D"/>
    <w:rsid w:val="007A3714"/>
    <w:rsid w:val="007A3D29"/>
    <w:rsid w:val="007A40AD"/>
    <w:rsid w:val="007A40E3"/>
    <w:rsid w:val="007A4456"/>
    <w:rsid w:val="007A4EF1"/>
    <w:rsid w:val="007A5017"/>
    <w:rsid w:val="007A507A"/>
    <w:rsid w:val="007A513F"/>
    <w:rsid w:val="007A5548"/>
    <w:rsid w:val="007A5C5E"/>
    <w:rsid w:val="007A5D63"/>
    <w:rsid w:val="007A6553"/>
    <w:rsid w:val="007A6C8A"/>
    <w:rsid w:val="007A6D9A"/>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8CB"/>
    <w:rsid w:val="007B6ACA"/>
    <w:rsid w:val="007B6DF8"/>
    <w:rsid w:val="007B6E0D"/>
    <w:rsid w:val="007B7096"/>
    <w:rsid w:val="007B7DC8"/>
    <w:rsid w:val="007C01C2"/>
    <w:rsid w:val="007C0655"/>
    <w:rsid w:val="007C0784"/>
    <w:rsid w:val="007C09B4"/>
    <w:rsid w:val="007C0D8D"/>
    <w:rsid w:val="007C0E3C"/>
    <w:rsid w:val="007C1042"/>
    <w:rsid w:val="007C1562"/>
    <w:rsid w:val="007C1B81"/>
    <w:rsid w:val="007C1DA8"/>
    <w:rsid w:val="007C230B"/>
    <w:rsid w:val="007C3220"/>
    <w:rsid w:val="007C322F"/>
    <w:rsid w:val="007C3298"/>
    <w:rsid w:val="007C3D9A"/>
    <w:rsid w:val="007C3E8A"/>
    <w:rsid w:val="007C412E"/>
    <w:rsid w:val="007C47C7"/>
    <w:rsid w:val="007C4FDD"/>
    <w:rsid w:val="007C55E2"/>
    <w:rsid w:val="007C5781"/>
    <w:rsid w:val="007C5B34"/>
    <w:rsid w:val="007C5D3D"/>
    <w:rsid w:val="007C5F5B"/>
    <w:rsid w:val="007C6010"/>
    <w:rsid w:val="007C65A0"/>
    <w:rsid w:val="007C6EA0"/>
    <w:rsid w:val="007C6EA5"/>
    <w:rsid w:val="007C7058"/>
    <w:rsid w:val="007C77E8"/>
    <w:rsid w:val="007C7830"/>
    <w:rsid w:val="007C7F3F"/>
    <w:rsid w:val="007D0590"/>
    <w:rsid w:val="007D05E3"/>
    <w:rsid w:val="007D1255"/>
    <w:rsid w:val="007D1A9F"/>
    <w:rsid w:val="007D2A1D"/>
    <w:rsid w:val="007D2A53"/>
    <w:rsid w:val="007D3697"/>
    <w:rsid w:val="007D443E"/>
    <w:rsid w:val="007D44FA"/>
    <w:rsid w:val="007D48CA"/>
    <w:rsid w:val="007D4ABB"/>
    <w:rsid w:val="007D4B10"/>
    <w:rsid w:val="007D4D0B"/>
    <w:rsid w:val="007D5AC1"/>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74F8"/>
    <w:rsid w:val="007E7AE5"/>
    <w:rsid w:val="007E7D9E"/>
    <w:rsid w:val="007F055B"/>
    <w:rsid w:val="007F10D6"/>
    <w:rsid w:val="007F10EC"/>
    <w:rsid w:val="007F1275"/>
    <w:rsid w:val="007F1E59"/>
    <w:rsid w:val="007F1FF2"/>
    <w:rsid w:val="007F2197"/>
    <w:rsid w:val="007F288B"/>
    <w:rsid w:val="007F2D99"/>
    <w:rsid w:val="007F379B"/>
    <w:rsid w:val="007F3EC4"/>
    <w:rsid w:val="007F3F7E"/>
    <w:rsid w:val="007F4456"/>
    <w:rsid w:val="007F4B36"/>
    <w:rsid w:val="007F4C2E"/>
    <w:rsid w:val="007F4F9B"/>
    <w:rsid w:val="007F53EE"/>
    <w:rsid w:val="007F548A"/>
    <w:rsid w:val="007F588D"/>
    <w:rsid w:val="007F58AA"/>
    <w:rsid w:val="007F5A4C"/>
    <w:rsid w:val="007F5B11"/>
    <w:rsid w:val="007F5C32"/>
    <w:rsid w:val="007F63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EB3"/>
    <w:rsid w:val="00810FE7"/>
    <w:rsid w:val="008110D9"/>
    <w:rsid w:val="0081119C"/>
    <w:rsid w:val="008120DF"/>
    <w:rsid w:val="008124CA"/>
    <w:rsid w:val="00812C0B"/>
    <w:rsid w:val="00812E15"/>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26"/>
    <w:rsid w:val="00821560"/>
    <w:rsid w:val="00821BC3"/>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30600"/>
    <w:rsid w:val="008311C4"/>
    <w:rsid w:val="00831A49"/>
    <w:rsid w:val="00831D5C"/>
    <w:rsid w:val="00831E7A"/>
    <w:rsid w:val="008337B5"/>
    <w:rsid w:val="008339F3"/>
    <w:rsid w:val="00833A5D"/>
    <w:rsid w:val="00834236"/>
    <w:rsid w:val="008359F2"/>
    <w:rsid w:val="00835BC5"/>
    <w:rsid w:val="00835C0E"/>
    <w:rsid w:val="008364C3"/>
    <w:rsid w:val="00836C79"/>
    <w:rsid w:val="00837204"/>
    <w:rsid w:val="00837930"/>
    <w:rsid w:val="00837AE6"/>
    <w:rsid w:val="00837AF8"/>
    <w:rsid w:val="00840805"/>
    <w:rsid w:val="00840908"/>
    <w:rsid w:val="008409C0"/>
    <w:rsid w:val="008409E5"/>
    <w:rsid w:val="00840D65"/>
    <w:rsid w:val="00841198"/>
    <w:rsid w:val="0084125B"/>
    <w:rsid w:val="00841780"/>
    <w:rsid w:val="0084243D"/>
    <w:rsid w:val="00842500"/>
    <w:rsid w:val="00842DE7"/>
    <w:rsid w:val="00842DF2"/>
    <w:rsid w:val="008436BA"/>
    <w:rsid w:val="00843993"/>
    <w:rsid w:val="008439C9"/>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D4D"/>
    <w:rsid w:val="00852137"/>
    <w:rsid w:val="0085214D"/>
    <w:rsid w:val="008528CD"/>
    <w:rsid w:val="00852904"/>
    <w:rsid w:val="008533B7"/>
    <w:rsid w:val="00853485"/>
    <w:rsid w:val="00853666"/>
    <w:rsid w:val="00853CFB"/>
    <w:rsid w:val="008547A1"/>
    <w:rsid w:val="0085534B"/>
    <w:rsid w:val="0085537A"/>
    <w:rsid w:val="008555A9"/>
    <w:rsid w:val="00855F82"/>
    <w:rsid w:val="0085605A"/>
    <w:rsid w:val="008565BC"/>
    <w:rsid w:val="00856EF6"/>
    <w:rsid w:val="008570BC"/>
    <w:rsid w:val="008570E1"/>
    <w:rsid w:val="00857813"/>
    <w:rsid w:val="00857873"/>
    <w:rsid w:val="00857980"/>
    <w:rsid w:val="00860568"/>
    <w:rsid w:val="0086089A"/>
    <w:rsid w:val="00860E30"/>
    <w:rsid w:val="008616B1"/>
    <w:rsid w:val="008617CE"/>
    <w:rsid w:val="008619F0"/>
    <w:rsid w:val="0086264D"/>
    <w:rsid w:val="00862784"/>
    <w:rsid w:val="00862F48"/>
    <w:rsid w:val="0086331D"/>
    <w:rsid w:val="00863AC1"/>
    <w:rsid w:val="00864A42"/>
    <w:rsid w:val="00865007"/>
    <w:rsid w:val="0086506E"/>
    <w:rsid w:val="0086526F"/>
    <w:rsid w:val="008653BB"/>
    <w:rsid w:val="00865B6E"/>
    <w:rsid w:val="008662BA"/>
    <w:rsid w:val="008665D6"/>
    <w:rsid w:val="00866981"/>
    <w:rsid w:val="00866FB2"/>
    <w:rsid w:val="00867010"/>
    <w:rsid w:val="00867369"/>
    <w:rsid w:val="008676CD"/>
    <w:rsid w:val="00867889"/>
    <w:rsid w:val="00867B5F"/>
    <w:rsid w:val="00867E3F"/>
    <w:rsid w:val="00867F5F"/>
    <w:rsid w:val="00870A8B"/>
    <w:rsid w:val="00871073"/>
    <w:rsid w:val="00871ED9"/>
    <w:rsid w:val="00872443"/>
    <w:rsid w:val="008724F8"/>
    <w:rsid w:val="00872811"/>
    <w:rsid w:val="008728F2"/>
    <w:rsid w:val="00872BB3"/>
    <w:rsid w:val="0087345A"/>
    <w:rsid w:val="0087351F"/>
    <w:rsid w:val="0087363C"/>
    <w:rsid w:val="008738E4"/>
    <w:rsid w:val="00873EF2"/>
    <w:rsid w:val="00874096"/>
    <w:rsid w:val="008746E8"/>
    <w:rsid w:val="008748DD"/>
    <w:rsid w:val="00874C95"/>
    <w:rsid w:val="00874DFD"/>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418"/>
    <w:rsid w:val="008814EC"/>
    <w:rsid w:val="0088177D"/>
    <w:rsid w:val="008825D3"/>
    <w:rsid w:val="00882BF0"/>
    <w:rsid w:val="008833DF"/>
    <w:rsid w:val="00883A05"/>
    <w:rsid w:val="0088426B"/>
    <w:rsid w:val="00885129"/>
    <w:rsid w:val="00885161"/>
    <w:rsid w:val="00885305"/>
    <w:rsid w:val="008853EA"/>
    <w:rsid w:val="00885764"/>
    <w:rsid w:val="00885784"/>
    <w:rsid w:val="008857CF"/>
    <w:rsid w:val="00885807"/>
    <w:rsid w:val="00885987"/>
    <w:rsid w:val="00885DAA"/>
    <w:rsid w:val="00885DE9"/>
    <w:rsid w:val="00886002"/>
    <w:rsid w:val="008860CF"/>
    <w:rsid w:val="0088611C"/>
    <w:rsid w:val="008864C4"/>
    <w:rsid w:val="008864ED"/>
    <w:rsid w:val="0088653D"/>
    <w:rsid w:val="00886971"/>
    <w:rsid w:val="00886A4E"/>
    <w:rsid w:val="00886C57"/>
    <w:rsid w:val="008871E3"/>
    <w:rsid w:val="008873A7"/>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964"/>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F6F"/>
    <w:rsid w:val="008D27DE"/>
    <w:rsid w:val="008D3D2C"/>
    <w:rsid w:val="008D3D4B"/>
    <w:rsid w:val="008D3DF2"/>
    <w:rsid w:val="008D40F6"/>
    <w:rsid w:val="008D4B8E"/>
    <w:rsid w:val="008D55A3"/>
    <w:rsid w:val="008D5DEC"/>
    <w:rsid w:val="008D5FD4"/>
    <w:rsid w:val="008D61B6"/>
    <w:rsid w:val="008D61EB"/>
    <w:rsid w:val="008D64FA"/>
    <w:rsid w:val="008D6501"/>
    <w:rsid w:val="008D6788"/>
    <w:rsid w:val="008D6BBA"/>
    <w:rsid w:val="008D7386"/>
    <w:rsid w:val="008D76C0"/>
    <w:rsid w:val="008E0000"/>
    <w:rsid w:val="008E063A"/>
    <w:rsid w:val="008E1385"/>
    <w:rsid w:val="008E15E4"/>
    <w:rsid w:val="008E1744"/>
    <w:rsid w:val="008E183D"/>
    <w:rsid w:val="008E1C53"/>
    <w:rsid w:val="008E23C7"/>
    <w:rsid w:val="008E264E"/>
    <w:rsid w:val="008E28DB"/>
    <w:rsid w:val="008E2947"/>
    <w:rsid w:val="008E2A47"/>
    <w:rsid w:val="008E3A8E"/>
    <w:rsid w:val="008E441F"/>
    <w:rsid w:val="008E4646"/>
    <w:rsid w:val="008E4870"/>
    <w:rsid w:val="008E4BBA"/>
    <w:rsid w:val="008E4D7E"/>
    <w:rsid w:val="008E519E"/>
    <w:rsid w:val="008E58F1"/>
    <w:rsid w:val="008E5ADF"/>
    <w:rsid w:val="008E5DFF"/>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6B2"/>
    <w:rsid w:val="008F1A28"/>
    <w:rsid w:val="008F20F1"/>
    <w:rsid w:val="008F280C"/>
    <w:rsid w:val="008F2B23"/>
    <w:rsid w:val="008F2DE8"/>
    <w:rsid w:val="008F3B21"/>
    <w:rsid w:val="008F3F92"/>
    <w:rsid w:val="008F424A"/>
    <w:rsid w:val="008F4947"/>
    <w:rsid w:val="008F4BC6"/>
    <w:rsid w:val="008F526E"/>
    <w:rsid w:val="008F52AD"/>
    <w:rsid w:val="008F5D23"/>
    <w:rsid w:val="008F6555"/>
    <w:rsid w:val="008F686F"/>
    <w:rsid w:val="008F6973"/>
    <w:rsid w:val="008F72BF"/>
    <w:rsid w:val="008F77AD"/>
    <w:rsid w:val="008F7C5A"/>
    <w:rsid w:val="009001C6"/>
    <w:rsid w:val="0090076E"/>
    <w:rsid w:val="009008DD"/>
    <w:rsid w:val="00900E60"/>
    <w:rsid w:val="00900FA9"/>
    <w:rsid w:val="0090101C"/>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16C4"/>
    <w:rsid w:val="0091223F"/>
    <w:rsid w:val="00912F2F"/>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DC4"/>
    <w:rsid w:val="00920E50"/>
    <w:rsid w:val="009211FB"/>
    <w:rsid w:val="009213B9"/>
    <w:rsid w:val="00921430"/>
    <w:rsid w:val="00921445"/>
    <w:rsid w:val="00921CA1"/>
    <w:rsid w:val="00921FBE"/>
    <w:rsid w:val="00922022"/>
    <w:rsid w:val="00922ECF"/>
    <w:rsid w:val="00923519"/>
    <w:rsid w:val="009242E9"/>
    <w:rsid w:val="0092433C"/>
    <w:rsid w:val="009245B4"/>
    <w:rsid w:val="009245EB"/>
    <w:rsid w:val="00924981"/>
    <w:rsid w:val="00924A32"/>
    <w:rsid w:val="00924F92"/>
    <w:rsid w:val="00925222"/>
    <w:rsid w:val="00925619"/>
    <w:rsid w:val="0092613B"/>
    <w:rsid w:val="00927110"/>
    <w:rsid w:val="009273C7"/>
    <w:rsid w:val="00927749"/>
    <w:rsid w:val="00927C01"/>
    <w:rsid w:val="00927DE2"/>
    <w:rsid w:val="00930260"/>
    <w:rsid w:val="0093074A"/>
    <w:rsid w:val="00930A1F"/>
    <w:rsid w:val="00930CF7"/>
    <w:rsid w:val="009313A9"/>
    <w:rsid w:val="009313D7"/>
    <w:rsid w:val="00931653"/>
    <w:rsid w:val="00931F50"/>
    <w:rsid w:val="00932098"/>
    <w:rsid w:val="00932767"/>
    <w:rsid w:val="00932818"/>
    <w:rsid w:val="009328D0"/>
    <w:rsid w:val="00932985"/>
    <w:rsid w:val="00932E57"/>
    <w:rsid w:val="0093351D"/>
    <w:rsid w:val="00933B5A"/>
    <w:rsid w:val="00933CAD"/>
    <w:rsid w:val="0093479D"/>
    <w:rsid w:val="00934829"/>
    <w:rsid w:val="00934A2E"/>
    <w:rsid w:val="00935840"/>
    <w:rsid w:val="00935896"/>
    <w:rsid w:val="00935897"/>
    <w:rsid w:val="00936095"/>
    <w:rsid w:val="00936B35"/>
    <w:rsid w:val="0093709D"/>
    <w:rsid w:val="00937399"/>
    <w:rsid w:val="00937935"/>
    <w:rsid w:val="009379AF"/>
    <w:rsid w:val="009379F4"/>
    <w:rsid w:val="009401DE"/>
    <w:rsid w:val="009401ED"/>
    <w:rsid w:val="00940453"/>
    <w:rsid w:val="009404DA"/>
    <w:rsid w:val="00940523"/>
    <w:rsid w:val="009407F9"/>
    <w:rsid w:val="00942543"/>
    <w:rsid w:val="00942730"/>
    <w:rsid w:val="0094291F"/>
    <w:rsid w:val="00942BB9"/>
    <w:rsid w:val="00942BBE"/>
    <w:rsid w:val="00944110"/>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8B3"/>
    <w:rsid w:val="00950C97"/>
    <w:rsid w:val="00950E17"/>
    <w:rsid w:val="00950FDD"/>
    <w:rsid w:val="009513B7"/>
    <w:rsid w:val="009514F5"/>
    <w:rsid w:val="0095154B"/>
    <w:rsid w:val="00951BD0"/>
    <w:rsid w:val="009522F5"/>
    <w:rsid w:val="00952B16"/>
    <w:rsid w:val="009531B9"/>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70D37"/>
    <w:rsid w:val="00970FC0"/>
    <w:rsid w:val="00970FED"/>
    <w:rsid w:val="00971B20"/>
    <w:rsid w:val="00971EC9"/>
    <w:rsid w:val="00971F61"/>
    <w:rsid w:val="0097202B"/>
    <w:rsid w:val="00972467"/>
    <w:rsid w:val="0097292A"/>
    <w:rsid w:val="00972BF5"/>
    <w:rsid w:val="00972E3F"/>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7172"/>
    <w:rsid w:val="0098734C"/>
    <w:rsid w:val="00987543"/>
    <w:rsid w:val="00990C1B"/>
    <w:rsid w:val="00990F4F"/>
    <w:rsid w:val="00991A15"/>
    <w:rsid w:val="00991D21"/>
    <w:rsid w:val="00991E93"/>
    <w:rsid w:val="00992158"/>
    <w:rsid w:val="00992499"/>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AC1"/>
    <w:rsid w:val="009A0DAB"/>
    <w:rsid w:val="009A210D"/>
    <w:rsid w:val="009A2385"/>
    <w:rsid w:val="009A23CD"/>
    <w:rsid w:val="009A28FA"/>
    <w:rsid w:val="009A2BA4"/>
    <w:rsid w:val="009A2E43"/>
    <w:rsid w:val="009A394C"/>
    <w:rsid w:val="009A3B1E"/>
    <w:rsid w:val="009A3D37"/>
    <w:rsid w:val="009A3D4E"/>
    <w:rsid w:val="009A44D2"/>
    <w:rsid w:val="009A4A9A"/>
    <w:rsid w:val="009A4AAD"/>
    <w:rsid w:val="009A4B3A"/>
    <w:rsid w:val="009A50FF"/>
    <w:rsid w:val="009A657E"/>
    <w:rsid w:val="009A6676"/>
    <w:rsid w:val="009A6DB4"/>
    <w:rsid w:val="009A79E9"/>
    <w:rsid w:val="009B0933"/>
    <w:rsid w:val="009B0B08"/>
    <w:rsid w:val="009B0C53"/>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6736"/>
    <w:rsid w:val="009B695C"/>
    <w:rsid w:val="009B6BD3"/>
    <w:rsid w:val="009B714D"/>
    <w:rsid w:val="009B756A"/>
    <w:rsid w:val="009B7591"/>
    <w:rsid w:val="009B7ABF"/>
    <w:rsid w:val="009C08BD"/>
    <w:rsid w:val="009C0BAB"/>
    <w:rsid w:val="009C0BBE"/>
    <w:rsid w:val="009C0F2C"/>
    <w:rsid w:val="009C0F43"/>
    <w:rsid w:val="009C1D69"/>
    <w:rsid w:val="009C1EAD"/>
    <w:rsid w:val="009C246A"/>
    <w:rsid w:val="009C2625"/>
    <w:rsid w:val="009C281D"/>
    <w:rsid w:val="009C2837"/>
    <w:rsid w:val="009C2FF5"/>
    <w:rsid w:val="009C30E9"/>
    <w:rsid w:val="009C34DD"/>
    <w:rsid w:val="009C3590"/>
    <w:rsid w:val="009C399F"/>
    <w:rsid w:val="009C3B3D"/>
    <w:rsid w:val="009C3DF9"/>
    <w:rsid w:val="009C49BA"/>
    <w:rsid w:val="009C4B28"/>
    <w:rsid w:val="009C514D"/>
    <w:rsid w:val="009C5C87"/>
    <w:rsid w:val="009C5ED3"/>
    <w:rsid w:val="009C692C"/>
    <w:rsid w:val="009C71E4"/>
    <w:rsid w:val="009C7650"/>
    <w:rsid w:val="009C76C8"/>
    <w:rsid w:val="009C7809"/>
    <w:rsid w:val="009C7C5C"/>
    <w:rsid w:val="009C7C9A"/>
    <w:rsid w:val="009D0732"/>
    <w:rsid w:val="009D0D33"/>
    <w:rsid w:val="009D1366"/>
    <w:rsid w:val="009D1912"/>
    <w:rsid w:val="009D19ED"/>
    <w:rsid w:val="009D21E6"/>
    <w:rsid w:val="009D2BE8"/>
    <w:rsid w:val="009D321F"/>
    <w:rsid w:val="009D35BC"/>
    <w:rsid w:val="009D3669"/>
    <w:rsid w:val="009D378C"/>
    <w:rsid w:val="009D3926"/>
    <w:rsid w:val="009D4D7B"/>
    <w:rsid w:val="009D5719"/>
    <w:rsid w:val="009D64B3"/>
    <w:rsid w:val="009D6610"/>
    <w:rsid w:val="009D6A07"/>
    <w:rsid w:val="009D6A3A"/>
    <w:rsid w:val="009D6AA8"/>
    <w:rsid w:val="009D6BB3"/>
    <w:rsid w:val="009D7552"/>
    <w:rsid w:val="009D75AE"/>
    <w:rsid w:val="009D7882"/>
    <w:rsid w:val="009D78C7"/>
    <w:rsid w:val="009D78FA"/>
    <w:rsid w:val="009D7C02"/>
    <w:rsid w:val="009D7DF9"/>
    <w:rsid w:val="009D7E94"/>
    <w:rsid w:val="009E0963"/>
    <w:rsid w:val="009E0C31"/>
    <w:rsid w:val="009E0D19"/>
    <w:rsid w:val="009E0D2B"/>
    <w:rsid w:val="009E0EC3"/>
    <w:rsid w:val="009E118C"/>
    <w:rsid w:val="009E1263"/>
    <w:rsid w:val="009E1B89"/>
    <w:rsid w:val="009E24BB"/>
    <w:rsid w:val="009E2B57"/>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315"/>
    <w:rsid w:val="009E6E4D"/>
    <w:rsid w:val="009E7271"/>
    <w:rsid w:val="009E72ED"/>
    <w:rsid w:val="009E77E1"/>
    <w:rsid w:val="009E7F55"/>
    <w:rsid w:val="009F011A"/>
    <w:rsid w:val="009F0286"/>
    <w:rsid w:val="009F036F"/>
    <w:rsid w:val="009F040F"/>
    <w:rsid w:val="009F12CC"/>
    <w:rsid w:val="009F1BE6"/>
    <w:rsid w:val="009F1CE1"/>
    <w:rsid w:val="009F2A72"/>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128F"/>
    <w:rsid w:val="00A012F4"/>
    <w:rsid w:val="00A02038"/>
    <w:rsid w:val="00A023DE"/>
    <w:rsid w:val="00A02996"/>
    <w:rsid w:val="00A031C0"/>
    <w:rsid w:val="00A033D4"/>
    <w:rsid w:val="00A03CF2"/>
    <w:rsid w:val="00A043AB"/>
    <w:rsid w:val="00A043FD"/>
    <w:rsid w:val="00A04402"/>
    <w:rsid w:val="00A049AE"/>
    <w:rsid w:val="00A04AB5"/>
    <w:rsid w:val="00A05A87"/>
    <w:rsid w:val="00A06086"/>
    <w:rsid w:val="00A060ED"/>
    <w:rsid w:val="00A064D8"/>
    <w:rsid w:val="00A064D9"/>
    <w:rsid w:val="00A06546"/>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D2B"/>
    <w:rsid w:val="00A16F7F"/>
    <w:rsid w:val="00A17241"/>
    <w:rsid w:val="00A17378"/>
    <w:rsid w:val="00A178D4"/>
    <w:rsid w:val="00A17908"/>
    <w:rsid w:val="00A17919"/>
    <w:rsid w:val="00A20204"/>
    <w:rsid w:val="00A2040F"/>
    <w:rsid w:val="00A20F9A"/>
    <w:rsid w:val="00A21102"/>
    <w:rsid w:val="00A216F0"/>
    <w:rsid w:val="00A219EB"/>
    <w:rsid w:val="00A22190"/>
    <w:rsid w:val="00A22430"/>
    <w:rsid w:val="00A231C6"/>
    <w:rsid w:val="00A2358E"/>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3E3"/>
    <w:rsid w:val="00A324E2"/>
    <w:rsid w:val="00A32672"/>
    <w:rsid w:val="00A33AE0"/>
    <w:rsid w:val="00A347FA"/>
    <w:rsid w:val="00A34D96"/>
    <w:rsid w:val="00A35963"/>
    <w:rsid w:val="00A36315"/>
    <w:rsid w:val="00A363B0"/>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3F8"/>
    <w:rsid w:val="00A475F5"/>
    <w:rsid w:val="00A478E8"/>
    <w:rsid w:val="00A500C0"/>
    <w:rsid w:val="00A5076D"/>
    <w:rsid w:val="00A507C2"/>
    <w:rsid w:val="00A5082C"/>
    <w:rsid w:val="00A50B2D"/>
    <w:rsid w:val="00A50C94"/>
    <w:rsid w:val="00A5146B"/>
    <w:rsid w:val="00A514F4"/>
    <w:rsid w:val="00A51CFB"/>
    <w:rsid w:val="00A51E3C"/>
    <w:rsid w:val="00A52155"/>
    <w:rsid w:val="00A52401"/>
    <w:rsid w:val="00A52A7B"/>
    <w:rsid w:val="00A52EB3"/>
    <w:rsid w:val="00A53012"/>
    <w:rsid w:val="00A5313B"/>
    <w:rsid w:val="00A533A3"/>
    <w:rsid w:val="00A5396B"/>
    <w:rsid w:val="00A53993"/>
    <w:rsid w:val="00A5411F"/>
    <w:rsid w:val="00A542A2"/>
    <w:rsid w:val="00A54766"/>
    <w:rsid w:val="00A5492D"/>
    <w:rsid w:val="00A54C3A"/>
    <w:rsid w:val="00A55216"/>
    <w:rsid w:val="00A56210"/>
    <w:rsid w:val="00A56688"/>
    <w:rsid w:val="00A56A22"/>
    <w:rsid w:val="00A56D88"/>
    <w:rsid w:val="00A572B4"/>
    <w:rsid w:val="00A57314"/>
    <w:rsid w:val="00A57411"/>
    <w:rsid w:val="00A57812"/>
    <w:rsid w:val="00A605E4"/>
    <w:rsid w:val="00A605F4"/>
    <w:rsid w:val="00A60B01"/>
    <w:rsid w:val="00A60E1A"/>
    <w:rsid w:val="00A618DC"/>
    <w:rsid w:val="00A627DA"/>
    <w:rsid w:val="00A62D46"/>
    <w:rsid w:val="00A63156"/>
    <w:rsid w:val="00A63178"/>
    <w:rsid w:val="00A63840"/>
    <w:rsid w:val="00A63B36"/>
    <w:rsid w:val="00A63E68"/>
    <w:rsid w:val="00A640F1"/>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75E9"/>
    <w:rsid w:val="00A776BC"/>
    <w:rsid w:val="00A77A1E"/>
    <w:rsid w:val="00A77EB2"/>
    <w:rsid w:val="00A8031F"/>
    <w:rsid w:val="00A804DA"/>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FD5"/>
    <w:rsid w:val="00A86221"/>
    <w:rsid w:val="00A864CE"/>
    <w:rsid w:val="00A8671C"/>
    <w:rsid w:val="00A86EC7"/>
    <w:rsid w:val="00A87003"/>
    <w:rsid w:val="00A87EDA"/>
    <w:rsid w:val="00A90753"/>
    <w:rsid w:val="00A90A45"/>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9D1"/>
    <w:rsid w:val="00A9792F"/>
    <w:rsid w:val="00A97AB6"/>
    <w:rsid w:val="00AA03BC"/>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78B9"/>
    <w:rsid w:val="00AA7A07"/>
    <w:rsid w:val="00AA7C6D"/>
    <w:rsid w:val="00AB0EA3"/>
    <w:rsid w:val="00AB104A"/>
    <w:rsid w:val="00AB18D9"/>
    <w:rsid w:val="00AB1C6B"/>
    <w:rsid w:val="00AB1E50"/>
    <w:rsid w:val="00AB20DE"/>
    <w:rsid w:val="00AB2666"/>
    <w:rsid w:val="00AB2D5F"/>
    <w:rsid w:val="00AB316A"/>
    <w:rsid w:val="00AB31E8"/>
    <w:rsid w:val="00AB344F"/>
    <w:rsid w:val="00AB3527"/>
    <w:rsid w:val="00AB38F0"/>
    <w:rsid w:val="00AB38FB"/>
    <w:rsid w:val="00AB3966"/>
    <w:rsid w:val="00AB3C22"/>
    <w:rsid w:val="00AB3DA2"/>
    <w:rsid w:val="00AB3F3B"/>
    <w:rsid w:val="00AB4B55"/>
    <w:rsid w:val="00AB50CF"/>
    <w:rsid w:val="00AB5193"/>
    <w:rsid w:val="00AB5FB8"/>
    <w:rsid w:val="00AB60E5"/>
    <w:rsid w:val="00AB617F"/>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F3B"/>
    <w:rsid w:val="00AC3241"/>
    <w:rsid w:val="00AC36C4"/>
    <w:rsid w:val="00AC38C1"/>
    <w:rsid w:val="00AC461C"/>
    <w:rsid w:val="00AC49E3"/>
    <w:rsid w:val="00AC4B2A"/>
    <w:rsid w:val="00AC50B4"/>
    <w:rsid w:val="00AC512C"/>
    <w:rsid w:val="00AC5F66"/>
    <w:rsid w:val="00AC62C4"/>
    <w:rsid w:val="00AC72AF"/>
    <w:rsid w:val="00AC7550"/>
    <w:rsid w:val="00AC7C30"/>
    <w:rsid w:val="00AD0501"/>
    <w:rsid w:val="00AD0BC2"/>
    <w:rsid w:val="00AD0CED"/>
    <w:rsid w:val="00AD0DD4"/>
    <w:rsid w:val="00AD1595"/>
    <w:rsid w:val="00AD2D11"/>
    <w:rsid w:val="00AD2FB7"/>
    <w:rsid w:val="00AD2FED"/>
    <w:rsid w:val="00AD380A"/>
    <w:rsid w:val="00AD3D7E"/>
    <w:rsid w:val="00AD3FA2"/>
    <w:rsid w:val="00AD4780"/>
    <w:rsid w:val="00AD4877"/>
    <w:rsid w:val="00AD4C81"/>
    <w:rsid w:val="00AD5190"/>
    <w:rsid w:val="00AD52E7"/>
    <w:rsid w:val="00AD5439"/>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22FF"/>
    <w:rsid w:val="00AE2B41"/>
    <w:rsid w:val="00AE2F26"/>
    <w:rsid w:val="00AE309A"/>
    <w:rsid w:val="00AE334F"/>
    <w:rsid w:val="00AE354E"/>
    <w:rsid w:val="00AE3745"/>
    <w:rsid w:val="00AE3859"/>
    <w:rsid w:val="00AE3C29"/>
    <w:rsid w:val="00AE4122"/>
    <w:rsid w:val="00AE43E5"/>
    <w:rsid w:val="00AE45E3"/>
    <w:rsid w:val="00AE4970"/>
    <w:rsid w:val="00AE55D2"/>
    <w:rsid w:val="00AE59C8"/>
    <w:rsid w:val="00AE5A70"/>
    <w:rsid w:val="00AE5B12"/>
    <w:rsid w:val="00AE5FB4"/>
    <w:rsid w:val="00AE608B"/>
    <w:rsid w:val="00AE651F"/>
    <w:rsid w:val="00AE653F"/>
    <w:rsid w:val="00AE6543"/>
    <w:rsid w:val="00AE73F4"/>
    <w:rsid w:val="00AE7419"/>
    <w:rsid w:val="00AE7704"/>
    <w:rsid w:val="00AE78F4"/>
    <w:rsid w:val="00AE7957"/>
    <w:rsid w:val="00AE7C3A"/>
    <w:rsid w:val="00AE7E1F"/>
    <w:rsid w:val="00AE7EC5"/>
    <w:rsid w:val="00AF038D"/>
    <w:rsid w:val="00AF0A5A"/>
    <w:rsid w:val="00AF0B5C"/>
    <w:rsid w:val="00AF15D2"/>
    <w:rsid w:val="00AF19B7"/>
    <w:rsid w:val="00AF1D19"/>
    <w:rsid w:val="00AF1E0B"/>
    <w:rsid w:val="00AF24A3"/>
    <w:rsid w:val="00AF33E2"/>
    <w:rsid w:val="00AF3413"/>
    <w:rsid w:val="00AF3475"/>
    <w:rsid w:val="00AF3628"/>
    <w:rsid w:val="00AF4084"/>
    <w:rsid w:val="00AF48F5"/>
    <w:rsid w:val="00AF4C4E"/>
    <w:rsid w:val="00AF55BC"/>
    <w:rsid w:val="00AF57FF"/>
    <w:rsid w:val="00AF7497"/>
    <w:rsid w:val="00AF7DED"/>
    <w:rsid w:val="00AF7FC9"/>
    <w:rsid w:val="00B000CD"/>
    <w:rsid w:val="00B001D9"/>
    <w:rsid w:val="00B007E9"/>
    <w:rsid w:val="00B00998"/>
    <w:rsid w:val="00B01C0A"/>
    <w:rsid w:val="00B01FB2"/>
    <w:rsid w:val="00B027F0"/>
    <w:rsid w:val="00B02A99"/>
    <w:rsid w:val="00B02B00"/>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C22"/>
    <w:rsid w:val="00B11E9F"/>
    <w:rsid w:val="00B12933"/>
    <w:rsid w:val="00B12D84"/>
    <w:rsid w:val="00B12FFA"/>
    <w:rsid w:val="00B13F3D"/>
    <w:rsid w:val="00B149F3"/>
    <w:rsid w:val="00B149F8"/>
    <w:rsid w:val="00B15289"/>
    <w:rsid w:val="00B1549B"/>
    <w:rsid w:val="00B1577B"/>
    <w:rsid w:val="00B15D39"/>
    <w:rsid w:val="00B160EA"/>
    <w:rsid w:val="00B162C1"/>
    <w:rsid w:val="00B16CB7"/>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4559"/>
    <w:rsid w:val="00B24A16"/>
    <w:rsid w:val="00B24DD8"/>
    <w:rsid w:val="00B25416"/>
    <w:rsid w:val="00B25B4F"/>
    <w:rsid w:val="00B260AE"/>
    <w:rsid w:val="00B27030"/>
    <w:rsid w:val="00B3078E"/>
    <w:rsid w:val="00B30AAD"/>
    <w:rsid w:val="00B310D4"/>
    <w:rsid w:val="00B31276"/>
    <w:rsid w:val="00B31885"/>
    <w:rsid w:val="00B323F7"/>
    <w:rsid w:val="00B33273"/>
    <w:rsid w:val="00B33700"/>
    <w:rsid w:val="00B33EC4"/>
    <w:rsid w:val="00B34444"/>
    <w:rsid w:val="00B34AAC"/>
    <w:rsid w:val="00B34E13"/>
    <w:rsid w:val="00B3506C"/>
    <w:rsid w:val="00B363D8"/>
    <w:rsid w:val="00B365E4"/>
    <w:rsid w:val="00B36B86"/>
    <w:rsid w:val="00B370E8"/>
    <w:rsid w:val="00B37904"/>
    <w:rsid w:val="00B37BCF"/>
    <w:rsid w:val="00B37C34"/>
    <w:rsid w:val="00B40204"/>
    <w:rsid w:val="00B4064E"/>
    <w:rsid w:val="00B407CD"/>
    <w:rsid w:val="00B40AA4"/>
    <w:rsid w:val="00B40EEA"/>
    <w:rsid w:val="00B41347"/>
    <w:rsid w:val="00B42036"/>
    <w:rsid w:val="00B424D3"/>
    <w:rsid w:val="00B42DB1"/>
    <w:rsid w:val="00B442B0"/>
    <w:rsid w:val="00B443D0"/>
    <w:rsid w:val="00B4465B"/>
    <w:rsid w:val="00B4467D"/>
    <w:rsid w:val="00B446BD"/>
    <w:rsid w:val="00B449AD"/>
    <w:rsid w:val="00B451D3"/>
    <w:rsid w:val="00B453A2"/>
    <w:rsid w:val="00B456A3"/>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58E"/>
    <w:rsid w:val="00B536B7"/>
    <w:rsid w:val="00B53730"/>
    <w:rsid w:val="00B53B21"/>
    <w:rsid w:val="00B53BB2"/>
    <w:rsid w:val="00B53BE3"/>
    <w:rsid w:val="00B54EF7"/>
    <w:rsid w:val="00B55069"/>
    <w:rsid w:val="00B5556F"/>
    <w:rsid w:val="00B5562C"/>
    <w:rsid w:val="00B5584A"/>
    <w:rsid w:val="00B55CCC"/>
    <w:rsid w:val="00B56C44"/>
    <w:rsid w:val="00B571EB"/>
    <w:rsid w:val="00B579BD"/>
    <w:rsid w:val="00B57F51"/>
    <w:rsid w:val="00B6000E"/>
    <w:rsid w:val="00B6031F"/>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47D"/>
    <w:rsid w:val="00B706C8"/>
    <w:rsid w:val="00B70886"/>
    <w:rsid w:val="00B7091D"/>
    <w:rsid w:val="00B70B1A"/>
    <w:rsid w:val="00B71112"/>
    <w:rsid w:val="00B7210F"/>
    <w:rsid w:val="00B72520"/>
    <w:rsid w:val="00B72ABA"/>
    <w:rsid w:val="00B72EA7"/>
    <w:rsid w:val="00B73974"/>
    <w:rsid w:val="00B74987"/>
    <w:rsid w:val="00B74DD4"/>
    <w:rsid w:val="00B753E0"/>
    <w:rsid w:val="00B75A5D"/>
    <w:rsid w:val="00B75FB9"/>
    <w:rsid w:val="00B7613C"/>
    <w:rsid w:val="00B766B9"/>
    <w:rsid w:val="00B768DA"/>
    <w:rsid w:val="00B772C4"/>
    <w:rsid w:val="00B7764E"/>
    <w:rsid w:val="00B77CBB"/>
    <w:rsid w:val="00B77F2F"/>
    <w:rsid w:val="00B8091A"/>
    <w:rsid w:val="00B80AA5"/>
    <w:rsid w:val="00B80E1F"/>
    <w:rsid w:val="00B81937"/>
    <w:rsid w:val="00B81B65"/>
    <w:rsid w:val="00B81ED1"/>
    <w:rsid w:val="00B81FA8"/>
    <w:rsid w:val="00B81FD5"/>
    <w:rsid w:val="00B82086"/>
    <w:rsid w:val="00B82350"/>
    <w:rsid w:val="00B82D50"/>
    <w:rsid w:val="00B83369"/>
    <w:rsid w:val="00B834D5"/>
    <w:rsid w:val="00B83AAC"/>
    <w:rsid w:val="00B8412B"/>
    <w:rsid w:val="00B8421F"/>
    <w:rsid w:val="00B845F5"/>
    <w:rsid w:val="00B8519A"/>
    <w:rsid w:val="00B85354"/>
    <w:rsid w:val="00B85359"/>
    <w:rsid w:val="00B860FF"/>
    <w:rsid w:val="00B86547"/>
    <w:rsid w:val="00B867CF"/>
    <w:rsid w:val="00B86885"/>
    <w:rsid w:val="00B86B07"/>
    <w:rsid w:val="00B86E63"/>
    <w:rsid w:val="00B8717B"/>
    <w:rsid w:val="00B87A2B"/>
    <w:rsid w:val="00B87E38"/>
    <w:rsid w:val="00B90393"/>
    <w:rsid w:val="00B919E5"/>
    <w:rsid w:val="00B91D51"/>
    <w:rsid w:val="00B91E3E"/>
    <w:rsid w:val="00B9256A"/>
    <w:rsid w:val="00B93ABA"/>
    <w:rsid w:val="00B93B03"/>
    <w:rsid w:val="00B93B9D"/>
    <w:rsid w:val="00B93C54"/>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797F"/>
    <w:rsid w:val="00B97D07"/>
    <w:rsid w:val="00B97D9A"/>
    <w:rsid w:val="00BA08C9"/>
    <w:rsid w:val="00BA0BFB"/>
    <w:rsid w:val="00BA11F2"/>
    <w:rsid w:val="00BA12E8"/>
    <w:rsid w:val="00BA152B"/>
    <w:rsid w:val="00BA1678"/>
    <w:rsid w:val="00BA23E1"/>
    <w:rsid w:val="00BA340C"/>
    <w:rsid w:val="00BA3ABD"/>
    <w:rsid w:val="00BA3B80"/>
    <w:rsid w:val="00BA3FAA"/>
    <w:rsid w:val="00BA423C"/>
    <w:rsid w:val="00BA45C7"/>
    <w:rsid w:val="00BA46A9"/>
    <w:rsid w:val="00BA4E06"/>
    <w:rsid w:val="00BA50EA"/>
    <w:rsid w:val="00BA52BC"/>
    <w:rsid w:val="00BA539D"/>
    <w:rsid w:val="00BA53F3"/>
    <w:rsid w:val="00BA5A1C"/>
    <w:rsid w:val="00BA5B9E"/>
    <w:rsid w:val="00BA6308"/>
    <w:rsid w:val="00BA651B"/>
    <w:rsid w:val="00BA667B"/>
    <w:rsid w:val="00BA7B99"/>
    <w:rsid w:val="00BB09AA"/>
    <w:rsid w:val="00BB0A68"/>
    <w:rsid w:val="00BB0C4F"/>
    <w:rsid w:val="00BB0FEB"/>
    <w:rsid w:val="00BB1209"/>
    <w:rsid w:val="00BB1301"/>
    <w:rsid w:val="00BB1479"/>
    <w:rsid w:val="00BB15C1"/>
    <w:rsid w:val="00BB192A"/>
    <w:rsid w:val="00BB1CC8"/>
    <w:rsid w:val="00BB2616"/>
    <w:rsid w:val="00BB2D45"/>
    <w:rsid w:val="00BB305D"/>
    <w:rsid w:val="00BB3E97"/>
    <w:rsid w:val="00BB4DC4"/>
    <w:rsid w:val="00BB4E3E"/>
    <w:rsid w:val="00BB4FFA"/>
    <w:rsid w:val="00BB53D9"/>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F8"/>
    <w:rsid w:val="00BC2405"/>
    <w:rsid w:val="00BC2D22"/>
    <w:rsid w:val="00BC2FD9"/>
    <w:rsid w:val="00BC310E"/>
    <w:rsid w:val="00BC3327"/>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11FA"/>
    <w:rsid w:val="00BD14F5"/>
    <w:rsid w:val="00BD1DFE"/>
    <w:rsid w:val="00BD257E"/>
    <w:rsid w:val="00BD295A"/>
    <w:rsid w:val="00BD2BE6"/>
    <w:rsid w:val="00BD2E27"/>
    <w:rsid w:val="00BD3483"/>
    <w:rsid w:val="00BD3D97"/>
    <w:rsid w:val="00BD4341"/>
    <w:rsid w:val="00BD43F5"/>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35BF"/>
    <w:rsid w:val="00C0425B"/>
    <w:rsid w:val="00C04261"/>
    <w:rsid w:val="00C04319"/>
    <w:rsid w:val="00C05066"/>
    <w:rsid w:val="00C05369"/>
    <w:rsid w:val="00C057C4"/>
    <w:rsid w:val="00C059FB"/>
    <w:rsid w:val="00C05ED2"/>
    <w:rsid w:val="00C060DA"/>
    <w:rsid w:val="00C06860"/>
    <w:rsid w:val="00C06939"/>
    <w:rsid w:val="00C06B8B"/>
    <w:rsid w:val="00C06FEC"/>
    <w:rsid w:val="00C07206"/>
    <w:rsid w:val="00C07566"/>
    <w:rsid w:val="00C07717"/>
    <w:rsid w:val="00C077C5"/>
    <w:rsid w:val="00C07A94"/>
    <w:rsid w:val="00C07E4C"/>
    <w:rsid w:val="00C1023F"/>
    <w:rsid w:val="00C1042E"/>
    <w:rsid w:val="00C106CC"/>
    <w:rsid w:val="00C1166A"/>
    <w:rsid w:val="00C118D7"/>
    <w:rsid w:val="00C11BBC"/>
    <w:rsid w:val="00C124F7"/>
    <w:rsid w:val="00C127CC"/>
    <w:rsid w:val="00C12C6C"/>
    <w:rsid w:val="00C12E79"/>
    <w:rsid w:val="00C1329F"/>
    <w:rsid w:val="00C136DE"/>
    <w:rsid w:val="00C13A3C"/>
    <w:rsid w:val="00C13E58"/>
    <w:rsid w:val="00C13E68"/>
    <w:rsid w:val="00C1411E"/>
    <w:rsid w:val="00C14207"/>
    <w:rsid w:val="00C143AC"/>
    <w:rsid w:val="00C143E2"/>
    <w:rsid w:val="00C146F0"/>
    <w:rsid w:val="00C1535E"/>
    <w:rsid w:val="00C15ABB"/>
    <w:rsid w:val="00C15FC0"/>
    <w:rsid w:val="00C16ADD"/>
    <w:rsid w:val="00C16E79"/>
    <w:rsid w:val="00C171BA"/>
    <w:rsid w:val="00C1796F"/>
    <w:rsid w:val="00C17C56"/>
    <w:rsid w:val="00C20253"/>
    <w:rsid w:val="00C2034B"/>
    <w:rsid w:val="00C20371"/>
    <w:rsid w:val="00C2045D"/>
    <w:rsid w:val="00C20732"/>
    <w:rsid w:val="00C20CD9"/>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5260"/>
    <w:rsid w:val="00C253E6"/>
    <w:rsid w:val="00C25475"/>
    <w:rsid w:val="00C26980"/>
    <w:rsid w:val="00C26FB5"/>
    <w:rsid w:val="00C278D0"/>
    <w:rsid w:val="00C30604"/>
    <w:rsid w:val="00C3067B"/>
    <w:rsid w:val="00C3081C"/>
    <w:rsid w:val="00C3092B"/>
    <w:rsid w:val="00C30993"/>
    <w:rsid w:val="00C30C3F"/>
    <w:rsid w:val="00C30D15"/>
    <w:rsid w:val="00C30D36"/>
    <w:rsid w:val="00C30E7D"/>
    <w:rsid w:val="00C310A7"/>
    <w:rsid w:val="00C312FB"/>
    <w:rsid w:val="00C3153E"/>
    <w:rsid w:val="00C3185F"/>
    <w:rsid w:val="00C3186B"/>
    <w:rsid w:val="00C31B83"/>
    <w:rsid w:val="00C31D37"/>
    <w:rsid w:val="00C3206C"/>
    <w:rsid w:val="00C32224"/>
    <w:rsid w:val="00C324B1"/>
    <w:rsid w:val="00C32B3A"/>
    <w:rsid w:val="00C3395D"/>
    <w:rsid w:val="00C34435"/>
    <w:rsid w:val="00C34607"/>
    <w:rsid w:val="00C3485A"/>
    <w:rsid w:val="00C34DB1"/>
    <w:rsid w:val="00C34DEE"/>
    <w:rsid w:val="00C35905"/>
    <w:rsid w:val="00C35D05"/>
    <w:rsid w:val="00C35E4C"/>
    <w:rsid w:val="00C36574"/>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402A"/>
    <w:rsid w:val="00C444E3"/>
    <w:rsid w:val="00C446E3"/>
    <w:rsid w:val="00C447A6"/>
    <w:rsid w:val="00C44D5F"/>
    <w:rsid w:val="00C44F33"/>
    <w:rsid w:val="00C4583A"/>
    <w:rsid w:val="00C462A2"/>
    <w:rsid w:val="00C469EB"/>
    <w:rsid w:val="00C46D85"/>
    <w:rsid w:val="00C46F39"/>
    <w:rsid w:val="00C471D9"/>
    <w:rsid w:val="00C472FB"/>
    <w:rsid w:val="00C474A3"/>
    <w:rsid w:val="00C474C7"/>
    <w:rsid w:val="00C47572"/>
    <w:rsid w:val="00C47782"/>
    <w:rsid w:val="00C502E1"/>
    <w:rsid w:val="00C5076C"/>
    <w:rsid w:val="00C50874"/>
    <w:rsid w:val="00C50BD9"/>
    <w:rsid w:val="00C50F5E"/>
    <w:rsid w:val="00C50FB3"/>
    <w:rsid w:val="00C517E4"/>
    <w:rsid w:val="00C518A4"/>
    <w:rsid w:val="00C51D21"/>
    <w:rsid w:val="00C52BC1"/>
    <w:rsid w:val="00C52C5A"/>
    <w:rsid w:val="00C533EA"/>
    <w:rsid w:val="00C5388D"/>
    <w:rsid w:val="00C5424B"/>
    <w:rsid w:val="00C542D0"/>
    <w:rsid w:val="00C5469A"/>
    <w:rsid w:val="00C54C6F"/>
    <w:rsid w:val="00C5506D"/>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3C2"/>
    <w:rsid w:val="00C62787"/>
    <w:rsid w:val="00C630F8"/>
    <w:rsid w:val="00C63B8A"/>
    <w:rsid w:val="00C63C44"/>
    <w:rsid w:val="00C641A1"/>
    <w:rsid w:val="00C64FD5"/>
    <w:rsid w:val="00C653B2"/>
    <w:rsid w:val="00C655B9"/>
    <w:rsid w:val="00C657F0"/>
    <w:rsid w:val="00C65AB3"/>
    <w:rsid w:val="00C65AE5"/>
    <w:rsid w:val="00C66116"/>
    <w:rsid w:val="00C667D9"/>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1115"/>
    <w:rsid w:val="00C81228"/>
    <w:rsid w:val="00C81EA7"/>
    <w:rsid w:val="00C822B2"/>
    <w:rsid w:val="00C825B7"/>
    <w:rsid w:val="00C82C01"/>
    <w:rsid w:val="00C82EEF"/>
    <w:rsid w:val="00C82F1F"/>
    <w:rsid w:val="00C8300C"/>
    <w:rsid w:val="00C83018"/>
    <w:rsid w:val="00C83450"/>
    <w:rsid w:val="00C836B8"/>
    <w:rsid w:val="00C84430"/>
    <w:rsid w:val="00C84856"/>
    <w:rsid w:val="00C84882"/>
    <w:rsid w:val="00C8488F"/>
    <w:rsid w:val="00C84C2D"/>
    <w:rsid w:val="00C84CF7"/>
    <w:rsid w:val="00C8521E"/>
    <w:rsid w:val="00C85397"/>
    <w:rsid w:val="00C855A6"/>
    <w:rsid w:val="00C85C6A"/>
    <w:rsid w:val="00C85CDC"/>
    <w:rsid w:val="00C870C0"/>
    <w:rsid w:val="00C870E8"/>
    <w:rsid w:val="00C873D7"/>
    <w:rsid w:val="00C87946"/>
    <w:rsid w:val="00C9024D"/>
    <w:rsid w:val="00C904FD"/>
    <w:rsid w:val="00C9050F"/>
    <w:rsid w:val="00C9076B"/>
    <w:rsid w:val="00C907D6"/>
    <w:rsid w:val="00C90857"/>
    <w:rsid w:val="00C90BAA"/>
    <w:rsid w:val="00C910D2"/>
    <w:rsid w:val="00C913A5"/>
    <w:rsid w:val="00C9178F"/>
    <w:rsid w:val="00C920B1"/>
    <w:rsid w:val="00C92262"/>
    <w:rsid w:val="00C9289F"/>
    <w:rsid w:val="00C9406D"/>
    <w:rsid w:val="00C94135"/>
    <w:rsid w:val="00C942A9"/>
    <w:rsid w:val="00C945DA"/>
    <w:rsid w:val="00C95715"/>
    <w:rsid w:val="00C960DD"/>
    <w:rsid w:val="00C960E5"/>
    <w:rsid w:val="00C96211"/>
    <w:rsid w:val="00C963E5"/>
    <w:rsid w:val="00C9645A"/>
    <w:rsid w:val="00C96936"/>
    <w:rsid w:val="00C96F22"/>
    <w:rsid w:val="00C973E3"/>
    <w:rsid w:val="00C97A46"/>
    <w:rsid w:val="00C97DBC"/>
    <w:rsid w:val="00CA11B9"/>
    <w:rsid w:val="00CA1401"/>
    <w:rsid w:val="00CA310D"/>
    <w:rsid w:val="00CA343D"/>
    <w:rsid w:val="00CA38F0"/>
    <w:rsid w:val="00CA3919"/>
    <w:rsid w:val="00CA3FB1"/>
    <w:rsid w:val="00CA40A3"/>
    <w:rsid w:val="00CA4244"/>
    <w:rsid w:val="00CA4D3B"/>
    <w:rsid w:val="00CA5B55"/>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4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379"/>
    <w:rsid w:val="00CC58BA"/>
    <w:rsid w:val="00CC5DA6"/>
    <w:rsid w:val="00CC638E"/>
    <w:rsid w:val="00CC6564"/>
    <w:rsid w:val="00CC6F49"/>
    <w:rsid w:val="00CC7915"/>
    <w:rsid w:val="00CC79FB"/>
    <w:rsid w:val="00CC7C10"/>
    <w:rsid w:val="00CD00E9"/>
    <w:rsid w:val="00CD017D"/>
    <w:rsid w:val="00CD0287"/>
    <w:rsid w:val="00CD030B"/>
    <w:rsid w:val="00CD07C1"/>
    <w:rsid w:val="00CD09F8"/>
    <w:rsid w:val="00CD134F"/>
    <w:rsid w:val="00CD14C3"/>
    <w:rsid w:val="00CD1653"/>
    <w:rsid w:val="00CD1696"/>
    <w:rsid w:val="00CD1909"/>
    <w:rsid w:val="00CD1E75"/>
    <w:rsid w:val="00CD1EA2"/>
    <w:rsid w:val="00CD2DF7"/>
    <w:rsid w:val="00CD30F6"/>
    <w:rsid w:val="00CD3211"/>
    <w:rsid w:val="00CD3C37"/>
    <w:rsid w:val="00CD3DBA"/>
    <w:rsid w:val="00CD3F8B"/>
    <w:rsid w:val="00CD4023"/>
    <w:rsid w:val="00CD435D"/>
    <w:rsid w:val="00CD4BB2"/>
    <w:rsid w:val="00CD4C49"/>
    <w:rsid w:val="00CD4D36"/>
    <w:rsid w:val="00CD5467"/>
    <w:rsid w:val="00CD5633"/>
    <w:rsid w:val="00CD5684"/>
    <w:rsid w:val="00CD56CB"/>
    <w:rsid w:val="00CD5881"/>
    <w:rsid w:val="00CD6378"/>
    <w:rsid w:val="00CD7009"/>
    <w:rsid w:val="00CD7223"/>
    <w:rsid w:val="00CD7FDD"/>
    <w:rsid w:val="00CE0B07"/>
    <w:rsid w:val="00CE0C1B"/>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B69"/>
    <w:rsid w:val="00CF0D20"/>
    <w:rsid w:val="00CF0D8A"/>
    <w:rsid w:val="00CF0DC9"/>
    <w:rsid w:val="00CF121C"/>
    <w:rsid w:val="00CF1250"/>
    <w:rsid w:val="00CF1409"/>
    <w:rsid w:val="00CF1446"/>
    <w:rsid w:val="00CF289F"/>
    <w:rsid w:val="00CF2B74"/>
    <w:rsid w:val="00CF3451"/>
    <w:rsid w:val="00CF3506"/>
    <w:rsid w:val="00CF3ACC"/>
    <w:rsid w:val="00CF3B0B"/>
    <w:rsid w:val="00CF3DDF"/>
    <w:rsid w:val="00CF3E29"/>
    <w:rsid w:val="00CF3EE6"/>
    <w:rsid w:val="00CF45ED"/>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7CE"/>
    <w:rsid w:val="00D03C69"/>
    <w:rsid w:val="00D03DF1"/>
    <w:rsid w:val="00D04475"/>
    <w:rsid w:val="00D04486"/>
    <w:rsid w:val="00D048D2"/>
    <w:rsid w:val="00D04B1A"/>
    <w:rsid w:val="00D051E3"/>
    <w:rsid w:val="00D05AEC"/>
    <w:rsid w:val="00D05FCF"/>
    <w:rsid w:val="00D06456"/>
    <w:rsid w:val="00D064C0"/>
    <w:rsid w:val="00D068E0"/>
    <w:rsid w:val="00D06945"/>
    <w:rsid w:val="00D071B5"/>
    <w:rsid w:val="00D07423"/>
    <w:rsid w:val="00D07494"/>
    <w:rsid w:val="00D0749E"/>
    <w:rsid w:val="00D07794"/>
    <w:rsid w:val="00D079C2"/>
    <w:rsid w:val="00D07DE1"/>
    <w:rsid w:val="00D07EC6"/>
    <w:rsid w:val="00D10262"/>
    <w:rsid w:val="00D108CF"/>
    <w:rsid w:val="00D10EC8"/>
    <w:rsid w:val="00D110A9"/>
    <w:rsid w:val="00D111A5"/>
    <w:rsid w:val="00D1191C"/>
    <w:rsid w:val="00D120DF"/>
    <w:rsid w:val="00D122E1"/>
    <w:rsid w:val="00D1261A"/>
    <w:rsid w:val="00D1277A"/>
    <w:rsid w:val="00D127FE"/>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180"/>
    <w:rsid w:val="00D20932"/>
    <w:rsid w:val="00D209B3"/>
    <w:rsid w:val="00D20B78"/>
    <w:rsid w:val="00D20C8B"/>
    <w:rsid w:val="00D21065"/>
    <w:rsid w:val="00D213AB"/>
    <w:rsid w:val="00D21739"/>
    <w:rsid w:val="00D21745"/>
    <w:rsid w:val="00D220EB"/>
    <w:rsid w:val="00D22B3C"/>
    <w:rsid w:val="00D22FB0"/>
    <w:rsid w:val="00D23131"/>
    <w:rsid w:val="00D232B8"/>
    <w:rsid w:val="00D23300"/>
    <w:rsid w:val="00D23610"/>
    <w:rsid w:val="00D23871"/>
    <w:rsid w:val="00D24236"/>
    <w:rsid w:val="00D24924"/>
    <w:rsid w:val="00D24979"/>
    <w:rsid w:val="00D24A33"/>
    <w:rsid w:val="00D24AC5"/>
    <w:rsid w:val="00D25646"/>
    <w:rsid w:val="00D256C1"/>
    <w:rsid w:val="00D25822"/>
    <w:rsid w:val="00D2608C"/>
    <w:rsid w:val="00D27B52"/>
    <w:rsid w:val="00D3000D"/>
    <w:rsid w:val="00D30703"/>
    <w:rsid w:val="00D30755"/>
    <w:rsid w:val="00D31A56"/>
    <w:rsid w:val="00D32163"/>
    <w:rsid w:val="00D322AB"/>
    <w:rsid w:val="00D32315"/>
    <w:rsid w:val="00D32FE0"/>
    <w:rsid w:val="00D33840"/>
    <w:rsid w:val="00D3399D"/>
    <w:rsid w:val="00D33DDE"/>
    <w:rsid w:val="00D340B7"/>
    <w:rsid w:val="00D347DE"/>
    <w:rsid w:val="00D349D5"/>
    <w:rsid w:val="00D34A59"/>
    <w:rsid w:val="00D359F3"/>
    <w:rsid w:val="00D36D1A"/>
    <w:rsid w:val="00D36D25"/>
    <w:rsid w:val="00D37278"/>
    <w:rsid w:val="00D375F9"/>
    <w:rsid w:val="00D37E8A"/>
    <w:rsid w:val="00D4080D"/>
    <w:rsid w:val="00D409F6"/>
    <w:rsid w:val="00D40E29"/>
    <w:rsid w:val="00D4118C"/>
    <w:rsid w:val="00D41771"/>
    <w:rsid w:val="00D4208C"/>
    <w:rsid w:val="00D4234C"/>
    <w:rsid w:val="00D42B03"/>
    <w:rsid w:val="00D434C8"/>
    <w:rsid w:val="00D4374F"/>
    <w:rsid w:val="00D441F7"/>
    <w:rsid w:val="00D44276"/>
    <w:rsid w:val="00D444C7"/>
    <w:rsid w:val="00D44E24"/>
    <w:rsid w:val="00D454ED"/>
    <w:rsid w:val="00D45C1D"/>
    <w:rsid w:val="00D45C6E"/>
    <w:rsid w:val="00D45CAB"/>
    <w:rsid w:val="00D4604A"/>
    <w:rsid w:val="00D465A2"/>
    <w:rsid w:val="00D466C4"/>
    <w:rsid w:val="00D467DD"/>
    <w:rsid w:val="00D46C9D"/>
    <w:rsid w:val="00D46FF8"/>
    <w:rsid w:val="00D4796D"/>
    <w:rsid w:val="00D50021"/>
    <w:rsid w:val="00D503B1"/>
    <w:rsid w:val="00D50F8F"/>
    <w:rsid w:val="00D51012"/>
    <w:rsid w:val="00D51DAB"/>
    <w:rsid w:val="00D52E91"/>
    <w:rsid w:val="00D52F43"/>
    <w:rsid w:val="00D538F9"/>
    <w:rsid w:val="00D53F25"/>
    <w:rsid w:val="00D54208"/>
    <w:rsid w:val="00D5438A"/>
    <w:rsid w:val="00D54925"/>
    <w:rsid w:val="00D54FE9"/>
    <w:rsid w:val="00D55797"/>
    <w:rsid w:val="00D55924"/>
    <w:rsid w:val="00D5604E"/>
    <w:rsid w:val="00D560B6"/>
    <w:rsid w:val="00D56256"/>
    <w:rsid w:val="00D5653F"/>
    <w:rsid w:val="00D56F89"/>
    <w:rsid w:val="00D5788F"/>
    <w:rsid w:val="00D579BA"/>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5EA"/>
    <w:rsid w:val="00D72804"/>
    <w:rsid w:val="00D72AF9"/>
    <w:rsid w:val="00D72C2A"/>
    <w:rsid w:val="00D7339C"/>
    <w:rsid w:val="00D73563"/>
    <w:rsid w:val="00D73AE0"/>
    <w:rsid w:val="00D73E26"/>
    <w:rsid w:val="00D73FA3"/>
    <w:rsid w:val="00D742BC"/>
    <w:rsid w:val="00D74BA0"/>
    <w:rsid w:val="00D74D03"/>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215F"/>
    <w:rsid w:val="00D826E1"/>
    <w:rsid w:val="00D82C98"/>
    <w:rsid w:val="00D82D7B"/>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3493"/>
    <w:rsid w:val="00D93832"/>
    <w:rsid w:val="00D938F0"/>
    <w:rsid w:val="00D93A1D"/>
    <w:rsid w:val="00D93BA0"/>
    <w:rsid w:val="00D9445F"/>
    <w:rsid w:val="00D946B8"/>
    <w:rsid w:val="00D946F7"/>
    <w:rsid w:val="00D947B0"/>
    <w:rsid w:val="00D948A2"/>
    <w:rsid w:val="00D948FF"/>
    <w:rsid w:val="00D9490C"/>
    <w:rsid w:val="00D94CCC"/>
    <w:rsid w:val="00D95573"/>
    <w:rsid w:val="00D95691"/>
    <w:rsid w:val="00D95A52"/>
    <w:rsid w:val="00D9606A"/>
    <w:rsid w:val="00D961A7"/>
    <w:rsid w:val="00D96E9B"/>
    <w:rsid w:val="00D97066"/>
    <w:rsid w:val="00D972ED"/>
    <w:rsid w:val="00D97514"/>
    <w:rsid w:val="00D977B9"/>
    <w:rsid w:val="00D97949"/>
    <w:rsid w:val="00D97CE8"/>
    <w:rsid w:val="00D97EBC"/>
    <w:rsid w:val="00D97F7D"/>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702"/>
    <w:rsid w:val="00DA6308"/>
    <w:rsid w:val="00DA6FCA"/>
    <w:rsid w:val="00DA7195"/>
    <w:rsid w:val="00DA7380"/>
    <w:rsid w:val="00DA768F"/>
    <w:rsid w:val="00DA7784"/>
    <w:rsid w:val="00DB00A2"/>
    <w:rsid w:val="00DB01B4"/>
    <w:rsid w:val="00DB031E"/>
    <w:rsid w:val="00DB0811"/>
    <w:rsid w:val="00DB0EDB"/>
    <w:rsid w:val="00DB1370"/>
    <w:rsid w:val="00DB13A7"/>
    <w:rsid w:val="00DB152E"/>
    <w:rsid w:val="00DB1B8E"/>
    <w:rsid w:val="00DB240A"/>
    <w:rsid w:val="00DB2481"/>
    <w:rsid w:val="00DB2687"/>
    <w:rsid w:val="00DB2695"/>
    <w:rsid w:val="00DB37FA"/>
    <w:rsid w:val="00DB3FCF"/>
    <w:rsid w:val="00DB423A"/>
    <w:rsid w:val="00DB43E1"/>
    <w:rsid w:val="00DB448A"/>
    <w:rsid w:val="00DB4636"/>
    <w:rsid w:val="00DB4CDA"/>
    <w:rsid w:val="00DB4CED"/>
    <w:rsid w:val="00DB4D21"/>
    <w:rsid w:val="00DB53C5"/>
    <w:rsid w:val="00DB595F"/>
    <w:rsid w:val="00DB5B2F"/>
    <w:rsid w:val="00DB5F08"/>
    <w:rsid w:val="00DB6843"/>
    <w:rsid w:val="00DB6DE3"/>
    <w:rsid w:val="00DB73AB"/>
    <w:rsid w:val="00DB789B"/>
    <w:rsid w:val="00DB7D20"/>
    <w:rsid w:val="00DB7E66"/>
    <w:rsid w:val="00DB7FBD"/>
    <w:rsid w:val="00DC00DF"/>
    <w:rsid w:val="00DC0155"/>
    <w:rsid w:val="00DC0745"/>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906"/>
    <w:rsid w:val="00DC792E"/>
    <w:rsid w:val="00DC7948"/>
    <w:rsid w:val="00DC7AA4"/>
    <w:rsid w:val="00DC7C5B"/>
    <w:rsid w:val="00DC7E43"/>
    <w:rsid w:val="00DD0918"/>
    <w:rsid w:val="00DD0EEF"/>
    <w:rsid w:val="00DD10CD"/>
    <w:rsid w:val="00DD1EE3"/>
    <w:rsid w:val="00DD2235"/>
    <w:rsid w:val="00DD2C0F"/>
    <w:rsid w:val="00DD3007"/>
    <w:rsid w:val="00DD3039"/>
    <w:rsid w:val="00DD316B"/>
    <w:rsid w:val="00DD35AF"/>
    <w:rsid w:val="00DD3A4D"/>
    <w:rsid w:val="00DD3CFE"/>
    <w:rsid w:val="00DD3FEE"/>
    <w:rsid w:val="00DD4911"/>
    <w:rsid w:val="00DD4BA9"/>
    <w:rsid w:val="00DD5592"/>
    <w:rsid w:val="00DD5714"/>
    <w:rsid w:val="00DD5C5B"/>
    <w:rsid w:val="00DD5CB6"/>
    <w:rsid w:val="00DD6301"/>
    <w:rsid w:val="00DD647C"/>
    <w:rsid w:val="00DD67EC"/>
    <w:rsid w:val="00DD69A6"/>
    <w:rsid w:val="00DD6B9B"/>
    <w:rsid w:val="00DD6D4F"/>
    <w:rsid w:val="00DE0045"/>
    <w:rsid w:val="00DE008C"/>
    <w:rsid w:val="00DE0248"/>
    <w:rsid w:val="00DE03AD"/>
    <w:rsid w:val="00DE0558"/>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E51"/>
    <w:rsid w:val="00DE52C2"/>
    <w:rsid w:val="00DE5856"/>
    <w:rsid w:val="00DE58DC"/>
    <w:rsid w:val="00DE5E33"/>
    <w:rsid w:val="00DE5FC9"/>
    <w:rsid w:val="00DE6B12"/>
    <w:rsid w:val="00DE6D8A"/>
    <w:rsid w:val="00DE7483"/>
    <w:rsid w:val="00DE756E"/>
    <w:rsid w:val="00DE7765"/>
    <w:rsid w:val="00DE77E6"/>
    <w:rsid w:val="00DE798A"/>
    <w:rsid w:val="00DE7E17"/>
    <w:rsid w:val="00DE7EA9"/>
    <w:rsid w:val="00DE7F21"/>
    <w:rsid w:val="00DE7FC6"/>
    <w:rsid w:val="00DF006A"/>
    <w:rsid w:val="00DF06BE"/>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E3D"/>
    <w:rsid w:val="00DF4EEC"/>
    <w:rsid w:val="00DF4F4D"/>
    <w:rsid w:val="00DF563E"/>
    <w:rsid w:val="00DF5AF0"/>
    <w:rsid w:val="00DF5F7E"/>
    <w:rsid w:val="00DF6263"/>
    <w:rsid w:val="00DF6C49"/>
    <w:rsid w:val="00DF6C9C"/>
    <w:rsid w:val="00DF72A5"/>
    <w:rsid w:val="00DF79B1"/>
    <w:rsid w:val="00E00078"/>
    <w:rsid w:val="00E003BE"/>
    <w:rsid w:val="00E00A15"/>
    <w:rsid w:val="00E01271"/>
    <w:rsid w:val="00E0167B"/>
    <w:rsid w:val="00E0174C"/>
    <w:rsid w:val="00E01C12"/>
    <w:rsid w:val="00E01D87"/>
    <w:rsid w:val="00E01E9F"/>
    <w:rsid w:val="00E01F86"/>
    <w:rsid w:val="00E02058"/>
    <w:rsid w:val="00E0247A"/>
    <w:rsid w:val="00E024F4"/>
    <w:rsid w:val="00E029B8"/>
    <w:rsid w:val="00E02CB4"/>
    <w:rsid w:val="00E02D57"/>
    <w:rsid w:val="00E02E51"/>
    <w:rsid w:val="00E03470"/>
    <w:rsid w:val="00E0349E"/>
    <w:rsid w:val="00E03BE2"/>
    <w:rsid w:val="00E0428D"/>
    <w:rsid w:val="00E042C5"/>
    <w:rsid w:val="00E044EC"/>
    <w:rsid w:val="00E045E2"/>
    <w:rsid w:val="00E04D15"/>
    <w:rsid w:val="00E058B1"/>
    <w:rsid w:val="00E05995"/>
    <w:rsid w:val="00E05E1A"/>
    <w:rsid w:val="00E061CE"/>
    <w:rsid w:val="00E063B8"/>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D19"/>
    <w:rsid w:val="00E160C7"/>
    <w:rsid w:val="00E162BE"/>
    <w:rsid w:val="00E163D6"/>
    <w:rsid w:val="00E16A1B"/>
    <w:rsid w:val="00E16D6E"/>
    <w:rsid w:val="00E16DDA"/>
    <w:rsid w:val="00E16F57"/>
    <w:rsid w:val="00E17016"/>
    <w:rsid w:val="00E1722B"/>
    <w:rsid w:val="00E17294"/>
    <w:rsid w:val="00E17783"/>
    <w:rsid w:val="00E17919"/>
    <w:rsid w:val="00E205AA"/>
    <w:rsid w:val="00E20AAB"/>
    <w:rsid w:val="00E20AB6"/>
    <w:rsid w:val="00E20B8E"/>
    <w:rsid w:val="00E20E79"/>
    <w:rsid w:val="00E20EAB"/>
    <w:rsid w:val="00E21079"/>
    <w:rsid w:val="00E21759"/>
    <w:rsid w:val="00E21B5F"/>
    <w:rsid w:val="00E22FC8"/>
    <w:rsid w:val="00E232D7"/>
    <w:rsid w:val="00E2345D"/>
    <w:rsid w:val="00E235B7"/>
    <w:rsid w:val="00E23E1D"/>
    <w:rsid w:val="00E241F5"/>
    <w:rsid w:val="00E24A05"/>
    <w:rsid w:val="00E2518B"/>
    <w:rsid w:val="00E25CC4"/>
    <w:rsid w:val="00E25D40"/>
    <w:rsid w:val="00E26010"/>
    <w:rsid w:val="00E2603F"/>
    <w:rsid w:val="00E26116"/>
    <w:rsid w:val="00E26307"/>
    <w:rsid w:val="00E2683D"/>
    <w:rsid w:val="00E2689B"/>
    <w:rsid w:val="00E2726E"/>
    <w:rsid w:val="00E2782B"/>
    <w:rsid w:val="00E27D16"/>
    <w:rsid w:val="00E27D8C"/>
    <w:rsid w:val="00E30644"/>
    <w:rsid w:val="00E31143"/>
    <w:rsid w:val="00E31658"/>
    <w:rsid w:val="00E3192C"/>
    <w:rsid w:val="00E31A95"/>
    <w:rsid w:val="00E32227"/>
    <w:rsid w:val="00E3264D"/>
    <w:rsid w:val="00E327F2"/>
    <w:rsid w:val="00E32D8D"/>
    <w:rsid w:val="00E336B6"/>
    <w:rsid w:val="00E33775"/>
    <w:rsid w:val="00E344C7"/>
    <w:rsid w:val="00E345F8"/>
    <w:rsid w:val="00E346FA"/>
    <w:rsid w:val="00E34ABC"/>
    <w:rsid w:val="00E34D08"/>
    <w:rsid w:val="00E3508B"/>
    <w:rsid w:val="00E3552F"/>
    <w:rsid w:val="00E3566A"/>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A35"/>
    <w:rsid w:val="00E41B7B"/>
    <w:rsid w:val="00E41DFB"/>
    <w:rsid w:val="00E42280"/>
    <w:rsid w:val="00E428BA"/>
    <w:rsid w:val="00E429FB"/>
    <w:rsid w:val="00E42B15"/>
    <w:rsid w:val="00E433E9"/>
    <w:rsid w:val="00E435BB"/>
    <w:rsid w:val="00E436D9"/>
    <w:rsid w:val="00E438B2"/>
    <w:rsid w:val="00E443CC"/>
    <w:rsid w:val="00E449D1"/>
    <w:rsid w:val="00E44B05"/>
    <w:rsid w:val="00E44E40"/>
    <w:rsid w:val="00E44E99"/>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714"/>
    <w:rsid w:val="00E57AC7"/>
    <w:rsid w:val="00E57B25"/>
    <w:rsid w:val="00E57EEE"/>
    <w:rsid w:val="00E60979"/>
    <w:rsid w:val="00E60998"/>
    <w:rsid w:val="00E60ACF"/>
    <w:rsid w:val="00E60B1E"/>
    <w:rsid w:val="00E60CBA"/>
    <w:rsid w:val="00E6149F"/>
    <w:rsid w:val="00E61A31"/>
    <w:rsid w:val="00E61A83"/>
    <w:rsid w:val="00E61CD7"/>
    <w:rsid w:val="00E62063"/>
    <w:rsid w:val="00E62873"/>
    <w:rsid w:val="00E62D29"/>
    <w:rsid w:val="00E62D6A"/>
    <w:rsid w:val="00E637C0"/>
    <w:rsid w:val="00E63E2E"/>
    <w:rsid w:val="00E645E0"/>
    <w:rsid w:val="00E64F73"/>
    <w:rsid w:val="00E657AB"/>
    <w:rsid w:val="00E660DE"/>
    <w:rsid w:val="00E66839"/>
    <w:rsid w:val="00E6685C"/>
    <w:rsid w:val="00E6732A"/>
    <w:rsid w:val="00E67ABE"/>
    <w:rsid w:val="00E67B9A"/>
    <w:rsid w:val="00E707F5"/>
    <w:rsid w:val="00E7128F"/>
    <w:rsid w:val="00E71D15"/>
    <w:rsid w:val="00E72270"/>
    <w:rsid w:val="00E7245F"/>
    <w:rsid w:val="00E727B5"/>
    <w:rsid w:val="00E729B1"/>
    <w:rsid w:val="00E72B47"/>
    <w:rsid w:val="00E72E0D"/>
    <w:rsid w:val="00E737EF"/>
    <w:rsid w:val="00E73D4F"/>
    <w:rsid w:val="00E73D60"/>
    <w:rsid w:val="00E74097"/>
    <w:rsid w:val="00E74C3B"/>
    <w:rsid w:val="00E74E47"/>
    <w:rsid w:val="00E758A5"/>
    <w:rsid w:val="00E758B1"/>
    <w:rsid w:val="00E75DED"/>
    <w:rsid w:val="00E75E36"/>
    <w:rsid w:val="00E75F22"/>
    <w:rsid w:val="00E75F71"/>
    <w:rsid w:val="00E75FE3"/>
    <w:rsid w:val="00E76759"/>
    <w:rsid w:val="00E7680E"/>
    <w:rsid w:val="00E76ACF"/>
    <w:rsid w:val="00E76C23"/>
    <w:rsid w:val="00E76E85"/>
    <w:rsid w:val="00E77048"/>
    <w:rsid w:val="00E7705F"/>
    <w:rsid w:val="00E77102"/>
    <w:rsid w:val="00E772FD"/>
    <w:rsid w:val="00E7783C"/>
    <w:rsid w:val="00E77963"/>
    <w:rsid w:val="00E77F51"/>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FD5"/>
    <w:rsid w:val="00EA300A"/>
    <w:rsid w:val="00EA34C0"/>
    <w:rsid w:val="00EA47FA"/>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88F"/>
    <w:rsid w:val="00EB0A3C"/>
    <w:rsid w:val="00EB1067"/>
    <w:rsid w:val="00EB176E"/>
    <w:rsid w:val="00EB202D"/>
    <w:rsid w:val="00EB2C4E"/>
    <w:rsid w:val="00EB2C70"/>
    <w:rsid w:val="00EB30BF"/>
    <w:rsid w:val="00EB32C0"/>
    <w:rsid w:val="00EB47A7"/>
    <w:rsid w:val="00EB47E3"/>
    <w:rsid w:val="00EB47F0"/>
    <w:rsid w:val="00EB5080"/>
    <w:rsid w:val="00EB5850"/>
    <w:rsid w:val="00EB599B"/>
    <w:rsid w:val="00EB6474"/>
    <w:rsid w:val="00EB721B"/>
    <w:rsid w:val="00EB73A7"/>
    <w:rsid w:val="00EB7516"/>
    <w:rsid w:val="00EB753F"/>
    <w:rsid w:val="00EB7966"/>
    <w:rsid w:val="00EB79F8"/>
    <w:rsid w:val="00EC0038"/>
    <w:rsid w:val="00EC06EB"/>
    <w:rsid w:val="00EC0BC9"/>
    <w:rsid w:val="00EC0D48"/>
    <w:rsid w:val="00EC1110"/>
    <w:rsid w:val="00EC1575"/>
    <w:rsid w:val="00EC1948"/>
    <w:rsid w:val="00EC1AAA"/>
    <w:rsid w:val="00EC1BDB"/>
    <w:rsid w:val="00EC26D0"/>
    <w:rsid w:val="00EC2729"/>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41D9"/>
    <w:rsid w:val="00EE4673"/>
    <w:rsid w:val="00EE5755"/>
    <w:rsid w:val="00EE75DB"/>
    <w:rsid w:val="00EE7C1C"/>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AA8"/>
    <w:rsid w:val="00EF5EED"/>
    <w:rsid w:val="00EF6357"/>
    <w:rsid w:val="00EF658E"/>
    <w:rsid w:val="00EF6811"/>
    <w:rsid w:val="00EF6E1A"/>
    <w:rsid w:val="00EF6F1B"/>
    <w:rsid w:val="00EF6F42"/>
    <w:rsid w:val="00EF78DC"/>
    <w:rsid w:val="00EF79FA"/>
    <w:rsid w:val="00EF7EA6"/>
    <w:rsid w:val="00F0028B"/>
    <w:rsid w:val="00F0068A"/>
    <w:rsid w:val="00F00752"/>
    <w:rsid w:val="00F008E3"/>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2F3"/>
    <w:rsid w:val="00F0438C"/>
    <w:rsid w:val="00F04703"/>
    <w:rsid w:val="00F04E82"/>
    <w:rsid w:val="00F0537E"/>
    <w:rsid w:val="00F05543"/>
    <w:rsid w:val="00F057E1"/>
    <w:rsid w:val="00F05831"/>
    <w:rsid w:val="00F05A99"/>
    <w:rsid w:val="00F062B3"/>
    <w:rsid w:val="00F064A2"/>
    <w:rsid w:val="00F06744"/>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E78"/>
    <w:rsid w:val="00F14603"/>
    <w:rsid w:val="00F15330"/>
    <w:rsid w:val="00F154C8"/>
    <w:rsid w:val="00F1574D"/>
    <w:rsid w:val="00F1587F"/>
    <w:rsid w:val="00F15F98"/>
    <w:rsid w:val="00F160CF"/>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C3"/>
    <w:rsid w:val="00F32219"/>
    <w:rsid w:val="00F3260D"/>
    <w:rsid w:val="00F3279F"/>
    <w:rsid w:val="00F3297B"/>
    <w:rsid w:val="00F32C94"/>
    <w:rsid w:val="00F32E74"/>
    <w:rsid w:val="00F33EFE"/>
    <w:rsid w:val="00F3461A"/>
    <w:rsid w:val="00F34CE7"/>
    <w:rsid w:val="00F35093"/>
    <w:rsid w:val="00F355E8"/>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A5B"/>
    <w:rsid w:val="00F45AD4"/>
    <w:rsid w:val="00F45E4E"/>
    <w:rsid w:val="00F45F37"/>
    <w:rsid w:val="00F4683F"/>
    <w:rsid w:val="00F46D44"/>
    <w:rsid w:val="00F46DD8"/>
    <w:rsid w:val="00F47BA0"/>
    <w:rsid w:val="00F47C4B"/>
    <w:rsid w:val="00F50368"/>
    <w:rsid w:val="00F50371"/>
    <w:rsid w:val="00F509DC"/>
    <w:rsid w:val="00F51B70"/>
    <w:rsid w:val="00F51DAE"/>
    <w:rsid w:val="00F51E78"/>
    <w:rsid w:val="00F5272D"/>
    <w:rsid w:val="00F53321"/>
    <w:rsid w:val="00F53403"/>
    <w:rsid w:val="00F5340A"/>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60F7"/>
    <w:rsid w:val="00F56862"/>
    <w:rsid w:val="00F56A5C"/>
    <w:rsid w:val="00F56C72"/>
    <w:rsid w:val="00F57BE6"/>
    <w:rsid w:val="00F60335"/>
    <w:rsid w:val="00F60989"/>
    <w:rsid w:val="00F609C4"/>
    <w:rsid w:val="00F6188C"/>
    <w:rsid w:val="00F61A2D"/>
    <w:rsid w:val="00F61B17"/>
    <w:rsid w:val="00F62374"/>
    <w:rsid w:val="00F62906"/>
    <w:rsid w:val="00F62A7A"/>
    <w:rsid w:val="00F63250"/>
    <w:rsid w:val="00F632E7"/>
    <w:rsid w:val="00F6371E"/>
    <w:rsid w:val="00F637A0"/>
    <w:rsid w:val="00F63B54"/>
    <w:rsid w:val="00F63BF0"/>
    <w:rsid w:val="00F64222"/>
    <w:rsid w:val="00F642C8"/>
    <w:rsid w:val="00F64B5B"/>
    <w:rsid w:val="00F64E25"/>
    <w:rsid w:val="00F652D5"/>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DF4"/>
    <w:rsid w:val="00F7605B"/>
    <w:rsid w:val="00F76668"/>
    <w:rsid w:val="00F76974"/>
    <w:rsid w:val="00F76FDD"/>
    <w:rsid w:val="00F7733B"/>
    <w:rsid w:val="00F77654"/>
    <w:rsid w:val="00F77746"/>
    <w:rsid w:val="00F77B23"/>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9F7"/>
    <w:rsid w:val="00F84F4F"/>
    <w:rsid w:val="00F851AF"/>
    <w:rsid w:val="00F8534F"/>
    <w:rsid w:val="00F8553E"/>
    <w:rsid w:val="00F85F20"/>
    <w:rsid w:val="00F862B7"/>
    <w:rsid w:val="00F86AA6"/>
    <w:rsid w:val="00F86BD2"/>
    <w:rsid w:val="00F870FD"/>
    <w:rsid w:val="00F872A3"/>
    <w:rsid w:val="00F8753E"/>
    <w:rsid w:val="00F87960"/>
    <w:rsid w:val="00F87CE2"/>
    <w:rsid w:val="00F90D93"/>
    <w:rsid w:val="00F91B11"/>
    <w:rsid w:val="00F91D50"/>
    <w:rsid w:val="00F926B6"/>
    <w:rsid w:val="00F932A9"/>
    <w:rsid w:val="00F93A1C"/>
    <w:rsid w:val="00F93FFC"/>
    <w:rsid w:val="00F94127"/>
    <w:rsid w:val="00F9445B"/>
    <w:rsid w:val="00F94EF2"/>
    <w:rsid w:val="00F95216"/>
    <w:rsid w:val="00F953BD"/>
    <w:rsid w:val="00F95609"/>
    <w:rsid w:val="00F95A1F"/>
    <w:rsid w:val="00F95D16"/>
    <w:rsid w:val="00F95DFF"/>
    <w:rsid w:val="00F95F37"/>
    <w:rsid w:val="00F96308"/>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B22"/>
    <w:rsid w:val="00FA44F4"/>
    <w:rsid w:val="00FA5762"/>
    <w:rsid w:val="00FA62E1"/>
    <w:rsid w:val="00FA6AC6"/>
    <w:rsid w:val="00FA6D4B"/>
    <w:rsid w:val="00FA6EE7"/>
    <w:rsid w:val="00FA6EF2"/>
    <w:rsid w:val="00FA72D0"/>
    <w:rsid w:val="00FA7451"/>
    <w:rsid w:val="00FA796D"/>
    <w:rsid w:val="00FB09F4"/>
    <w:rsid w:val="00FB0C59"/>
    <w:rsid w:val="00FB12FA"/>
    <w:rsid w:val="00FB135C"/>
    <w:rsid w:val="00FB1F66"/>
    <w:rsid w:val="00FB22E2"/>
    <w:rsid w:val="00FB2A92"/>
    <w:rsid w:val="00FB2C42"/>
    <w:rsid w:val="00FB2F77"/>
    <w:rsid w:val="00FB329B"/>
    <w:rsid w:val="00FB42D0"/>
    <w:rsid w:val="00FB448E"/>
    <w:rsid w:val="00FB45A9"/>
    <w:rsid w:val="00FB475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4C6B"/>
    <w:rsid w:val="00FC585C"/>
    <w:rsid w:val="00FC5A1D"/>
    <w:rsid w:val="00FC5EEA"/>
    <w:rsid w:val="00FC5FC3"/>
    <w:rsid w:val="00FC6175"/>
    <w:rsid w:val="00FC62C7"/>
    <w:rsid w:val="00FC6851"/>
    <w:rsid w:val="00FC6896"/>
    <w:rsid w:val="00FC6C23"/>
    <w:rsid w:val="00FC6D10"/>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C23"/>
    <w:rsid w:val="00FD40CB"/>
    <w:rsid w:val="00FD456A"/>
    <w:rsid w:val="00FD4D5B"/>
    <w:rsid w:val="00FD4D86"/>
    <w:rsid w:val="00FD4F94"/>
    <w:rsid w:val="00FD5229"/>
    <w:rsid w:val="00FD54FD"/>
    <w:rsid w:val="00FD56CB"/>
    <w:rsid w:val="00FD5760"/>
    <w:rsid w:val="00FD589D"/>
    <w:rsid w:val="00FD5C97"/>
    <w:rsid w:val="00FD6285"/>
    <w:rsid w:val="00FD6952"/>
    <w:rsid w:val="00FD6C16"/>
    <w:rsid w:val="00FD6EBB"/>
    <w:rsid w:val="00FE02A1"/>
    <w:rsid w:val="00FE0321"/>
    <w:rsid w:val="00FE0849"/>
    <w:rsid w:val="00FE0C9F"/>
    <w:rsid w:val="00FE1183"/>
    <w:rsid w:val="00FE1502"/>
    <w:rsid w:val="00FE1643"/>
    <w:rsid w:val="00FE1D1C"/>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F31"/>
    <w:rsid w:val="00FE661A"/>
    <w:rsid w:val="00FE6E5B"/>
    <w:rsid w:val="00FE728C"/>
    <w:rsid w:val="00FE72C8"/>
    <w:rsid w:val="00FE72E8"/>
    <w:rsid w:val="00FF00B3"/>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EE8"/>
    <w:rsid w:val="00FF517C"/>
    <w:rsid w:val="00FF53C3"/>
    <w:rsid w:val="00FF5A92"/>
    <w:rsid w:val="00FF6044"/>
    <w:rsid w:val="00FF6706"/>
    <w:rsid w:val="00FF68F6"/>
    <w:rsid w:val="00FF69C5"/>
    <w:rsid w:val="00FF6AC7"/>
    <w:rsid w:val="00FF6B60"/>
    <w:rsid w:val="00FF6B6F"/>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925"/>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paragraph" w:customStyle="1" w:styleId="SingleParagraph">
    <w:name w:val="SingleParagraph"/>
    <w:basedOn w:val="Normal"/>
    <w:next w:val="Normal"/>
    <w:rsid w:val="004D4273"/>
    <w:pPr>
      <w:spacing w:after="0"/>
    </w:p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uiPriority w:val="99"/>
    <w:rsid w:val="004D4273"/>
    <w:pPr>
      <w:tabs>
        <w:tab w:val="center" w:pos="3856"/>
        <w:tab w:val="right" w:pos="7711"/>
      </w:tabs>
    </w:pPr>
    <w:rPr>
      <w:rFonts w:ascii="Tahoma" w:hAnsi="Tahoma"/>
      <w:sz w:val="18"/>
    </w:rPr>
  </w:style>
  <w:style w:type="paragraph" w:styleId="Footer">
    <w:name w:val="footer"/>
    <w:basedOn w:val="Normal"/>
    <w:link w:val="FooterChar"/>
    <w:uiPriority w:val="99"/>
    <w:rsid w:val="004D4273"/>
    <w:pPr>
      <w:spacing w:after="0"/>
    </w:pPr>
    <w:rPr>
      <w:rFonts w:ascii="Tahoma" w:hAnsi="Tahoma"/>
    </w:rPr>
  </w:style>
  <w:style w:type="character" w:styleId="PageNumber">
    <w:name w:val="page number"/>
    <w:basedOn w:val="DefaultParagraphFont"/>
    <w:uiPriority w:val="99"/>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Graphic">
    <w:name w:val="Graphic"/>
    <w:basedOn w:val="Normal"/>
    <w:link w:val="GraphicChar"/>
    <w:rsid w:val="004D4273"/>
    <w:pPr>
      <w:spacing w:line="240" w:lineRule="auto"/>
    </w:p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TableGraphic">
    <w:name w:val="TableGraphic"/>
    <w:basedOn w:val="TableHeadingCharCharCharChar"/>
    <w:next w:val="SingleParagraph"/>
    <w:rsid w:val="004D4273"/>
    <w:pPr>
      <w:spacing w:before="0"/>
      <w:ind w:right="-113"/>
    </w:p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ind w:left="283" w:hanging="283"/>
    </w:pPr>
  </w:style>
  <w:style w:type="paragraph" w:customStyle="1" w:styleId="Dash">
    <w:name w:val="Dash"/>
    <w:basedOn w:val="Normal"/>
    <w:rsid w:val="004D4273"/>
    <w:pPr>
      <w:numPr>
        <w:numId w:val="36"/>
      </w:numPr>
      <w:tabs>
        <w:tab w:val="clear" w:pos="646"/>
      </w:tabs>
      <w:ind w:left="567" w:hanging="283"/>
    </w:pPr>
  </w:style>
  <w:style w:type="paragraph" w:customStyle="1" w:styleId="DoubleDot">
    <w:name w:val="DoubleDot"/>
    <w:basedOn w:val="Normal"/>
    <w:rsid w:val="004D4273"/>
    <w:pPr>
      <w:numPr>
        <w:numId w:val="37"/>
      </w:numPr>
      <w:tabs>
        <w:tab w:val="clear" w:pos="357"/>
      </w:tabs>
      <w:ind w:left="850"/>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uiPriority w:val="99"/>
    <w:rsid w:val="004D4273"/>
    <w:rPr>
      <w:rFonts w:ascii="Tahoma" w:hAnsi="Tahoma"/>
      <w:dstrike w:val="0"/>
      <w:color w:val="auto"/>
      <w:sz w:val="20"/>
      <w:vertAlign w:val="baseline"/>
    </w:rPr>
  </w:style>
  <w:style w:type="paragraph" w:customStyle="1" w:styleId="Chartgraphic">
    <w:name w:val="Chart graphic"/>
    <w:basedOn w:val="Graphic"/>
    <w:next w:val="Normal"/>
    <w:rsid w:val="004D4273"/>
    <w:pPr>
      <w:spacing w:after="20"/>
      <w:jc w:val="center"/>
    </w:pPr>
  </w:style>
  <w:style w:type="paragraph" w:customStyle="1" w:styleId="ChartandTableFootnoteAlpha">
    <w:name w:val="Chart and Table Footnote Alpha"/>
    <w:basedOn w:val="ChartandTableFootnote"/>
    <w:rsid w:val="004D4273"/>
    <w:pPr>
      <w:numPr>
        <w:numId w:val="39"/>
      </w:numPr>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paragraph" w:styleId="BalloonText">
    <w:name w:val="Balloon Text"/>
    <w:basedOn w:val="Normal"/>
    <w:semiHidden/>
    <w:rsid w:val="004D4273"/>
    <w:rPr>
      <w:rFonts w:ascii="Tahoma" w:hAnsi="Tahoma" w:cs="Tahoma"/>
      <w:sz w:val="16"/>
      <w:szCs w:val="16"/>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character" w:customStyle="1" w:styleId="BulletChar">
    <w:name w:val="Bullet Char"/>
    <w:basedOn w:val="DefaultParagraphFont"/>
    <w:link w:val="Bullet"/>
    <w:rsid w:val="004D4273"/>
    <w:rPr>
      <w:rFonts w:ascii="Book Antiqua" w:hAnsi="Book Antiqua"/>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paragraph" w:customStyle="1" w:styleId="NumberedParagraph">
    <w:name w:val="Numbered Paragraph"/>
    <w:basedOn w:val="Normal"/>
    <w:rsid w:val="004D4273"/>
    <w:pPr>
      <w:numPr>
        <w:numId w:val="41"/>
      </w:numPr>
      <w:spacing w:line="240" w:lineRule="auto"/>
      <w:jc w:val="left"/>
    </w:pPr>
    <w:rPr>
      <w:rFonts w:ascii="Times New Roman" w:hAnsi="Times New Roman"/>
      <w:sz w:val="24"/>
      <w:szCs w:val="20"/>
      <w:lang w:eastAsia="en-AU"/>
    </w:r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character" w:customStyle="1" w:styleId="FooterChar">
    <w:name w:val="Footer Char"/>
    <w:basedOn w:val="DefaultParagraphFont"/>
    <w:link w:val="Footer"/>
    <w:uiPriority w:val="99"/>
    <w:rsid w:val="00937399"/>
    <w:rPr>
      <w:rFonts w:ascii="Tahoma" w:hAnsi="Tahoma"/>
      <w:szCs w:val="24"/>
      <w:lang w:eastAsia="en-US"/>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9.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8.emf"/><Relationship Id="rId33" Type="http://schemas.openxmlformats.org/officeDocument/2006/relationships/image" Target="media/image14.emf"/><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hyperlink" Target="file:///\\remus\indiv$\JEO\TRIM5\Offline%20Records%20(PO)\INTERNATIONAL%20ECONOMIC%20AFFAIRS%20-%20FORECASTING%20-%20JOINT%20ECONOMIC%20FORECASTING%20GROUP%20(JEFG)%20&amp;%20~%202010\DAT%20-%20World%20-%20GDP%20-%20IED%20-%20Forecasts%20-%20MYEFO%20Oct%2009%20final%20-%20RS%20-%20091026.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3.emf"/><Relationship Id="rId37" Type="http://schemas.openxmlformats.org/officeDocument/2006/relationships/image" Target="media/image15.emf"/><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6.xml"/><Relationship Id="rId35" Type="http://schemas.openxmlformats.org/officeDocument/2006/relationships/footer" Target="footer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BFAD2A-C97F-4073-93D7-487EC17C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6538</Words>
  <Characters>37270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Joint Economic Forecasting Group Report - December 2010</vt:lpstr>
    </vt:vector>
  </TitlesOfParts>
  <Manager/>
  <Company/>
  <LinksUpToDate>false</LinksUpToDate>
  <CharactersWithSpaces>43721</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December 2010</dc:title>
  <dc:subject/>
  <dc:creator/>
  <cp:keywords/>
  <cp:lastModifiedBy/>
  <cp:revision>1</cp:revision>
  <dcterms:created xsi:type="dcterms:W3CDTF">2015-02-09T04:30:00Z</dcterms:created>
  <dcterms:modified xsi:type="dcterms:W3CDTF">2015-02-09T04:30:00Z</dcterms:modified>
</cp:coreProperties>
</file>