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5E7AAA">
      <w:pPr>
        <w:pStyle w:val="Title"/>
        <w:rPr>
          <w:b/>
          <w:color w:val="auto"/>
        </w:rPr>
      </w:pPr>
      <w:bookmarkStart w:id="0" w:name="_GoBack"/>
      <w:bookmarkEnd w:id="0"/>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B0461A" w:rsidRDefault="00EF6F1B" w:rsidP="00184FBD">
      <w:pPr>
        <w:pStyle w:val="Title"/>
        <w:rPr>
          <w:b/>
          <w:color w:val="auto"/>
        </w:rPr>
      </w:pPr>
      <w:bookmarkStart w:id="1" w:name="_Toc90808381"/>
      <w:bookmarkStart w:id="2" w:name="_Toc90808817"/>
      <w:bookmarkStart w:id="3" w:name="_Toc90957458"/>
      <w:bookmarkStart w:id="4" w:name="_Toc90977878"/>
      <w:bookmarkStart w:id="5" w:name="_Toc91318581"/>
      <w:bookmarkStart w:id="6" w:name="_Toc91390382"/>
      <w:bookmarkStart w:id="7" w:name="_Toc101073463"/>
      <w:bookmarkStart w:id="8" w:name="_Toc101073686"/>
      <w:bookmarkStart w:id="9" w:name="_Toc101254962"/>
      <w:bookmarkStart w:id="10" w:name="_Toc115841645"/>
      <w:bookmarkStart w:id="11" w:name="_Toc115841910"/>
      <w:bookmarkStart w:id="12" w:name="_Toc116366073"/>
      <w:bookmarkStart w:id="13" w:name="_Toc124925294"/>
      <w:bookmarkStart w:id="14" w:name="_Toc131378785"/>
      <w:r w:rsidRPr="00B0461A">
        <w:rPr>
          <w:b/>
          <w:color w:val="auto"/>
        </w:rPr>
        <w:t xml:space="preserve">Economic outlook for </w:t>
      </w:r>
      <w:bookmarkEnd w:id="1"/>
      <w:bookmarkEnd w:id="2"/>
      <w:bookmarkEnd w:id="3"/>
      <w:bookmarkEnd w:id="4"/>
      <w:bookmarkEnd w:id="5"/>
      <w:bookmarkEnd w:id="6"/>
      <w:bookmarkEnd w:id="7"/>
      <w:bookmarkEnd w:id="8"/>
      <w:bookmarkEnd w:id="9"/>
      <w:bookmarkEnd w:id="10"/>
      <w:bookmarkEnd w:id="11"/>
      <w:bookmarkEnd w:id="12"/>
      <w:bookmarkEnd w:id="13"/>
      <w:bookmarkEnd w:id="14"/>
      <w:r w:rsidR="004C7F6D" w:rsidRPr="00B0461A">
        <w:rPr>
          <w:b/>
          <w:color w:val="auto"/>
        </w:rPr>
        <w:t>2010-11</w:t>
      </w:r>
      <w:r w:rsidR="00CD56CB">
        <w:rPr>
          <w:b/>
          <w:color w:val="auto"/>
        </w:rPr>
        <w:t>, 2011-12</w:t>
      </w:r>
      <w:r w:rsidR="004E1829" w:rsidRPr="00B0461A">
        <w:rPr>
          <w:b/>
          <w:color w:val="auto"/>
        </w:rPr>
        <w:t xml:space="preserve"> and 201</w:t>
      </w:r>
      <w:r w:rsidR="00CD56CB">
        <w:rPr>
          <w:b/>
          <w:color w:val="auto"/>
        </w:rPr>
        <w:t>2</w:t>
      </w:r>
      <w:r w:rsidR="004E1829" w:rsidRPr="00B0461A">
        <w:rPr>
          <w:b/>
          <w:color w:val="auto"/>
        </w:rPr>
        <w:t>-1</w:t>
      </w:r>
      <w:r w:rsidR="00CD56CB">
        <w:rPr>
          <w:b/>
          <w:color w:val="auto"/>
        </w:rPr>
        <w:t>3</w:t>
      </w:r>
    </w:p>
    <w:p w:rsidR="00D86180" w:rsidRPr="00B0461A" w:rsidRDefault="0069627C" w:rsidP="00184FBD">
      <w:pPr>
        <w:pStyle w:val="Title"/>
        <w:rPr>
          <w:b/>
          <w:color w:val="auto"/>
        </w:rPr>
      </w:pPr>
      <w:bookmarkStart w:id="15" w:name="_Toc115841647"/>
      <w:bookmarkStart w:id="16" w:name="_Toc115841912"/>
      <w:bookmarkStart w:id="17" w:name="_Toc116366075"/>
      <w:bookmarkStart w:id="18" w:name="_Toc124925296"/>
      <w:bookmarkStart w:id="19" w:name="_Toc131378787"/>
      <w:r>
        <w:rPr>
          <w:b/>
          <w:color w:val="auto"/>
        </w:rPr>
        <w:t>June</w:t>
      </w:r>
      <w:r w:rsidR="00CD56CB">
        <w:rPr>
          <w:b/>
          <w:color w:val="auto"/>
        </w:rPr>
        <w:t xml:space="preserve"> </w:t>
      </w:r>
      <w:r w:rsidR="00C960F2">
        <w:rPr>
          <w:b/>
          <w:color w:val="auto"/>
        </w:rPr>
        <w:t>2011</w:t>
      </w:r>
    </w:p>
    <w:p w:rsidR="00C825B7" w:rsidRPr="00FB09F4" w:rsidRDefault="00EF6F1B" w:rsidP="00184FBD">
      <w:pPr>
        <w:pStyle w:val="Title"/>
        <w:rPr>
          <w:color w:val="auto"/>
          <w:sz w:val="24"/>
          <w:szCs w:val="24"/>
        </w:rPr>
      </w:pPr>
      <w:bookmarkStart w:id="20" w:name="_Toc185499305"/>
      <w:r w:rsidRPr="00FB09F4">
        <w:rPr>
          <w:color w:val="auto"/>
          <w:sz w:val="24"/>
          <w:szCs w:val="24"/>
        </w:rPr>
        <w:t>(</w:t>
      </w:r>
      <w:r w:rsidR="00804C8B" w:rsidRPr="00FB09F4">
        <w:rPr>
          <w:color w:val="auto"/>
          <w:sz w:val="24"/>
          <w:szCs w:val="24"/>
        </w:rPr>
        <w:t>t</w:t>
      </w:r>
      <w:r w:rsidRPr="00FB09F4">
        <w:rPr>
          <w:color w:val="auto"/>
          <w:sz w:val="24"/>
          <w:szCs w:val="24"/>
        </w:rPr>
        <w:t>his report incorpora</w:t>
      </w:r>
      <w:r w:rsidR="001A4888" w:rsidRPr="00FB09F4">
        <w:rPr>
          <w:color w:val="auto"/>
          <w:sz w:val="24"/>
          <w:szCs w:val="24"/>
        </w:rPr>
        <w:t xml:space="preserve">tes </w:t>
      </w:r>
      <w:r w:rsidR="008A69FA" w:rsidRPr="00FB09F4">
        <w:rPr>
          <w:color w:val="auto"/>
          <w:sz w:val="24"/>
          <w:szCs w:val="24"/>
        </w:rPr>
        <w:t xml:space="preserve">domestic </w:t>
      </w:r>
      <w:r w:rsidR="009137A4" w:rsidRPr="00FB09F4">
        <w:rPr>
          <w:color w:val="auto"/>
          <w:sz w:val="24"/>
          <w:szCs w:val="24"/>
        </w:rPr>
        <w:t xml:space="preserve">and international </w:t>
      </w:r>
      <w:r w:rsidR="001A4888" w:rsidRPr="00FB09F4">
        <w:rPr>
          <w:color w:val="auto"/>
          <w:sz w:val="24"/>
          <w:szCs w:val="24"/>
        </w:rPr>
        <w:t>data released up</w:t>
      </w:r>
      <w:r w:rsidR="000510A0" w:rsidRPr="00FB09F4">
        <w:rPr>
          <w:color w:val="auto"/>
          <w:sz w:val="24"/>
          <w:szCs w:val="24"/>
        </w:rPr>
        <w:t xml:space="preserve"> </w:t>
      </w:r>
      <w:r w:rsidR="00234D4B" w:rsidRPr="00FB09F4">
        <w:rPr>
          <w:color w:val="auto"/>
          <w:sz w:val="24"/>
          <w:szCs w:val="24"/>
        </w:rPr>
        <w:t xml:space="preserve">to </w:t>
      </w:r>
      <w:bookmarkStart w:id="21" w:name="OLE_LINK8"/>
      <w:bookmarkStart w:id="22" w:name="OLE_LINK9"/>
      <w:r w:rsidR="00E72B47" w:rsidRPr="00FB09F4">
        <w:rPr>
          <w:color w:val="auto"/>
          <w:sz w:val="24"/>
          <w:szCs w:val="24"/>
        </w:rPr>
        <w:br/>
      </w:r>
      <w:r w:rsidR="00E415BA">
        <w:rPr>
          <w:color w:val="auto"/>
          <w:sz w:val="24"/>
          <w:szCs w:val="24"/>
        </w:rPr>
        <w:t>1</w:t>
      </w:r>
      <w:r w:rsidR="0081079F">
        <w:rPr>
          <w:color w:val="auto"/>
          <w:sz w:val="24"/>
          <w:szCs w:val="24"/>
        </w:rPr>
        <w:t>3</w:t>
      </w:r>
      <w:r w:rsidR="00E72B47" w:rsidRPr="00FB09F4">
        <w:rPr>
          <w:color w:val="auto"/>
          <w:sz w:val="24"/>
          <w:szCs w:val="24"/>
        </w:rPr>
        <w:t xml:space="preserve"> </w:t>
      </w:r>
      <w:r w:rsidR="0069627C">
        <w:rPr>
          <w:color w:val="auto"/>
          <w:sz w:val="24"/>
          <w:szCs w:val="24"/>
        </w:rPr>
        <w:t>July</w:t>
      </w:r>
      <w:r w:rsidR="008043A8" w:rsidRPr="00FB09F4">
        <w:rPr>
          <w:color w:val="auto"/>
          <w:sz w:val="24"/>
          <w:szCs w:val="24"/>
        </w:rPr>
        <w:t xml:space="preserve"> </w:t>
      </w:r>
      <w:r w:rsidR="000510A0" w:rsidRPr="00FB09F4">
        <w:rPr>
          <w:color w:val="auto"/>
          <w:sz w:val="24"/>
          <w:szCs w:val="24"/>
        </w:rPr>
        <w:t>20</w:t>
      </w:r>
      <w:bookmarkEnd w:id="21"/>
      <w:bookmarkEnd w:id="22"/>
      <w:r w:rsidR="00C960F2">
        <w:rPr>
          <w:color w:val="auto"/>
          <w:sz w:val="24"/>
          <w:szCs w:val="24"/>
        </w:rPr>
        <w:t>11</w:t>
      </w:r>
      <w:r w:rsidRPr="00FB09F4">
        <w:rPr>
          <w:color w:val="auto"/>
          <w:sz w:val="24"/>
          <w:szCs w:val="24"/>
        </w:rPr>
        <w:t>)</w:t>
      </w:r>
      <w:bookmarkEnd w:id="15"/>
      <w:bookmarkEnd w:id="16"/>
      <w:bookmarkEnd w:id="17"/>
      <w:bookmarkEnd w:id="18"/>
      <w:bookmarkEnd w:id="19"/>
      <w:bookmarkEnd w:id="20"/>
    </w:p>
    <w:p w:rsidR="003C42CF" w:rsidRDefault="00A8671C">
      <w:pPr>
        <w:pStyle w:val="TOC3"/>
      </w:pPr>
      <w:r w:rsidRPr="003344B0">
        <w:rPr>
          <w:b w:val="0"/>
          <w:highlight w:val="yellow"/>
        </w:rPr>
        <w:br w:type="page"/>
      </w:r>
      <w:r w:rsidR="004D4273" w:rsidRPr="003344B0">
        <w:rPr>
          <w:b w:val="0"/>
          <w:highlight w:val="yellow"/>
        </w:rPr>
        <w:lastRenderedPageBreak/>
        <w:fldChar w:fldCharType="begin"/>
      </w:r>
      <w:r w:rsidR="00C825B7" w:rsidRPr="003344B0">
        <w:rPr>
          <w:b w:val="0"/>
          <w:highlight w:val="yellow"/>
        </w:rPr>
        <w:instrText xml:space="preserve"> TOC \o "1-4" \h \z \u </w:instrText>
      </w:r>
      <w:r w:rsidR="004D4273" w:rsidRPr="003344B0">
        <w:rPr>
          <w:b w:val="0"/>
          <w:highlight w:val="yellow"/>
        </w:rPr>
        <w:fldChar w:fldCharType="separate"/>
      </w:r>
    </w:p>
    <w:p w:rsidR="003C42CF" w:rsidRDefault="007B541D">
      <w:pPr>
        <w:pStyle w:val="TOC3"/>
        <w:rPr>
          <w:rFonts w:asciiTheme="minorHAnsi" w:eastAsiaTheme="minorEastAsia" w:hAnsiTheme="minorHAnsi" w:cstheme="minorBidi"/>
          <w:b w:val="0"/>
          <w:sz w:val="22"/>
          <w:szCs w:val="22"/>
          <w:lang w:eastAsia="en-AU"/>
        </w:rPr>
      </w:pPr>
      <w:hyperlink w:anchor="_Toc298235795" w:history="1">
        <w:r w:rsidR="003C42CF" w:rsidRPr="00DD4CA2">
          <w:rPr>
            <w:rStyle w:val="Hyperlink"/>
          </w:rPr>
          <w:t>Overview</w:t>
        </w:r>
        <w:r w:rsidR="003C42CF">
          <w:rPr>
            <w:webHidden/>
          </w:rPr>
          <w:tab/>
        </w:r>
        <w:r w:rsidR="003C42CF">
          <w:rPr>
            <w:webHidden/>
          </w:rPr>
          <w:fldChar w:fldCharType="begin"/>
        </w:r>
        <w:r w:rsidR="003C42CF">
          <w:rPr>
            <w:webHidden/>
          </w:rPr>
          <w:instrText xml:space="preserve"> PAGEREF _Toc298235795 \h </w:instrText>
        </w:r>
        <w:r w:rsidR="003C42CF">
          <w:rPr>
            <w:webHidden/>
          </w:rPr>
        </w:r>
        <w:r w:rsidR="003C42CF">
          <w:rPr>
            <w:webHidden/>
          </w:rPr>
          <w:fldChar w:fldCharType="separate"/>
        </w:r>
        <w:r w:rsidR="00D8108B">
          <w:rPr>
            <w:webHidden/>
          </w:rPr>
          <w:t>3</w:t>
        </w:r>
        <w:r w:rsidR="003C42CF">
          <w:rPr>
            <w:webHidden/>
          </w:rPr>
          <w:fldChar w:fldCharType="end"/>
        </w:r>
      </w:hyperlink>
    </w:p>
    <w:p w:rsidR="003C42CF" w:rsidRDefault="007B541D">
      <w:pPr>
        <w:pStyle w:val="TOC3"/>
        <w:rPr>
          <w:rFonts w:asciiTheme="minorHAnsi" w:eastAsiaTheme="minorEastAsia" w:hAnsiTheme="minorHAnsi" w:cstheme="minorBidi"/>
          <w:b w:val="0"/>
          <w:sz w:val="22"/>
          <w:szCs w:val="22"/>
          <w:lang w:eastAsia="en-AU"/>
        </w:rPr>
      </w:pPr>
      <w:hyperlink w:anchor="_Toc298235796" w:history="1">
        <w:r w:rsidR="003C42CF" w:rsidRPr="00DD4CA2">
          <w:rPr>
            <w:rStyle w:val="Hyperlink"/>
          </w:rPr>
          <w:t>Outlook for the domestic economy</w:t>
        </w:r>
        <w:r w:rsidR="003C42CF">
          <w:rPr>
            <w:webHidden/>
          </w:rPr>
          <w:tab/>
        </w:r>
        <w:r w:rsidR="003C42CF">
          <w:rPr>
            <w:webHidden/>
          </w:rPr>
          <w:fldChar w:fldCharType="begin"/>
        </w:r>
        <w:r w:rsidR="003C42CF">
          <w:rPr>
            <w:webHidden/>
          </w:rPr>
          <w:instrText xml:space="preserve"> PAGEREF _Toc298235796 \h </w:instrText>
        </w:r>
        <w:r w:rsidR="003C42CF">
          <w:rPr>
            <w:webHidden/>
          </w:rPr>
        </w:r>
        <w:r w:rsidR="003C42CF">
          <w:rPr>
            <w:webHidden/>
          </w:rPr>
          <w:fldChar w:fldCharType="separate"/>
        </w:r>
        <w:r w:rsidR="00D8108B">
          <w:rPr>
            <w:webHidden/>
          </w:rPr>
          <w:t>8</w:t>
        </w:r>
        <w:r w:rsidR="003C42CF">
          <w:rPr>
            <w:webHidden/>
          </w:rPr>
          <w:fldChar w:fldCharType="end"/>
        </w:r>
      </w:hyperlink>
    </w:p>
    <w:p w:rsidR="003C42CF" w:rsidRDefault="007B541D">
      <w:pPr>
        <w:pStyle w:val="TOC4"/>
        <w:rPr>
          <w:rFonts w:asciiTheme="minorHAnsi" w:eastAsiaTheme="minorEastAsia" w:hAnsiTheme="minorHAnsi" w:cstheme="minorBidi"/>
          <w:i w:val="0"/>
          <w:sz w:val="22"/>
          <w:szCs w:val="22"/>
          <w:lang w:eastAsia="en-AU"/>
        </w:rPr>
      </w:pPr>
      <w:hyperlink w:anchor="_Toc298235797" w:history="1">
        <w:r w:rsidR="003C42CF" w:rsidRPr="00DD4CA2">
          <w:rPr>
            <w:rStyle w:val="Hyperlink"/>
          </w:rPr>
          <w:t>Household consumption</w:t>
        </w:r>
        <w:r w:rsidR="003C42CF">
          <w:rPr>
            <w:webHidden/>
          </w:rPr>
          <w:tab/>
        </w:r>
        <w:r w:rsidR="003C42CF">
          <w:rPr>
            <w:webHidden/>
          </w:rPr>
          <w:fldChar w:fldCharType="begin"/>
        </w:r>
        <w:r w:rsidR="003C42CF">
          <w:rPr>
            <w:webHidden/>
          </w:rPr>
          <w:instrText xml:space="preserve"> PAGEREF _Toc298235797 \h </w:instrText>
        </w:r>
        <w:r w:rsidR="003C42CF">
          <w:rPr>
            <w:webHidden/>
          </w:rPr>
        </w:r>
        <w:r w:rsidR="003C42CF">
          <w:rPr>
            <w:webHidden/>
          </w:rPr>
          <w:fldChar w:fldCharType="separate"/>
        </w:r>
        <w:r w:rsidR="00D8108B">
          <w:rPr>
            <w:webHidden/>
          </w:rPr>
          <w:t>8</w:t>
        </w:r>
        <w:r w:rsidR="003C42CF">
          <w:rPr>
            <w:webHidden/>
          </w:rPr>
          <w:fldChar w:fldCharType="end"/>
        </w:r>
      </w:hyperlink>
    </w:p>
    <w:p w:rsidR="003C42CF" w:rsidRDefault="007B541D">
      <w:pPr>
        <w:pStyle w:val="TOC4"/>
        <w:rPr>
          <w:rFonts w:asciiTheme="minorHAnsi" w:eastAsiaTheme="minorEastAsia" w:hAnsiTheme="minorHAnsi" w:cstheme="minorBidi"/>
          <w:i w:val="0"/>
          <w:sz w:val="22"/>
          <w:szCs w:val="22"/>
          <w:lang w:eastAsia="en-AU"/>
        </w:rPr>
      </w:pPr>
      <w:hyperlink w:anchor="_Toc298235798" w:history="1">
        <w:r w:rsidR="003C42CF" w:rsidRPr="00DD4CA2">
          <w:rPr>
            <w:rStyle w:val="Hyperlink"/>
          </w:rPr>
          <w:t>Dwelling investment</w:t>
        </w:r>
        <w:r w:rsidR="003C42CF">
          <w:rPr>
            <w:webHidden/>
          </w:rPr>
          <w:tab/>
        </w:r>
        <w:r w:rsidR="003C42CF">
          <w:rPr>
            <w:webHidden/>
          </w:rPr>
          <w:fldChar w:fldCharType="begin"/>
        </w:r>
        <w:r w:rsidR="003C42CF">
          <w:rPr>
            <w:webHidden/>
          </w:rPr>
          <w:instrText xml:space="preserve"> PAGEREF _Toc298235798 \h </w:instrText>
        </w:r>
        <w:r w:rsidR="003C42CF">
          <w:rPr>
            <w:webHidden/>
          </w:rPr>
        </w:r>
        <w:r w:rsidR="003C42CF">
          <w:rPr>
            <w:webHidden/>
          </w:rPr>
          <w:fldChar w:fldCharType="separate"/>
        </w:r>
        <w:r w:rsidR="00D8108B">
          <w:rPr>
            <w:webHidden/>
          </w:rPr>
          <w:t>9</w:t>
        </w:r>
        <w:r w:rsidR="003C42CF">
          <w:rPr>
            <w:webHidden/>
          </w:rPr>
          <w:fldChar w:fldCharType="end"/>
        </w:r>
      </w:hyperlink>
    </w:p>
    <w:p w:rsidR="003C42CF" w:rsidRDefault="007B541D">
      <w:pPr>
        <w:pStyle w:val="TOC4"/>
        <w:rPr>
          <w:rFonts w:asciiTheme="minorHAnsi" w:eastAsiaTheme="minorEastAsia" w:hAnsiTheme="minorHAnsi" w:cstheme="minorBidi"/>
          <w:i w:val="0"/>
          <w:sz w:val="22"/>
          <w:szCs w:val="22"/>
          <w:lang w:eastAsia="en-AU"/>
        </w:rPr>
      </w:pPr>
      <w:hyperlink w:anchor="_Toc298235799" w:history="1">
        <w:r w:rsidR="003C42CF" w:rsidRPr="00DD4CA2">
          <w:rPr>
            <w:rStyle w:val="Hyperlink"/>
          </w:rPr>
          <w:t>Business investment</w:t>
        </w:r>
        <w:r w:rsidR="003C42CF">
          <w:rPr>
            <w:webHidden/>
          </w:rPr>
          <w:tab/>
        </w:r>
        <w:r w:rsidR="003C42CF">
          <w:rPr>
            <w:webHidden/>
          </w:rPr>
          <w:fldChar w:fldCharType="begin"/>
        </w:r>
        <w:r w:rsidR="003C42CF">
          <w:rPr>
            <w:webHidden/>
          </w:rPr>
          <w:instrText xml:space="preserve"> PAGEREF _Toc298235799 \h </w:instrText>
        </w:r>
        <w:r w:rsidR="003C42CF">
          <w:rPr>
            <w:webHidden/>
          </w:rPr>
        </w:r>
        <w:r w:rsidR="003C42CF">
          <w:rPr>
            <w:webHidden/>
          </w:rPr>
          <w:fldChar w:fldCharType="separate"/>
        </w:r>
        <w:r w:rsidR="00D8108B">
          <w:rPr>
            <w:webHidden/>
          </w:rPr>
          <w:t>10</w:t>
        </w:r>
        <w:r w:rsidR="003C42CF">
          <w:rPr>
            <w:webHidden/>
          </w:rPr>
          <w:fldChar w:fldCharType="end"/>
        </w:r>
      </w:hyperlink>
    </w:p>
    <w:p w:rsidR="003C42CF" w:rsidRDefault="007B541D">
      <w:pPr>
        <w:pStyle w:val="TOC4"/>
        <w:rPr>
          <w:rFonts w:asciiTheme="minorHAnsi" w:eastAsiaTheme="minorEastAsia" w:hAnsiTheme="minorHAnsi" w:cstheme="minorBidi"/>
          <w:i w:val="0"/>
          <w:sz w:val="22"/>
          <w:szCs w:val="22"/>
          <w:lang w:eastAsia="en-AU"/>
        </w:rPr>
      </w:pPr>
      <w:hyperlink w:anchor="_Toc298235800" w:history="1">
        <w:r w:rsidR="003C42CF" w:rsidRPr="00DD4CA2">
          <w:rPr>
            <w:rStyle w:val="Hyperlink"/>
          </w:rPr>
          <w:t>Public final demand</w:t>
        </w:r>
        <w:r w:rsidR="003C42CF">
          <w:rPr>
            <w:webHidden/>
          </w:rPr>
          <w:tab/>
        </w:r>
        <w:r w:rsidR="003C42CF">
          <w:rPr>
            <w:webHidden/>
          </w:rPr>
          <w:fldChar w:fldCharType="begin"/>
        </w:r>
        <w:r w:rsidR="003C42CF">
          <w:rPr>
            <w:webHidden/>
          </w:rPr>
          <w:instrText xml:space="preserve"> PAGEREF _Toc298235800 \h </w:instrText>
        </w:r>
        <w:r w:rsidR="003C42CF">
          <w:rPr>
            <w:webHidden/>
          </w:rPr>
        </w:r>
        <w:r w:rsidR="003C42CF">
          <w:rPr>
            <w:webHidden/>
          </w:rPr>
          <w:fldChar w:fldCharType="separate"/>
        </w:r>
        <w:r w:rsidR="00D8108B">
          <w:rPr>
            <w:webHidden/>
          </w:rPr>
          <w:t>11</w:t>
        </w:r>
        <w:r w:rsidR="003C42CF">
          <w:rPr>
            <w:webHidden/>
          </w:rPr>
          <w:fldChar w:fldCharType="end"/>
        </w:r>
      </w:hyperlink>
    </w:p>
    <w:p w:rsidR="003C42CF" w:rsidRDefault="007B541D">
      <w:pPr>
        <w:pStyle w:val="TOC4"/>
        <w:rPr>
          <w:rFonts w:asciiTheme="minorHAnsi" w:eastAsiaTheme="minorEastAsia" w:hAnsiTheme="minorHAnsi" w:cstheme="minorBidi"/>
          <w:i w:val="0"/>
          <w:sz w:val="22"/>
          <w:szCs w:val="22"/>
          <w:lang w:eastAsia="en-AU"/>
        </w:rPr>
      </w:pPr>
      <w:hyperlink w:anchor="_Toc298235801" w:history="1">
        <w:r w:rsidR="003C42CF" w:rsidRPr="00DD4CA2">
          <w:rPr>
            <w:rStyle w:val="Hyperlink"/>
          </w:rPr>
          <w:t>Exports, imports and the current account deficit</w:t>
        </w:r>
        <w:r w:rsidR="003C42CF">
          <w:rPr>
            <w:webHidden/>
          </w:rPr>
          <w:tab/>
        </w:r>
        <w:r w:rsidR="003C42CF">
          <w:rPr>
            <w:webHidden/>
          </w:rPr>
          <w:fldChar w:fldCharType="begin"/>
        </w:r>
        <w:r w:rsidR="003C42CF">
          <w:rPr>
            <w:webHidden/>
          </w:rPr>
          <w:instrText xml:space="preserve"> PAGEREF _Toc298235801 \h </w:instrText>
        </w:r>
        <w:r w:rsidR="003C42CF">
          <w:rPr>
            <w:webHidden/>
          </w:rPr>
        </w:r>
        <w:r w:rsidR="003C42CF">
          <w:rPr>
            <w:webHidden/>
          </w:rPr>
          <w:fldChar w:fldCharType="separate"/>
        </w:r>
        <w:r w:rsidR="00D8108B">
          <w:rPr>
            <w:webHidden/>
          </w:rPr>
          <w:t>12</w:t>
        </w:r>
        <w:r w:rsidR="003C42CF">
          <w:rPr>
            <w:webHidden/>
          </w:rPr>
          <w:fldChar w:fldCharType="end"/>
        </w:r>
      </w:hyperlink>
    </w:p>
    <w:p w:rsidR="003C42CF" w:rsidRDefault="007B541D">
      <w:pPr>
        <w:pStyle w:val="TOC4"/>
        <w:rPr>
          <w:rFonts w:asciiTheme="minorHAnsi" w:eastAsiaTheme="minorEastAsia" w:hAnsiTheme="minorHAnsi" w:cstheme="minorBidi"/>
          <w:i w:val="0"/>
          <w:sz w:val="22"/>
          <w:szCs w:val="22"/>
          <w:lang w:eastAsia="en-AU"/>
        </w:rPr>
      </w:pPr>
      <w:hyperlink w:anchor="_Toc298235802" w:history="1">
        <w:r w:rsidR="003C42CF" w:rsidRPr="00DD4CA2">
          <w:rPr>
            <w:rStyle w:val="Hyperlink"/>
          </w:rPr>
          <w:t>Employment, wages and inflation</w:t>
        </w:r>
        <w:r w:rsidR="003C42CF">
          <w:rPr>
            <w:webHidden/>
          </w:rPr>
          <w:tab/>
        </w:r>
        <w:r w:rsidR="003C42CF">
          <w:rPr>
            <w:webHidden/>
          </w:rPr>
          <w:fldChar w:fldCharType="begin"/>
        </w:r>
        <w:r w:rsidR="003C42CF">
          <w:rPr>
            <w:webHidden/>
          </w:rPr>
          <w:instrText xml:space="preserve"> PAGEREF _Toc298235802 \h </w:instrText>
        </w:r>
        <w:r w:rsidR="003C42CF">
          <w:rPr>
            <w:webHidden/>
          </w:rPr>
        </w:r>
        <w:r w:rsidR="003C42CF">
          <w:rPr>
            <w:webHidden/>
          </w:rPr>
          <w:fldChar w:fldCharType="separate"/>
        </w:r>
        <w:r w:rsidR="00D8108B">
          <w:rPr>
            <w:webHidden/>
          </w:rPr>
          <w:t>13</w:t>
        </w:r>
        <w:r w:rsidR="003C42CF">
          <w:rPr>
            <w:webHidden/>
          </w:rPr>
          <w:fldChar w:fldCharType="end"/>
        </w:r>
      </w:hyperlink>
    </w:p>
    <w:p w:rsidR="003C42CF" w:rsidRDefault="007B541D">
      <w:pPr>
        <w:pStyle w:val="TOC3"/>
        <w:rPr>
          <w:rFonts w:asciiTheme="minorHAnsi" w:eastAsiaTheme="minorEastAsia" w:hAnsiTheme="minorHAnsi" w:cstheme="minorBidi"/>
          <w:b w:val="0"/>
          <w:sz w:val="22"/>
          <w:szCs w:val="22"/>
          <w:lang w:eastAsia="en-AU"/>
        </w:rPr>
      </w:pPr>
      <w:hyperlink w:anchor="_Toc298235803" w:history="1">
        <w:r w:rsidR="003C42CF" w:rsidRPr="00DD4CA2">
          <w:rPr>
            <w:rStyle w:val="Hyperlink"/>
          </w:rPr>
          <w:t>Outlook for the international economy</w:t>
        </w:r>
        <w:r w:rsidR="003C42CF">
          <w:rPr>
            <w:webHidden/>
          </w:rPr>
          <w:tab/>
        </w:r>
        <w:r w:rsidR="003C42CF">
          <w:rPr>
            <w:webHidden/>
          </w:rPr>
          <w:fldChar w:fldCharType="begin"/>
        </w:r>
        <w:r w:rsidR="003C42CF">
          <w:rPr>
            <w:webHidden/>
          </w:rPr>
          <w:instrText xml:space="preserve"> PAGEREF _Toc298235803 \h </w:instrText>
        </w:r>
        <w:r w:rsidR="003C42CF">
          <w:rPr>
            <w:webHidden/>
          </w:rPr>
        </w:r>
        <w:r w:rsidR="003C42CF">
          <w:rPr>
            <w:webHidden/>
          </w:rPr>
          <w:fldChar w:fldCharType="separate"/>
        </w:r>
        <w:r w:rsidR="00D8108B">
          <w:rPr>
            <w:webHidden/>
          </w:rPr>
          <w:t>16</w:t>
        </w:r>
        <w:r w:rsidR="003C42CF">
          <w:rPr>
            <w:webHidden/>
          </w:rPr>
          <w:fldChar w:fldCharType="end"/>
        </w:r>
      </w:hyperlink>
    </w:p>
    <w:p w:rsidR="003C42CF" w:rsidRDefault="007B541D">
      <w:pPr>
        <w:pStyle w:val="TOC4"/>
        <w:rPr>
          <w:rFonts w:asciiTheme="minorHAnsi" w:eastAsiaTheme="minorEastAsia" w:hAnsiTheme="minorHAnsi" w:cstheme="minorBidi"/>
          <w:i w:val="0"/>
          <w:sz w:val="22"/>
          <w:szCs w:val="22"/>
          <w:lang w:eastAsia="en-AU"/>
        </w:rPr>
      </w:pPr>
      <w:hyperlink w:anchor="_Toc298235804" w:history="1">
        <w:r w:rsidR="003C42CF" w:rsidRPr="00DD4CA2">
          <w:rPr>
            <w:rStyle w:val="Hyperlink"/>
          </w:rPr>
          <w:t>World outlook and risks</w:t>
        </w:r>
        <w:r w:rsidR="003C42CF">
          <w:rPr>
            <w:webHidden/>
          </w:rPr>
          <w:tab/>
        </w:r>
        <w:r w:rsidR="003C42CF">
          <w:rPr>
            <w:webHidden/>
          </w:rPr>
          <w:fldChar w:fldCharType="begin"/>
        </w:r>
        <w:r w:rsidR="003C42CF">
          <w:rPr>
            <w:webHidden/>
          </w:rPr>
          <w:instrText xml:space="preserve"> PAGEREF _Toc298235804 \h </w:instrText>
        </w:r>
        <w:r w:rsidR="003C42CF">
          <w:rPr>
            <w:webHidden/>
          </w:rPr>
        </w:r>
        <w:r w:rsidR="003C42CF">
          <w:rPr>
            <w:webHidden/>
          </w:rPr>
          <w:fldChar w:fldCharType="separate"/>
        </w:r>
        <w:r w:rsidR="00D8108B">
          <w:rPr>
            <w:webHidden/>
          </w:rPr>
          <w:t>16</w:t>
        </w:r>
        <w:r w:rsidR="003C42CF">
          <w:rPr>
            <w:webHidden/>
          </w:rPr>
          <w:fldChar w:fldCharType="end"/>
        </w:r>
      </w:hyperlink>
    </w:p>
    <w:p w:rsidR="003C42CF" w:rsidRDefault="007B541D">
      <w:pPr>
        <w:pStyle w:val="TOC3"/>
        <w:rPr>
          <w:rFonts w:asciiTheme="minorHAnsi" w:eastAsiaTheme="minorEastAsia" w:hAnsiTheme="minorHAnsi" w:cstheme="minorBidi"/>
          <w:b w:val="0"/>
          <w:sz w:val="22"/>
          <w:szCs w:val="22"/>
          <w:lang w:eastAsia="en-AU"/>
        </w:rPr>
      </w:pPr>
      <w:hyperlink w:anchor="_Toc298235805" w:history="1">
        <w:r w:rsidR="003C42CF" w:rsidRPr="00DD4CA2">
          <w:rPr>
            <w:rStyle w:val="Hyperlink"/>
          </w:rPr>
          <w:t>Attachment A: Impact of a carbon price on Australia’s near-term economic outlook</w:t>
        </w:r>
        <w:r w:rsidR="003C42CF">
          <w:rPr>
            <w:webHidden/>
          </w:rPr>
          <w:tab/>
        </w:r>
        <w:r w:rsidR="003C42CF">
          <w:rPr>
            <w:webHidden/>
          </w:rPr>
          <w:fldChar w:fldCharType="begin"/>
        </w:r>
        <w:r w:rsidR="003C42CF">
          <w:rPr>
            <w:webHidden/>
          </w:rPr>
          <w:instrText xml:space="preserve"> PAGEREF _Toc298235805 \h </w:instrText>
        </w:r>
        <w:r w:rsidR="003C42CF">
          <w:rPr>
            <w:webHidden/>
          </w:rPr>
        </w:r>
        <w:r w:rsidR="003C42CF">
          <w:rPr>
            <w:webHidden/>
          </w:rPr>
          <w:fldChar w:fldCharType="separate"/>
        </w:r>
        <w:r w:rsidR="00D8108B">
          <w:rPr>
            <w:webHidden/>
          </w:rPr>
          <w:t>17</w:t>
        </w:r>
        <w:r w:rsidR="003C42CF">
          <w:rPr>
            <w:webHidden/>
          </w:rPr>
          <w:fldChar w:fldCharType="end"/>
        </w:r>
      </w:hyperlink>
    </w:p>
    <w:p w:rsidR="003C42CF" w:rsidRDefault="007B541D">
      <w:pPr>
        <w:pStyle w:val="TOC3"/>
        <w:rPr>
          <w:rFonts w:asciiTheme="minorHAnsi" w:eastAsiaTheme="minorEastAsia" w:hAnsiTheme="minorHAnsi" w:cstheme="minorBidi"/>
          <w:b w:val="0"/>
          <w:sz w:val="22"/>
          <w:szCs w:val="22"/>
          <w:lang w:eastAsia="en-AU"/>
        </w:rPr>
      </w:pPr>
      <w:hyperlink w:anchor="_Toc298235806" w:history="1">
        <w:r w:rsidR="003C42CF" w:rsidRPr="00DD4CA2">
          <w:rPr>
            <w:rStyle w:val="Hyperlink"/>
          </w:rPr>
          <w:t>Attachment B: Forecast growth in Nominal GDP</w:t>
        </w:r>
        <w:r w:rsidR="003C42CF">
          <w:rPr>
            <w:webHidden/>
          </w:rPr>
          <w:tab/>
        </w:r>
        <w:r w:rsidR="003C42CF">
          <w:rPr>
            <w:webHidden/>
          </w:rPr>
          <w:fldChar w:fldCharType="begin"/>
        </w:r>
        <w:r w:rsidR="003C42CF">
          <w:rPr>
            <w:webHidden/>
          </w:rPr>
          <w:instrText xml:space="preserve"> PAGEREF _Toc298235806 \h </w:instrText>
        </w:r>
        <w:r w:rsidR="003C42CF">
          <w:rPr>
            <w:webHidden/>
          </w:rPr>
        </w:r>
        <w:r w:rsidR="003C42CF">
          <w:rPr>
            <w:webHidden/>
          </w:rPr>
          <w:fldChar w:fldCharType="separate"/>
        </w:r>
        <w:r w:rsidR="00D8108B">
          <w:rPr>
            <w:webHidden/>
          </w:rPr>
          <w:t>18</w:t>
        </w:r>
        <w:r w:rsidR="003C42CF">
          <w:rPr>
            <w:webHidden/>
          </w:rPr>
          <w:fldChar w:fldCharType="end"/>
        </w:r>
      </w:hyperlink>
    </w:p>
    <w:p w:rsidR="007956D3" w:rsidRPr="007956D3" w:rsidRDefault="004D4273" w:rsidP="003C42CF">
      <w:pPr>
        <w:pStyle w:val="TOC3"/>
        <w:rPr>
          <w:rStyle w:val="Hyperlink"/>
        </w:rPr>
      </w:pPr>
      <w:r w:rsidRPr="003344B0">
        <w:rPr>
          <w:highlight w:val="yellow"/>
        </w:rPr>
        <w:fldChar w:fldCharType="end"/>
      </w:r>
    </w:p>
    <w:p w:rsidR="005964C3" w:rsidRDefault="005964C3" w:rsidP="00A16F7F">
      <w:pPr>
        <w:pStyle w:val="Title"/>
        <w:outlineLvl w:val="0"/>
        <w:rPr>
          <w:b/>
          <w:color w:val="auto"/>
          <w:sz w:val="24"/>
          <w:szCs w:val="24"/>
          <w:highlight w:val="yellow"/>
        </w:rPr>
      </w:pPr>
    </w:p>
    <w:p w:rsidR="007956D3" w:rsidRPr="003344B0" w:rsidRDefault="007956D3" w:rsidP="00A16F7F">
      <w:pPr>
        <w:pStyle w:val="Title"/>
        <w:outlineLvl w:val="0"/>
        <w:rPr>
          <w:b/>
          <w:color w:val="auto"/>
          <w:sz w:val="24"/>
          <w:szCs w:val="24"/>
          <w:highlight w:val="yellow"/>
        </w:rPr>
        <w:sectPr w:rsidR="007956D3" w:rsidRPr="003344B0" w:rsidSect="00412C66">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567" w:gutter="0"/>
          <w:cols w:space="720"/>
          <w:titlePg/>
        </w:sectPr>
      </w:pPr>
    </w:p>
    <w:p w:rsidR="00E9529C" w:rsidRPr="00F61A2D" w:rsidRDefault="00EF6F1B" w:rsidP="00BE6061">
      <w:pPr>
        <w:pStyle w:val="Heading3"/>
      </w:pPr>
      <w:bookmarkStart w:id="23" w:name="_Toc90977883"/>
      <w:bookmarkStart w:id="24" w:name="_Toc185498655"/>
      <w:bookmarkStart w:id="25" w:name="_Toc298235795"/>
      <w:r w:rsidRPr="00F61A2D">
        <w:lastRenderedPageBreak/>
        <w:t>Overview</w:t>
      </w:r>
      <w:bookmarkStart w:id="26" w:name="_Toc90977892"/>
      <w:bookmarkEnd w:id="23"/>
      <w:bookmarkEnd w:id="24"/>
      <w:bookmarkEnd w:id="25"/>
    </w:p>
    <w:p w:rsidR="00681EBE" w:rsidRDefault="00B11985" w:rsidP="00B11985">
      <w:r>
        <w:t>T</w:t>
      </w:r>
      <w:r w:rsidRPr="00922A2D">
        <w:t xml:space="preserve">he Australian economy is </w:t>
      </w:r>
      <w:r>
        <w:t>forecast</w:t>
      </w:r>
      <w:r w:rsidRPr="00922A2D">
        <w:t xml:space="preserve"> to grow </w:t>
      </w:r>
      <w:r w:rsidR="00091C2B">
        <w:t>at an</w:t>
      </w:r>
      <w:r>
        <w:t xml:space="preserve"> above-trend </w:t>
      </w:r>
      <w:r w:rsidR="00091C2B">
        <w:t xml:space="preserve">rate </w:t>
      </w:r>
      <w:r w:rsidRPr="00922A2D">
        <w:t xml:space="preserve">in 2011-12 and </w:t>
      </w:r>
      <w:r>
        <w:br/>
      </w:r>
      <w:r w:rsidRPr="00922A2D">
        <w:t>2012-13</w:t>
      </w:r>
      <w:r>
        <w:t>, driven by the resources sector.  Sustained high prices for Australia’s key commodity exports underpin record mining investment intentions and strong forecast growth in non-rural commodity exports.</w:t>
      </w:r>
      <w:r w:rsidRPr="00100886">
        <w:t xml:space="preserve"> </w:t>
      </w:r>
      <w:r>
        <w:t xml:space="preserve">However, several of the downside risks identified at Budget have started to crystalize.  </w:t>
      </w:r>
    </w:p>
    <w:p w:rsidR="00B11985" w:rsidRDefault="00260C01" w:rsidP="00B11985">
      <w:pPr>
        <w:rPr>
          <w:szCs w:val="20"/>
        </w:rPr>
      </w:pPr>
      <w:r>
        <w:t>Internationally,</w:t>
      </w:r>
      <w:r w:rsidR="00B11985">
        <w:t xml:space="preserve"> </w:t>
      </w:r>
      <w:r>
        <w:t xml:space="preserve">financial stability risks have increased and </w:t>
      </w:r>
      <w:r w:rsidR="00681EBE">
        <w:t>the pace of global growth has eased</w:t>
      </w:r>
      <w:r w:rsidR="00B11985">
        <w:t xml:space="preserve">, </w:t>
      </w:r>
      <w:r>
        <w:t>reflecting</w:t>
      </w:r>
      <w:r w:rsidR="00B11985">
        <w:t xml:space="preserve"> increasing concerns around sovereign debt issues in Europe and recent weakness in the US.  Domestic conditions have also weakened.  The impact of the January floods on coal production is expected to be larger, and the recovery more protracted,</w:t>
      </w:r>
      <w:r w:rsidR="00B11985" w:rsidRPr="007027A8">
        <w:t xml:space="preserve"> </w:t>
      </w:r>
      <w:r w:rsidR="00B11985">
        <w:t xml:space="preserve">than previously anticipated.  More broadly, </w:t>
      </w:r>
      <w:r>
        <w:rPr>
          <w:szCs w:val="20"/>
        </w:rPr>
        <w:t>w</w:t>
      </w:r>
      <w:r w:rsidR="00091C2B">
        <w:rPr>
          <w:szCs w:val="20"/>
        </w:rPr>
        <w:t xml:space="preserve">hile the Budget forecasts anticipated weak growth in the non-mining economy, the deterioration in conditions has been more pronounced than expected, suggesting that the high exchange rate, tightening macroeconomic policy settings, </w:t>
      </w:r>
      <w:r w:rsidR="00091C2B" w:rsidRPr="00CA0415">
        <w:rPr>
          <w:szCs w:val="20"/>
        </w:rPr>
        <w:t xml:space="preserve">increasing competition for labour and other inputs, weak credit </w:t>
      </w:r>
      <w:r w:rsidR="00091C2B">
        <w:rPr>
          <w:szCs w:val="20"/>
        </w:rPr>
        <w:t>conditions</w:t>
      </w:r>
      <w:r w:rsidR="00091C2B" w:rsidRPr="00CA0415">
        <w:rPr>
          <w:szCs w:val="20"/>
        </w:rPr>
        <w:t xml:space="preserve"> (reflecting both demand and supply factors) and cautious household spending behaviour</w:t>
      </w:r>
      <w:r w:rsidR="00091C2B">
        <w:rPr>
          <w:szCs w:val="20"/>
        </w:rPr>
        <w:t xml:space="preserve"> are having a larger contractionary impact on the economy</w:t>
      </w:r>
      <w:r>
        <w:rPr>
          <w:szCs w:val="20"/>
        </w:rPr>
        <w:t xml:space="preserve"> than previously anticipated</w:t>
      </w:r>
      <w:r w:rsidR="00091C2B">
        <w:rPr>
          <w:szCs w:val="20"/>
        </w:rPr>
        <w:t xml:space="preserve">. </w:t>
      </w:r>
      <w:r w:rsidR="00B11985">
        <w:t xml:space="preserve">Weakness in the non-mining economy is </w:t>
      </w:r>
      <w:r w:rsidR="00091C2B">
        <w:t>evident in recent</w:t>
      </w:r>
      <w:r w:rsidR="00B11985">
        <w:t xml:space="preserve"> labour market</w:t>
      </w:r>
      <w:r w:rsidR="00091C2B">
        <w:t xml:space="preserve"> outcomes</w:t>
      </w:r>
      <w:r w:rsidR="00B11985">
        <w:t xml:space="preserve">, with the pace of employment growth slowing considerably in the first half of 2011.  This combination of international and domestic factors has led to a downward revision to forecast growth in real GDP and employment and an upward revision to the forecast unemployment rate. </w:t>
      </w:r>
      <w:r w:rsidR="00B11985" w:rsidRPr="00B52D78">
        <w:t xml:space="preserve">The most prominent risks to Australia’s </w:t>
      </w:r>
      <w:r w:rsidR="00B11985">
        <w:t>growth</w:t>
      </w:r>
      <w:r w:rsidR="00B11985" w:rsidRPr="00B52D78">
        <w:t xml:space="preserve"> outlook </w:t>
      </w:r>
      <w:r w:rsidR="00B11985">
        <w:t xml:space="preserve">arise from fragilities in the </w:t>
      </w:r>
      <w:r w:rsidR="00B11985" w:rsidRPr="00B52D78">
        <w:t xml:space="preserve">global </w:t>
      </w:r>
      <w:r w:rsidR="00B11985">
        <w:t>economy and the potential for w</w:t>
      </w:r>
      <w:r w:rsidR="00B11985" w:rsidRPr="007027A8">
        <w:t xml:space="preserve">eaker domestic conditions </w:t>
      </w:r>
      <w:r w:rsidR="00B11985">
        <w:t>to further undermine</w:t>
      </w:r>
      <w:r w:rsidR="00B11985" w:rsidRPr="007027A8">
        <w:t xml:space="preserve"> </w:t>
      </w:r>
      <w:r w:rsidR="00B11985">
        <w:t xml:space="preserve">business and consumer </w:t>
      </w:r>
      <w:r w:rsidR="00B11985" w:rsidRPr="007027A8">
        <w:t>confidence.</w:t>
      </w:r>
      <w:r w:rsidR="00B11985">
        <w:t xml:space="preserve">  </w:t>
      </w:r>
    </w:p>
    <w:p w:rsidR="00FC66AB" w:rsidRDefault="00B11985" w:rsidP="00B11985">
      <w:r>
        <w:t xml:space="preserve">Table 1 presents the key domestic forecasts exclusive of the impact of the Government’s carbon price policy.  Attachment A details the impact of the carbon price on the near-term economic outlook, consistent with </w:t>
      </w:r>
      <w:r w:rsidRPr="007F0A35">
        <w:rPr>
          <w:i/>
          <w:iCs/>
        </w:rPr>
        <w:t>Strong growth, low pollution: modelling a carbon price</w:t>
      </w:r>
      <w:r>
        <w:t xml:space="preserve">.  </w:t>
      </w:r>
      <w:r w:rsidR="00F45682">
        <w:t>The effects of the Government’s carbon policy will be incorporated into the central forecasts from the next forecasting round.</w:t>
      </w:r>
    </w:p>
    <w:p w:rsidR="00EF0187" w:rsidRPr="007711BC" w:rsidRDefault="00EF0187" w:rsidP="00EF0187">
      <w:pPr>
        <w:pStyle w:val="Dash"/>
        <w:keepNext/>
        <w:spacing w:line="240" w:lineRule="auto"/>
        <w:ind w:left="0" w:firstLine="0"/>
        <w:jc w:val="left"/>
        <w:rPr>
          <w:rFonts w:ascii="Tahoma" w:hAnsi="Tahoma" w:cs="Tahoma"/>
          <w:b/>
        </w:rPr>
      </w:pPr>
      <w:r w:rsidRPr="007711BC">
        <w:rPr>
          <w:rFonts w:ascii="Tahoma" w:hAnsi="Tahoma" w:cs="Tahoma"/>
          <w:b/>
        </w:rPr>
        <w:t xml:space="preserve">Table 1: Key Domestic Forecasts – </w:t>
      </w:r>
      <w:r w:rsidR="006F252D">
        <w:rPr>
          <w:rFonts w:ascii="Tahoma" w:hAnsi="Tahoma" w:cs="Tahoma"/>
          <w:b/>
        </w:rPr>
        <w:t xml:space="preserve">June </w:t>
      </w:r>
      <w:r>
        <w:rPr>
          <w:rFonts w:ascii="Tahoma" w:hAnsi="Tahoma" w:cs="Tahoma"/>
          <w:b/>
        </w:rPr>
        <w:t xml:space="preserve">compared with </w:t>
      </w:r>
      <w:r w:rsidR="006F252D">
        <w:rPr>
          <w:rFonts w:ascii="Tahoma" w:hAnsi="Tahoma" w:cs="Tahoma"/>
          <w:b/>
        </w:rPr>
        <w:t>Budget</w:t>
      </w:r>
    </w:p>
    <w:p w:rsidR="00091C2B" w:rsidRDefault="007B541D" w:rsidP="00091C2B">
      <w:pPr>
        <w:pStyle w:val="Dash"/>
        <w:keepNext/>
        <w:spacing w:after="0" w:line="240" w:lineRule="auto"/>
        <w:ind w:left="0" w:firstLine="0"/>
        <w:jc w:val="lef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pt;height:193.65pt">
            <v:imagedata r:id="rId15" o:title=""/>
          </v:shape>
        </w:pict>
      </w:r>
      <w:bookmarkStart w:id="27" w:name="_Toc185498657"/>
    </w:p>
    <w:p w:rsidR="00B11985" w:rsidRPr="00260C01" w:rsidRDefault="00091C2B" w:rsidP="00260C01">
      <w:pPr>
        <w:pStyle w:val="NormalWeb"/>
        <w:shd w:val="clear" w:color="auto" w:fill="FFFFFF"/>
        <w:spacing w:before="120" w:beforeAutospacing="0" w:after="120" w:afterAutospacing="0"/>
        <w:jc w:val="both"/>
        <w:rPr>
          <w:rFonts w:ascii="Book Antiqua" w:hAnsi="Book Antiqua"/>
          <w:sz w:val="20"/>
          <w:szCs w:val="20"/>
        </w:rPr>
      </w:pPr>
      <w:r w:rsidRPr="00260C01">
        <w:rPr>
          <w:rFonts w:ascii="Book Antiqua" w:hAnsi="Book Antiqua"/>
          <w:sz w:val="20"/>
          <w:szCs w:val="20"/>
        </w:rPr>
        <w:t xml:space="preserve">The </w:t>
      </w:r>
      <w:r w:rsidR="00260C01">
        <w:rPr>
          <w:rFonts w:ascii="Book Antiqua" w:hAnsi="Book Antiqua"/>
          <w:sz w:val="20"/>
          <w:szCs w:val="20"/>
        </w:rPr>
        <w:t xml:space="preserve">pace of global growth </w:t>
      </w:r>
      <w:r w:rsidR="00681EBE">
        <w:rPr>
          <w:rFonts w:ascii="Book Antiqua" w:hAnsi="Book Antiqua"/>
          <w:sz w:val="20"/>
          <w:szCs w:val="20"/>
        </w:rPr>
        <w:t>appears to have</w:t>
      </w:r>
      <w:r w:rsidR="00260C01">
        <w:rPr>
          <w:rFonts w:ascii="Book Antiqua" w:hAnsi="Book Antiqua"/>
          <w:sz w:val="20"/>
          <w:szCs w:val="20"/>
        </w:rPr>
        <w:t xml:space="preserve"> slowed and the risks to global financial stability have become more acute</w:t>
      </w:r>
      <w:r w:rsidRPr="00260C01">
        <w:rPr>
          <w:rFonts w:ascii="Book Antiqua" w:hAnsi="Book Antiqua"/>
          <w:sz w:val="20"/>
          <w:szCs w:val="20"/>
        </w:rPr>
        <w:t xml:space="preserve">.  </w:t>
      </w:r>
      <w:r w:rsidR="00B11985" w:rsidRPr="00260C01">
        <w:rPr>
          <w:rFonts w:ascii="Book Antiqua" w:hAnsi="Book Antiqua"/>
          <w:sz w:val="20"/>
          <w:szCs w:val="20"/>
        </w:rPr>
        <w:t xml:space="preserve">Concerns over the sustainability of sovereign debt positions in Greece, Portugal and Ireland have escalated over the past month, unsettling global markets. A disorderly default, or contagion to Spain or Italy, which saw them lose access to private capital markets, would be very damaging for the global economy, leading to a further loss of confidence in the ability of policymakers to manage the fallout.  More generally, the pace of growth in the global economy has eased over recent months, partly due to ripple-effects from Japanese supply chain disruptions and weighed down by higher oil prices. In the United States, </w:t>
      </w:r>
      <w:r w:rsidR="00260C01" w:rsidRPr="00260C01">
        <w:rPr>
          <w:rFonts w:ascii="Book Antiqua" w:hAnsi="Book Antiqua"/>
          <w:sz w:val="20"/>
          <w:szCs w:val="20"/>
        </w:rPr>
        <w:t xml:space="preserve">the protracted debate over raising the government debt </w:t>
      </w:r>
      <w:r w:rsidR="00260C01" w:rsidRPr="00260C01">
        <w:rPr>
          <w:rFonts w:ascii="Book Antiqua" w:hAnsi="Book Antiqua"/>
          <w:sz w:val="20"/>
          <w:szCs w:val="20"/>
        </w:rPr>
        <w:lastRenderedPageBreak/>
        <w:t xml:space="preserve">ceiling is adding to uncertainty in global financial markets and </w:t>
      </w:r>
      <w:r w:rsidR="00B11985" w:rsidRPr="00260C01">
        <w:rPr>
          <w:rFonts w:ascii="Book Antiqua" w:hAnsi="Book Antiqua"/>
          <w:sz w:val="20"/>
          <w:szCs w:val="20"/>
        </w:rPr>
        <w:t xml:space="preserve">a run of softer than expected data </w:t>
      </w:r>
      <w:r w:rsidR="00260C01" w:rsidRPr="00260C01">
        <w:rPr>
          <w:rFonts w:ascii="Book Antiqua" w:hAnsi="Book Antiqua"/>
          <w:sz w:val="20"/>
          <w:szCs w:val="20"/>
        </w:rPr>
        <w:t>have raised concerns about the strength of the US recovery</w:t>
      </w:r>
      <w:r w:rsidR="00B11985" w:rsidRPr="00260C01">
        <w:rPr>
          <w:rFonts w:ascii="Book Antiqua" w:hAnsi="Book Antiqua"/>
          <w:sz w:val="20"/>
          <w:szCs w:val="20"/>
        </w:rPr>
        <w:t xml:space="preserve">.  </w:t>
      </w:r>
      <w:r w:rsidR="00260C01" w:rsidRPr="00260C01">
        <w:rPr>
          <w:rFonts w:ascii="Book Antiqua" w:hAnsi="Book Antiqua"/>
          <w:sz w:val="20"/>
          <w:szCs w:val="20"/>
        </w:rPr>
        <w:t>C</w:t>
      </w:r>
      <w:r w:rsidR="00B11985" w:rsidRPr="00260C01">
        <w:rPr>
          <w:rFonts w:ascii="Book Antiqua" w:hAnsi="Book Antiqua"/>
          <w:sz w:val="20"/>
          <w:szCs w:val="20"/>
        </w:rPr>
        <w:t>onsumption growth has lost momentum over recent months, the housing sector remains extremely weak and the pick-up in employment has been slow.  The Chinese economy continues to expand at a strong pace, although growth in industrial production and retail sales has moderated slightly in recent months.  Inflationary</w:t>
      </w:r>
      <w:r w:rsidR="00BB446E" w:rsidRPr="00260C01">
        <w:rPr>
          <w:rFonts w:ascii="Book Antiqua" w:hAnsi="Book Antiqua"/>
          <w:sz w:val="20"/>
          <w:szCs w:val="20"/>
        </w:rPr>
        <w:t xml:space="preserve"> </w:t>
      </w:r>
      <w:r w:rsidR="00B11985" w:rsidRPr="00260C01">
        <w:rPr>
          <w:rFonts w:ascii="Book Antiqua" w:hAnsi="Book Antiqua"/>
          <w:sz w:val="20"/>
          <w:szCs w:val="20"/>
        </w:rPr>
        <w:t>pressures continue to build in emerging market economies, driven by reduced spare capacity and compounded by rising food and oil prices.  Despite the increasingly uncertain outlook, global and major trading partner growth forecasts remain unchanged, with weaker outcomes in the US</w:t>
      </w:r>
      <w:r w:rsidR="00681EBE">
        <w:rPr>
          <w:rFonts w:ascii="Book Antiqua" w:hAnsi="Book Antiqua"/>
          <w:sz w:val="20"/>
          <w:szCs w:val="20"/>
        </w:rPr>
        <w:t>,</w:t>
      </w:r>
      <w:r w:rsidR="00B11985" w:rsidRPr="00260C01">
        <w:rPr>
          <w:rFonts w:ascii="Book Antiqua" w:hAnsi="Book Antiqua"/>
          <w:sz w:val="20"/>
          <w:szCs w:val="20"/>
        </w:rPr>
        <w:t xml:space="preserve"> Japan and China offset by stronger-than-anticipated growth in other East Asian economies and the euro area core.  </w:t>
      </w:r>
      <w:r w:rsidR="00B11985" w:rsidRPr="00260C01">
        <w:rPr>
          <w:rFonts w:ascii="Book Antiqua" w:hAnsi="Book Antiqua"/>
          <w:sz w:val="20"/>
          <w:szCs w:val="20"/>
        </w:rPr>
        <w:tab/>
      </w:r>
    </w:p>
    <w:p w:rsidR="00B11985" w:rsidRDefault="00B11985" w:rsidP="00B11985">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The Australian economy contracted in the March quarter due to the severe weather events experienced over the recent summer.  The impact of the </w:t>
      </w:r>
      <w:r w:rsidR="00681EBE">
        <w:rPr>
          <w:rFonts w:ascii="Book Antiqua" w:hAnsi="Book Antiqua"/>
          <w:sz w:val="20"/>
          <w:szCs w:val="20"/>
        </w:rPr>
        <w:t xml:space="preserve">January </w:t>
      </w:r>
      <w:r>
        <w:rPr>
          <w:rFonts w:ascii="Book Antiqua" w:hAnsi="Book Antiqua"/>
          <w:sz w:val="20"/>
          <w:szCs w:val="20"/>
        </w:rPr>
        <w:t>floods on thermal coal production is now expected to be more protracted than estimated at Budget, driving a downward revision to forecast real GDP growth in 2010-11</w:t>
      </w:r>
      <w:r w:rsidR="00681EBE">
        <w:rPr>
          <w:rFonts w:ascii="Book Antiqua" w:hAnsi="Book Antiqua"/>
          <w:sz w:val="20"/>
          <w:szCs w:val="20"/>
        </w:rPr>
        <w:t>,</w:t>
      </w:r>
      <w:r>
        <w:rPr>
          <w:rFonts w:ascii="Book Antiqua" w:hAnsi="Book Antiqua"/>
          <w:sz w:val="20"/>
          <w:szCs w:val="20"/>
        </w:rPr>
        <w:t xml:space="preserve"> from 2¼ per cent at Budget to 2 per cent at June JEFG.  </w:t>
      </w:r>
      <w:r w:rsidR="00681EBE">
        <w:rPr>
          <w:rFonts w:ascii="Book Antiqua" w:hAnsi="Book Antiqua"/>
          <w:sz w:val="20"/>
          <w:szCs w:val="20"/>
        </w:rPr>
        <w:t>C</w:t>
      </w:r>
      <w:r>
        <w:rPr>
          <w:rFonts w:ascii="Book Antiqua" w:hAnsi="Book Antiqua"/>
          <w:sz w:val="20"/>
          <w:szCs w:val="20"/>
        </w:rPr>
        <w:t>oal production is not expected to return to full capacity until late 2011,</w:t>
      </w:r>
      <w:r w:rsidRPr="009E5F6D">
        <w:rPr>
          <w:rFonts w:ascii="Book Antiqua" w:hAnsi="Book Antiqua"/>
          <w:sz w:val="20"/>
          <w:szCs w:val="20"/>
        </w:rPr>
        <w:t xml:space="preserve"> </w:t>
      </w:r>
      <w:r>
        <w:rPr>
          <w:rFonts w:ascii="Book Antiqua" w:hAnsi="Book Antiqua"/>
          <w:sz w:val="20"/>
          <w:szCs w:val="20"/>
        </w:rPr>
        <w:t>with a number of mines still inundated with water. The slower-than-expected recovery is estimated to result in coal p</w:t>
      </w:r>
      <w:r w:rsidR="00260C01">
        <w:rPr>
          <w:rFonts w:ascii="Book Antiqua" w:hAnsi="Book Antiqua"/>
          <w:sz w:val="20"/>
          <w:szCs w:val="20"/>
        </w:rPr>
        <w:t>roduction losses of around 35 </w:t>
      </w:r>
      <w:r>
        <w:rPr>
          <w:rFonts w:ascii="Book Antiqua" w:hAnsi="Book Antiqua"/>
          <w:sz w:val="20"/>
          <w:szCs w:val="20"/>
        </w:rPr>
        <w:t xml:space="preserve">million tonnes in 2010-11, up from 25 million tonnes estimated at Budget.  </w:t>
      </w:r>
      <w:r w:rsidR="00681EBE">
        <w:rPr>
          <w:rFonts w:ascii="Book Antiqua" w:hAnsi="Book Antiqua"/>
          <w:sz w:val="20"/>
          <w:szCs w:val="20"/>
        </w:rPr>
        <w:t>In year</w:t>
      </w:r>
      <w:r w:rsidR="00681EBE">
        <w:rPr>
          <w:rFonts w:ascii="Book Antiqua" w:hAnsi="Book Antiqua"/>
          <w:sz w:val="20"/>
          <w:szCs w:val="20"/>
        </w:rPr>
        <w:noBreakHyphen/>
        <w:t xml:space="preserve">average terms, however, </w:t>
      </w:r>
      <w:r w:rsidR="00260C01">
        <w:rPr>
          <w:rFonts w:ascii="Book Antiqua" w:hAnsi="Book Antiqua"/>
          <w:sz w:val="20"/>
          <w:szCs w:val="20"/>
        </w:rPr>
        <w:t>t</w:t>
      </w:r>
      <w:r>
        <w:rPr>
          <w:rFonts w:ascii="Book Antiqua" w:hAnsi="Book Antiqua"/>
          <w:sz w:val="20"/>
          <w:szCs w:val="20"/>
        </w:rPr>
        <w:t xml:space="preserve">he natural disasters in Australia and Japan are </w:t>
      </w:r>
      <w:r w:rsidR="00260C01">
        <w:rPr>
          <w:rFonts w:ascii="Book Antiqua" w:hAnsi="Book Antiqua"/>
          <w:sz w:val="20"/>
          <w:szCs w:val="20"/>
        </w:rPr>
        <w:t xml:space="preserve">still </w:t>
      </w:r>
      <w:r>
        <w:rPr>
          <w:rFonts w:ascii="Book Antiqua" w:hAnsi="Book Antiqua"/>
          <w:sz w:val="20"/>
          <w:szCs w:val="20"/>
        </w:rPr>
        <w:t>expected to detract ¾ of a percentage point from real GDP growth in 2010-11</w:t>
      </w:r>
      <w:r w:rsidR="00681EBE">
        <w:rPr>
          <w:rFonts w:ascii="Book Antiqua" w:hAnsi="Book Antiqua"/>
          <w:sz w:val="20"/>
          <w:szCs w:val="20"/>
        </w:rPr>
        <w:t>, consistent with Budget</w:t>
      </w:r>
      <w:r>
        <w:rPr>
          <w:rFonts w:ascii="Book Antiqua" w:hAnsi="Book Antiqua"/>
          <w:sz w:val="20"/>
          <w:szCs w:val="20"/>
        </w:rPr>
        <w:t>.</w:t>
      </w:r>
    </w:p>
    <w:p w:rsidR="00B11985" w:rsidRDefault="00B11985" w:rsidP="00B11985">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Australia’s </w:t>
      </w:r>
      <w:r w:rsidRPr="00CB126D">
        <w:rPr>
          <w:rFonts w:ascii="Book Antiqua" w:hAnsi="Book Antiqua"/>
          <w:sz w:val="20"/>
          <w:szCs w:val="20"/>
        </w:rPr>
        <w:t>medium-term</w:t>
      </w:r>
      <w:r>
        <w:rPr>
          <w:rFonts w:ascii="Book Antiqua" w:hAnsi="Book Antiqua"/>
          <w:sz w:val="20"/>
          <w:szCs w:val="20"/>
        </w:rPr>
        <w:t xml:space="preserve"> growth</w:t>
      </w:r>
      <w:r w:rsidRPr="00CB126D">
        <w:rPr>
          <w:rFonts w:ascii="Book Antiqua" w:hAnsi="Book Antiqua"/>
          <w:sz w:val="20"/>
          <w:szCs w:val="20"/>
        </w:rPr>
        <w:t xml:space="preserve"> outlook</w:t>
      </w:r>
      <w:r>
        <w:rPr>
          <w:rFonts w:ascii="Book Antiqua" w:hAnsi="Book Antiqua"/>
          <w:sz w:val="20"/>
          <w:szCs w:val="20"/>
        </w:rPr>
        <w:t xml:space="preserve"> remains strong </w:t>
      </w:r>
      <w:r w:rsidRPr="005F13AA">
        <w:rPr>
          <w:rFonts w:ascii="Book Antiqua" w:hAnsi="Book Antiqua"/>
          <w:i/>
          <w:sz w:val="20"/>
          <w:szCs w:val="20"/>
        </w:rPr>
        <w:t>in aggregate</w:t>
      </w:r>
      <w:r>
        <w:rPr>
          <w:rFonts w:ascii="Book Antiqua" w:hAnsi="Book Antiqua"/>
          <w:sz w:val="20"/>
          <w:szCs w:val="20"/>
        </w:rPr>
        <w:t xml:space="preserve"> due to the booming resources sector. Economic activity is expected to rebound in 2011-12, with the recovery from the recent natural disasters </w:t>
      </w:r>
      <w:r w:rsidR="00260C01">
        <w:rPr>
          <w:rFonts w:ascii="Book Antiqua" w:hAnsi="Book Antiqua"/>
          <w:sz w:val="20"/>
          <w:szCs w:val="20"/>
        </w:rPr>
        <w:t xml:space="preserve">still expected to </w:t>
      </w:r>
      <w:r>
        <w:rPr>
          <w:rFonts w:ascii="Book Antiqua" w:hAnsi="Book Antiqua"/>
          <w:sz w:val="20"/>
          <w:szCs w:val="20"/>
        </w:rPr>
        <w:t xml:space="preserve">add ½ a percentage point to real GDP growth.  More generally, the pace of economic growth is expected to build momentum over the next year as production and investment in the resources sector gathers pace.  Forecast growth in mining investment has increased since Budget following a succession of recent project announcements, including BHP Billiton’s $12.8 billion expansions of its Western Australian iron ore and Queensland coal operations. Mining investment rose 21 per cent over the year to March, with the latest CAPEX survey pointing to a further 80 per cent growth in year-average terms in 2011-12 (based on long-run realisation ratios).  With significant investment being undertaken to expand mine and transport infrastructure, export capacity is expected to grow strongly, albeit at a marginally slower pace than expected at Budget, with recent project delays casting doubt as to whether the projected scale of expansion can be achieved within announced timeframes. </w:t>
      </w:r>
    </w:p>
    <w:p w:rsidR="00610524" w:rsidRDefault="008D7C9D" w:rsidP="00610524">
      <w:pPr>
        <w:pStyle w:val="Bullet"/>
        <w:tabs>
          <w:tab w:val="num" w:pos="0"/>
        </w:tabs>
        <w:spacing w:before="120" w:after="120" w:line="240" w:lineRule="auto"/>
        <w:ind w:left="0" w:firstLine="0"/>
      </w:pPr>
      <w:r>
        <w:t xml:space="preserve">Conditions in the broader economy have weakened. While measures of overall business conditions and confidence are only slightly below their long-run averages, business surveys suggest that conditions have deteriorated significantly in the services, manufacturing and construction sectors (Box 1).  For the most part, the business survey data is consistent with </w:t>
      </w:r>
      <w:r w:rsidR="00681EBE">
        <w:t xml:space="preserve">broader </w:t>
      </w:r>
      <w:r>
        <w:t xml:space="preserve">activity and labour market indicators, with the exception of the services sector where contractions in the Performance of Services Index </w:t>
      </w:r>
      <w:r w:rsidR="00681EBE">
        <w:t xml:space="preserve">over the past year </w:t>
      </w:r>
      <w:r>
        <w:t>are more difficult to reconcile.  Consumer confidence is also below its long</w:t>
      </w:r>
      <w:r>
        <w:noBreakHyphen/>
        <w:t>run average, with consumer perceptions of their own finances declining to levels typically associated with economic downturns, weighed down by cost of living pressures. Weak growth in non</w:t>
      </w:r>
      <w:r w:rsidR="00523D22">
        <w:noBreakHyphen/>
      </w:r>
      <w:r>
        <w:t>mining activity is impacting on the labour market, with employment growth slowing appreciably in the first half of 2011 and forward looking indicators of labour demand (such as job advertisements and business hiring intentions) falling in recent months.</w:t>
      </w:r>
    </w:p>
    <w:p w:rsidR="00FC66AB" w:rsidRDefault="00B11985" w:rsidP="00610524">
      <w:pPr>
        <w:pStyle w:val="Bullet"/>
        <w:tabs>
          <w:tab w:val="num" w:pos="0"/>
        </w:tabs>
        <w:spacing w:before="120" w:after="120" w:line="240" w:lineRule="auto"/>
        <w:ind w:left="0" w:firstLine="0"/>
        <w:rPr>
          <w:szCs w:val="20"/>
        </w:rPr>
      </w:pPr>
      <w:r>
        <w:rPr>
          <w:szCs w:val="20"/>
        </w:rPr>
        <w:t xml:space="preserve">While the Budget forecasts anticipated weak growth in the non-mining economy, the deterioration in conditions has been more pronounced than expected, suggesting that the high exchange rate, tightening macroeconomic policy settings, </w:t>
      </w:r>
      <w:r w:rsidRPr="00CA0415">
        <w:rPr>
          <w:szCs w:val="20"/>
        </w:rPr>
        <w:t xml:space="preserve">increasing competition for labour and other inputs, weak credit </w:t>
      </w:r>
      <w:r>
        <w:rPr>
          <w:szCs w:val="20"/>
        </w:rPr>
        <w:t>conditions</w:t>
      </w:r>
      <w:r w:rsidRPr="00CA0415">
        <w:rPr>
          <w:szCs w:val="20"/>
        </w:rPr>
        <w:t xml:space="preserve"> (reflecting both demand and supply factors) and cautious household spending behaviour</w:t>
      </w:r>
      <w:r>
        <w:rPr>
          <w:szCs w:val="20"/>
        </w:rPr>
        <w:t xml:space="preserve"> are having a larger contractionary impact on the economy. Combined with recent weakness in the US and Japan and growing concerns in Europe, this has led to a downward revision to forecast growth in real GDP to 3¾ per cent in 2011-12 and 3½ per cent in 2012</w:t>
      </w:r>
      <w:r>
        <w:rPr>
          <w:szCs w:val="20"/>
        </w:rPr>
        <w:noBreakHyphen/>
        <w:t xml:space="preserve">13.  Forecast employment growth has also been revised down to 1½ per cent </w:t>
      </w:r>
      <w:r w:rsidR="00681EBE">
        <w:rPr>
          <w:szCs w:val="20"/>
        </w:rPr>
        <w:t>through the year to both June 201</w:t>
      </w:r>
      <w:r w:rsidR="00DF6A73">
        <w:rPr>
          <w:szCs w:val="20"/>
        </w:rPr>
        <w:t>2</w:t>
      </w:r>
      <w:r w:rsidR="00681EBE">
        <w:rPr>
          <w:szCs w:val="20"/>
        </w:rPr>
        <w:t xml:space="preserve"> and June 2013</w:t>
      </w:r>
      <w:r>
        <w:rPr>
          <w:szCs w:val="20"/>
        </w:rPr>
        <w:t>, with the unemployment rate now expected to decline only marginally over the forecast horizon, from 4.9 per cent currently to 4¾ per cent in the June quarter 2013.</w:t>
      </w:r>
      <w:r w:rsidR="00FC66AB">
        <w:rPr>
          <w:szCs w:val="20"/>
        </w:rPr>
        <w:t xml:space="preserve">  </w:t>
      </w:r>
    </w:p>
    <w:tbl>
      <w:tblPr>
        <w:tblStyle w:val="TableGrid"/>
        <w:tblW w:w="0" w:type="auto"/>
        <w:tblLook w:val="04A0" w:firstRow="1" w:lastRow="0" w:firstColumn="1" w:lastColumn="0" w:noHBand="0" w:noVBand="1"/>
      </w:tblPr>
      <w:tblGrid>
        <w:gridCol w:w="9287"/>
      </w:tblGrid>
      <w:tr w:rsidR="00AC7865" w:rsidRPr="00AB6718" w:rsidTr="007956D3">
        <w:tc>
          <w:tcPr>
            <w:tcW w:w="9287" w:type="dxa"/>
            <w:tcBorders>
              <w:bottom w:val="nil"/>
            </w:tcBorders>
            <w:shd w:val="clear" w:color="auto" w:fill="D9D9D9"/>
          </w:tcPr>
          <w:p w:rsidR="00AC7865" w:rsidRPr="00AB6718" w:rsidRDefault="00AC7865" w:rsidP="007956D3">
            <w:pPr>
              <w:pStyle w:val="NormalWeb"/>
              <w:spacing w:before="120" w:beforeAutospacing="0" w:after="120" w:afterAutospacing="0"/>
              <w:jc w:val="both"/>
              <w:rPr>
                <w:rFonts w:ascii="Book Antiqua" w:hAnsi="Book Antiqua"/>
                <w:b/>
                <w:sz w:val="20"/>
                <w:szCs w:val="20"/>
              </w:rPr>
            </w:pPr>
            <w:r w:rsidRPr="00AB6718">
              <w:rPr>
                <w:rFonts w:ascii="Book Antiqua" w:hAnsi="Book Antiqua"/>
                <w:b/>
                <w:sz w:val="20"/>
                <w:szCs w:val="20"/>
              </w:rPr>
              <w:t>Box 1: Business Surveys</w:t>
            </w:r>
          </w:p>
        </w:tc>
      </w:tr>
      <w:tr w:rsidR="00AC7865" w:rsidTr="007956D3">
        <w:tc>
          <w:tcPr>
            <w:tcW w:w="9287" w:type="dxa"/>
            <w:tcBorders>
              <w:top w:val="nil"/>
            </w:tcBorders>
            <w:shd w:val="clear" w:color="auto" w:fill="D9D9D9"/>
          </w:tcPr>
          <w:p w:rsidR="00AC7865" w:rsidRDefault="00AC7865" w:rsidP="007956D3">
            <w:pPr>
              <w:rPr>
                <w:szCs w:val="20"/>
              </w:rPr>
            </w:pPr>
            <w:r>
              <w:rPr>
                <w:szCs w:val="20"/>
              </w:rPr>
              <w:t xml:space="preserve">The </w:t>
            </w:r>
            <w:r w:rsidRPr="00E80A27">
              <w:rPr>
                <w:b/>
                <w:szCs w:val="20"/>
              </w:rPr>
              <w:t xml:space="preserve">National Australia Bank (NAB) </w:t>
            </w:r>
            <w:r w:rsidRPr="00E80A27">
              <w:rPr>
                <w:b/>
              </w:rPr>
              <w:t>Monthly Business Survey</w:t>
            </w:r>
            <w:r>
              <w:t xml:space="preserve"> </w:t>
            </w:r>
            <w:r>
              <w:rPr>
                <w:szCs w:val="20"/>
              </w:rPr>
              <w:t xml:space="preserve">suggests that business conditions and </w:t>
            </w:r>
            <w:r w:rsidR="007D6CAD">
              <w:rPr>
                <w:szCs w:val="20"/>
              </w:rPr>
              <w:t xml:space="preserve">business </w:t>
            </w:r>
            <w:r>
              <w:rPr>
                <w:szCs w:val="20"/>
              </w:rPr>
              <w:t>confidence have fallen to below their long-run averages.  Within these aggregate indexes is a marked divergence between the mining and non</w:t>
            </w:r>
            <w:r>
              <w:rPr>
                <w:szCs w:val="20"/>
              </w:rPr>
              <w:noBreakHyphen/>
              <w:t>mining economy.  The NAB Survey suggests that conditions in the mining industry (representing 3 per cent of businesses surveyed) are almo</w:t>
            </w:r>
            <w:r w:rsidR="007D6CAD">
              <w:rPr>
                <w:szCs w:val="20"/>
              </w:rPr>
              <w:t>st 50 </w:t>
            </w:r>
            <w:r>
              <w:rPr>
                <w:szCs w:val="20"/>
              </w:rPr>
              <w:t>per</w:t>
            </w:r>
            <w:r w:rsidR="007D6CAD">
              <w:rPr>
                <w:szCs w:val="20"/>
              </w:rPr>
              <w:t> </w:t>
            </w:r>
            <w:r>
              <w:rPr>
                <w:szCs w:val="20"/>
              </w:rPr>
              <w:t>cent above the long</w:t>
            </w:r>
            <w:r>
              <w:rPr>
                <w:szCs w:val="20"/>
              </w:rPr>
              <w:noBreakHyphen/>
              <w:t>run average, while conditions in the manufacturing and retail industries are around 5 and 10 percentage points below their long-run averages respectively (Chart 1).</w:t>
            </w:r>
          </w:p>
          <w:p w:rsidR="00AC7865" w:rsidRDefault="00AC7865" w:rsidP="007956D3">
            <w:pPr>
              <w:keepNext/>
              <w:spacing w:after="0"/>
              <w:jc w:val="center"/>
              <w:rPr>
                <w:rFonts w:ascii="Tahoma" w:hAnsi="Tahoma" w:cs="Tahoma"/>
                <w:b/>
              </w:rPr>
            </w:pPr>
            <w:r w:rsidRPr="00003C84">
              <w:rPr>
                <w:rFonts w:ascii="Tahoma" w:hAnsi="Tahoma" w:cs="Tahoma"/>
                <w:b/>
              </w:rPr>
              <w:t>Chart 1: Business Conditions By Industry (Deviation from average since 1989)</w:t>
            </w:r>
          </w:p>
          <w:p w:rsidR="00003C84" w:rsidRDefault="00DF79D9" w:rsidP="00003C84">
            <w:pPr>
              <w:keepNext/>
              <w:widowControl w:val="0"/>
              <w:spacing w:after="0" w:line="240" w:lineRule="auto"/>
              <w:jc w:val="center"/>
              <w:rPr>
                <w:rFonts w:ascii="Tahoma" w:hAnsi="Tahoma" w:cs="Tahoma"/>
                <w:sz w:val="16"/>
                <w:szCs w:val="16"/>
              </w:rPr>
            </w:pPr>
            <w:r>
              <w:rPr>
                <w:rFonts w:ascii="Tahoma" w:hAnsi="Tahoma" w:cs="Tahoma"/>
                <w:sz w:val="16"/>
                <w:szCs w:val="16"/>
              </w:rPr>
              <w:pict>
                <v:shape id="_x0000_i1026" type="#_x0000_t75" style="width:225.95pt;height:227.15pt">
                  <v:imagedata r:id="rId16" o:title=""/>
                </v:shape>
              </w:pict>
            </w:r>
          </w:p>
          <w:p w:rsidR="00003C84" w:rsidRPr="00003C84" w:rsidRDefault="00003C84" w:rsidP="00012264">
            <w:pPr>
              <w:keepNext/>
              <w:widowControl w:val="0"/>
              <w:spacing w:after="0" w:line="240" w:lineRule="auto"/>
              <w:jc w:val="center"/>
              <w:rPr>
                <w:rFonts w:ascii="Tahoma" w:hAnsi="Tahoma" w:cs="Tahoma"/>
                <w:sz w:val="16"/>
                <w:szCs w:val="16"/>
              </w:rPr>
            </w:pPr>
            <w:r w:rsidRPr="00FE56C9">
              <w:rPr>
                <w:rFonts w:ascii="Tahoma" w:hAnsi="Tahoma" w:cs="Tahoma"/>
                <w:sz w:val="16"/>
                <w:szCs w:val="16"/>
              </w:rPr>
              <w:t>Source:</w:t>
            </w:r>
            <w:r>
              <w:rPr>
                <w:szCs w:val="20"/>
              </w:rPr>
              <w:t xml:space="preserve">  </w:t>
            </w:r>
            <w:r w:rsidR="00012264">
              <w:rPr>
                <w:rFonts w:ascii="Tahoma" w:hAnsi="Tahoma" w:cs="Tahoma"/>
                <w:sz w:val="16"/>
                <w:szCs w:val="16"/>
              </w:rPr>
              <w:t>National Australia Bank</w:t>
            </w:r>
            <w:r>
              <w:rPr>
                <w:rFonts w:ascii="Tahoma" w:hAnsi="Tahoma" w:cs="Tahoma"/>
                <w:sz w:val="16"/>
                <w:szCs w:val="16"/>
              </w:rPr>
              <w:t>.</w:t>
            </w:r>
          </w:p>
          <w:p w:rsidR="00AC7865" w:rsidRPr="005D458A" w:rsidRDefault="00AC7865" w:rsidP="007956D3">
            <w:pPr>
              <w:keepNext/>
              <w:spacing w:after="0"/>
              <w:jc w:val="center"/>
              <w:rPr>
                <w:rFonts w:ascii="Tahoma" w:hAnsi="Tahoma" w:cs="Tahoma"/>
                <w:b/>
              </w:rPr>
            </w:pPr>
          </w:p>
          <w:p w:rsidR="00AC7865" w:rsidRDefault="00AC7865" w:rsidP="007956D3">
            <w:pPr>
              <w:rPr>
                <w:szCs w:val="20"/>
              </w:rPr>
            </w:pPr>
            <w:r w:rsidRPr="00AB6718">
              <w:rPr>
                <w:szCs w:val="20"/>
              </w:rPr>
              <w:t xml:space="preserve">Industry specific surveys tell </w:t>
            </w:r>
            <w:r>
              <w:rPr>
                <w:szCs w:val="20"/>
              </w:rPr>
              <w:t>a consistent</w:t>
            </w:r>
            <w:r w:rsidRPr="00AB6718">
              <w:rPr>
                <w:szCs w:val="20"/>
              </w:rPr>
              <w:t xml:space="preserve"> story, with </w:t>
            </w:r>
            <w:r>
              <w:rPr>
                <w:szCs w:val="20"/>
              </w:rPr>
              <w:t>the manufacturing, services and construction sectors all reporting weak conditions.</w:t>
            </w:r>
            <w:r w:rsidRPr="00AB6718">
              <w:rPr>
                <w:szCs w:val="20"/>
              </w:rPr>
              <w:t xml:space="preserve"> The latest </w:t>
            </w:r>
            <w:r w:rsidRPr="00AB6718">
              <w:rPr>
                <w:b/>
                <w:szCs w:val="20"/>
              </w:rPr>
              <w:t>ACCI-Westpac Survey of Industrial Trends</w:t>
            </w:r>
            <w:r w:rsidRPr="00AB6718">
              <w:rPr>
                <w:szCs w:val="20"/>
              </w:rPr>
              <w:t xml:space="preserve"> reported sharp falls in actual and expected conditions in the manufacturing sector in the June quarter, with both indexes at their lowest readings since the GFC.  Similarly, the </w:t>
            </w:r>
            <w:r w:rsidRPr="00AB6718">
              <w:rPr>
                <w:b/>
                <w:szCs w:val="20"/>
              </w:rPr>
              <w:t>AIG</w:t>
            </w:r>
            <w:r w:rsidRPr="00AB6718">
              <w:rPr>
                <w:b/>
                <w:szCs w:val="20"/>
              </w:rPr>
              <w:noBreakHyphen/>
              <w:t>PWC Performance of Manufacturing Index</w:t>
            </w:r>
            <w:r w:rsidRPr="00AB6718">
              <w:rPr>
                <w:szCs w:val="20"/>
              </w:rPr>
              <w:t xml:space="preserve"> has pointed to contractions in 8 of the past 10 months, with respondents citing soft domestic demand, the strong Australian dollar and increased import competition as factors inhibiting the manufacturing sector. The </w:t>
            </w:r>
            <w:r w:rsidRPr="00AB6718">
              <w:rPr>
                <w:b/>
                <w:szCs w:val="20"/>
              </w:rPr>
              <w:t>AIG</w:t>
            </w:r>
            <w:r w:rsidRPr="00AB6718">
              <w:rPr>
                <w:b/>
                <w:szCs w:val="20"/>
              </w:rPr>
              <w:noBreakHyphen/>
              <w:t>Commonwealth Bank Performance of Services Index</w:t>
            </w:r>
            <w:r w:rsidRPr="00AB6718">
              <w:rPr>
                <w:szCs w:val="20"/>
              </w:rPr>
              <w:t xml:space="preserve"> reported that the services sector – which accounts for about three-quarters of the economy – contracted in June, with the index below the critical expansion level for 10 of the past 12 months. Likewise, the </w:t>
            </w:r>
            <w:r w:rsidRPr="00AB6718">
              <w:rPr>
                <w:b/>
                <w:szCs w:val="20"/>
              </w:rPr>
              <w:t>AIG</w:t>
            </w:r>
            <w:r w:rsidRPr="00AB6718">
              <w:rPr>
                <w:b/>
                <w:szCs w:val="20"/>
              </w:rPr>
              <w:noBreakHyphen/>
              <w:t>HIA Performance of Construction Index</w:t>
            </w:r>
            <w:r w:rsidRPr="00AB6718">
              <w:rPr>
                <w:szCs w:val="20"/>
              </w:rPr>
              <w:t xml:space="preserve"> contracted for the thirteenth consecutive month in June, </w:t>
            </w:r>
            <w:r>
              <w:rPr>
                <w:szCs w:val="20"/>
              </w:rPr>
              <w:t>reporting</w:t>
            </w:r>
            <w:r w:rsidRPr="00AB6718">
              <w:rPr>
                <w:szCs w:val="20"/>
              </w:rPr>
              <w:t xml:space="preserve"> weakness in the housing, commercial and engineering construction sectors.</w:t>
            </w:r>
          </w:p>
        </w:tc>
      </w:tr>
    </w:tbl>
    <w:p w:rsidR="00AC7865" w:rsidRDefault="00AC7865" w:rsidP="00AC7865">
      <w:pPr>
        <w:pStyle w:val="NormalWeb"/>
        <w:shd w:val="clear" w:color="auto" w:fill="FFFFFF"/>
        <w:spacing w:before="120" w:beforeAutospacing="0" w:after="0" w:afterAutospacing="0"/>
        <w:jc w:val="both"/>
        <w:rPr>
          <w:rFonts w:ascii="Book Antiqua" w:hAnsi="Book Antiqua"/>
          <w:sz w:val="20"/>
          <w:szCs w:val="20"/>
        </w:rPr>
      </w:pPr>
    </w:p>
    <w:p w:rsidR="00FC66AB" w:rsidRPr="00CC18B5" w:rsidRDefault="00B11985" w:rsidP="00FC66AB">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With capacity pressures now expected to build more gradually over the forecast horizon, the f</w:t>
      </w:r>
      <w:r w:rsidRPr="00CC18B5">
        <w:rPr>
          <w:rFonts w:ascii="Book Antiqua" w:hAnsi="Book Antiqua"/>
          <w:sz w:val="20"/>
          <w:szCs w:val="20"/>
        </w:rPr>
        <w:t xml:space="preserve">orecasts for </w:t>
      </w:r>
      <w:r>
        <w:rPr>
          <w:rFonts w:ascii="Book Antiqua" w:hAnsi="Book Antiqua"/>
          <w:sz w:val="20"/>
          <w:szCs w:val="20"/>
        </w:rPr>
        <w:t>wages growth and</w:t>
      </w:r>
      <w:r w:rsidRPr="00CC18B5">
        <w:rPr>
          <w:rFonts w:ascii="Book Antiqua" w:hAnsi="Book Antiqua"/>
          <w:sz w:val="20"/>
          <w:szCs w:val="20"/>
        </w:rPr>
        <w:t xml:space="preserve"> inflation </w:t>
      </w:r>
      <w:r>
        <w:rPr>
          <w:rFonts w:ascii="Book Antiqua" w:hAnsi="Book Antiqua"/>
          <w:sz w:val="20"/>
          <w:szCs w:val="20"/>
        </w:rPr>
        <w:t>have also been revised down since</w:t>
      </w:r>
      <w:r w:rsidRPr="00CC18B5">
        <w:rPr>
          <w:rFonts w:ascii="Book Antiqua" w:hAnsi="Book Antiqua"/>
          <w:sz w:val="20"/>
          <w:szCs w:val="20"/>
        </w:rPr>
        <w:t xml:space="preserve"> Budget. </w:t>
      </w:r>
      <w:r>
        <w:rPr>
          <w:rFonts w:ascii="Book Antiqua" w:hAnsi="Book Antiqua"/>
          <w:sz w:val="20"/>
          <w:szCs w:val="20"/>
        </w:rPr>
        <w:t>After accelerating through 2010, growth in the Wage Price Index stabilised in the March quarter at only slightly above its long</w:t>
      </w:r>
      <w:r>
        <w:rPr>
          <w:rFonts w:ascii="Book Antiqua" w:hAnsi="Book Antiqua"/>
          <w:sz w:val="20"/>
          <w:szCs w:val="20"/>
        </w:rPr>
        <w:noBreakHyphen/>
        <w:t>run average.  The Wage Price Index is forecast to increase 4 per cent in each forecast year, which is ¼ of a percentage point lower through the year to June 2013 than anticipated at Budget.  Underlying inflation is expected to increase from 2½ per </w:t>
      </w:r>
      <w:r w:rsidRPr="00CC18B5">
        <w:rPr>
          <w:rFonts w:ascii="Book Antiqua" w:hAnsi="Book Antiqua"/>
          <w:sz w:val="20"/>
          <w:szCs w:val="20"/>
        </w:rPr>
        <w:t xml:space="preserve">cent </w:t>
      </w:r>
      <w:r>
        <w:rPr>
          <w:rFonts w:ascii="Book Antiqua" w:hAnsi="Book Antiqua"/>
          <w:sz w:val="20"/>
          <w:szCs w:val="20"/>
        </w:rPr>
        <w:t>through the year to</w:t>
      </w:r>
      <w:r w:rsidRPr="00CC18B5">
        <w:rPr>
          <w:rFonts w:ascii="Book Antiqua" w:hAnsi="Book Antiqua"/>
          <w:sz w:val="20"/>
          <w:szCs w:val="20"/>
        </w:rPr>
        <w:t xml:space="preserve"> June 2011 to </w:t>
      </w:r>
      <w:r>
        <w:rPr>
          <w:rFonts w:ascii="Book Antiqua" w:hAnsi="Book Antiqua"/>
          <w:sz w:val="20"/>
          <w:szCs w:val="20"/>
        </w:rPr>
        <w:t>2¾</w:t>
      </w:r>
      <w:r w:rsidRPr="00CC18B5">
        <w:rPr>
          <w:rFonts w:ascii="Book Antiqua" w:hAnsi="Book Antiqua"/>
          <w:sz w:val="20"/>
          <w:szCs w:val="20"/>
        </w:rPr>
        <w:t xml:space="preserve"> per cent </w:t>
      </w:r>
      <w:r>
        <w:rPr>
          <w:rFonts w:ascii="Book Antiqua" w:hAnsi="Book Antiqua"/>
          <w:sz w:val="20"/>
          <w:szCs w:val="20"/>
        </w:rPr>
        <w:t>through the year to</w:t>
      </w:r>
      <w:r w:rsidRPr="00CC18B5">
        <w:rPr>
          <w:rFonts w:ascii="Book Antiqua" w:hAnsi="Book Antiqua"/>
          <w:sz w:val="20"/>
          <w:szCs w:val="20"/>
        </w:rPr>
        <w:t xml:space="preserve"> </w:t>
      </w:r>
      <w:r>
        <w:rPr>
          <w:rFonts w:ascii="Book Antiqua" w:hAnsi="Book Antiqua"/>
          <w:sz w:val="20"/>
          <w:szCs w:val="20"/>
        </w:rPr>
        <w:t xml:space="preserve">both </w:t>
      </w:r>
      <w:r w:rsidRPr="00CC18B5">
        <w:rPr>
          <w:rFonts w:ascii="Book Antiqua" w:hAnsi="Book Antiqua"/>
          <w:sz w:val="20"/>
          <w:szCs w:val="20"/>
        </w:rPr>
        <w:t>June 201</w:t>
      </w:r>
      <w:r>
        <w:rPr>
          <w:rFonts w:ascii="Book Antiqua" w:hAnsi="Book Antiqua"/>
          <w:sz w:val="20"/>
          <w:szCs w:val="20"/>
        </w:rPr>
        <w:t xml:space="preserve">2 and June 2013 as the dampening influence of the recent exchange rate appreciation dissipates, the resources boom </w:t>
      </w:r>
      <w:r w:rsidR="00260C01">
        <w:rPr>
          <w:rFonts w:ascii="Book Antiqua" w:hAnsi="Book Antiqua"/>
          <w:sz w:val="20"/>
          <w:szCs w:val="20"/>
        </w:rPr>
        <w:t xml:space="preserve">continues to </w:t>
      </w:r>
      <w:r>
        <w:rPr>
          <w:rFonts w:ascii="Book Antiqua" w:hAnsi="Book Antiqua"/>
          <w:sz w:val="20"/>
          <w:szCs w:val="20"/>
        </w:rPr>
        <w:t>place pressure on the cost of specialist labour and materials, and supported by continued strong growth in the prices of utilities and other administered items</w:t>
      </w:r>
      <w:r w:rsidRPr="00CC18B5">
        <w:rPr>
          <w:rFonts w:ascii="Book Antiqua" w:hAnsi="Book Antiqua"/>
          <w:sz w:val="20"/>
          <w:szCs w:val="20"/>
        </w:rPr>
        <w:t xml:space="preserve">. </w:t>
      </w:r>
      <w:r>
        <w:rPr>
          <w:rFonts w:ascii="Book Antiqua" w:hAnsi="Book Antiqua"/>
          <w:sz w:val="20"/>
          <w:szCs w:val="20"/>
        </w:rPr>
        <w:t xml:space="preserve"> </w:t>
      </w:r>
      <w:r w:rsidRPr="00CC18B5">
        <w:rPr>
          <w:rFonts w:ascii="Book Antiqua" w:hAnsi="Book Antiqua"/>
          <w:sz w:val="20"/>
          <w:szCs w:val="20"/>
        </w:rPr>
        <w:t xml:space="preserve">Headline inflation is </w:t>
      </w:r>
      <w:r>
        <w:rPr>
          <w:rFonts w:ascii="Book Antiqua" w:hAnsi="Book Antiqua"/>
          <w:sz w:val="20"/>
          <w:szCs w:val="20"/>
        </w:rPr>
        <w:t xml:space="preserve">also </w:t>
      </w:r>
      <w:r w:rsidRPr="00CC18B5">
        <w:rPr>
          <w:rFonts w:ascii="Book Antiqua" w:hAnsi="Book Antiqua"/>
          <w:sz w:val="20"/>
          <w:szCs w:val="20"/>
        </w:rPr>
        <w:t xml:space="preserve">expected to </w:t>
      </w:r>
      <w:r>
        <w:rPr>
          <w:rFonts w:ascii="Book Antiqua" w:hAnsi="Book Antiqua"/>
          <w:sz w:val="20"/>
          <w:szCs w:val="20"/>
        </w:rPr>
        <w:t xml:space="preserve">be 2¾ per cent through the year to June 2013 </w:t>
      </w:r>
      <w:r w:rsidRPr="00CC18B5">
        <w:rPr>
          <w:rFonts w:ascii="Book Antiqua" w:hAnsi="Book Antiqua"/>
          <w:sz w:val="20"/>
          <w:szCs w:val="20"/>
        </w:rPr>
        <w:t xml:space="preserve">after spiking </w:t>
      </w:r>
      <w:r>
        <w:rPr>
          <w:rFonts w:ascii="Book Antiqua" w:hAnsi="Book Antiqua"/>
          <w:sz w:val="20"/>
          <w:szCs w:val="20"/>
        </w:rPr>
        <w:t>at 3½ per cent through the year to June 2011</w:t>
      </w:r>
      <w:r w:rsidR="00681EBE">
        <w:rPr>
          <w:rFonts w:ascii="Book Antiqua" w:hAnsi="Book Antiqua"/>
          <w:sz w:val="20"/>
          <w:szCs w:val="20"/>
        </w:rPr>
        <w:t>,</w:t>
      </w:r>
      <w:r>
        <w:rPr>
          <w:rFonts w:ascii="Book Antiqua" w:hAnsi="Book Antiqua"/>
          <w:sz w:val="20"/>
          <w:szCs w:val="20"/>
        </w:rPr>
        <w:t xml:space="preserve"> </w:t>
      </w:r>
      <w:r w:rsidRPr="00CC18B5">
        <w:rPr>
          <w:rFonts w:ascii="Book Antiqua" w:hAnsi="Book Antiqua"/>
          <w:sz w:val="20"/>
          <w:szCs w:val="20"/>
        </w:rPr>
        <w:t>due to the impact of</w:t>
      </w:r>
      <w:r>
        <w:rPr>
          <w:rFonts w:ascii="Book Antiqua" w:hAnsi="Book Antiqua"/>
          <w:sz w:val="20"/>
          <w:szCs w:val="20"/>
        </w:rPr>
        <w:t xml:space="preserve"> the</w:t>
      </w:r>
      <w:r w:rsidRPr="00CC18B5">
        <w:rPr>
          <w:rFonts w:ascii="Book Antiqua" w:hAnsi="Book Antiqua"/>
          <w:sz w:val="20"/>
          <w:szCs w:val="20"/>
        </w:rPr>
        <w:t xml:space="preserve"> flood</w:t>
      </w:r>
      <w:r>
        <w:rPr>
          <w:rFonts w:ascii="Book Antiqua" w:hAnsi="Book Antiqua"/>
          <w:sz w:val="20"/>
          <w:szCs w:val="20"/>
        </w:rPr>
        <w:t>s</w:t>
      </w:r>
      <w:r w:rsidRPr="00CC18B5">
        <w:rPr>
          <w:rFonts w:ascii="Book Antiqua" w:hAnsi="Book Antiqua"/>
          <w:sz w:val="20"/>
          <w:szCs w:val="20"/>
        </w:rPr>
        <w:t xml:space="preserve"> and Cyclone Yasi on fruit and vegetable prices and </w:t>
      </w:r>
      <w:r>
        <w:rPr>
          <w:rFonts w:ascii="Book Antiqua" w:hAnsi="Book Antiqua"/>
          <w:sz w:val="20"/>
          <w:szCs w:val="20"/>
        </w:rPr>
        <w:t>increased</w:t>
      </w:r>
      <w:r w:rsidRPr="00CC18B5">
        <w:rPr>
          <w:rFonts w:ascii="Book Antiqua" w:hAnsi="Book Antiqua"/>
          <w:sz w:val="20"/>
          <w:szCs w:val="20"/>
        </w:rPr>
        <w:t xml:space="preserve"> world oil prices.</w:t>
      </w:r>
      <w:r w:rsidR="00FC66AB" w:rsidRPr="00CC18B5">
        <w:rPr>
          <w:rFonts w:ascii="Book Antiqua" w:hAnsi="Book Antiqua"/>
          <w:sz w:val="20"/>
          <w:szCs w:val="20"/>
        </w:rPr>
        <w:t xml:space="preserve"> </w:t>
      </w:r>
    </w:p>
    <w:p w:rsidR="00B11985" w:rsidRDefault="00B11985" w:rsidP="00260C01">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T</w:t>
      </w:r>
      <w:r w:rsidRPr="00CC18B5">
        <w:rPr>
          <w:rFonts w:ascii="Book Antiqua" w:hAnsi="Book Antiqua"/>
          <w:sz w:val="20"/>
          <w:szCs w:val="20"/>
        </w:rPr>
        <w:t xml:space="preserve">he terms of trade </w:t>
      </w:r>
      <w:r>
        <w:rPr>
          <w:rFonts w:ascii="Book Antiqua" w:hAnsi="Book Antiqua"/>
          <w:sz w:val="20"/>
          <w:szCs w:val="20"/>
        </w:rPr>
        <w:t>are forecast to be higher</w:t>
      </w:r>
      <w:r w:rsidRPr="00CC18B5">
        <w:rPr>
          <w:rFonts w:ascii="Book Antiqua" w:hAnsi="Book Antiqua"/>
          <w:sz w:val="20"/>
          <w:szCs w:val="20"/>
        </w:rPr>
        <w:t xml:space="preserve"> </w:t>
      </w:r>
      <w:r>
        <w:rPr>
          <w:rFonts w:ascii="Book Antiqua" w:hAnsi="Book Antiqua"/>
          <w:sz w:val="20"/>
          <w:szCs w:val="20"/>
        </w:rPr>
        <w:t>in</w:t>
      </w:r>
      <w:r w:rsidRPr="00CC18B5">
        <w:rPr>
          <w:rFonts w:ascii="Book Antiqua" w:hAnsi="Book Antiqua"/>
          <w:sz w:val="20"/>
          <w:szCs w:val="20"/>
        </w:rPr>
        <w:t xml:space="preserve"> 2010-11</w:t>
      </w:r>
      <w:r>
        <w:rPr>
          <w:rFonts w:ascii="Book Antiqua" w:hAnsi="Book Antiqua"/>
          <w:sz w:val="20"/>
          <w:szCs w:val="20"/>
        </w:rPr>
        <w:t xml:space="preserve"> and 2011-12</w:t>
      </w:r>
      <w:r w:rsidRPr="00CC18B5">
        <w:rPr>
          <w:rFonts w:ascii="Book Antiqua" w:hAnsi="Book Antiqua"/>
          <w:sz w:val="20"/>
          <w:szCs w:val="20"/>
        </w:rPr>
        <w:t xml:space="preserve">, with prices of Australia’s bulk commodity exports remaining elevated, </w:t>
      </w:r>
      <w:r>
        <w:rPr>
          <w:rFonts w:ascii="Book Antiqua" w:hAnsi="Book Antiqua"/>
          <w:sz w:val="20"/>
          <w:szCs w:val="20"/>
        </w:rPr>
        <w:t>in part due to</w:t>
      </w:r>
      <w:r w:rsidRPr="00CC18B5">
        <w:rPr>
          <w:rFonts w:ascii="Book Antiqua" w:hAnsi="Book Antiqua"/>
          <w:sz w:val="20"/>
          <w:szCs w:val="20"/>
        </w:rPr>
        <w:t xml:space="preserve"> a </w:t>
      </w:r>
      <w:r>
        <w:rPr>
          <w:rFonts w:ascii="Book Antiqua" w:hAnsi="Book Antiqua"/>
          <w:sz w:val="20"/>
          <w:szCs w:val="20"/>
        </w:rPr>
        <w:t xml:space="preserve">more protracted </w:t>
      </w:r>
      <w:r w:rsidRPr="00CC18B5">
        <w:rPr>
          <w:rFonts w:ascii="Book Antiqua" w:hAnsi="Book Antiqua"/>
          <w:sz w:val="20"/>
          <w:szCs w:val="20"/>
        </w:rPr>
        <w:t>return to normal operations at Queensland coal mines</w:t>
      </w:r>
      <w:r>
        <w:rPr>
          <w:rFonts w:ascii="Book Antiqua" w:hAnsi="Book Antiqua"/>
          <w:sz w:val="20"/>
          <w:szCs w:val="20"/>
        </w:rPr>
        <w:t xml:space="preserve"> and supported by China’s continued robust demand for Australia’s key commodity exports</w:t>
      </w:r>
      <w:r w:rsidRPr="00CC18B5">
        <w:rPr>
          <w:rFonts w:ascii="Book Antiqua" w:hAnsi="Book Antiqua"/>
          <w:sz w:val="20"/>
          <w:szCs w:val="20"/>
        </w:rPr>
        <w:t>. The terms of trade are now expected to increase 20¼ per cent in 2010-11</w:t>
      </w:r>
      <w:r>
        <w:rPr>
          <w:rFonts w:ascii="Book Antiqua" w:hAnsi="Book Antiqua"/>
          <w:sz w:val="20"/>
          <w:szCs w:val="20"/>
        </w:rPr>
        <w:t xml:space="preserve"> and 1¼ per cent 2011-12, before declining 6</w:t>
      </w:r>
      <w:r w:rsidRPr="00CC18B5">
        <w:rPr>
          <w:rFonts w:ascii="Book Antiqua" w:hAnsi="Book Antiqua"/>
          <w:sz w:val="20"/>
          <w:szCs w:val="20"/>
        </w:rPr>
        <w:t> per cent in 2012-13</w:t>
      </w:r>
      <w:r>
        <w:rPr>
          <w:rFonts w:ascii="Book Antiqua" w:hAnsi="Book Antiqua"/>
          <w:sz w:val="20"/>
          <w:szCs w:val="20"/>
        </w:rPr>
        <w:t xml:space="preserve"> as the impact of recent short</w:t>
      </w:r>
      <w:r>
        <w:rPr>
          <w:rFonts w:ascii="Book Antiqua" w:hAnsi="Book Antiqua"/>
          <w:sz w:val="20"/>
          <w:szCs w:val="20"/>
        </w:rPr>
        <w:noBreakHyphen/>
      </w:r>
      <w:r w:rsidRPr="00CC18B5">
        <w:rPr>
          <w:rFonts w:ascii="Book Antiqua" w:hAnsi="Book Antiqua"/>
          <w:sz w:val="20"/>
          <w:szCs w:val="20"/>
        </w:rPr>
        <w:t xml:space="preserve">term </w:t>
      </w:r>
      <w:r>
        <w:rPr>
          <w:rFonts w:ascii="Book Antiqua" w:hAnsi="Book Antiqua"/>
          <w:sz w:val="20"/>
          <w:szCs w:val="20"/>
        </w:rPr>
        <w:t>supply disruptions</w:t>
      </w:r>
      <w:r w:rsidRPr="00CC18B5">
        <w:rPr>
          <w:rFonts w:ascii="Book Antiqua" w:hAnsi="Book Antiqua"/>
          <w:sz w:val="20"/>
          <w:szCs w:val="20"/>
        </w:rPr>
        <w:t xml:space="preserve"> fade and </w:t>
      </w:r>
      <w:r>
        <w:rPr>
          <w:rFonts w:ascii="Book Antiqua" w:hAnsi="Book Antiqua"/>
          <w:sz w:val="20"/>
          <w:szCs w:val="20"/>
        </w:rPr>
        <w:t xml:space="preserve">increasing </w:t>
      </w:r>
      <w:r w:rsidR="00681EBE">
        <w:rPr>
          <w:rFonts w:ascii="Book Antiqua" w:hAnsi="Book Antiqua"/>
          <w:sz w:val="20"/>
          <w:szCs w:val="20"/>
        </w:rPr>
        <w:t xml:space="preserve">global </w:t>
      </w:r>
      <w:r>
        <w:rPr>
          <w:rFonts w:ascii="Book Antiqua" w:hAnsi="Book Antiqua"/>
          <w:sz w:val="20"/>
          <w:szCs w:val="20"/>
        </w:rPr>
        <w:t>iron ore and coal supply capacity comes on line.  The l</w:t>
      </w:r>
      <w:r w:rsidRPr="00CC18B5">
        <w:rPr>
          <w:rFonts w:ascii="Book Antiqua" w:hAnsi="Book Antiqua"/>
          <w:sz w:val="20"/>
          <w:szCs w:val="20"/>
        </w:rPr>
        <w:t xml:space="preserve">evel </w:t>
      </w:r>
      <w:r>
        <w:rPr>
          <w:rFonts w:ascii="Book Antiqua" w:hAnsi="Book Antiqua"/>
          <w:sz w:val="20"/>
          <w:szCs w:val="20"/>
        </w:rPr>
        <w:t xml:space="preserve">of the terms of trade is expected to be broadly the same at the end of the </w:t>
      </w:r>
      <w:r w:rsidRPr="00CC18B5">
        <w:rPr>
          <w:rFonts w:ascii="Book Antiqua" w:hAnsi="Book Antiqua"/>
          <w:sz w:val="20"/>
          <w:szCs w:val="20"/>
        </w:rPr>
        <w:t xml:space="preserve">forecast </w:t>
      </w:r>
      <w:r>
        <w:rPr>
          <w:rFonts w:ascii="Book Antiqua" w:hAnsi="Book Antiqua"/>
          <w:sz w:val="20"/>
          <w:szCs w:val="20"/>
        </w:rPr>
        <w:t xml:space="preserve">horizon as anticipated </w:t>
      </w:r>
      <w:r w:rsidRPr="00CC18B5">
        <w:rPr>
          <w:rFonts w:ascii="Book Antiqua" w:hAnsi="Book Antiqua"/>
          <w:sz w:val="20"/>
          <w:szCs w:val="20"/>
        </w:rPr>
        <w:t xml:space="preserve">at Budget.  </w:t>
      </w:r>
    </w:p>
    <w:p w:rsidR="00610524" w:rsidRDefault="00B11985" w:rsidP="00610524">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Nominal GDP is forecast to grow 8 per cent in 2010-11 and 6¾ per cent in 2011-12.  For</w:t>
      </w:r>
      <w:r w:rsidR="00610524">
        <w:rPr>
          <w:rFonts w:ascii="Book Antiqua" w:hAnsi="Book Antiqua"/>
          <w:sz w:val="20"/>
          <w:szCs w:val="20"/>
        </w:rPr>
        <w:t xml:space="preserve">ecast growth in nominal GDP is ½ </w:t>
      </w:r>
      <w:r>
        <w:rPr>
          <w:rFonts w:ascii="Book Antiqua" w:hAnsi="Book Antiqua"/>
          <w:sz w:val="20"/>
          <w:szCs w:val="20"/>
        </w:rPr>
        <w:t xml:space="preserve">of a percentage point higher in 2011-12 than forecast at Budget due to the unanticipated strength in the terms of trade.  However, </w:t>
      </w:r>
      <w:r w:rsidR="00681EBE">
        <w:rPr>
          <w:rFonts w:ascii="Book Antiqua" w:hAnsi="Book Antiqua"/>
          <w:sz w:val="20"/>
          <w:szCs w:val="20"/>
        </w:rPr>
        <w:t xml:space="preserve">forecast </w:t>
      </w:r>
      <w:r>
        <w:rPr>
          <w:rFonts w:ascii="Book Antiqua" w:hAnsi="Book Antiqua"/>
          <w:sz w:val="20"/>
          <w:szCs w:val="20"/>
        </w:rPr>
        <w:t>nominal GDP growth has been revised down by ¾ of a percentage point to 5 per cent in 2012-13 due to the combination of lower forecast real GDP growth and the larger anticipated decline in the terms of trade in that year, leaving the level of nominal GDP $5½ billion lower in 2012-13 than forecast at Budget</w:t>
      </w:r>
      <w:r w:rsidRPr="00CC18B5">
        <w:rPr>
          <w:rFonts w:ascii="Book Antiqua" w:hAnsi="Book Antiqua"/>
          <w:sz w:val="20"/>
          <w:szCs w:val="20"/>
        </w:rPr>
        <w:t>.</w:t>
      </w:r>
      <w:r>
        <w:rPr>
          <w:szCs w:val="20"/>
        </w:rPr>
        <w:t xml:space="preserve">  </w:t>
      </w:r>
      <w:r w:rsidRPr="00CB2C9E">
        <w:rPr>
          <w:rFonts w:ascii="Book Antiqua" w:hAnsi="Book Antiqua"/>
          <w:sz w:val="20"/>
          <w:szCs w:val="20"/>
        </w:rPr>
        <w:t>Details on the forecast composition of income growth are at Attachment B.</w:t>
      </w:r>
    </w:p>
    <w:p w:rsidR="00FC4EEF" w:rsidRPr="00610524" w:rsidRDefault="00B11985" w:rsidP="00610524">
      <w:pPr>
        <w:pStyle w:val="NormalWeb"/>
        <w:shd w:val="clear" w:color="auto" w:fill="FFFFFF"/>
        <w:spacing w:before="120" w:beforeAutospacing="0" w:after="120" w:afterAutospacing="0"/>
        <w:jc w:val="both"/>
        <w:rPr>
          <w:rFonts w:ascii="Book Antiqua" w:hAnsi="Book Antiqua"/>
          <w:sz w:val="20"/>
          <w:szCs w:val="20"/>
        </w:rPr>
      </w:pPr>
      <w:r w:rsidRPr="00610524">
        <w:rPr>
          <w:rFonts w:ascii="Book Antiqua" w:hAnsi="Book Antiqua"/>
          <w:sz w:val="20"/>
          <w:szCs w:val="20"/>
        </w:rPr>
        <w:t>While Australia’s economic outlook is favourable</w:t>
      </w:r>
      <w:r w:rsidR="00260C01" w:rsidRPr="00610524">
        <w:rPr>
          <w:rFonts w:ascii="Book Antiqua" w:hAnsi="Book Antiqua"/>
          <w:sz w:val="20"/>
          <w:szCs w:val="20"/>
        </w:rPr>
        <w:t xml:space="preserve"> in aggregate</w:t>
      </w:r>
      <w:r w:rsidRPr="00610524">
        <w:rPr>
          <w:rFonts w:ascii="Book Antiqua" w:hAnsi="Book Antiqua"/>
          <w:sz w:val="20"/>
          <w:szCs w:val="20"/>
        </w:rPr>
        <w:t>, the significant risks to the global recovery noted earlier would, if they eventuated, have serious negative implications for economic growth.  The fragile global economy and weak conditions in the non-mining economy could further reduce confidence and undermine growth in real GDP and employment.  Australia’s high terms of trade also present risks, with the prospect of heightened volatility and large adjustments becoming more significant the further prices for Australia’s key non-rural commodity exports are away from sustainable long-run levels.</w:t>
      </w:r>
    </w:p>
    <w:p w:rsidR="00201ED5" w:rsidRPr="007711BC" w:rsidRDefault="009A79E9" w:rsidP="00BD6D77">
      <w:pPr>
        <w:pStyle w:val="TableGraphic"/>
        <w:widowControl w:val="0"/>
        <w:spacing w:after="120"/>
        <w:rPr>
          <w:rFonts w:cs="Tahoma"/>
        </w:rPr>
      </w:pPr>
      <w:r w:rsidRPr="007711BC">
        <w:rPr>
          <w:rFonts w:cs="Tahoma"/>
        </w:rPr>
        <w:t>Table 2 – Domestic economy forecasts</w:t>
      </w:r>
    </w:p>
    <w:p w:rsidR="00736A29" w:rsidRDefault="00DF79D9" w:rsidP="005A7019">
      <w:pPr>
        <w:pStyle w:val="NoSpacing"/>
      </w:pPr>
      <w:r>
        <w:pict>
          <v:shape id="_x0000_i1027" type="#_x0000_t75" style="width:502.75pt;height:520.15pt">
            <v:imagedata r:id="rId17" o:title=""/>
          </v:shape>
        </w:pict>
      </w:r>
    </w:p>
    <w:p w:rsidR="00D11D57" w:rsidRPr="005257C1" w:rsidRDefault="00D11D57" w:rsidP="005A7019">
      <w:pPr>
        <w:pStyle w:val="NoSpacing"/>
        <w:sectPr w:rsidR="00D11D57" w:rsidRPr="005257C1" w:rsidSect="0013229B">
          <w:headerReference w:type="even" r:id="rId18"/>
          <w:headerReference w:type="default" r:id="rId19"/>
          <w:footerReference w:type="default" r:id="rId20"/>
          <w:pgSz w:w="11907" w:h="16840" w:code="9"/>
          <w:pgMar w:top="1418" w:right="1418" w:bottom="1418" w:left="1418" w:header="567" w:footer="567" w:gutter="0"/>
          <w:cols w:space="720"/>
        </w:sectPr>
      </w:pPr>
    </w:p>
    <w:p w:rsidR="00C825B7" w:rsidRPr="003344B0" w:rsidRDefault="000747B3" w:rsidP="00C61FA2">
      <w:pPr>
        <w:pStyle w:val="Heading3"/>
      </w:pPr>
      <w:r>
        <w:br w:type="page"/>
      </w:r>
      <w:bookmarkStart w:id="28" w:name="_Toc298235796"/>
      <w:r w:rsidR="002C5A92">
        <w:t>O</w:t>
      </w:r>
      <w:r w:rsidR="00991D21" w:rsidRPr="003344B0">
        <w:t>utlook for the domestic economy</w:t>
      </w:r>
      <w:bookmarkEnd w:id="27"/>
      <w:bookmarkEnd w:id="28"/>
    </w:p>
    <w:p w:rsidR="00FC66AB" w:rsidRDefault="00B11985" w:rsidP="00FC66AB">
      <w:pPr>
        <w:pStyle w:val="NormalWeb"/>
        <w:shd w:val="clear" w:color="auto" w:fill="FFFFFF"/>
        <w:jc w:val="both"/>
        <w:rPr>
          <w:rFonts w:ascii="Book Antiqua" w:hAnsi="Book Antiqua"/>
          <w:sz w:val="20"/>
          <w:szCs w:val="20"/>
        </w:rPr>
      </w:pPr>
      <w:bookmarkStart w:id="29" w:name="_Toc180222111"/>
      <w:bookmarkStart w:id="30" w:name="_Toc185498660"/>
      <w:r w:rsidRPr="00976909">
        <w:rPr>
          <w:rFonts w:ascii="Book Antiqua" w:hAnsi="Book Antiqua"/>
          <w:sz w:val="20"/>
          <w:szCs w:val="20"/>
        </w:rPr>
        <w:t xml:space="preserve">Australia’s economic growth is forecast to strengthen from 2 per cent in 2010-11 to </w:t>
      </w:r>
      <w:r>
        <w:rPr>
          <w:rFonts w:ascii="Book Antiqua" w:hAnsi="Book Antiqua"/>
          <w:sz w:val="20"/>
          <w:szCs w:val="20"/>
        </w:rPr>
        <w:t>3¾ per </w:t>
      </w:r>
      <w:r w:rsidRPr="00976909">
        <w:rPr>
          <w:rFonts w:ascii="Book Antiqua" w:hAnsi="Book Antiqua"/>
          <w:sz w:val="20"/>
          <w:szCs w:val="20"/>
        </w:rPr>
        <w:t>cent in 2011-12 and 3</w:t>
      </w:r>
      <w:r>
        <w:rPr>
          <w:rFonts w:ascii="Book Antiqua" w:hAnsi="Book Antiqua"/>
          <w:sz w:val="20"/>
          <w:szCs w:val="20"/>
        </w:rPr>
        <w:t>½ per cent in 2012</w:t>
      </w:r>
      <w:r>
        <w:rPr>
          <w:rFonts w:ascii="Book Antiqua" w:hAnsi="Book Antiqua"/>
          <w:sz w:val="20"/>
          <w:szCs w:val="20"/>
        </w:rPr>
        <w:noBreakHyphen/>
      </w:r>
      <w:r w:rsidRPr="00976909">
        <w:rPr>
          <w:rFonts w:ascii="Book Antiqua" w:hAnsi="Book Antiqua"/>
          <w:sz w:val="20"/>
          <w:szCs w:val="20"/>
        </w:rPr>
        <w:t xml:space="preserve">13. </w:t>
      </w:r>
      <w:r>
        <w:rPr>
          <w:rFonts w:ascii="Book Antiqua" w:hAnsi="Book Antiqua"/>
          <w:sz w:val="20"/>
          <w:szCs w:val="20"/>
        </w:rPr>
        <w:t>Compared with</w:t>
      </w:r>
      <w:r w:rsidRPr="00976909">
        <w:rPr>
          <w:rFonts w:ascii="Book Antiqua" w:hAnsi="Book Antiqua"/>
          <w:sz w:val="20"/>
          <w:szCs w:val="20"/>
        </w:rPr>
        <w:t xml:space="preserve"> </w:t>
      </w:r>
      <w:r>
        <w:rPr>
          <w:rFonts w:ascii="Book Antiqua" w:hAnsi="Book Antiqua"/>
          <w:sz w:val="20"/>
          <w:szCs w:val="20"/>
        </w:rPr>
        <w:t>Budget, t</w:t>
      </w:r>
      <w:r w:rsidRPr="00976909">
        <w:rPr>
          <w:rFonts w:ascii="Book Antiqua" w:hAnsi="Book Antiqua"/>
          <w:sz w:val="20"/>
          <w:szCs w:val="20"/>
        </w:rPr>
        <w:t xml:space="preserve">he </w:t>
      </w:r>
      <w:r>
        <w:rPr>
          <w:rFonts w:ascii="Book Antiqua" w:hAnsi="Book Antiqua"/>
          <w:sz w:val="20"/>
          <w:szCs w:val="20"/>
        </w:rPr>
        <w:t xml:space="preserve">real GDP growth </w:t>
      </w:r>
      <w:r w:rsidRPr="00976909">
        <w:rPr>
          <w:rFonts w:ascii="Book Antiqua" w:hAnsi="Book Antiqua"/>
          <w:sz w:val="20"/>
          <w:szCs w:val="20"/>
        </w:rPr>
        <w:t>forecast</w:t>
      </w:r>
      <w:r>
        <w:rPr>
          <w:rFonts w:ascii="Book Antiqua" w:hAnsi="Book Antiqua"/>
          <w:sz w:val="20"/>
          <w:szCs w:val="20"/>
        </w:rPr>
        <w:t>s</w:t>
      </w:r>
      <w:r w:rsidRPr="00976909">
        <w:rPr>
          <w:rFonts w:ascii="Book Antiqua" w:hAnsi="Book Antiqua"/>
          <w:sz w:val="20"/>
          <w:szCs w:val="20"/>
        </w:rPr>
        <w:t xml:space="preserve"> ha</w:t>
      </w:r>
      <w:r>
        <w:rPr>
          <w:rFonts w:ascii="Book Antiqua" w:hAnsi="Book Antiqua"/>
          <w:sz w:val="20"/>
          <w:szCs w:val="20"/>
        </w:rPr>
        <w:t>ve</w:t>
      </w:r>
      <w:r w:rsidRPr="00976909">
        <w:rPr>
          <w:rFonts w:ascii="Book Antiqua" w:hAnsi="Book Antiqua"/>
          <w:sz w:val="20"/>
          <w:szCs w:val="20"/>
        </w:rPr>
        <w:t xml:space="preserve"> been downgraded by ¼ of a percentage point </w:t>
      </w:r>
      <w:r>
        <w:rPr>
          <w:rFonts w:ascii="Book Antiqua" w:hAnsi="Book Antiqua"/>
          <w:sz w:val="20"/>
          <w:szCs w:val="20"/>
        </w:rPr>
        <w:t xml:space="preserve">in each of the three forecast years.  In 2010-11, this </w:t>
      </w:r>
      <w:r w:rsidR="008B6D86">
        <w:rPr>
          <w:rFonts w:ascii="Book Antiqua" w:hAnsi="Book Antiqua"/>
          <w:sz w:val="20"/>
          <w:szCs w:val="20"/>
        </w:rPr>
        <w:t xml:space="preserve">largely </w:t>
      </w:r>
      <w:r>
        <w:rPr>
          <w:rFonts w:ascii="Book Antiqua" w:hAnsi="Book Antiqua"/>
          <w:sz w:val="20"/>
          <w:szCs w:val="20"/>
        </w:rPr>
        <w:t xml:space="preserve">reflects a more persistent impact of </w:t>
      </w:r>
      <w:r w:rsidRPr="00976909">
        <w:rPr>
          <w:rFonts w:ascii="Book Antiqua" w:hAnsi="Book Antiqua"/>
          <w:sz w:val="20"/>
          <w:szCs w:val="20"/>
        </w:rPr>
        <w:t>the floods and cyclones</w:t>
      </w:r>
      <w:r>
        <w:rPr>
          <w:rFonts w:ascii="Book Antiqua" w:hAnsi="Book Antiqua"/>
          <w:sz w:val="20"/>
          <w:szCs w:val="20"/>
        </w:rPr>
        <w:t xml:space="preserve"> on coal production than previously anticipated.  In 2011-12 and 2012</w:t>
      </w:r>
      <w:r>
        <w:rPr>
          <w:rFonts w:ascii="Book Antiqua" w:hAnsi="Book Antiqua"/>
          <w:sz w:val="20"/>
          <w:szCs w:val="20"/>
        </w:rPr>
        <w:noBreakHyphen/>
        <w:t>13, the downward revision to forecast real GDP growth is driven by a weaker outlook for the non</w:t>
      </w:r>
      <w:r>
        <w:rPr>
          <w:rFonts w:ascii="Book Antiqua" w:hAnsi="Book Antiqua"/>
          <w:sz w:val="20"/>
          <w:szCs w:val="20"/>
        </w:rPr>
        <w:noBreakHyphen/>
        <w:t>mining economy and lower public final demand, partly offset by higher expected growth in mining investment.</w:t>
      </w:r>
      <w:r w:rsidR="00FC66AB">
        <w:rPr>
          <w:rFonts w:ascii="Book Antiqua" w:hAnsi="Book Antiqua"/>
          <w:sz w:val="20"/>
          <w:szCs w:val="20"/>
        </w:rPr>
        <w:t xml:space="preserve"> </w:t>
      </w:r>
    </w:p>
    <w:p w:rsidR="006B4DF6" w:rsidRPr="00253393" w:rsidRDefault="006B4DF6" w:rsidP="002940D6">
      <w:pPr>
        <w:pStyle w:val="Heading4"/>
        <w:keepNext w:val="0"/>
        <w:spacing w:before="240"/>
        <w:rPr>
          <w:sz w:val="20"/>
          <w:szCs w:val="20"/>
        </w:rPr>
      </w:pPr>
      <w:bookmarkStart w:id="31" w:name="_Toc298235797"/>
      <w:r w:rsidRPr="00253393">
        <w:rPr>
          <w:sz w:val="20"/>
          <w:szCs w:val="20"/>
        </w:rPr>
        <w:t>Household consumption</w:t>
      </w:r>
      <w:bookmarkEnd w:id="31"/>
    </w:p>
    <w:bookmarkEnd w:id="29"/>
    <w:p w:rsidR="00FC66AB" w:rsidRDefault="00B11985" w:rsidP="00FC66AB">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b/>
          <w:sz w:val="20"/>
          <w:szCs w:val="20"/>
        </w:rPr>
        <w:t>H</w:t>
      </w:r>
      <w:r w:rsidRPr="00C65EB8">
        <w:rPr>
          <w:rFonts w:ascii="Book Antiqua" w:hAnsi="Book Antiqua"/>
          <w:b/>
          <w:sz w:val="20"/>
          <w:szCs w:val="20"/>
        </w:rPr>
        <w:t>ousehold consumption</w:t>
      </w:r>
      <w:r w:rsidRPr="00C65EB8">
        <w:rPr>
          <w:rFonts w:ascii="Book Antiqua" w:hAnsi="Book Antiqua"/>
          <w:sz w:val="20"/>
          <w:szCs w:val="20"/>
        </w:rPr>
        <w:t xml:space="preserve"> is </w:t>
      </w:r>
      <w:r>
        <w:rPr>
          <w:rFonts w:ascii="Book Antiqua" w:hAnsi="Book Antiqua"/>
          <w:sz w:val="20"/>
          <w:szCs w:val="20"/>
        </w:rPr>
        <w:t>forecast</w:t>
      </w:r>
      <w:r w:rsidRPr="00C65EB8">
        <w:rPr>
          <w:rFonts w:ascii="Book Antiqua" w:hAnsi="Book Antiqua"/>
          <w:sz w:val="20"/>
          <w:szCs w:val="20"/>
        </w:rPr>
        <w:t xml:space="preserve"> to grow 3¼ per cent </w:t>
      </w:r>
      <w:r>
        <w:rPr>
          <w:rFonts w:ascii="Book Antiqua" w:hAnsi="Book Antiqua"/>
          <w:sz w:val="20"/>
          <w:szCs w:val="20"/>
        </w:rPr>
        <w:t xml:space="preserve">in 2010-11 and 2011-12, before returning to trend growth of 3½ per cent in 2012-13, supported by </w:t>
      </w:r>
      <w:r w:rsidRPr="00C65EB8">
        <w:rPr>
          <w:rFonts w:ascii="Book Antiqua" w:hAnsi="Book Antiqua"/>
          <w:sz w:val="20"/>
          <w:szCs w:val="20"/>
        </w:rPr>
        <w:t xml:space="preserve">rising </w:t>
      </w:r>
      <w:r>
        <w:rPr>
          <w:rFonts w:ascii="Book Antiqua" w:hAnsi="Book Antiqua"/>
          <w:sz w:val="20"/>
          <w:szCs w:val="20"/>
        </w:rPr>
        <w:t xml:space="preserve">household </w:t>
      </w:r>
      <w:r w:rsidRPr="00C65EB8">
        <w:rPr>
          <w:rFonts w:ascii="Book Antiqua" w:hAnsi="Book Antiqua"/>
          <w:sz w:val="20"/>
          <w:szCs w:val="20"/>
        </w:rPr>
        <w:t>incomes and low unemployment</w:t>
      </w:r>
      <w:r>
        <w:rPr>
          <w:rFonts w:ascii="Book Antiqua" w:hAnsi="Book Antiqua"/>
          <w:sz w:val="20"/>
          <w:szCs w:val="20"/>
        </w:rPr>
        <w:t xml:space="preserve"> (Chart 1).</w:t>
      </w:r>
      <w:r w:rsidR="00FC66AB">
        <w:rPr>
          <w:rFonts w:ascii="Book Antiqua" w:hAnsi="Book Antiqua"/>
          <w:sz w:val="20"/>
          <w:szCs w:val="20"/>
        </w:rPr>
        <w:t xml:space="preserve"> </w:t>
      </w:r>
    </w:p>
    <w:p w:rsidR="00BB3961" w:rsidRPr="007711BC" w:rsidRDefault="00BB3961" w:rsidP="00C36479">
      <w:pPr>
        <w:keepNext/>
        <w:spacing w:after="0"/>
        <w:jc w:val="center"/>
        <w:rPr>
          <w:rFonts w:ascii="Tahoma" w:hAnsi="Tahoma" w:cs="Tahoma"/>
          <w:b/>
        </w:rPr>
      </w:pPr>
      <w:r w:rsidRPr="007711BC">
        <w:rPr>
          <w:rFonts w:ascii="Tahoma" w:hAnsi="Tahoma" w:cs="Tahoma"/>
          <w:b/>
        </w:rPr>
        <w:t xml:space="preserve">Chart </w:t>
      </w:r>
      <w:r w:rsidR="00FC66AB">
        <w:rPr>
          <w:rFonts w:ascii="Tahoma" w:hAnsi="Tahoma" w:cs="Tahoma"/>
          <w:b/>
        </w:rPr>
        <w:t>2</w:t>
      </w:r>
      <w:r w:rsidRPr="007711BC">
        <w:rPr>
          <w:rFonts w:ascii="Tahoma" w:hAnsi="Tahoma" w:cs="Tahoma"/>
          <w:b/>
        </w:rPr>
        <w:t xml:space="preserve">: Household </w:t>
      </w:r>
      <w:r>
        <w:rPr>
          <w:rFonts w:ascii="Tahoma" w:hAnsi="Tahoma" w:cs="Tahoma"/>
          <w:b/>
        </w:rPr>
        <w:t>consumption</w:t>
      </w:r>
    </w:p>
    <w:p w:rsidR="00BB3961" w:rsidRDefault="00DF79D9" w:rsidP="0081079F">
      <w:pPr>
        <w:keepNext/>
        <w:widowControl w:val="0"/>
        <w:spacing w:after="0" w:line="240" w:lineRule="auto"/>
        <w:jc w:val="left"/>
        <w:rPr>
          <w:rFonts w:ascii="Tahoma" w:hAnsi="Tahoma" w:cs="Tahoma"/>
          <w:sz w:val="16"/>
          <w:szCs w:val="16"/>
        </w:rPr>
      </w:pPr>
      <w:r>
        <w:rPr>
          <w:rFonts w:ascii="Tahoma" w:hAnsi="Tahoma" w:cs="Tahoma"/>
          <w:sz w:val="16"/>
          <w:szCs w:val="16"/>
        </w:rPr>
        <w:pict>
          <v:shape id="_x0000_i1028" type="#_x0000_t75" style="width:225.95pt;height:227.15pt">
            <v:imagedata r:id="rId21" o:title=""/>
          </v:shape>
        </w:pict>
      </w:r>
      <w:r w:rsidR="00BB3961" w:rsidRPr="00FE56C9">
        <w:rPr>
          <w:rFonts w:ascii="Tahoma" w:hAnsi="Tahoma" w:cs="Tahoma"/>
          <w:sz w:val="16"/>
          <w:szCs w:val="16"/>
        </w:rPr>
        <w:t>Source:</w:t>
      </w:r>
      <w:r w:rsidR="00BB3961">
        <w:rPr>
          <w:szCs w:val="20"/>
        </w:rPr>
        <w:t xml:space="preserve">  </w:t>
      </w:r>
      <w:r w:rsidR="00BB3961" w:rsidRPr="002877EB">
        <w:rPr>
          <w:rFonts w:ascii="Tahoma" w:hAnsi="Tahoma" w:cs="Tahoma"/>
          <w:sz w:val="16"/>
          <w:szCs w:val="16"/>
        </w:rPr>
        <w:t xml:space="preserve">ABS Catalogue Number </w:t>
      </w:r>
      <w:r w:rsidR="00BB3961">
        <w:rPr>
          <w:rFonts w:ascii="Tahoma" w:hAnsi="Tahoma" w:cs="Tahoma"/>
          <w:sz w:val="16"/>
          <w:szCs w:val="16"/>
        </w:rPr>
        <w:t>5206.0 and Treasury.</w:t>
      </w:r>
    </w:p>
    <w:p w:rsidR="00FC66AB" w:rsidRDefault="00B11985" w:rsidP="00FC66AB">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Forecast growth in household consumption has been revised up by ¼ of a percentage point in 2010-11 due to an upward revision to the December quarter. Household consumption growth in the March quarter was in line with the Budget forecasts, but forecast </w:t>
      </w:r>
      <w:r w:rsidRPr="007A66E2">
        <w:rPr>
          <w:rFonts w:ascii="Book Antiqua" w:hAnsi="Book Antiqua"/>
          <w:sz w:val="20"/>
          <w:szCs w:val="20"/>
        </w:rPr>
        <w:t xml:space="preserve">consumption growth </w:t>
      </w:r>
      <w:r>
        <w:rPr>
          <w:rFonts w:ascii="Book Antiqua" w:hAnsi="Book Antiqua"/>
          <w:sz w:val="20"/>
          <w:szCs w:val="20"/>
        </w:rPr>
        <w:t xml:space="preserve">has been revised down in </w:t>
      </w:r>
      <w:r w:rsidRPr="007A66E2">
        <w:rPr>
          <w:rFonts w:ascii="Book Antiqua" w:hAnsi="Book Antiqua"/>
          <w:sz w:val="20"/>
          <w:szCs w:val="20"/>
        </w:rPr>
        <w:t xml:space="preserve">the June quarter, reflecting limited evidence of </w:t>
      </w:r>
      <w:r>
        <w:rPr>
          <w:rFonts w:ascii="Book Antiqua" w:hAnsi="Book Antiqua"/>
          <w:sz w:val="20"/>
          <w:szCs w:val="20"/>
        </w:rPr>
        <w:t xml:space="preserve">the anticipated </w:t>
      </w:r>
      <w:r w:rsidRPr="007A66E2">
        <w:rPr>
          <w:rFonts w:ascii="Book Antiqua" w:hAnsi="Book Antiqua"/>
          <w:sz w:val="20"/>
          <w:szCs w:val="20"/>
        </w:rPr>
        <w:t>rebound from the floods and Cyclone Yasi (Queensland retail trade spiked in February, but has grown at a steady p</w:t>
      </w:r>
      <w:r>
        <w:rPr>
          <w:rFonts w:ascii="Book Antiqua" w:hAnsi="Book Antiqua"/>
          <w:sz w:val="20"/>
          <w:szCs w:val="20"/>
        </w:rPr>
        <w:t xml:space="preserve">ace since). </w:t>
      </w:r>
      <w:r w:rsidRPr="007A66E2">
        <w:rPr>
          <w:rFonts w:ascii="Book Antiqua" w:hAnsi="Book Antiqua"/>
          <w:sz w:val="20"/>
          <w:szCs w:val="20"/>
        </w:rPr>
        <w:t xml:space="preserve">Looking through the volatility of recent monthly retail trade data suggests </w:t>
      </w:r>
      <w:r>
        <w:rPr>
          <w:rFonts w:ascii="Book Antiqua" w:hAnsi="Book Antiqua"/>
          <w:sz w:val="20"/>
          <w:szCs w:val="20"/>
        </w:rPr>
        <w:t>stronger growth in</w:t>
      </w:r>
      <w:r w:rsidRPr="007A66E2">
        <w:rPr>
          <w:rFonts w:ascii="Book Antiqua" w:hAnsi="Book Antiqua"/>
          <w:sz w:val="20"/>
          <w:szCs w:val="20"/>
        </w:rPr>
        <w:t xml:space="preserve"> turnover in the June quarter.  However, sales of new motor vehicles have declined sharply, </w:t>
      </w:r>
      <w:r>
        <w:rPr>
          <w:rFonts w:ascii="Book Antiqua" w:hAnsi="Book Antiqua"/>
          <w:sz w:val="20"/>
          <w:szCs w:val="20"/>
        </w:rPr>
        <w:t>exacerbated by supply disruptions from the Japanese earthquake</w:t>
      </w:r>
      <w:r w:rsidRPr="00C65EB8">
        <w:rPr>
          <w:rFonts w:ascii="Book Antiqua" w:hAnsi="Book Antiqua"/>
          <w:sz w:val="20"/>
          <w:szCs w:val="20"/>
        </w:rPr>
        <w:t>.</w:t>
      </w:r>
      <w:r w:rsidR="00FC66AB">
        <w:rPr>
          <w:rFonts w:ascii="Book Antiqua" w:hAnsi="Book Antiqua"/>
          <w:sz w:val="20"/>
          <w:szCs w:val="20"/>
        </w:rPr>
        <w:t xml:space="preserve"> </w:t>
      </w:r>
    </w:p>
    <w:p w:rsidR="00933DB1" w:rsidRPr="007711BC" w:rsidRDefault="00933DB1" w:rsidP="00933DB1">
      <w:pPr>
        <w:keepNext/>
        <w:spacing w:after="0"/>
        <w:jc w:val="center"/>
        <w:rPr>
          <w:rFonts w:ascii="Tahoma" w:hAnsi="Tahoma" w:cs="Tahoma"/>
          <w:b/>
        </w:rPr>
      </w:pPr>
      <w:r w:rsidRPr="007711BC">
        <w:rPr>
          <w:rFonts w:ascii="Tahoma" w:hAnsi="Tahoma" w:cs="Tahoma"/>
          <w:b/>
        </w:rPr>
        <w:t xml:space="preserve">Chart </w:t>
      </w:r>
      <w:r w:rsidR="005022CE">
        <w:rPr>
          <w:rFonts w:ascii="Tahoma" w:hAnsi="Tahoma" w:cs="Tahoma"/>
          <w:b/>
        </w:rPr>
        <w:t>3</w:t>
      </w:r>
      <w:r w:rsidRPr="007711BC">
        <w:rPr>
          <w:rFonts w:ascii="Tahoma" w:hAnsi="Tahoma" w:cs="Tahoma"/>
          <w:b/>
        </w:rPr>
        <w:t xml:space="preserve">: </w:t>
      </w:r>
      <w:r w:rsidRPr="00933DB1">
        <w:rPr>
          <w:rFonts w:ascii="Tahoma" w:hAnsi="Tahoma" w:cs="Tahoma"/>
          <w:b/>
        </w:rPr>
        <w:t>Consumer sentiment: family finances over the next 12 months</w:t>
      </w:r>
      <w:r w:rsidR="0081079F">
        <w:rPr>
          <w:rFonts w:ascii="Tahoma" w:hAnsi="Tahoma" w:cs="Tahoma"/>
          <w:b/>
        </w:rPr>
        <w:t xml:space="preserve"> (trend)</w:t>
      </w:r>
    </w:p>
    <w:p w:rsidR="00933DB1" w:rsidRDefault="00DF79D9" w:rsidP="0081079F">
      <w:pPr>
        <w:pStyle w:val="NormalWeb"/>
        <w:shd w:val="clear" w:color="auto" w:fill="FFFFFF"/>
        <w:spacing w:before="120" w:beforeAutospacing="0" w:after="0" w:afterAutospacing="0"/>
        <w:rPr>
          <w:rFonts w:ascii="Tahoma" w:hAnsi="Tahoma" w:cs="Tahoma"/>
          <w:sz w:val="16"/>
          <w:szCs w:val="16"/>
        </w:rPr>
      </w:pPr>
      <w:r>
        <w:rPr>
          <w:rFonts w:ascii="Tahoma" w:hAnsi="Tahoma" w:cs="Tahoma"/>
          <w:sz w:val="16"/>
          <w:szCs w:val="16"/>
        </w:rPr>
        <w:pict>
          <v:shape id="_x0000_i1029" type="#_x0000_t75" style="width:225.95pt;height:227.15pt">
            <v:imagedata r:id="rId22" o:title=""/>
          </v:shape>
        </w:pict>
      </w:r>
      <w:r w:rsidR="00933DB1" w:rsidRPr="00FE56C9">
        <w:rPr>
          <w:rFonts w:ascii="Tahoma" w:hAnsi="Tahoma" w:cs="Tahoma"/>
          <w:sz w:val="16"/>
          <w:szCs w:val="16"/>
        </w:rPr>
        <w:t>Source:</w:t>
      </w:r>
      <w:r w:rsidR="00933DB1">
        <w:rPr>
          <w:szCs w:val="20"/>
        </w:rPr>
        <w:t xml:space="preserve">  </w:t>
      </w:r>
      <w:r w:rsidR="00933DB1" w:rsidRPr="00933DB1">
        <w:rPr>
          <w:rFonts w:ascii="Tahoma" w:hAnsi="Tahoma" w:cs="Tahoma"/>
          <w:sz w:val="16"/>
          <w:szCs w:val="16"/>
        </w:rPr>
        <w:t>Westpac -Melbourne Institute</w:t>
      </w:r>
      <w:r w:rsidR="00933DB1">
        <w:rPr>
          <w:rFonts w:ascii="Tahoma" w:hAnsi="Tahoma" w:cs="Tahoma"/>
          <w:sz w:val="16"/>
          <w:szCs w:val="16"/>
        </w:rPr>
        <w:t>.</w:t>
      </w:r>
    </w:p>
    <w:p w:rsidR="0081079F" w:rsidRDefault="0081079F" w:rsidP="0081079F">
      <w:pPr>
        <w:pStyle w:val="NormalWeb"/>
        <w:shd w:val="clear" w:color="auto" w:fill="FFFFFF"/>
        <w:spacing w:before="0" w:beforeAutospacing="0" w:after="120" w:afterAutospacing="0"/>
        <w:rPr>
          <w:rFonts w:ascii="Tahoma" w:hAnsi="Tahoma" w:cs="Tahoma"/>
          <w:sz w:val="16"/>
          <w:szCs w:val="16"/>
        </w:rPr>
      </w:pPr>
      <w:r w:rsidRPr="0081079F">
        <w:rPr>
          <w:rFonts w:ascii="Tahoma" w:hAnsi="Tahoma" w:cs="Tahoma"/>
          <w:sz w:val="16"/>
          <w:szCs w:val="16"/>
        </w:rPr>
        <w:t>Note: Trend for the latest month is based on 2-month moving average while rest are based on 3-month centred moving average.</w:t>
      </w:r>
    </w:p>
    <w:p w:rsidR="00B11985" w:rsidRDefault="00B11985" w:rsidP="00B11985">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 xml:space="preserve">More broadly, the underlying drivers of household consumption have weakened since Budget, prompting a ¼ of a percentage point downward revision to forecast consumption growth in 2011-12. The outlook for employment and wages growth has moderated. Personal credit growth remains weak, at 0.8 per cent through the year.  </w:t>
      </w:r>
      <w:r w:rsidRPr="009667D4">
        <w:rPr>
          <w:rFonts w:ascii="Book Antiqua" w:hAnsi="Book Antiqua"/>
          <w:sz w:val="20"/>
          <w:szCs w:val="20"/>
        </w:rPr>
        <w:t>Consumer sent</w:t>
      </w:r>
      <w:r>
        <w:rPr>
          <w:rFonts w:ascii="Book Antiqua" w:hAnsi="Book Antiqua"/>
          <w:sz w:val="20"/>
          <w:szCs w:val="20"/>
        </w:rPr>
        <w:t xml:space="preserve">iment has fallen to below the long-run average, with consumers’ perceptions of their own finances declining to levels typically associated with economic downturns </w:t>
      </w:r>
      <w:r w:rsidRPr="005D458A">
        <w:rPr>
          <w:rFonts w:ascii="Book Antiqua" w:hAnsi="Book Antiqua"/>
          <w:sz w:val="20"/>
          <w:szCs w:val="20"/>
        </w:rPr>
        <w:t xml:space="preserve">(Chart </w:t>
      </w:r>
      <w:r>
        <w:rPr>
          <w:rFonts w:ascii="Book Antiqua" w:hAnsi="Book Antiqua"/>
          <w:sz w:val="20"/>
          <w:szCs w:val="20"/>
        </w:rPr>
        <w:t xml:space="preserve">3). Household net worth was broadly unchanged in the March quarter and is likely to have fallen in the June quarter, reflecting declines in both house and equity prices.  </w:t>
      </w:r>
    </w:p>
    <w:p w:rsidR="00162046" w:rsidRDefault="00B11985" w:rsidP="00B11985">
      <w:r>
        <w:rPr>
          <w:szCs w:val="20"/>
        </w:rPr>
        <w:t>H</w:t>
      </w:r>
      <w:r w:rsidRPr="009667D4">
        <w:rPr>
          <w:szCs w:val="20"/>
        </w:rPr>
        <w:t xml:space="preserve">ouseholds </w:t>
      </w:r>
      <w:r>
        <w:rPr>
          <w:szCs w:val="20"/>
        </w:rPr>
        <w:t>also continue to be more cautious, with the household saving ratio rising to 11.5 per cent in the March quarter and a continuing increase in the proportion of respondents to the consumer sentiment survey nominating deposits or paying off debt as the wisest place for savings continuing to increase.</w:t>
      </w:r>
      <w:r w:rsidR="00CB059E">
        <w:rPr>
          <w:szCs w:val="20"/>
        </w:rPr>
        <w:t xml:space="preserve"> </w:t>
      </w:r>
      <w:r>
        <w:rPr>
          <w:szCs w:val="20"/>
        </w:rPr>
        <w:t>The forecasts imply a gradual decline in the household saving ratio to around 6 pe</w:t>
      </w:r>
      <w:r w:rsidR="008B6D86">
        <w:rPr>
          <w:szCs w:val="20"/>
        </w:rPr>
        <w:t>r cent in the June quarter 2013.  By implication, were the household saving ratio to remain at its current level, household consumption growth would be lower than forecast, suggesting downside risk.</w:t>
      </w:r>
    </w:p>
    <w:p w:rsidR="003F1470" w:rsidRDefault="003F1470" w:rsidP="002940D6">
      <w:pPr>
        <w:pStyle w:val="Heading4"/>
        <w:keepNext w:val="0"/>
      </w:pPr>
      <w:bookmarkStart w:id="32" w:name="_Toc298235798"/>
      <w:r w:rsidRPr="001B55FE">
        <w:t>Dwelling investment</w:t>
      </w:r>
      <w:bookmarkEnd w:id="32"/>
    </w:p>
    <w:p w:rsidR="00B11985" w:rsidRDefault="00B11985" w:rsidP="00B11985">
      <w:pPr>
        <w:rPr>
          <w:lang w:val="en"/>
        </w:rPr>
      </w:pPr>
      <w:r>
        <w:rPr>
          <w:szCs w:val="20"/>
        </w:rPr>
        <w:t>Increased h</w:t>
      </w:r>
      <w:r w:rsidRPr="00566990">
        <w:rPr>
          <w:szCs w:val="20"/>
        </w:rPr>
        <w:t xml:space="preserve">ousehold caution is also reflected in subdued dwelling investment. </w:t>
      </w:r>
      <w:r w:rsidRPr="00B526A8">
        <w:rPr>
          <w:lang w:val="en"/>
        </w:rPr>
        <w:t xml:space="preserve">Growth in </w:t>
      </w:r>
      <w:r w:rsidRPr="00252B18">
        <w:rPr>
          <w:b/>
          <w:lang w:val="en"/>
        </w:rPr>
        <w:t>dwelling investment</w:t>
      </w:r>
      <w:r w:rsidRPr="00B526A8">
        <w:rPr>
          <w:lang w:val="en"/>
        </w:rPr>
        <w:t xml:space="preserve"> is forecast to ease </w:t>
      </w:r>
      <w:r>
        <w:rPr>
          <w:lang w:val="en"/>
        </w:rPr>
        <w:t>from 3 per cent in 2010-11 to</w:t>
      </w:r>
      <w:r w:rsidRPr="00B526A8">
        <w:rPr>
          <w:lang w:val="en"/>
        </w:rPr>
        <w:t xml:space="preserve"> </w:t>
      </w:r>
      <w:r>
        <w:rPr>
          <w:lang w:val="en"/>
        </w:rPr>
        <w:t>1</w:t>
      </w:r>
      <w:r w:rsidRPr="00B526A8">
        <w:rPr>
          <w:lang w:val="en"/>
        </w:rPr>
        <w:t>½</w:t>
      </w:r>
      <w:r>
        <w:rPr>
          <w:lang w:val="en"/>
        </w:rPr>
        <w:t xml:space="preserve"> per cent in 2011-12 and 2½ per </w:t>
      </w:r>
      <w:r w:rsidRPr="00B526A8">
        <w:rPr>
          <w:lang w:val="en"/>
        </w:rPr>
        <w:t>cent in 2012</w:t>
      </w:r>
      <w:r w:rsidRPr="00B526A8">
        <w:rPr>
          <w:lang w:val="en"/>
        </w:rPr>
        <w:noBreakHyphen/>
        <w:t>13.</w:t>
      </w:r>
    </w:p>
    <w:p w:rsidR="00FC66AB" w:rsidRDefault="00B11985" w:rsidP="00B11985">
      <w:r>
        <w:rPr>
          <w:lang w:val="en"/>
        </w:rPr>
        <w:t>F</w:t>
      </w:r>
      <w:r w:rsidRPr="00B526A8">
        <w:rPr>
          <w:lang w:val="en"/>
        </w:rPr>
        <w:t xml:space="preserve">orecast </w:t>
      </w:r>
      <w:r>
        <w:rPr>
          <w:lang w:val="en"/>
        </w:rPr>
        <w:t>growth in</w:t>
      </w:r>
      <w:r w:rsidRPr="00B526A8">
        <w:rPr>
          <w:lang w:val="en"/>
        </w:rPr>
        <w:t xml:space="preserve"> dwelling investment has been revised up in 2010-11 from </w:t>
      </w:r>
      <w:r>
        <w:rPr>
          <w:lang w:val="en"/>
        </w:rPr>
        <w:t>Budget, reflecting stronger</w:t>
      </w:r>
      <w:r>
        <w:rPr>
          <w:lang w:val="en"/>
        </w:rPr>
        <w:noBreakHyphen/>
        <w:t>than</w:t>
      </w:r>
      <w:r>
        <w:rPr>
          <w:lang w:val="en"/>
        </w:rPr>
        <w:noBreakHyphen/>
        <w:t>anticipated growth in the March quarter.  N</w:t>
      </w:r>
      <w:r w:rsidRPr="00B526A8">
        <w:rPr>
          <w:lang w:val="en"/>
        </w:rPr>
        <w:t>ew dwelling</w:t>
      </w:r>
      <w:r>
        <w:rPr>
          <w:rFonts w:ascii="Times New Roman" w:eastAsia="Times New Roman" w:hAnsi="Times New Roman"/>
          <w:color w:val="000000"/>
          <w:sz w:val="24"/>
          <w:lang w:eastAsia="en-AU"/>
        </w:rPr>
        <w:t xml:space="preserve"> </w:t>
      </w:r>
      <w:r>
        <w:rPr>
          <w:lang w:val="en"/>
        </w:rPr>
        <w:t>investment grew 11.9 per </w:t>
      </w:r>
      <w:r w:rsidRPr="00B526A8">
        <w:rPr>
          <w:lang w:val="en"/>
        </w:rPr>
        <w:t xml:space="preserve">cent through the year to March </w:t>
      </w:r>
      <w:r>
        <w:rPr>
          <w:lang w:val="en"/>
        </w:rPr>
        <w:t xml:space="preserve">quarter </w:t>
      </w:r>
      <w:r w:rsidRPr="00B526A8">
        <w:rPr>
          <w:lang w:val="en"/>
        </w:rPr>
        <w:t>2011, the strongest growth in four years</w:t>
      </w:r>
      <w:r>
        <w:rPr>
          <w:lang w:val="en"/>
        </w:rPr>
        <w:t xml:space="preserve">, underpinned by a high level of </w:t>
      </w:r>
      <w:r w:rsidRPr="00B526A8">
        <w:rPr>
          <w:lang w:val="en"/>
        </w:rPr>
        <w:t xml:space="preserve">construction activity in the Victorian </w:t>
      </w:r>
      <w:r>
        <w:rPr>
          <w:lang w:val="en"/>
        </w:rPr>
        <w:t>medium and high density</w:t>
      </w:r>
      <w:r w:rsidRPr="00B526A8">
        <w:rPr>
          <w:lang w:val="en"/>
        </w:rPr>
        <w:t xml:space="preserve"> market</w:t>
      </w:r>
      <w:r w:rsidR="00681EBE">
        <w:rPr>
          <w:lang w:val="en"/>
        </w:rPr>
        <w:t xml:space="preserve"> (Chart 4)</w:t>
      </w:r>
      <w:r w:rsidRPr="00B526A8">
        <w:rPr>
          <w:lang w:val="en"/>
        </w:rPr>
        <w:t xml:space="preserve">. </w:t>
      </w:r>
      <w:r>
        <w:t>This was notwithstanding a fall of 1 per cent in Queensland in the March quarter associated with the floods and Cyclone Yasi.</w:t>
      </w:r>
      <w:r w:rsidR="00FC66AB">
        <w:t xml:space="preserve">  </w:t>
      </w:r>
    </w:p>
    <w:p w:rsidR="00933DB1" w:rsidRPr="00B36A7B" w:rsidRDefault="00933DB1" w:rsidP="00933DB1">
      <w:pPr>
        <w:keepNext/>
        <w:spacing w:after="0"/>
        <w:jc w:val="center"/>
        <w:rPr>
          <w:rFonts w:ascii="Tahoma" w:hAnsi="Tahoma" w:cs="Tahoma"/>
          <w:b/>
        </w:rPr>
      </w:pPr>
      <w:r w:rsidRPr="00DE13FA">
        <w:rPr>
          <w:rFonts w:ascii="Tahoma" w:hAnsi="Tahoma" w:cs="Tahoma"/>
          <w:b/>
        </w:rPr>
        <w:t xml:space="preserve">Chart </w:t>
      </w:r>
      <w:r w:rsidR="005022CE">
        <w:rPr>
          <w:rFonts w:ascii="Tahoma" w:hAnsi="Tahoma" w:cs="Tahoma"/>
          <w:b/>
        </w:rPr>
        <w:t>4</w:t>
      </w:r>
      <w:r w:rsidRPr="00DE13FA">
        <w:rPr>
          <w:rFonts w:ascii="Tahoma" w:hAnsi="Tahoma" w:cs="Tahoma"/>
          <w:b/>
        </w:rPr>
        <w:t xml:space="preserve">: </w:t>
      </w:r>
      <w:r w:rsidR="00C257CF">
        <w:rPr>
          <w:rFonts w:ascii="Tahoma" w:hAnsi="Tahoma" w:cs="Tahoma"/>
          <w:b/>
        </w:rPr>
        <w:t>Private sector d</w:t>
      </w:r>
      <w:r w:rsidRPr="00933DB1">
        <w:rPr>
          <w:rFonts w:ascii="Tahoma" w:hAnsi="Tahoma" w:cs="Tahoma"/>
          <w:b/>
        </w:rPr>
        <w:t>welling approvals</w:t>
      </w:r>
      <w:r w:rsidR="00C257CF">
        <w:rPr>
          <w:rFonts w:ascii="Tahoma" w:hAnsi="Tahoma" w:cs="Tahoma"/>
          <w:b/>
        </w:rPr>
        <w:t xml:space="preserve"> (3 month moving average)</w:t>
      </w:r>
    </w:p>
    <w:p w:rsidR="007F0A35" w:rsidRDefault="00DF79D9" w:rsidP="00C257CF">
      <w:pPr>
        <w:autoSpaceDE w:val="0"/>
        <w:autoSpaceDN w:val="0"/>
        <w:spacing w:after="0" w:line="276" w:lineRule="auto"/>
        <w:jc w:val="left"/>
        <w:rPr>
          <w:rFonts w:ascii="Tahoma" w:hAnsi="Tahoma" w:cs="Tahoma"/>
          <w:sz w:val="16"/>
          <w:szCs w:val="16"/>
        </w:rPr>
      </w:pPr>
      <w:r>
        <w:rPr>
          <w:rFonts w:ascii="Tahoma" w:hAnsi="Tahoma" w:cs="Tahoma"/>
          <w:sz w:val="16"/>
          <w:szCs w:val="16"/>
        </w:rPr>
        <w:pict>
          <v:shape id="_x0000_i1030" type="#_x0000_t75" style="width:225.95pt;height:227.15pt">
            <v:imagedata r:id="rId23" o:title=""/>
          </v:shape>
        </w:pict>
      </w:r>
      <w:r w:rsidR="00933DB1" w:rsidRPr="00B36A7B">
        <w:rPr>
          <w:rFonts w:ascii="Tahoma" w:hAnsi="Tahoma" w:cs="Tahoma"/>
          <w:sz w:val="16"/>
          <w:szCs w:val="16"/>
        </w:rPr>
        <w:t>Source:</w:t>
      </w:r>
      <w:r w:rsidR="00933DB1" w:rsidRPr="00B36A7B">
        <w:rPr>
          <w:szCs w:val="20"/>
        </w:rPr>
        <w:t xml:space="preserve">  </w:t>
      </w:r>
      <w:r w:rsidR="00933DB1">
        <w:rPr>
          <w:rFonts w:ascii="Tahoma" w:hAnsi="Tahoma" w:cs="Tahoma"/>
          <w:sz w:val="16"/>
          <w:szCs w:val="16"/>
        </w:rPr>
        <w:t>ABS Catalogue Number 8731.0</w:t>
      </w:r>
      <w:r w:rsidR="00933DB1" w:rsidRPr="00B36A7B">
        <w:rPr>
          <w:rFonts w:ascii="Tahoma" w:hAnsi="Tahoma" w:cs="Tahoma"/>
          <w:sz w:val="16"/>
          <w:szCs w:val="16"/>
        </w:rPr>
        <w:t>.</w:t>
      </w:r>
    </w:p>
    <w:p w:rsidR="00C257CF" w:rsidRDefault="00C257CF" w:rsidP="00C257CF">
      <w:pPr>
        <w:pStyle w:val="NormalWeb"/>
        <w:shd w:val="clear" w:color="auto" w:fill="FFFFFF"/>
        <w:spacing w:before="0" w:beforeAutospacing="0" w:after="240" w:afterAutospacing="0"/>
        <w:rPr>
          <w:rFonts w:ascii="Tahoma" w:hAnsi="Tahoma" w:cs="Tahoma"/>
          <w:sz w:val="16"/>
          <w:szCs w:val="16"/>
        </w:rPr>
      </w:pPr>
      <w:r w:rsidRPr="0081079F">
        <w:rPr>
          <w:rFonts w:ascii="Tahoma" w:hAnsi="Tahoma" w:cs="Tahoma"/>
          <w:sz w:val="16"/>
          <w:szCs w:val="16"/>
        </w:rPr>
        <w:t xml:space="preserve">Note: </w:t>
      </w:r>
      <w:r>
        <w:rPr>
          <w:rFonts w:ascii="Tahoma" w:hAnsi="Tahoma" w:cs="Tahoma"/>
          <w:sz w:val="16"/>
          <w:szCs w:val="16"/>
        </w:rPr>
        <w:t xml:space="preserve">Series index </w:t>
      </w:r>
      <w:r w:rsidR="00CC7F37">
        <w:rPr>
          <w:rFonts w:ascii="Tahoma" w:hAnsi="Tahoma" w:cs="Tahoma"/>
          <w:sz w:val="16"/>
          <w:szCs w:val="16"/>
        </w:rPr>
        <w:t>to</w:t>
      </w:r>
      <w:r>
        <w:rPr>
          <w:rFonts w:ascii="Tahoma" w:hAnsi="Tahoma" w:cs="Tahoma"/>
          <w:sz w:val="16"/>
          <w:szCs w:val="16"/>
        </w:rPr>
        <w:t xml:space="preserve"> 10 year average</w:t>
      </w:r>
      <w:r w:rsidRPr="0081079F">
        <w:rPr>
          <w:rFonts w:ascii="Tahoma" w:hAnsi="Tahoma" w:cs="Tahoma"/>
          <w:sz w:val="16"/>
          <w:szCs w:val="16"/>
        </w:rPr>
        <w:t>.</w:t>
      </w:r>
    </w:p>
    <w:p w:rsidR="00B11985" w:rsidRDefault="00B11985" w:rsidP="00B11985">
      <w:pPr>
        <w:rPr>
          <w:lang w:val="en"/>
        </w:rPr>
      </w:pPr>
      <w:r>
        <w:rPr>
          <w:lang w:val="en"/>
        </w:rPr>
        <w:t xml:space="preserve">Dwelling construction will continue to be </w:t>
      </w:r>
      <w:r w:rsidRPr="00B526A8">
        <w:rPr>
          <w:lang w:val="en"/>
        </w:rPr>
        <w:t>supported by</w:t>
      </w:r>
      <w:r>
        <w:rPr>
          <w:lang w:val="en"/>
        </w:rPr>
        <w:t xml:space="preserve"> a strong pipeline of investment in the Victorian medium and high density market and </w:t>
      </w:r>
      <w:r w:rsidRPr="00B526A8">
        <w:rPr>
          <w:lang w:val="en"/>
        </w:rPr>
        <w:t>post</w:t>
      </w:r>
      <w:r w:rsidRPr="00B526A8">
        <w:rPr>
          <w:lang w:val="en"/>
        </w:rPr>
        <w:noBreakHyphen/>
        <w:t xml:space="preserve">disaster </w:t>
      </w:r>
      <w:r>
        <w:rPr>
          <w:lang w:val="en"/>
        </w:rPr>
        <w:t xml:space="preserve">reconstruction </w:t>
      </w:r>
      <w:r w:rsidRPr="00B526A8">
        <w:rPr>
          <w:lang w:val="en"/>
        </w:rPr>
        <w:t>in Queensland.</w:t>
      </w:r>
      <w:r>
        <w:rPr>
          <w:lang w:val="en"/>
        </w:rPr>
        <w:t xml:space="preserve">  However, </w:t>
      </w:r>
      <w:r w:rsidRPr="00B526A8">
        <w:rPr>
          <w:lang w:val="en"/>
        </w:rPr>
        <w:t>the substantial weakening in building approvals and housing finance</w:t>
      </w:r>
      <w:r>
        <w:rPr>
          <w:lang w:val="en"/>
        </w:rPr>
        <w:t xml:space="preserve"> for new dwellings</w:t>
      </w:r>
      <w:r w:rsidRPr="00B526A8">
        <w:rPr>
          <w:lang w:val="en"/>
        </w:rPr>
        <w:t xml:space="preserve"> over the past year is</w:t>
      </w:r>
      <w:r w:rsidR="00FC66AB" w:rsidRPr="00B526A8">
        <w:rPr>
          <w:lang w:val="en"/>
        </w:rPr>
        <w:t xml:space="preserve"> </w:t>
      </w:r>
      <w:r w:rsidRPr="00B526A8">
        <w:rPr>
          <w:lang w:val="en"/>
        </w:rPr>
        <w:t xml:space="preserve">expected to see growth ease in 2011-12. </w:t>
      </w:r>
      <w:r w:rsidRPr="00566990">
        <w:rPr>
          <w:lang w:val="en"/>
        </w:rPr>
        <w:t>Housing finance</w:t>
      </w:r>
      <w:r>
        <w:rPr>
          <w:lang w:val="en"/>
        </w:rPr>
        <w:t xml:space="preserve"> for new dwellings</w:t>
      </w:r>
      <w:r w:rsidRPr="00566990">
        <w:rPr>
          <w:lang w:val="en"/>
        </w:rPr>
        <w:t xml:space="preserve"> </w:t>
      </w:r>
      <w:r>
        <w:rPr>
          <w:lang w:val="en"/>
        </w:rPr>
        <w:t>fell</w:t>
      </w:r>
      <w:r w:rsidRPr="00566990">
        <w:rPr>
          <w:lang w:val="en"/>
        </w:rPr>
        <w:t xml:space="preserve"> </w:t>
      </w:r>
      <w:r>
        <w:rPr>
          <w:lang w:val="en"/>
        </w:rPr>
        <w:t>6.0</w:t>
      </w:r>
      <w:r w:rsidR="00681EBE">
        <w:rPr>
          <w:lang w:val="en"/>
        </w:rPr>
        <w:t> per </w:t>
      </w:r>
      <w:r w:rsidRPr="00566990">
        <w:rPr>
          <w:lang w:val="en"/>
        </w:rPr>
        <w:t xml:space="preserve">cent through the year </w:t>
      </w:r>
      <w:r>
        <w:rPr>
          <w:lang w:val="en"/>
        </w:rPr>
        <w:t xml:space="preserve">to May </w:t>
      </w:r>
      <w:r w:rsidRPr="00566990">
        <w:rPr>
          <w:lang w:val="en"/>
        </w:rPr>
        <w:t xml:space="preserve">and </w:t>
      </w:r>
      <w:r>
        <w:rPr>
          <w:lang w:val="en"/>
        </w:rPr>
        <w:t>private sector dwelling</w:t>
      </w:r>
      <w:r w:rsidRPr="00566990">
        <w:rPr>
          <w:lang w:val="en"/>
        </w:rPr>
        <w:t xml:space="preserve"> approvals </w:t>
      </w:r>
      <w:r w:rsidR="00681EBE">
        <w:rPr>
          <w:lang w:val="en"/>
        </w:rPr>
        <w:t>fell 7.9 per </w:t>
      </w:r>
      <w:r>
        <w:rPr>
          <w:lang w:val="en"/>
        </w:rPr>
        <w:t>cent.</w:t>
      </w:r>
    </w:p>
    <w:p w:rsidR="00B11985" w:rsidRDefault="00B11985" w:rsidP="00B11985">
      <w:r>
        <w:rPr>
          <w:lang w:val="en"/>
        </w:rPr>
        <w:t>In the medium-term, demand for new housing is expected to be supported by low unemployment and solid growth in household incomes.  However, investment conditions remain weak</w:t>
      </w:r>
      <w:r>
        <w:t xml:space="preserve">.  According to the ABS, house prices have fallen 2.3 per cent over the past </w:t>
      </w:r>
      <w:r w:rsidR="00681EBE">
        <w:t>six</w:t>
      </w:r>
      <w:r>
        <w:t xml:space="preserve"> months, with price falls most pronounced at the higher end.  Auction clearance rates have fallen over the past six months and there is a substantial supply of houses for sale on the market.  However, with growth in underlying demand outpacing supply in recent years (Australia’s housing completions have barely grown since 2002-03, while the population has grown strongly), prices remain elevated</w:t>
      </w:r>
      <w:r w:rsidR="008B6D86">
        <w:t xml:space="preserve"> and housing</w:t>
      </w:r>
      <w:r>
        <w:t xml:space="preserve"> affordability is low.</w:t>
      </w:r>
      <w:r w:rsidRPr="003035A9">
        <w:t xml:space="preserve"> </w:t>
      </w:r>
      <w:r w:rsidR="005C7DDF">
        <w:t>Standard</w:t>
      </w:r>
      <w:r>
        <w:rPr>
          <w:lang w:val="en"/>
        </w:rPr>
        <w:t xml:space="preserve"> variable mortgage </w:t>
      </w:r>
      <w:r w:rsidRPr="00B526A8">
        <w:rPr>
          <w:lang w:val="en"/>
        </w:rPr>
        <w:t xml:space="preserve">interest rates </w:t>
      </w:r>
      <w:r>
        <w:rPr>
          <w:lang w:val="en"/>
        </w:rPr>
        <w:t xml:space="preserve">are assumed to remain </w:t>
      </w:r>
      <w:r w:rsidR="00681EBE">
        <w:rPr>
          <w:lang w:val="en"/>
        </w:rPr>
        <w:t xml:space="preserve">broadly constant at </w:t>
      </w:r>
      <w:r>
        <w:rPr>
          <w:lang w:val="en"/>
        </w:rPr>
        <w:t>slightly above their long-run average</w:t>
      </w:r>
      <w:r w:rsidRPr="00B526A8">
        <w:rPr>
          <w:lang w:val="en"/>
        </w:rPr>
        <w:t xml:space="preserve"> over the forecast period</w:t>
      </w:r>
      <w:r>
        <w:rPr>
          <w:lang w:val="en"/>
        </w:rPr>
        <w:t>, consistent with market expectations</w:t>
      </w:r>
      <w:r w:rsidR="00681EBE">
        <w:rPr>
          <w:lang w:val="en"/>
        </w:rPr>
        <w:t xml:space="preserve"> at the time the forecasts were prepared</w:t>
      </w:r>
      <w:r w:rsidRPr="00B526A8">
        <w:rPr>
          <w:lang w:val="en"/>
        </w:rPr>
        <w:t>.</w:t>
      </w:r>
    </w:p>
    <w:p w:rsidR="00FC66AB" w:rsidRDefault="00B11985" w:rsidP="00B11985">
      <w:r>
        <w:t xml:space="preserve">Supply constraints associated with planning and approval processes and land release restrictions are also expected to weigh on growth in new dwelling </w:t>
      </w:r>
      <w:r w:rsidRPr="000A59D0">
        <w:rPr>
          <w:lang w:val="en"/>
        </w:rPr>
        <w:t>investment</w:t>
      </w:r>
      <w:r>
        <w:t xml:space="preserve">.  </w:t>
      </w:r>
      <w:r w:rsidRPr="005104EF">
        <w:t xml:space="preserve">The forecasts imply that roughly 145,000 new houses will be completed </w:t>
      </w:r>
      <w:r>
        <w:t>in 2011</w:t>
      </w:r>
      <w:r>
        <w:noBreakHyphen/>
        <w:t>12 and 2012</w:t>
      </w:r>
      <w:r>
        <w:noBreakHyphen/>
      </w:r>
      <w:r w:rsidRPr="005104EF">
        <w:t xml:space="preserve">13, </w:t>
      </w:r>
      <w:r>
        <w:t xml:space="preserve">implying almost no growth in the number of completions over the </w:t>
      </w:r>
      <w:r w:rsidRPr="005104EF">
        <w:t>past 5 years</w:t>
      </w:r>
      <w:r>
        <w:t xml:space="preserve"> (</w:t>
      </w:r>
      <w:r w:rsidRPr="00D30794">
        <w:t>Chart </w:t>
      </w:r>
      <w:r>
        <w:t>5)</w:t>
      </w:r>
      <w:r w:rsidRPr="005104EF">
        <w:t>.</w:t>
      </w:r>
      <w:r w:rsidR="00FC66AB" w:rsidRPr="00AC172C">
        <w:t xml:space="preserve"> </w:t>
      </w:r>
    </w:p>
    <w:p w:rsidR="000534CA" w:rsidRPr="007711BC" w:rsidRDefault="000534CA" w:rsidP="00162046">
      <w:pPr>
        <w:keepNext/>
        <w:spacing w:after="0"/>
        <w:jc w:val="center"/>
        <w:rPr>
          <w:rFonts w:ascii="Tahoma" w:hAnsi="Tahoma" w:cs="Tahoma"/>
          <w:b/>
        </w:rPr>
      </w:pPr>
      <w:r w:rsidRPr="007711BC">
        <w:rPr>
          <w:rFonts w:ascii="Tahoma" w:hAnsi="Tahoma" w:cs="Tahoma"/>
          <w:b/>
        </w:rPr>
        <w:t xml:space="preserve">Chart </w:t>
      </w:r>
      <w:r w:rsidR="00FC66AB">
        <w:rPr>
          <w:rFonts w:ascii="Tahoma" w:hAnsi="Tahoma" w:cs="Tahoma"/>
          <w:b/>
        </w:rPr>
        <w:t>5</w:t>
      </w:r>
      <w:r w:rsidRPr="007711BC">
        <w:rPr>
          <w:rFonts w:ascii="Tahoma" w:hAnsi="Tahoma" w:cs="Tahoma"/>
          <w:b/>
        </w:rPr>
        <w:t xml:space="preserve">: </w:t>
      </w:r>
      <w:r w:rsidR="00933DB1">
        <w:rPr>
          <w:rFonts w:ascii="Tahoma" w:hAnsi="Tahoma" w:cs="Tahoma"/>
          <w:b/>
        </w:rPr>
        <w:t>Dwelling c</w:t>
      </w:r>
      <w:r w:rsidR="00FC66AB">
        <w:rPr>
          <w:rFonts w:ascii="Tahoma" w:hAnsi="Tahoma" w:cs="Tahoma"/>
          <w:b/>
        </w:rPr>
        <w:t>ompletions</w:t>
      </w:r>
    </w:p>
    <w:p w:rsidR="00017F7B" w:rsidRDefault="00DF79D9" w:rsidP="0081079F">
      <w:pPr>
        <w:spacing w:after="0" w:line="240" w:lineRule="auto"/>
        <w:jc w:val="left"/>
        <w:rPr>
          <w:rFonts w:ascii="Tahoma" w:hAnsi="Tahoma" w:cs="Tahoma"/>
          <w:sz w:val="16"/>
          <w:szCs w:val="16"/>
        </w:rPr>
      </w:pPr>
      <w:r>
        <w:rPr>
          <w:rFonts w:ascii="Tahoma" w:hAnsi="Tahoma" w:cs="Tahoma"/>
          <w:sz w:val="16"/>
          <w:szCs w:val="16"/>
        </w:rPr>
        <w:pict>
          <v:shape id="_x0000_i1031" type="#_x0000_t75" style="width:225.95pt;height:225.95pt">
            <v:imagedata r:id="rId24" o:title=""/>
          </v:shape>
        </w:pict>
      </w:r>
      <w:r w:rsidR="000534CA" w:rsidRPr="00FE56C9">
        <w:rPr>
          <w:rFonts w:ascii="Tahoma" w:hAnsi="Tahoma" w:cs="Tahoma"/>
          <w:sz w:val="16"/>
          <w:szCs w:val="16"/>
        </w:rPr>
        <w:t>Source:</w:t>
      </w:r>
      <w:r w:rsidR="000534CA">
        <w:rPr>
          <w:szCs w:val="20"/>
        </w:rPr>
        <w:t xml:space="preserve">  </w:t>
      </w:r>
      <w:r w:rsidR="000534CA" w:rsidRPr="002877EB">
        <w:rPr>
          <w:rFonts w:ascii="Tahoma" w:hAnsi="Tahoma" w:cs="Tahoma"/>
          <w:sz w:val="16"/>
          <w:szCs w:val="16"/>
        </w:rPr>
        <w:t xml:space="preserve">ABS Catalogue Number </w:t>
      </w:r>
      <w:r w:rsidR="00933DB1">
        <w:rPr>
          <w:rFonts w:ascii="Tahoma" w:hAnsi="Tahoma" w:cs="Tahoma"/>
          <w:sz w:val="16"/>
          <w:szCs w:val="16"/>
        </w:rPr>
        <w:t>8752</w:t>
      </w:r>
      <w:r w:rsidR="000534CA">
        <w:rPr>
          <w:rFonts w:ascii="Tahoma" w:hAnsi="Tahoma" w:cs="Tahoma"/>
          <w:sz w:val="16"/>
          <w:szCs w:val="16"/>
        </w:rPr>
        <w:t>.0</w:t>
      </w:r>
      <w:r w:rsidR="00996304">
        <w:rPr>
          <w:rFonts w:ascii="Tahoma" w:hAnsi="Tahoma" w:cs="Tahoma"/>
          <w:sz w:val="16"/>
          <w:szCs w:val="16"/>
        </w:rPr>
        <w:t>.</w:t>
      </w:r>
      <w:bookmarkStart w:id="33" w:name="_Toc187553173"/>
      <w:bookmarkEnd w:id="30"/>
    </w:p>
    <w:p w:rsidR="00AF3475" w:rsidRPr="00B36A7B" w:rsidRDefault="00AF3475" w:rsidP="002940D6">
      <w:pPr>
        <w:pStyle w:val="Heading4"/>
        <w:keepNext w:val="0"/>
        <w:spacing w:before="240"/>
      </w:pPr>
      <w:bookmarkStart w:id="34" w:name="_Toc298235799"/>
      <w:r w:rsidRPr="00B36A7B">
        <w:t>Business investment</w:t>
      </w:r>
      <w:bookmarkEnd w:id="33"/>
      <w:bookmarkEnd w:id="34"/>
    </w:p>
    <w:p w:rsidR="00681EBE" w:rsidRDefault="00B11985" w:rsidP="00681EBE">
      <w:bookmarkStart w:id="35" w:name="_Toc195517449"/>
      <w:bookmarkStart w:id="36" w:name="_Toc185498664"/>
      <w:bookmarkStart w:id="37" w:name="_Toc185498663"/>
      <w:r>
        <w:t>Business investment is rapidly gaining momentum, with sustained high prices for Australia’s commodity exports driving record investment intentions in the resources sector.  The b</w:t>
      </w:r>
      <w:r w:rsidRPr="00640451">
        <w:t>usiness investment</w:t>
      </w:r>
      <w:r>
        <w:t xml:space="preserve"> forecasts have been revised up following recent project announcements, with business investment expected to reach new highs as a proportion of GDP by the end of the forecast horizon, notwithstanding limited investment plans outside the resources sector (Chart 6).</w:t>
      </w:r>
    </w:p>
    <w:p w:rsidR="00274B47" w:rsidRPr="00681EBE" w:rsidRDefault="00274B47" w:rsidP="00681EBE">
      <w:pPr>
        <w:spacing w:after="0"/>
        <w:jc w:val="center"/>
        <w:rPr>
          <w:rFonts w:ascii="Tahoma" w:hAnsi="Tahoma" w:cs="Tahoma"/>
          <w:b/>
          <w:sz w:val="19"/>
          <w:szCs w:val="19"/>
        </w:rPr>
      </w:pPr>
      <w:r w:rsidRPr="00681EBE">
        <w:rPr>
          <w:rFonts w:ascii="Tahoma" w:hAnsi="Tahoma" w:cs="Tahoma"/>
          <w:b/>
          <w:sz w:val="19"/>
          <w:szCs w:val="19"/>
        </w:rPr>
        <w:t xml:space="preserve">Chart </w:t>
      </w:r>
      <w:r w:rsidR="004259C1" w:rsidRPr="00681EBE">
        <w:rPr>
          <w:rFonts w:ascii="Tahoma" w:hAnsi="Tahoma" w:cs="Tahoma"/>
          <w:b/>
          <w:sz w:val="19"/>
          <w:szCs w:val="19"/>
        </w:rPr>
        <w:t>6</w:t>
      </w:r>
      <w:r w:rsidRPr="00681EBE">
        <w:rPr>
          <w:rFonts w:ascii="Tahoma" w:hAnsi="Tahoma" w:cs="Tahoma"/>
          <w:b/>
          <w:sz w:val="19"/>
          <w:szCs w:val="19"/>
        </w:rPr>
        <w:t>: Mining and non-mining investment</w:t>
      </w:r>
    </w:p>
    <w:p w:rsidR="000A59D0" w:rsidRPr="005022CE" w:rsidRDefault="00DF79D9" w:rsidP="00681EBE">
      <w:pPr>
        <w:spacing w:after="0" w:line="240" w:lineRule="auto"/>
        <w:jc w:val="center"/>
        <w:rPr>
          <w:rFonts w:ascii="Tahoma" w:hAnsi="Tahoma" w:cs="Tahoma"/>
          <w:sz w:val="16"/>
          <w:szCs w:val="16"/>
        </w:rPr>
      </w:pPr>
      <w:r>
        <w:rPr>
          <w:rFonts w:ascii="Tahoma" w:hAnsi="Tahoma" w:cs="Tahoma"/>
          <w:sz w:val="16"/>
          <w:szCs w:val="16"/>
        </w:rPr>
        <w:pict>
          <v:shape id="_x0000_i1032" type="#_x0000_t75" style="width:225.95pt;height:224.7pt">
            <v:imagedata r:id="rId25" o:title=""/>
          </v:shape>
        </w:pict>
      </w:r>
      <w:r w:rsidR="00274B47" w:rsidRPr="00B36A7B">
        <w:rPr>
          <w:rFonts w:ascii="Tahoma" w:hAnsi="Tahoma" w:cs="Tahoma"/>
          <w:sz w:val="16"/>
          <w:szCs w:val="16"/>
        </w:rPr>
        <w:t>Source:</w:t>
      </w:r>
      <w:r w:rsidR="00274B47" w:rsidRPr="00B36A7B">
        <w:rPr>
          <w:szCs w:val="20"/>
        </w:rPr>
        <w:t xml:space="preserve">  </w:t>
      </w:r>
      <w:r w:rsidR="00274B47">
        <w:rPr>
          <w:rFonts w:ascii="Tahoma" w:hAnsi="Tahoma" w:cs="Tahoma"/>
          <w:sz w:val="16"/>
          <w:szCs w:val="16"/>
        </w:rPr>
        <w:t>ABS Catalogue 5625</w:t>
      </w:r>
      <w:r w:rsidR="00274B47" w:rsidRPr="00B36A7B">
        <w:rPr>
          <w:rFonts w:ascii="Tahoma" w:hAnsi="Tahoma" w:cs="Tahoma"/>
          <w:sz w:val="16"/>
          <w:szCs w:val="16"/>
        </w:rPr>
        <w:t>.0</w:t>
      </w:r>
      <w:r w:rsidR="002E668A">
        <w:rPr>
          <w:rFonts w:ascii="Tahoma" w:hAnsi="Tahoma" w:cs="Tahoma"/>
          <w:sz w:val="16"/>
          <w:szCs w:val="16"/>
        </w:rPr>
        <w:t>,</w:t>
      </w:r>
      <w:r w:rsidR="002925CA">
        <w:rPr>
          <w:rFonts w:ascii="Tahoma" w:hAnsi="Tahoma" w:cs="Tahoma"/>
          <w:sz w:val="16"/>
          <w:szCs w:val="16"/>
        </w:rPr>
        <w:t xml:space="preserve"> 5206.0</w:t>
      </w:r>
      <w:r w:rsidR="002E668A">
        <w:rPr>
          <w:rFonts w:ascii="Tahoma" w:hAnsi="Tahoma" w:cs="Tahoma"/>
          <w:sz w:val="16"/>
          <w:szCs w:val="16"/>
        </w:rPr>
        <w:t xml:space="preserve"> and</w:t>
      </w:r>
      <w:r w:rsidR="00274B47" w:rsidRPr="00B36A7B">
        <w:rPr>
          <w:rFonts w:ascii="Tahoma" w:hAnsi="Tahoma" w:cs="Tahoma"/>
          <w:sz w:val="16"/>
          <w:szCs w:val="16"/>
        </w:rPr>
        <w:t xml:space="preserve"> Treasury.</w:t>
      </w:r>
    </w:p>
    <w:p w:rsidR="00562D9F" w:rsidRDefault="00B11985" w:rsidP="005022CE">
      <w:pPr>
        <w:spacing w:before="240"/>
      </w:pPr>
      <w:r>
        <w:t>Forecast growth in</w:t>
      </w:r>
      <w:r w:rsidRPr="004D46AD">
        <w:rPr>
          <w:b/>
        </w:rPr>
        <w:t xml:space="preserve"> business investment</w:t>
      </w:r>
      <w:r>
        <w:t xml:space="preserve"> is unchanged in 2010-11, with growth of 4½ per cent expected.  New business investment rose 2.8 per cent in the March quarter, weaker than anticipated at Budget.  However, it was consistent with the March quarter CAPEX survey, which suggests that around $5 billion of investment will slip from 2010</w:t>
      </w:r>
      <w:r>
        <w:noBreakHyphen/>
        <w:t>11 into 2011</w:t>
      </w:r>
      <w:r>
        <w:noBreakHyphen/>
        <w:t>12, with cyclones and heavy rains over the recent summer contributing to project delays.  The latest CAPEX estimate for 2010-11 implies strong growth in mining investment in the June quarter, consistent with the recent strength of monthly machinery and equipment imports.  Construction commenced on a number of resource projects in the March quarter, including the Gladstone ($16 billion) and Curtis ($15 billion) coal-seam gas projects and Rio Tinto’s ($8.1 billion) and Fortescue’s ($8.4 billion) iron ore expansions.</w:t>
      </w:r>
    </w:p>
    <w:p w:rsidR="00562D9F" w:rsidRDefault="00B11985" w:rsidP="000A59D0">
      <w:r>
        <w:t>Forecast growth in new business investment has been revised up from 16 per cent to 16½ per cent</w:t>
      </w:r>
      <w:r w:rsidRPr="00BD4B6B">
        <w:t xml:space="preserve"> </w:t>
      </w:r>
      <w:r>
        <w:t>in 2011-12 and from 14½ per cent to 16½ per cent in 2012-13.  The value of resource projects that are committed or already under construction has risen $5.4 billion since Budget, with Fortescue Metals Group’s $8.4 billion expansion of its iron ore operations moving from the committed stage to under construction and BHP Billiton’s $12.8 billion coal and iron ore expansions receiving final investment approval.  The March quarter CAPEX survey suggests 80 per cent growth in mining investment in 2011-12 based on long-run realisation ratios.  However, the June JEFG forecasts are based on lower realisation ratios, consistent with the project delays observed to date and with the aggregate scale of mining investment plans raising the likelihood that</w:t>
      </w:r>
      <w:r w:rsidRPr="002D05C5">
        <w:t xml:space="preserve"> shortages of specialist labour and equipment</w:t>
      </w:r>
      <w:r>
        <w:t xml:space="preserve"> will become more acute</w:t>
      </w:r>
      <w:r w:rsidRPr="002D05C5">
        <w:t>.</w:t>
      </w:r>
      <w:r w:rsidR="00562D9F">
        <w:t xml:space="preserve">  </w:t>
      </w:r>
    </w:p>
    <w:p w:rsidR="00B11985" w:rsidRDefault="00B11985" w:rsidP="00B11985">
      <w:r>
        <w:t>The March quarter CAPEX survey suggests that investment intentions outside of the resources sector remain weak, implying modest growth of 3.4 per cent in manufacturing investment in 2011-12 based on long-run realisation ratios.  That said, business surveys point to a stronger pipeline of investment, with investment intentions in both the NAB and CBA-ACCI surveys at around long-run average levels</w:t>
      </w:r>
      <w:r w:rsidR="00260C01">
        <w:t>, seemingly at odds with conditions in the non-mining economy</w:t>
      </w:r>
      <w:r>
        <w:t xml:space="preserve">. </w:t>
      </w:r>
    </w:p>
    <w:p w:rsidR="00162046" w:rsidRPr="00260371" w:rsidRDefault="00B11985" w:rsidP="00B11985">
      <w:pPr>
        <w:rPr>
          <w:highlight w:val="yellow"/>
        </w:rPr>
      </w:pPr>
      <w:r>
        <w:t>In terms of the components, g</w:t>
      </w:r>
      <w:r w:rsidRPr="0032196B">
        <w:t>rowth in</w:t>
      </w:r>
      <w:r>
        <w:rPr>
          <w:b/>
        </w:rPr>
        <w:t xml:space="preserve"> n</w:t>
      </w:r>
      <w:r w:rsidRPr="004D549A">
        <w:rPr>
          <w:b/>
        </w:rPr>
        <w:t>ew machinery and equipment</w:t>
      </w:r>
      <w:r w:rsidRPr="006B5614">
        <w:t xml:space="preserve"> investment </w:t>
      </w:r>
      <w:r>
        <w:t>is expected to accelerate from 1½ per cent in 2010-11, to 18½ per cent in 2011</w:t>
      </w:r>
      <w:r>
        <w:noBreakHyphen/>
        <w:t xml:space="preserve">12 and 16½ per cent in </w:t>
      </w:r>
      <w:r w:rsidRPr="000A59D0">
        <w:rPr>
          <w:lang w:val="en"/>
        </w:rPr>
        <w:t>2012</w:t>
      </w:r>
      <w:r>
        <w:t>-13 as the mining investment boom builds momentum. Growth in new machinery and equipment investment in 2012-13 is also expected to be supported by</w:t>
      </w:r>
      <w:r w:rsidRPr="006B5614">
        <w:t xml:space="preserve"> the introduction of the small business car tax </w:t>
      </w:r>
      <w:r>
        <w:t>deduction</w:t>
      </w:r>
      <w:r w:rsidRPr="006B5614">
        <w:t xml:space="preserve"> </w:t>
      </w:r>
      <w:r>
        <w:t>for</w:t>
      </w:r>
      <w:r w:rsidRPr="006B5614">
        <w:t xml:space="preserve"> new motor vehicles purchased from</w:t>
      </w:r>
      <w:r>
        <w:t xml:space="preserve"> </w:t>
      </w:r>
      <w:r w:rsidRPr="006B5614">
        <w:t>1</w:t>
      </w:r>
      <w:r>
        <w:t xml:space="preserve"> </w:t>
      </w:r>
      <w:r w:rsidRPr="006B5614">
        <w:t>July</w:t>
      </w:r>
      <w:r>
        <w:t xml:space="preserve"> </w:t>
      </w:r>
      <w:r w:rsidRPr="006B5614">
        <w:t>2012</w:t>
      </w:r>
      <w:r>
        <w:t>.</w:t>
      </w:r>
      <w:r w:rsidRPr="006B5614">
        <w:t xml:space="preserve">  </w:t>
      </w:r>
      <w:r>
        <w:t>However,</w:t>
      </w:r>
      <w:r w:rsidRPr="006B5614">
        <w:t xml:space="preserve"> this </w:t>
      </w:r>
      <w:r>
        <w:t>may result in some</w:t>
      </w:r>
      <w:r w:rsidRPr="006B5614">
        <w:t xml:space="preserve"> small business</w:t>
      </w:r>
      <w:r>
        <w:t xml:space="preserve">es </w:t>
      </w:r>
      <w:r w:rsidRPr="006B5614">
        <w:t>delay</w:t>
      </w:r>
      <w:r>
        <w:t>ing</w:t>
      </w:r>
      <w:r w:rsidRPr="006B5614">
        <w:t xml:space="preserve"> motor vehicle investment until 2012</w:t>
      </w:r>
      <w:r>
        <w:t>-13, possibly impacting on investment activity in 2011-12.</w:t>
      </w:r>
      <w:r w:rsidRPr="00485ADF">
        <w:rPr>
          <w:b/>
        </w:rPr>
        <w:t xml:space="preserve"> New engineering construction</w:t>
      </w:r>
      <w:r>
        <w:t xml:space="preserve"> is expected to grow 17½ per cent in 2010-11, 28½ per cent in </w:t>
      </w:r>
      <w:r>
        <w:br/>
        <w:t>2011-12 and 26½ per cent in 2012-13.</w:t>
      </w:r>
      <w:r w:rsidR="00162046" w:rsidRPr="00B36A7B">
        <w:t xml:space="preserve"> </w:t>
      </w:r>
    </w:p>
    <w:p w:rsidR="00933DB1" w:rsidRPr="007711BC" w:rsidRDefault="00933DB1" w:rsidP="00933DB1">
      <w:pPr>
        <w:keepNext/>
        <w:widowControl w:val="0"/>
        <w:spacing w:after="0"/>
        <w:jc w:val="center"/>
        <w:rPr>
          <w:rFonts w:ascii="Tahoma" w:hAnsi="Tahoma" w:cs="Tahoma"/>
          <w:b/>
        </w:rPr>
      </w:pPr>
      <w:r w:rsidRPr="007711BC">
        <w:rPr>
          <w:rFonts w:ascii="Tahoma" w:hAnsi="Tahoma" w:cs="Tahoma"/>
          <w:b/>
        </w:rPr>
        <w:t xml:space="preserve">Chart </w:t>
      </w:r>
      <w:r w:rsidR="005022CE">
        <w:rPr>
          <w:rFonts w:ascii="Tahoma" w:hAnsi="Tahoma" w:cs="Tahoma"/>
          <w:b/>
        </w:rPr>
        <w:t>7</w:t>
      </w:r>
      <w:r w:rsidRPr="007711BC">
        <w:rPr>
          <w:rFonts w:ascii="Tahoma" w:hAnsi="Tahoma" w:cs="Tahoma"/>
          <w:b/>
        </w:rPr>
        <w:t xml:space="preserve">: </w:t>
      </w:r>
      <w:r w:rsidR="00E33238">
        <w:rPr>
          <w:rFonts w:ascii="Tahoma" w:hAnsi="Tahoma" w:cs="Tahoma"/>
          <w:b/>
        </w:rPr>
        <w:t>Private</w:t>
      </w:r>
      <w:r w:rsidR="00972E46">
        <w:rPr>
          <w:rFonts w:ascii="Tahoma" w:hAnsi="Tahoma" w:cs="Tahoma"/>
          <w:b/>
        </w:rPr>
        <w:t xml:space="preserve"> non-residential building </w:t>
      </w:r>
      <w:r w:rsidR="00E33238">
        <w:rPr>
          <w:rFonts w:ascii="Tahoma" w:hAnsi="Tahoma" w:cs="Tahoma"/>
          <w:b/>
        </w:rPr>
        <w:t>work yet to be done (nominal)</w:t>
      </w:r>
    </w:p>
    <w:p w:rsidR="000779E7" w:rsidRPr="00B36A7B" w:rsidRDefault="00DF79D9" w:rsidP="0081079F">
      <w:pPr>
        <w:spacing w:after="0" w:line="240" w:lineRule="auto"/>
        <w:jc w:val="left"/>
        <w:rPr>
          <w:rFonts w:ascii="Tahoma" w:hAnsi="Tahoma" w:cs="Tahoma"/>
          <w:sz w:val="16"/>
          <w:szCs w:val="16"/>
        </w:rPr>
      </w:pPr>
      <w:r>
        <w:rPr>
          <w:rFonts w:cs="Tahoma"/>
        </w:rPr>
        <w:pict>
          <v:shape id="_x0000_i1033" type="#_x0000_t75" style="width:227.15pt;height:225.95pt">
            <v:imagedata r:id="rId26" o:title=""/>
          </v:shape>
        </w:pict>
      </w:r>
      <w:r w:rsidR="00933DB1" w:rsidRPr="00FE56C9">
        <w:rPr>
          <w:rFonts w:ascii="Tahoma" w:hAnsi="Tahoma" w:cs="Tahoma"/>
          <w:sz w:val="16"/>
          <w:szCs w:val="16"/>
        </w:rPr>
        <w:t>Source:</w:t>
      </w:r>
      <w:r w:rsidR="00933DB1">
        <w:rPr>
          <w:szCs w:val="20"/>
        </w:rPr>
        <w:t xml:space="preserve">  </w:t>
      </w:r>
      <w:r w:rsidR="00933DB1" w:rsidRPr="002877EB">
        <w:rPr>
          <w:rFonts w:ascii="Tahoma" w:hAnsi="Tahoma" w:cs="Tahoma"/>
          <w:sz w:val="16"/>
          <w:szCs w:val="16"/>
        </w:rPr>
        <w:t xml:space="preserve">ABS Catalogue Number </w:t>
      </w:r>
      <w:r w:rsidR="00972E46">
        <w:rPr>
          <w:rFonts w:ascii="Tahoma" w:hAnsi="Tahoma" w:cs="Tahoma"/>
          <w:sz w:val="16"/>
          <w:szCs w:val="16"/>
        </w:rPr>
        <w:t>87</w:t>
      </w:r>
      <w:r w:rsidR="00E33238">
        <w:rPr>
          <w:rFonts w:ascii="Tahoma" w:hAnsi="Tahoma" w:cs="Tahoma"/>
          <w:sz w:val="16"/>
          <w:szCs w:val="16"/>
        </w:rPr>
        <w:t>52</w:t>
      </w:r>
      <w:r w:rsidR="00933DB1">
        <w:rPr>
          <w:rFonts w:ascii="Tahoma" w:hAnsi="Tahoma" w:cs="Tahoma"/>
          <w:sz w:val="16"/>
          <w:szCs w:val="16"/>
        </w:rPr>
        <w:t>.0.</w:t>
      </w:r>
    </w:p>
    <w:p w:rsidR="00260371" w:rsidRPr="00552229" w:rsidRDefault="00B11985" w:rsidP="00933DB1">
      <w:pPr>
        <w:autoSpaceDE w:val="0"/>
        <w:autoSpaceDN w:val="0"/>
        <w:spacing w:before="240"/>
        <w:rPr>
          <w:szCs w:val="20"/>
        </w:rPr>
      </w:pPr>
      <w:r w:rsidRPr="007F0A35">
        <w:t>Growth in</w:t>
      </w:r>
      <w:r>
        <w:rPr>
          <w:b/>
        </w:rPr>
        <w:t xml:space="preserve"> </w:t>
      </w:r>
      <w:r w:rsidRPr="006A2A43">
        <w:rPr>
          <w:b/>
        </w:rPr>
        <w:t>non-residential building</w:t>
      </w:r>
      <w:r>
        <w:t xml:space="preserve"> investment has been revised downwards since Budget. While declining vacancy rates and modest growth in building approvals in recent months suggest the sector is stabilising, the pipeline of activity remains low and credit conditions remain tight in the commercial property market (Chart 7). The winding down of activity under the Building the Education Revolution is expected to drive a decline in non-residential building investment of 5 per cent in 2010-11.  Investment is then expected to grow 2 per cent in 2011-12 and 3½ per cent in 2012</w:t>
      </w:r>
      <w:r>
        <w:noBreakHyphen/>
        <w:t>13, underpinned by demand for new office space associated with solid employment growth.</w:t>
      </w:r>
      <w:r w:rsidR="00260371">
        <w:rPr>
          <w:szCs w:val="20"/>
        </w:rPr>
        <w:t xml:space="preserve"> </w:t>
      </w:r>
    </w:p>
    <w:p w:rsidR="009D7882" w:rsidRDefault="006B4DF6" w:rsidP="002940D6">
      <w:pPr>
        <w:pStyle w:val="Heading4"/>
        <w:keepNext w:val="0"/>
      </w:pPr>
      <w:bookmarkStart w:id="38" w:name="_Toc298235800"/>
      <w:r w:rsidRPr="00B845F5">
        <w:t>Public final demand</w:t>
      </w:r>
      <w:bookmarkEnd w:id="35"/>
      <w:bookmarkEnd w:id="38"/>
    </w:p>
    <w:p w:rsidR="00223045" w:rsidRDefault="00B11985" w:rsidP="00223045">
      <w:pPr>
        <w:rPr>
          <w:szCs w:val="20"/>
        </w:rPr>
      </w:pPr>
      <w:r w:rsidRPr="00623B3C">
        <w:rPr>
          <w:szCs w:val="20"/>
        </w:rPr>
        <w:t xml:space="preserve">The withdrawal of fiscal stimulus and the fiscal consolidation plans of the Commonwealth and State governments are expected to result in public final demand </w:t>
      </w:r>
      <w:r>
        <w:rPr>
          <w:szCs w:val="20"/>
        </w:rPr>
        <w:t xml:space="preserve">growth </w:t>
      </w:r>
      <w:r w:rsidRPr="00623B3C">
        <w:rPr>
          <w:szCs w:val="20"/>
        </w:rPr>
        <w:t xml:space="preserve">declining sharply over the next two years. </w:t>
      </w:r>
      <w:r w:rsidRPr="009371BB">
        <w:t xml:space="preserve">After peaking at 7 per cent </w:t>
      </w:r>
      <w:r>
        <w:t xml:space="preserve">growth </w:t>
      </w:r>
      <w:r w:rsidRPr="009371BB">
        <w:t xml:space="preserve">in 2009-10, </w:t>
      </w:r>
      <w:r w:rsidRPr="00252B18">
        <w:rPr>
          <w:b/>
        </w:rPr>
        <w:t>public final demand</w:t>
      </w:r>
      <w:r w:rsidRPr="009371BB">
        <w:t xml:space="preserve"> is expected to grow </w:t>
      </w:r>
      <w:r>
        <w:t>3¾ </w:t>
      </w:r>
      <w:r w:rsidRPr="009371BB">
        <w:t xml:space="preserve">per cent in </w:t>
      </w:r>
      <w:r w:rsidRPr="00B07299">
        <w:rPr>
          <w:szCs w:val="20"/>
        </w:rPr>
        <w:t>2</w:t>
      </w:r>
      <w:r w:rsidR="00681EBE">
        <w:rPr>
          <w:szCs w:val="20"/>
        </w:rPr>
        <w:t>010-11 and ¾ per </w:t>
      </w:r>
      <w:r>
        <w:rPr>
          <w:szCs w:val="20"/>
        </w:rPr>
        <w:t>cent in 2011</w:t>
      </w:r>
      <w:r>
        <w:rPr>
          <w:szCs w:val="20"/>
        </w:rPr>
        <w:noBreakHyphen/>
      </w:r>
      <w:r w:rsidRPr="00B07299">
        <w:rPr>
          <w:szCs w:val="20"/>
        </w:rPr>
        <w:t xml:space="preserve">12, </w:t>
      </w:r>
      <w:r>
        <w:rPr>
          <w:szCs w:val="20"/>
        </w:rPr>
        <w:t>before falling 2½ per cent in 2012</w:t>
      </w:r>
      <w:r>
        <w:rPr>
          <w:szCs w:val="20"/>
        </w:rPr>
        <w:noBreakHyphen/>
      </w:r>
      <w:r w:rsidRPr="00B07299">
        <w:rPr>
          <w:szCs w:val="20"/>
        </w:rPr>
        <w:t>13</w:t>
      </w:r>
      <w:r>
        <w:rPr>
          <w:szCs w:val="20"/>
        </w:rPr>
        <w:t xml:space="preserve"> (Chart 8)</w:t>
      </w:r>
      <w:r w:rsidRPr="00B07299">
        <w:rPr>
          <w:szCs w:val="20"/>
        </w:rPr>
        <w:t>.</w:t>
      </w:r>
      <w:r w:rsidR="00223045">
        <w:rPr>
          <w:szCs w:val="20"/>
        </w:rPr>
        <w:t xml:space="preserve"> </w:t>
      </w:r>
    </w:p>
    <w:p w:rsidR="00AC7865" w:rsidRDefault="00AC7865" w:rsidP="00790B29">
      <w:pPr>
        <w:keepNext/>
        <w:widowControl w:val="0"/>
        <w:spacing w:after="0"/>
        <w:jc w:val="center"/>
        <w:rPr>
          <w:rFonts w:ascii="Tahoma" w:hAnsi="Tahoma" w:cs="Tahoma"/>
          <w:b/>
        </w:rPr>
      </w:pPr>
    </w:p>
    <w:p w:rsidR="00790B29" w:rsidRPr="007711BC" w:rsidRDefault="00790B29" w:rsidP="00790B29">
      <w:pPr>
        <w:keepNext/>
        <w:widowControl w:val="0"/>
        <w:spacing w:after="0"/>
        <w:jc w:val="center"/>
        <w:rPr>
          <w:rFonts w:ascii="Tahoma" w:hAnsi="Tahoma" w:cs="Tahoma"/>
          <w:b/>
        </w:rPr>
      </w:pPr>
      <w:r w:rsidRPr="007711BC">
        <w:rPr>
          <w:rFonts w:ascii="Tahoma" w:hAnsi="Tahoma" w:cs="Tahoma"/>
          <w:b/>
        </w:rPr>
        <w:t xml:space="preserve">Chart </w:t>
      </w:r>
      <w:r w:rsidR="005022CE">
        <w:rPr>
          <w:rFonts w:ascii="Tahoma" w:hAnsi="Tahoma" w:cs="Tahoma"/>
          <w:b/>
        </w:rPr>
        <w:t>8</w:t>
      </w:r>
      <w:r w:rsidRPr="007711BC">
        <w:rPr>
          <w:rFonts w:ascii="Tahoma" w:hAnsi="Tahoma" w:cs="Tahoma"/>
          <w:b/>
        </w:rPr>
        <w:t xml:space="preserve">: </w:t>
      </w:r>
      <w:r>
        <w:rPr>
          <w:rFonts w:ascii="Tahoma" w:hAnsi="Tahoma" w:cs="Tahoma"/>
          <w:b/>
        </w:rPr>
        <w:t>Growth in</w:t>
      </w:r>
      <w:r w:rsidR="00C07256">
        <w:rPr>
          <w:rFonts w:ascii="Tahoma" w:hAnsi="Tahoma" w:cs="Tahoma"/>
          <w:b/>
        </w:rPr>
        <w:t xml:space="preserve"> new</w:t>
      </w:r>
      <w:r>
        <w:rPr>
          <w:rFonts w:ascii="Tahoma" w:hAnsi="Tahoma" w:cs="Tahoma"/>
          <w:b/>
        </w:rPr>
        <w:t xml:space="preserve"> public final demand</w:t>
      </w:r>
    </w:p>
    <w:p w:rsidR="00790B29" w:rsidRPr="00B36A7B" w:rsidRDefault="00DF79D9" w:rsidP="0081079F">
      <w:pPr>
        <w:spacing w:after="0" w:line="240" w:lineRule="auto"/>
        <w:jc w:val="left"/>
        <w:rPr>
          <w:rFonts w:ascii="Tahoma" w:hAnsi="Tahoma" w:cs="Tahoma"/>
          <w:sz w:val="16"/>
          <w:szCs w:val="16"/>
        </w:rPr>
      </w:pPr>
      <w:r>
        <w:rPr>
          <w:rFonts w:cs="Tahoma"/>
        </w:rPr>
        <w:pict>
          <v:shape id="_x0000_i1034" type="#_x0000_t75" style="width:225.95pt;height:225.95pt">
            <v:imagedata r:id="rId27" o:title=""/>
          </v:shape>
        </w:pict>
      </w:r>
      <w:r w:rsidR="00790B29" w:rsidRPr="00FE56C9">
        <w:rPr>
          <w:rFonts w:ascii="Tahoma" w:hAnsi="Tahoma" w:cs="Tahoma"/>
          <w:sz w:val="16"/>
          <w:szCs w:val="16"/>
        </w:rPr>
        <w:t>Source:</w:t>
      </w:r>
      <w:r w:rsidR="00790B29">
        <w:rPr>
          <w:szCs w:val="20"/>
        </w:rPr>
        <w:t xml:space="preserve">  </w:t>
      </w:r>
      <w:r w:rsidR="00790B29" w:rsidRPr="002877EB">
        <w:rPr>
          <w:rFonts w:ascii="Tahoma" w:hAnsi="Tahoma" w:cs="Tahoma"/>
          <w:sz w:val="16"/>
          <w:szCs w:val="16"/>
        </w:rPr>
        <w:t xml:space="preserve">ABS Catalogue Number </w:t>
      </w:r>
      <w:r w:rsidR="00790B29">
        <w:rPr>
          <w:rFonts w:ascii="Tahoma" w:hAnsi="Tahoma" w:cs="Tahoma"/>
          <w:sz w:val="16"/>
          <w:szCs w:val="16"/>
        </w:rPr>
        <w:t>5206.0 and Treasury.</w:t>
      </w:r>
    </w:p>
    <w:p w:rsidR="00B11985" w:rsidRDefault="00B11985" w:rsidP="00B11985">
      <w:pPr>
        <w:spacing w:before="240"/>
      </w:pPr>
      <w:r>
        <w:rPr>
          <w:szCs w:val="20"/>
        </w:rPr>
        <w:t>Forecast growth in public final demand has been revised down in 2011</w:t>
      </w:r>
      <w:r>
        <w:rPr>
          <w:szCs w:val="20"/>
        </w:rPr>
        <w:noBreakHyphen/>
        <w:t xml:space="preserve">12 and 2012-13 since Budget, largely driven </w:t>
      </w:r>
      <w:r>
        <w:t xml:space="preserve">a revised investment profile for the NBN (implying less investment across the forecast horizon than estimated at Budget).  Forecast growth in Commonwealth Government expenditure also incorporates information </w:t>
      </w:r>
      <w:r w:rsidR="0074773B">
        <w:t xml:space="preserve">received since the Budget </w:t>
      </w:r>
      <w:r>
        <w:t xml:space="preserve">for the multijurisdictional sector (principally lower sales of goods and services by universities), resulting in higher forecast growth in Commonwealth Government consumption in 2010-11. </w:t>
      </w:r>
    </w:p>
    <w:p w:rsidR="00162046" w:rsidRPr="009371BB" w:rsidRDefault="00B11985" w:rsidP="00B11985">
      <w:r w:rsidRPr="009371BB">
        <w:t xml:space="preserve">The withdrawal of </w:t>
      </w:r>
      <w:r>
        <w:t xml:space="preserve">the Government’s fiscal </w:t>
      </w:r>
      <w:r w:rsidRPr="009371BB">
        <w:t xml:space="preserve">stimulus continued to detract from growth in the </w:t>
      </w:r>
      <w:r>
        <w:t>March</w:t>
      </w:r>
      <w:r w:rsidRPr="009371BB">
        <w:t xml:space="preserve"> quarter, and further detractions a</w:t>
      </w:r>
      <w:r>
        <w:t>re expected in the June quarter and in 2011</w:t>
      </w:r>
      <w:r>
        <w:noBreakHyphen/>
      </w:r>
      <w:r w:rsidRPr="009371BB">
        <w:t xml:space="preserve">12. The withdrawal of stimulus is expected to detract around 1 percentage point from GDP growth in 2010-11 and ½ </w:t>
      </w:r>
      <w:r>
        <w:t xml:space="preserve">of </w:t>
      </w:r>
      <w:r w:rsidRPr="009371BB">
        <w:t>a percentage point in 2011-12.</w:t>
      </w:r>
    </w:p>
    <w:p w:rsidR="005B389D" w:rsidRDefault="005B389D" w:rsidP="00E415BA">
      <w:pPr>
        <w:pStyle w:val="Heading4"/>
        <w:keepNext w:val="0"/>
        <w:jc w:val="both"/>
      </w:pPr>
      <w:bookmarkStart w:id="39" w:name="_Toc298235801"/>
      <w:r w:rsidRPr="00B0461A">
        <w:t>Exports, imports and the current account deficit</w:t>
      </w:r>
      <w:bookmarkEnd w:id="39"/>
    </w:p>
    <w:p w:rsidR="00D26FE3" w:rsidRPr="00B8367D" w:rsidRDefault="00B11985" w:rsidP="00D26FE3">
      <w:pPr>
        <w:rPr>
          <w:rFonts w:cs="Book Antiqua"/>
          <w:b/>
          <w:szCs w:val="20"/>
        </w:rPr>
      </w:pPr>
      <w:r w:rsidRPr="000F471C">
        <w:rPr>
          <w:b/>
          <w:bCs/>
        </w:rPr>
        <w:t>Net exports</w:t>
      </w:r>
      <w:r w:rsidRPr="000F471C">
        <w:t xml:space="preserve"> are expected to detract 2</w:t>
      </w:r>
      <w:r>
        <w:t> </w:t>
      </w:r>
      <w:r w:rsidRPr="000F471C">
        <w:t xml:space="preserve">percentage points from </w:t>
      </w:r>
      <w:r>
        <w:t xml:space="preserve">real </w:t>
      </w:r>
      <w:r w:rsidRPr="000F471C">
        <w:t xml:space="preserve">GDP growth in </w:t>
      </w:r>
      <w:r>
        <w:br/>
      </w:r>
      <w:r w:rsidRPr="000F471C">
        <w:t xml:space="preserve">2010-11, compared </w:t>
      </w:r>
      <w:r>
        <w:t>with</w:t>
      </w:r>
      <w:r w:rsidRPr="001819C0">
        <w:t xml:space="preserve"> </w:t>
      </w:r>
      <w:r w:rsidRPr="001819C0">
        <w:rPr>
          <w:bCs/>
        </w:rPr>
        <w:t>1</w:t>
      </w:r>
      <w:r w:rsidRPr="001819C0">
        <w:t xml:space="preserve"> percent</w:t>
      </w:r>
      <w:r>
        <w:t>age point</w:t>
      </w:r>
      <w:r w:rsidRPr="001819C0">
        <w:t xml:space="preserve"> </w:t>
      </w:r>
      <w:r>
        <w:t>at Budget, reflecting a larger and more protracted reduction in coal exports due to the floods.</w:t>
      </w:r>
      <w:r w:rsidR="00223045">
        <w:t xml:space="preserve">  </w:t>
      </w:r>
      <w:r w:rsidRPr="00A10EF3">
        <w:t xml:space="preserve">Net exports are </w:t>
      </w:r>
      <w:r>
        <w:t>then expected to detract 1 </w:t>
      </w:r>
      <w:r w:rsidRPr="00A10EF3">
        <w:t xml:space="preserve">percentage point from </w:t>
      </w:r>
      <w:r>
        <w:t xml:space="preserve">real </w:t>
      </w:r>
      <w:r w:rsidRPr="00A10EF3">
        <w:t>GDP growth in 2011</w:t>
      </w:r>
      <w:r w:rsidRPr="00A10EF3">
        <w:noBreakHyphen/>
        <w:t>12 and</w:t>
      </w:r>
      <w:r>
        <w:t xml:space="preserve"> 1¼ percentage points in</w:t>
      </w:r>
      <w:r w:rsidRPr="00A10EF3">
        <w:t xml:space="preserve"> 2012</w:t>
      </w:r>
      <w:r w:rsidRPr="00A10EF3">
        <w:noBreakHyphen/>
        <w:t>13</w:t>
      </w:r>
      <w:r>
        <w:t xml:space="preserve"> (Chart 9).  This is a larger detraction from growth in 2012-13 than forecast at Budget, with forecast growth in c</w:t>
      </w:r>
      <w:r w:rsidRPr="00A10EF3">
        <w:rPr>
          <w:szCs w:val="20"/>
        </w:rPr>
        <w:t xml:space="preserve">apital imports revised </w:t>
      </w:r>
      <w:r>
        <w:rPr>
          <w:szCs w:val="20"/>
        </w:rPr>
        <w:t>higher</w:t>
      </w:r>
      <w:r w:rsidRPr="00A10EF3">
        <w:rPr>
          <w:szCs w:val="20"/>
        </w:rPr>
        <w:t xml:space="preserve"> in line with </w:t>
      </w:r>
      <w:r>
        <w:rPr>
          <w:szCs w:val="20"/>
        </w:rPr>
        <w:t>higher</w:t>
      </w:r>
      <w:r w:rsidRPr="00A10EF3">
        <w:rPr>
          <w:szCs w:val="20"/>
        </w:rPr>
        <w:t xml:space="preserve"> mining investment.</w:t>
      </w:r>
    </w:p>
    <w:p w:rsidR="00E621C3" w:rsidRPr="007711BC" w:rsidRDefault="00E621C3" w:rsidP="00E621C3">
      <w:pPr>
        <w:keepNext/>
        <w:widowControl w:val="0"/>
        <w:spacing w:after="0"/>
        <w:jc w:val="center"/>
        <w:rPr>
          <w:rFonts w:ascii="Tahoma" w:hAnsi="Tahoma" w:cs="Tahoma"/>
          <w:b/>
        </w:rPr>
      </w:pPr>
      <w:r w:rsidRPr="007711BC">
        <w:rPr>
          <w:rFonts w:ascii="Tahoma" w:hAnsi="Tahoma" w:cs="Tahoma"/>
          <w:b/>
        </w:rPr>
        <w:t xml:space="preserve">Chart </w:t>
      </w:r>
      <w:r w:rsidR="00223045">
        <w:rPr>
          <w:rFonts w:ascii="Tahoma" w:hAnsi="Tahoma" w:cs="Tahoma"/>
          <w:b/>
        </w:rPr>
        <w:t>9</w:t>
      </w:r>
      <w:r w:rsidRPr="007711BC">
        <w:rPr>
          <w:rFonts w:ascii="Tahoma" w:hAnsi="Tahoma" w:cs="Tahoma"/>
          <w:b/>
        </w:rPr>
        <w:t xml:space="preserve">: </w:t>
      </w:r>
      <w:r>
        <w:rPr>
          <w:rFonts w:ascii="Tahoma" w:hAnsi="Tahoma" w:cs="Tahoma"/>
          <w:b/>
        </w:rPr>
        <w:t>Net exports – contribution to GDP growth</w:t>
      </w:r>
    </w:p>
    <w:p w:rsidR="00E621C3" w:rsidRDefault="00DF79D9" w:rsidP="00822950">
      <w:pPr>
        <w:keepNext/>
        <w:widowControl w:val="0"/>
        <w:spacing w:after="0" w:line="240" w:lineRule="auto"/>
        <w:jc w:val="left"/>
        <w:rPr>
          <w:rFonts w:ascii="Tahoma" w:hAnsi="Tahoma" w:cs="Tahoma"/>
          <w:sz w:val="16"/>
          <w:szCs w:val="16"/>
        </w:rPr>
      </w:pPr>
      <w:r>
        <w:rPr>
          <w:rFonts w:cs="Tahoma"/>
        </w:rPr>
        <w:pict>
          <v:shape id="_x0000_i1035" type="#_x0000_t75" style="width:225.95pt;height:225.95pt">
            <v:imagedata r:id="rId28" o:title=""/>
          </v:shape>
        </w:pict>
      </w:r>
      <w:r w:rsidR="00E621C3" w:rsidRPr="00FE56C9">
        <w:rPr>
          <w:rFonts w:ascii="Tahoma" w:hAnsi="Tahoma" w:cs="Tahoma"/>
          <w:sz w:val="16"/>
          <w:szCs w:val="16"/>
        </w:rPr>
        <w:t>Source:</w:t>
      </w:r>
      <w:r w:rsidR="00E621C3">
        <w:rPr>
          <w:szCs w:val="20"/>
        </w:rPr>
        <w:t xml:space="preserve">  </w:t>
      </w:r>
      <w:r w:rsidR="00E621C3" w:rsidRPr="002877EB">
        <w:rPr>
          <w:rFonts w:ascii="Tahoma" w:hAnsi="Tahoma" w:cs="Tahoma"/>
          <w:sz w:val="16"/>
          <w:szCs w:val="16"/>
        </w:rPr>
        <w:t xml:space="preserve">ABS Catalogue Number </w:t>
      </w:r>
      <w:r w:rsidR="00E621C3">
        <w:rPr>
          <w:rFonts w:ascii="Tahoma" w:hAnsi="Tahoma" w:cs="Tahoma"/>
          <w:sz w:val="16"/>
          <w:szCs w:val="16"/>
        </w:rPr>
        <w:t>5206.0 and Treasury.</w:t>
      </w:r>
    </w:p>
    <w:p w:rsidR="00B11985" w:rsidRPr="003D0970" w:rsidRDefault="00E621C3" w:rsidP="00B11985">
      <w:pPr>
        <w:rPr>
          <w:rFonts w:cs="Book Antiqua"/>
          <w:szCs w:val="20"/>
        </w:rPr>
      </w:pPr>
      <w:r>
        <w:rPr>
          <w:b/>
          <w:bCs/>
          <w:szCs w:val="20"/>
        </w:rPr>
        <w:br/>
      </w:r>
      <w:r w:rsidR="00B11985" w:rsidRPr="00E27707">
        <w:rPr>
          <w:rFonts w:cs="Book Antiqua"/>
          <w:b/>
          <w:szCs w:val="20"/>
        </w:rPr>
        <w:t>Total exports</w:t>
      </w:r>
      <w:r w:rsidR="00B11985">
        <w:rPr>
          <w:rFonts w:cs="Book Antiqua"/>
          <w:szCs w:val="20"/>
        </w:rPr>
        <w:t xml:space="preserve"> are expected to increase 1 per cent in 2010</w:t>
      </w:r>
      <w:r w:rsidR="00B11985">
        <w:rPr>
          <w:rFonts w:cs="Book Antiqua"/>
          <w:szCs w:val="20"/>
        </w:rPr>
        <w:noBreakHyphen/>
        <w:t>11, 6½</w:t>
      </w:r>
      <w:r w:rsidR="00B11985" w:rsidRPr="003D0970">
        <w:rPr>
          <w:rFonts w:cs="Book Antiqua"/>
          <w:szCs w:val="20"/>
        </w:rPr>
        <w:t xml:space="preserve"> </w:t>
      </w:r>
      <w:r w:rsidR="00B11985">
        <w:rPr>
          <w:rFonts w:cs="Book Antiqua"/>
          <w:szCs w:val="20"/>
        </w:rPr>
        <w:t xml:space="preserve">per cent in 2011-12 and 5½ </w:t>
      </w:r>
      <w:r w:rsidR="00B11985" w:rsidRPr="003D0970">
        <w:rPr>
          <w:rFonts w:cs="Book Antiqua"/>
          <w:szCs w:val="20"/>
        </w:rPr>
        <w:t>per cent in 2012-13.</w:t>
      </w:r>
    </w:p>
    <w:p w:rsidR="009B7164" w:rsidRDefault="00B11985" w:rsidP="00B11985">
      <w:pPr>
        <w:rPr>
          <w:szCs w:val="20"/>
        </w:rPr>
      </w:pPr>
      <w:r w:rsidRPr="000F471C">
        <w:rPr>
          <w:b/>
          <w:bCs/>
        </w:rPr>
        <w:t>Non-rural commodity exports</w:t>
      </w:r>
      <w:r w:rsidRPr="000F471C">
        <w:t xml:space="preserve"> are expected to increase by</w:t>
      </w:r>
      <w:r>
        <w:t xml:space="preserve"> a modest</w:t>
      </w:r>
      <w:r w:rsidRPr="000F471C">
        <w:t xml:space="preserve"> ½ </w:t>
      </w:r>
      <w:r>
        <w:t>a per cent</w:t>
      </w:r>
      <w:r w:rsidRPr="000F471C">
        <w:t xml:space="preserve"> in 2010-11, </w:t>
      </w:r>
      <w:r>
        <w:t xml:space="preserve">before </w:t>
      </w:r>
      <w:r w:rsidRPr="000F471C">
        <w:t>grow</w:t>
      </w:r>
      <w:r>
        <w:t>ing</w:t>
      </w:r>
      <w:r w:rsidRPr="000F471C">
        <w:t xml:space="preserve"> strongly over the next two years,</w:t>
      </w:r>
      <w:r>
        <w:t xml:space="preserve"> with growth of 11½ per cent expected in 2011</w:t>
      </w:r>
      <w:r>
        <w:noBreakHyphen/>
        <w:t>12 and 8 per </w:t>
      </w:r>
      <w:r w:rsidRPr="000F471C">
        <w:t xml:space="preserve">cent </w:t>
      </w:r>
      <w:r>
        <w:t xml:space="preserve">expected </w:t>
      </w:r>
      <w:r w:rsidRPr="000F471C">
        <w:t>in 2012-13</w:t>
      </w:r>
      <w:r>
        <w:t xml:space="preserve">. </w:t>
      </w:r>
      <w:r>
        <w:rPr>
          <w:szCs w:val="20"/>
        </w:rPr>
        <w:t>While production of iron ore has returned to pre-disaster levels, thermal and metallurgical coal production is not expected to return to full capacity until late 2011,</w:t>
      </w:r>
      <w:r w:rsidRPr="009E5F6D">
        <w:rPr>
          <w:szCs w:val="20"/>
        </w:rPr>
        <w:t xml:space="preserve"> </w:t>
      </w:r>
      <w:r>
        <w:rPr>
          <w:szCs w:val="20"/>
        </w:rPr>
        <w:t>with a number of mines still inundated with water (Chart 10). The slower-than-expected recovery is estimated to result in coal production losses of around 35 million tonnes in 2010-11, up from 25 million tonnes estimated at Budget.  Growth in non-rural commodity exports is expected to rebound in 2011-12 as mining operations return to full capacity, and continue to grow strongly in 2012-13 as mine and infrastructure capacity expands.</w:t>
      </w:r>
      <w:r w:rsidR="00223045">
        <w:rPr>
          <w:szCs w:val="20"/>
        </w:rPr>
        <w:t xml:space="preserve"> </w:t>
      </w:r>
    </w:p>
    <w:p w:rsidR="009B7164" w:rsidRPr="00B36A7B" w:rsidRDefault="009B7164" w:rsidP="009B7164">
      <w:pPr>
        <w:keepNext/>
        <w:spacing w:after="0"/>
        <w:jc w:val="center"/>
        <w:rPr>
          <w:rFonts w:ascii="Tahoma" w:hAnsi="Tahoma" w:cs="Tahoma"/>
          <w:b/>
        </w:rPr>
      </w:pPr>
      <w:r w:rsidRPr="00DE13FA">
        <w:rPr>
          <w:rFonts w:ascii="Tahoma" w:hAnsi="Tahoma" w:cs="Tahoma"/>
          <w:b/>
        </w:rPr>
        <w:t xml:space="preserve">Chart </w:t>
      </w:r>
      <w:r>
        <w:rPr>
          <w:rFonts w:ascii="Tahoma" w:hAnsi="Tahoma" w:cs="Tahoma"/>
          <w:b/>
        </w:rPr>
        <w:t>10: Coal and iron ore export</w:t>
      </w:r>
      <w:r w:rsidR="00CB059E">
        <w:rPr>
          <w:rFonts w:ascii="Tahoma" w:hAnsi="Tahoma" w:cs="Tahoma"/>
          <w:b/>
        </w:rPr>
        <w:t xml:space="preserve"> values</w:t>
      </w:r>
    </w:p>
    <w:p w:rsidR="009B7164" w:rsidRDefault="00DF79D9" w:rsidP="00822950">
      <w:pPr>
        <w:spacing w:after="0" w:line="240" w:lineRule="auto"/>
        <w:jc w:val="left"/>
        <w:rPr>
          <w:rFonts w:ascii="Tahoma" w:hAnsi="Tahoma" w:cs="Tahoma"/>
          <w:sz w:val="16"/>
          <w:szCs w:val="16"/>
        </w:rPr>
      </w:pPr>
      <w:r>
        <w:rPr>
          <w:rFonts w:ascii="Tahoma" w:hAnsi="Tahoma" w:cs="Tahoma"/>
          <w:sz w:val="16"/>
          <w:szCs w:val="16"/>
        </w:rPr>
        <w:pict>
          <v:shape id="_x0000_i1036" type="#_x0000_t75" style="width:225.95pt;height:225.95pt">
            <v:imagedata r:id="rId29" o:title=""/>
          </v:shape>
        </w:pict>
      </w:r>
      <w:r w:rsidR="009B7164" w:rsidRPr="00B36A7B">
        <w:rPr>
          <w:rFonts w:ascii="Tahoma" w:hAnsi="Tahoma" w:cs="Tahoma"/>
          <w:sz w:val="16"/>
          <w:szCs w:val="16"/>
        </w:rPr>
        <w:t>Source:</w:t>
      </w:r>
      <w:r w:rsidR="009B7164" w:rsidRPr="00B36A7B">
        <w:rPr>
          <w:szCs w:val="20"/>
        </w:rPr>
        <w:t xml:space="preserve">  </w:t>
      </w:r>
      <w:r w:rsidR="009B7164">
        <w:rPr>
          <w:rFonts w:ascii="Tahoma" w:hAnsi="Tahoma" w:cs="Tahoma"/>
          <w:sz w:val="16"/>
          <w:szCs w:val="16"/>
        </w:rPr>
        <w:t>ABS Catalogue Number 5</w:t>
      </w:r>
      <w:r w:rsidR="006F252D">
        <w:rPr>
          <w:rFonts w:ascii="Tahoma" w:hAnsi="Tahoma" w:cs="Tahoma"/>
          <w:sz w:val="16"/>
          <w:szCs w:val="16"/>
        </w:rPr>
        <w:t>368</w:t>
      </w:r>
      <w:r w:rsidR="009B7164" w:rsidRPr="00B36A7B">
        <w:rPr>
          <w:rFonts w:ascii="Tahoma" w:hAnsi="Tahoma" w:cs="Tahoma"/>
          <w:sz w:val="16"/>
          <w:szCs w:val="16"/>
        </w:rPr>
        <w:t>.0.</w:t>
      </w:r>
    </w:p>
    <w:p w:rsidR="00B11985" w:rsidRDefault="00B11985" w:rsidP="00B11985">
      <w:pPr>
        <w:spacing w:before="240"/>
      </w:pPr>
      <w:r w:rsidRPr="00B1402F">
        <w:rPr>
          <w:bCs/>
        </w:rPr>
        <w:t>The outlook for</w:t>
      </w:r>
      <w:r>
        <w:rPr>
          <w:b/>
          <w:bCs/>
        </w:rPr>
        <w:t xml:space="preserve"> rural exports </w:t>
      </w:r>
      <w:r w:rsidRPr="00B1402F">
        <w:rPr>
          <w:bCs/>
        </w:rPr>
        <w:t>is largely unchanged from Budget.  Rural exports</w:t>
      </w:r>
      <w:r w:rsidRPr="000F471C">
        <w:rPr>
          <w:b/>
          <w:bCs/>
          <w:color w:val="1F497D"/>
        </w:rPr>
        <w:t xml:space="preserve"> </w:t>
      </w:r>
      <w:r>
        <w:t>are expected to grow</w:t>
      </w:r>
      <w:r w:rsidRPr="000F471C">
        <w:t xml:space="preserve"> 9 per cent</w:t>
      </w:r>
      <w:r>
        <w:t xml:space="preserve"> in 2010-11</w:t>
      </w:r>
      <w:r w:rsidRPr="000F471C">
        <w:t xml:space="preserve">, </w:t>
      </w:r>
      <w:r>
        <w:t>1 </w:t>
      </w:r>
      <w:r w:rsidRPr="000F471C">
        <w:t>pe</w:t>
      </w:r>
      <w:r>
        <w:t>r </w:t>
      </w:r>
      <w:r w:rsidRPr="000F471C">
        <w:t xml:space="preserve">cent </w:t>
      </w:r>
      <w:r>
        <w:t>in 2011-12 and</w:t>
      </w:r>
      <w:r w:rsidRPr="000F471C">
        <w:t xml:space="preserve"> 3 per cent in 2012</w:t>
      </w:r>
      <w:r w:rsidRPr="000F471C">
        <w:noBreakHyphen/>
        <w:t xml:space="preserve">13. </w:t>
      </w:r>
      <w:r>
        <w:t>Rural exports are expected to be supported</w:t>
      </w:r>
      <w:r w:rsidRPr="000F471C">
        <w:t xml:space="preserve"> through the </w:t>
      </w:r>
      <w:r>
        <w:t>remainder</w:t>
      </w:r>
      <w:r w:rsidRPr="000F471C">
        <w:t xml:space="preserve"> of 2011 </w:t>
      </w:r>
      <w:r>
        <w:t>by the run</w:t>
      </w:r>
      <w:r w:rsidRPr="000F471C">
        <w:t xml:space="preserve">down </w:t>
      </w:r>
      <w:r>
        <w:t xml:space="preserve">of </w:t>
      </w:r>
      <w:r w:rsidRPr="000F471C">
        <w:t xml:space="preserve">grain inventories built up during the January floods. </w:t>
      </w:r>
    </w:p>
    <w:p w:rsidR="00B11985" w:rsidRPr="000F471C" w:rsidRDefault="00B11985" w:rsidP="00B11985">
      <w:r w:rsidRPr="000F471C">
        <w:rPr>
          <w:b/>
        </w:rPr>
        <w:t>Services’ export</w:t>
      </w:r>
      <w:r w:rsidRPr="000F471C">
        <w:t xml:space="preserve"> forecasts have been downgraded since </w:t>
      </w:r>
      <w:r>
        <w:t xml:space="preserve">Budget, </w:t>
      </w:r>
      <w:r w:rsidR="00260C01">
        <w:t>with</w:t>
      </w:r>
      <w:r w:rsidRPr="000F471C">
        <w:t xml:space="preserve"> </w:t>
      </w:r>
      <w:r w:rsidR="00260C01">
        <w:t>recent declines in</w:t>
      </w:r>
      <w:r w:rsidRPr="000F471C">
        <w:t xml:space="preserve"> international student commencements and tourist arrivals</w:t>
      </w:r>
      <w:r w:rsidR="00260C01">
        <w:t xml:space="preserve"> suggesting that the high exchange rate is having a larger contractionary influence than previously anticipated.  </w:t>
      </w:r>
      <w:r w:rsidRPr="000F471C">
        <w:t>Service</w:t>
      </w:r>
      <w:r>
        <w:t>s</w:t>
      </w:r>
      <w:r w:rsidRPr="000F471C">
        <w:t xml:space="preserve"> exp</w:t>
      </w:r>
      <w:r>
        <w:t>orts are expected to fall 2½ </w:t>
      </w:r>
      <w:r w:rsidR="00260C01">
        <w:t>per cent in 2010-11 and 1½ </w:t>
      </w:r>
      <w:r w:rsidRPr="000F471C">
        <w:t>per cent in 2011-12, before rising by a moderate 1½ per c</w:t>
      </w:r>
      <w:r>
        <w:t>ent in 2012-13. </w:t>
      </w:r>
    </w:p>
    <w:p w:rsidR="00223045" w:rsidRPr="003D0970" w:rsidRDefault="00B11985" w:rsidP="00B11985">
      <w:pPr>
        <w:rPr>
          <w:rFonts w:cs="Book Antiqua"/>
          <w:szCs w:val="20"/>
        </w:rPr>
      </w:pPr>
      <w:r w:rsidRPr="00010061">
        <w:t>Forecast growth in exports of</w:t>
      </w:r>
      <w:r>
        <w:rPr>
          <w:b/>
        </w:rPr>
        <w:t xml:space="preserve"> e</w:t>
      </w:r>
      <w:r w:rsidRPr="000F471C">
        <w:rPr>
          <w:b/>
        </w:rPr>
        <w:t>laborately transformed manufactures</w:t>
      </w:r>
      <w:r w:rsidRPr="000F471C">
        <w:t xml:space="preserve"> (ETMs) </w:t>
      </w:r>
      <w:r>
        <w:t>has</w:t>
      </w:r>
      <w:r w:rsidRPr="000F471C">
        <w:t xml:space="preserve"> also been downgraded since </w:t>
      </w:r>
      <w:r>
        <w:t>Budget.</w:t>
      </w:r>
      <w:r w:rsidRPr="000F471C">
        <w:t>  ETM</w:t>
      </w:r>
      <w:r>
        <w:t>s have recorded weak</w:t>
      </w:r>
      <w:r w:rsidRPr="000F471C">
        <w:t xml:space="preserve"> growth</w:t>
      </w:r>
      <w:r w:rsidRPr="000F471C">
        <w:rPr>
          <w:color w:val="1F497D"/>
        </w:rPr>
        <w:t xml:space="preserve"> </w:t>
      </w:r>
      <w:r w:rsidRPr="000F471C">
        <w:t xml:space="preserve">since the start of the </w:t>
      </w:r>
      <w:r>
        <w:t>GFC</w:t>
      </w:r>
      <w:r w:rsidRPr="000F471C">
        <w:t xml:space="preserve"> a</w:t>
      </w:r>
      <w:r>
        <w:t xml:space="preserve">nd this is expected to continue, with the high exchange rate also </w:t>
      </w:r>
      <w:r w:rsidR="00260C01">
        <w:t>having a larger contractionary influence on this sector than previously anticipated</w:t>
      </w:r>
      <w:r>
        <w:t xml:space="preserve">.  Quarterly declines are expected in the near term, followed by very modest growth in 2012-13.  </w:t>
      </w:r>
      <w:r w:rsidRPr="000F471C">
        <w:t xml:space="preserve"> </w:t>
      </w:r>
      <w:r>
        <w:t>This translates to year</w:t>
      </w:r>
      <w:r>
        <w:noBreakHyphen/>
        <w:t>average</w:t>
      </w:r>
      <w:r w:rsidRPr="000F471C">
        <w:t xml:space="preserve"> gro</w:t>
      </w:r>
      <w:r>
        <w:t>wth of 2 per cent in 2010-11, 0 </w:t>
      </w:r>
      <w:r w:rsidRPr="000F471C">
        <w:t>per cent in 2011-12 and 2 per cent in 2012-13.</w:t>
      </w:r>
      <w:r w:rsidR="00223045" w:rsidRPr="000F471C">
        <w:t xml:space="preserve">  </w:t>
      </w:r>
    </w:p>
    <w:p w:rsidR="00B11985" w:rsidRDefault="00B11985" w:rsidP="00B11985">
      <w:pPr>
        <w:autoSpaceDE w:val="0"/>
        <w:autoSpaceDN w:val="0"/>
        <w:adjustRightInd w:val="0"/>
      </w:pPr>
      <w:r w:rsidRPr="000F471C">
        <w:rPr>
          <w:b/>
          <w:bCs/>
        </w:rPr>
        <w:t>Import</w:t>
      </w:r>
      <w:r w:rsidRPr="000F471C">
        <w:t xml:space="preserve"> volumes are expected to increase strongly over the forecast period, supported by the high exchange rate and capital equipment imports associated with the </w:t>
      </w:r>
      <w:r>
        <w:t>mining investment boom</w:t>
      </w:r>
      <w:r w:rsidRPr="000F471C">
        <w:t xml:space="preserve">. </w:t>
      </w:r>
      <w:r>
        <w:t>Higher forecasts for mining investment has flowed through to stronger</w:t>
      </w:r>
      <w:r w:rsidRPr="000F471C">
        <w:t xml:space="preserve"> </w:t>
      </w:r>
      <w:r>
        <w:t xml:space="preserve">capital </w:t>
      </w:r>
      <w:r w:rsidRPr="000F471C">
        <w:t>import</w:t>
      </w:r>
      <w:r>
        <w:t>s, particularly in 2012</w:t>
      </w:r>
      <w:r>
        <w:noBreakHyphen/>
        <w:t>13</w:t>
      </w:r>
      <w:r w:rsidRPr="000F471C">
        <w:t>. Import volumes are expected to increase 9½</w:t>
      </w:r>
      <w:r>
        <w:t> </w:t>
      </w:r>
      <w:r w:rsidRPr="000F471C">
        <w:t>per cent in 2010-11, 10</w:t>
      </w:r>
      <w:r>
        <w:t>½</w:t>
      </w:r>
      <w:r w:rsidRPr="000F471C">
        <w:t xml:space="preserve"> per cent in 2011-12 and </w:t>
      </w:r>
      <w:r>
        <w:t xml:space="preserve">10 per cent in </w:t>
      </w:r>
      <w:r w:rsidRPr="000F471C">
        <w:t>2012</w:t>
      </w:r>
      <w:r w:rsidRPr="000F471C">
        <w:noBreakHyphen/>
        <w:t>13.</w:t>
      </w:r>
    </w:p>
    <w:p w:rsidR="00B11985" w:rsidRDefault="00B11985" w:rsidP="00B11985">
      <w:r w:rsidRPr="000F471C">
        <w:t xml:space="preserve">The </w:t>
      </w:r>
      <w:r w:rsidRPr="000F471C">
        <w:rPr>
          <w:b/>
          <w:bCs/>
        </w:rPr>
        <w:t>terms of trade</w:t>
      </w:r>
      <w:r w:rsidRPr="000F471C">
        <w:t xml:space="preserve"> forecast</w:t>
      </w:r>
      <w:r>
        <w:t>s for 2010-11</w:t>
      </w:r>
      <w:r w:rsidRPr="000F471C">
        <w:t xml:space="preserve"> </w:t>
      </w:r>
      <w:r>
        <w:t xml:space="preserve">and 2011-12 have </w:t>
      </w:r>
      <w:r w:rsidRPr="000F471C">
        <w:t xml:space="preserve">been upgraded slightly since </w:t>
      </w:r>
      <w:r>
        <w:t>Budget, with prices for Australia’s key non</w:t>
      </w:r>
      <w:r>
        <w:noBreakHyphen/>
        <w:t xml:space="preserve">rural commodities remaining higher than anticipated (Chart 11). </w:t>
      </w:r>
      <w:r w:rsidRPr="000F471C">
        <w:t>Delays in mine recovery operations in Queensland have helped to sustain</w:t>
      </w:r>
      <w:r>
        <w:t xml:space="preserve"> metallurgical</w:t>
      </w:r>
      <w:r w:rsidRPr="000F471C">
        <w:t xml:space="preserve"> coal prices, while</w:t>
      </w:r>
      <w:r>
        <w:t xml:space="preserve"> demand for iron ore </w:t>
      </w:r>
      <w:r w:rsidRPr="000F471C">
        <w:t xml:space="preserve">from China and </w:t>
      </w:r>
      <w:r>
        <w:t xml:space="preserve">the rest of </w:t>
      </w:r>
      <w:r w:rsidRPr="000F471C">
        <w:t xml:space="preserve">developing Asia </w:t>
      </w:r>
      <w:r>
        <w:t>remains solid</w:t>
      </w:r>
      <w:r w:rsidRPr="000F471C">
        <w:t xml:space="preserve">.  </w:t>
      </w:r>
      <w:r>
        <w:t>That said, a large proportion of metallurgical coal has been exported below prevailing spot prices and the June quarter contract price, suggesting that a number of mines that declared force majeure during the floods may be honouring the terms of March quarter contracts when prices were lower. The terms of trade are forecast to grow 20¼</w:t>
      </w:r>
      <w:r w:rsidRPr="000F471C">
        <w:t> per cent in 2010-11</w:t>
      </w:r>
      <w:r>
        <w:t xml:space="preserve"> and 1¼ per cent in 2011-12 to reach a </w:t>
      </w:r>
      <w:r w:rsidRPr="004002EB">
        <w:t>record high</w:t>
      </w:r>
      <w:r w:rsidRPr="000F471C">
        <w:t xml:space="preserve">. </w:t>
      </w:r>
      <w:r>
        <w:t>They are then expected to fall 6 per cent in 2011-12 as short term influences, such as flood disruptions, fade and</w:t>
      </w:r>
      <w:r w:rsidRPr="000F471C">
        <w:t xml:space="preserve"> </w:t>
      </w:r>
      <w:r>
        <w:t xml:space="preserve">significant new </w:t>
      </w:r>
      <w:r w:rsidR="00F45682">
        <w:t xml:space="preserve">global </w:t>
      </w:r>
      <w:r>
        <w:t xml:space="preserve">supply of coal and iron ore </w:t>
      </w:r>
      <w:r w:rsidRPr="000F471C">
        <w:t>comes on line</w:t>
      </w:r>
      <w:r>
        <w:t xml:space="preserve">. </w:t>
      </w:r>
      <w:r w:rsidRPr="00472C87">
        <w:t xml:space="preserve">The terms of trade is expected to be at around the same level </w:t>
      </w:r>
      <w:r>
        <w:t>in 2012-13</w:t>
      </w:r>
      <w:r w:rsidRPr="00472C87">
        <w:t xml:space="preserve"> as forecast at Budget.</w:t>
      </w:r>
      <w:r w:rsidRPr="000F471C">
        <w:t> </w:t>
      </w:r>
    </w:p>
    <w:p w:rsidR="005022CE" w:rsidRPr="003D0970" w:rsidRDefault="00B11985" w:rsidP="00B11985">
      <w:pPr>
        <w:autoSpaceDE w:val="0"/>
        <w:autoSpaceDN w:val="0"/>
        <w:adjustRightInd w:val="0"/>
        <w:rPr>
          <w:rFonts w:cs="Book Antiqua"/>
          <w:szCs w:val="20"/>
        </w:rPr>
      </w:pPr>
      <w:r w:rsidRPr="000F471C">
        <w:t xml:space="preserve">The </w:t>
      </w:r>
      <w:r w:rsidRPr="000F471C">
        <w:rPr>
          <w:b/>
          <w:bCs/>
        </w:rPr>
        <w:t xml:space="preserve">current account </w:t>
      </w:r>
      <w:r w:rsidRPr="000F471C">
        <w:t xml:space="preserve">deficit is expected to narrow sharply </w:t>
      </w:r>
      <w:r>
        <w:t>to</w:t>
      </w:r>
      <w:r w:rsidRPr="000F471C">
        <w:t xml:space="preserve"> 2¼ per cent of GDP in 2010</w:t>
      </w:r>
      <w:r>
        <w:noBreakHyphen/>
      </w:r>
      <w:r w:rsidRPr="000F471C">
        <w:t>11</w:t>
      </w:r>
      <w:r>
        <w:t xml:space="preserve">.  This is a slightly larger deficit than </w:t>
      </w:r>
      <w:r w:rsidRPr="000F471C">
        <w:t xml:space="preserve">expected at </w:t>
      </w:r>
      <w:r>
        <w:t>Budget</w:t>
      </w:r>
      <w:r w:rsidRPr="000F471C">
        <w:t xml:space="preserve">, </w:t>
      </w:r>
      <w:r>
        <w:t xml:space="preserve">due to the larger anticipated impact of the recent natural disasters on non-rural commodity exports.  </w:t>
      </w:r>
      <w:r w:rsidRPr="000F471C">
        <w:t xml:space="preserve">The current account deficit is </w:t>
      </w:r>
      <w:r>
        <w:t xml:space="preserve">then </w:t>
      </w:r>
      <w:r w:rsidRPr="000F471C">
        <w:t>expected to widen to 4 p</w:t>
      </w:r>
      <w:r>
        <w:t>er cent of GDP in 2011-12 and 6½ </w:t>
      </w:r>
      <w:r w:rsidRPr="000F471C">
        <w:t>per cent of GDP in 2012-13,</w:t>
      </w:r>
      <w:r>
        <w:t xml:space="preserve"> as </w:t>
      </w:r>
      <w:r w:rsidRPr="000F471C">
        <w:t xml:space="preserve">prices </w:t>
      </w:r>
      <w:r>
        <w:t>of Australia’s key</w:t>
      </w:r>
      <w:r w:rsidRPr="000F471C">
        <w:t xml:space="preserve"> non</w:t>
      </w:r>
      <w:r w:rsidRPr="000F471C">
        <w:noBreakHyphen/>
        <w:t xml:space="preserve">rural commodities </w:t>
      </w:r>
      <w:r>
        <w:t>ease and import volumes increase strongly.</w:t>
      </w:r>
    </w:p>
    <w:p w:rsidR="00E621C3" w:rsidRDefault="00E621C3" w:rsidP="00E621C3">
      <w:pPr>
        <w:keepNext/>
        <w:widowControl w:val="0"/>
        <w:spacing w:after="0"/>
        <w:jc w:val="center"/>
        <w:rPr>
          <w:rFonts w:ascii="Tahoma" w:hAnsi="Tahoma" w:cs="Tahoma"/>
          <w:b/>
        </w:rPr>
      </w:pPr>
      <w:r w:rsidRPr="00315D18">
        <w:rPr>
          <w:rFonts w:ascii="Tahoma" w:hAnsi="Tahoma" w:cs="Tahoma"/>
          <w:b/>
        </w:rPr>
        <w:t xml:space="preserve">Chart </w:t>
      </w:r>
      <w:r w:rsidR="00274B47">
        <w:rPr>
          <w:rFonts w:ascii="Tahoma" w:hAnsi="Tahoma" w:cs="Tahoma"/>
          <w:b/>
        </w:rPr>
        <w:t>11</w:t>
      </w:r>
      <w:r w:rsidRPr="00315D18">
        <w:rPr>
          <w:rFonts w:ascii="Tahoma" w:hAnsi="Tahoma" w:cs="Tahoma"/>
          <w:b/>
        </w:rPr>
        <w:t>: Terms of Trade</w:t>
      </w:r>
      <w:r>
        <w:rPr>
          <w:rFonts w:ascii="Tahoma" w:hAnsi="Tahoma" w:cs="Tahoma"/>
          <w:b/>
        </w:rPr>
        <w:br/>
      </w:r>
      <w:r w:rsidRPr="009F2DE4">
        <w:rPr>
          <w:rFonts w:ascii="Tahoma" w:hAnsi="Tahoma" w:cs="Tahoma"/>
          <w:b/>
          <w:sz w:val="16"/>
          <w:szCs w:val="16"/>
        </w:rPr>
        <w:t>(2008-09 = 100)</w:t>
      </w:r>
    </w:p>
    <w:p w:rsidR="00E621C3" w:rsidRPr="00E621C3" w:rsidRDefault="00DF79D9" w:rsidP="00822950">
      <w:pPr>
        <w:keepNext/>
        <w:widowControl w:val="0"/>
        <w:spacing w:after="0" w:line="240" w:lineRule="auto"/>
        <w:jc w:val="left"/>
        <w:rPr>
          <w:rFonts w:cs="Tahoma"/>
        </w:rPr>
      </w:pPr>
      <w:r>
        <w:rPr>
          <w:rFonts w:ascii="Tahoma" w:hAnsi="Tahoma" w:cs="Tahoma"/>
          <w:b/>
        </w:rPr>
        <w:pict>
          <v:shape id="_x0000_i1037" type="#_x0000_t75" style="width:225.95pt;height:225.95pt">
            <v:imagedata r:id="rId30" o:title=""/>
          </v:shape>
        </w:pict>
      </w:r>
      <w:r w:rsidR="00E621C3" w:rsidRPr="00FE56C9">
        <w:rPr>
          <w:rFonts w:ascii="Tahoma" w:hAnsi="Tahoma" w:cs="Tahoma"/>
          <w:sz w:val="16"/>
          <w:szCs w:val="16"/>
        </w:rPr>
        <w:t>Source:</w:t>
      </w:r>
      <w:r w:rsidR="00E621C3">
        <w:rPr>
          <w:szCs w:val="20"/>
        </w:rPr>
        <w:t xml:space="preserve">  </w:t>
      </w:r>
      <w:r w:rsidR="00E621C3" w:rsidRPr="002877EB">
        <w:rPr>
          <w:rFonts w:ascii="Tahoma" w:hAnsi="Tahoma" w:cs="Tahoma"/>
          <w:sz w:val="16"/>
          <w:szCs w:val="16"/>
        </w:rPr>
        <w:t xml:space="preserve">ABS Catalogue Number </w:t>
      </w:r>
      <w:r w:rsidR="00E621C3">
        <w:rPr>
          <w:rFonts w:ascii="Tahoma" w:hAnsi="Tahoma" w:cs="Tahoma"/>
          <w:sz w:val="16"/>
          <w:szCs w:val="16"/>
        </w:rPr>
        <w:t>5206.0 and Treasury.</w:t>
      </w:r>
      <w:r w:rsidR="00E621C3">
        <w:rPr>
          <w:rFonts w:cs="Tahoma"/>
        </w:rPr>
        <w:br/>
      </w:r>
    </w:p>
    <w:p w:rsidR="005B389D" w:rsidRDefault="005B389D" w:rsidP="009D7882">
      <w:pPr>
        <w:pStyle w:val="Heading4"/>
        <w:keepNext w:val="0"/>
        <w:spacing w:before="0"/>
      </w:pPr>
      <w:bookmarkStart w:id="40" w:name="_Toc298235802"/>
      <w:r w:rsidRPr="00B0461A">
        <w:t>Employment, wages and inflation</w:t>
      </w:r>
      <w:bookmarkEnd w:id="40"/>
    </w:p>
    <w:bookmarkEnd w:id="26"/>
    <w:bookmarkEnd w:id="36"/>
    <w:bookmarkEnd w:id="37"/>
    <w:p w:rsidR="00B11985" w:rsidRDefault="00B11985" w:rsidP="00B11985">
      <w:pPr>
        <w:autoSpaceDE w:val="0"/>
        <w:autoSpaceDN w:val="0"/>
        <w:rPr>
          <w:szCs w:val="20"/>
        </w:rPr>
      </w:pPr>
      <w:r w:rsidRPr="005179A2">
        <w:rPr>
          <w:szCs w:val="20"/>
        </w:rPr>
        <w:t xml:space="preserve">The labour market outlook has weakened since Budget, </w:t>
      </w:r>
      <w:r>
        <w:rPr>
          <w:szCs w:val="20"/>
        </w:rPr>
        <w:t xml:space="preserve">consistent </w:t>
      </w:r>
      <w:r w:rsidRPr="005179A2">
        <w:rPr>
          <w:szCs w:val="20"/>
        </w:rPr>
        <w:t xml:space="preserve">with the downward revision to forecast real GDP growth. </w:t>
      </w:r>
      <w:r w:rsidRPr="00010061">
        <w:rPr>
          <w:szCs w:val="20"/>
        </w:rPr>
        <w:t xml:space="preserve">Forecast </w:t>
      </w:r>
      <w:r>
        <w:rPr>
          <w:b/>
          <w:szCs w:val="20"/>
        </w:rPr>
        <w:t>e</w:t>
      </w:r>
      <w:r w:rsidRPr="00252B18">
        <w:rPr>
          <w:b/>
          <w:szCs w:val="20"/>
        </w:rPr>
        <w:t>mployment gro</w:t>
      </w:r>
      <w:r w:rsidRPr="00252B18">
        <w:rPr>
          <w:b/>
          <w:bCs/>
          <w:szCs w:val="20"/>
        </w:rPr>
        <w:t>wth</w:t>
      </w:r>
      <w:r w:rsidRPr="002231F1">
        <w:rPr>
          <w:b/>
          <w:bCs/>
          <w:szCs w:val="20"/>
        </w:rPr>
        <w:t xml:space="preserve"> </w:t>
      </w:r>
      <w:r>
        <w:rPr>
          <w:szCs w:val="20"/>
        </w:rPr>
        <w:t xml:space="preserve">has been revised down to </w:t>
      </w:r>
      <w:r w:rsidRPr="002231F1">
        <w:rPr>
          <w:szCs w:val="20"/>
        </w:rPr>
        <w:t>1½ per cent through the year to the June quarter of 2012 and the June quarter of 2013.</w:t>
      </w:r>
      <w:r>
        <w:rPr>
          <w:szCs w:val="20"/>
        </w:rPr>
        <w:t xml:space="preserve"> This is ¼ of a percentage point lower through both years than forecast at Budget.  </w:t>
      </w:r>
    </w:p>
    <w:p w:rsidR="00223045" w:rsidRDefault="00B11985" w:rsidP="00B11985">
      <w:pPr>
        <w:autoSpaceDE w:val="0"/>
        <w:autoSpaceDN w:val="0"/>
        <w:rPr>
          <w:szCs w:val="20"/>
        </w:rPr>
      </w:pPr>
      <w:r>
        <w:rPr>
          <w:szCs w:val="20"/>
        </w:rPr>
        <w:t>After surging in 2010, e</w:t>
      </w:r>
      <w:r w:rsidRPr="002231F1">
        <w:rPr>
          <w:bCs/>
          <w:szCs w:val="20"/>
        </w:rPr>
        <w:t xml:space="preserve">mployment growth </w:t>
      </w:r>
      <w:r>
        <w:rPr>
          <w:bCs/>
          <w:szCs w:val="20"/>
        </w:rPr>
        <w:t xml:space="preserve">has slowed significantly in the first half of 2011 (employment rose 176,000 persons in the second half of 2010, compared to 46,000 in the first half of 2011).  While the </w:t>
      </w:r>
      <w:r w:rsidRPr="002231F1">
        <w:rPr>
          <w:bCs/>
          <w:szCs w:val="20"/>
        </w:rPr>
        <w:t xml:space="preserve">Queensland labour market </w:t>
      </w:r>
      <w:r>
        <w:rPr>
          <w:bCs/>
          <w:szCs w:val="20"/>
        </w:rPr>
        <w:t xml:space="preserve">is </w:t>
      </w:r>
      <w:r w:rsidRPr="002231F1">
        <w:rPr>
          <w:bCs/>
          <w:szCs w:val="20"/>
        </w:rPr>
        <w:t xml:space="preserve">recovering from recent natural disasters broadly as </w:t>
      </w:r>
      <w:r>
        <w:rPr>
          <w:bCs/>
          <w:szCs w:val="20"/>
        </w:rPr>
        <w:t>anticipated, June quarter</w:t>
      </w:r>
      <w:r w:rsidRPr="002231F1">
        <w:rPr>
          <w:bCs/>
          <w:szCs w:val="20"/>
        </w:rPr>
        <w:t xml:space="preserve"> employment growth </w:t>
      </w:r>
      <w:r>
        <w:rPr>
          <w:bCs/>
          <w:szCs w:val="20"/>
        </w:rPr>
        <w:t xml:space="preserve">was </w:t>
      </w:r>
      <w:r w:rsidRPr="002231F1">
        <w:rPr>
          <w:szCs w:val="20"/>
        </w:rPr>
        <w:t xml:space="preserve">weaker than </w:t>
      </w:r>
      <w:r>
        <w:rPr>
          <w:szCs w:val="20"/>
        </w:rPr>
        <w:t>expected</w:t>
      </w:r>
      <w:r w:rsidRPr="000C3FC3">
        <w:rPr>
          <w:bCs/>
          <w:szCs w:val="20"/>
        </w:rPr>
        <w:t xml:space="preserve"> </w:t>
      </w:r>
      <w:r w:rsidRPr="002231F1">
        <w:rPr>
          <w:bCs/>
          <w:szCs w:val="20"/>
        </w:rPr>
        <w:t>at the national level</w:t>
      </w:r>
      <w:r>
        <w:rPr>
          <w:szCs w:val="20"/>
        </w:rPr>
        <w:t xml:space="preserve">.  Forward looking labour demand indicators, including job advertisements and surveyed hiring intentions, have also eased in recent months (Chart 12).  While economic growth is set to pick up over the next two years, driven by the </w:t>
      </w:r>
      <w:r w:rsidRPr="009379A3">
        <w:rPr>
          <w:szCs w:val="20"/>
        </w:rPr>
        <w:t>rapid expan</w:t>
      </w:r>
      <w:r>
        <w:rPr>
          <w:szCs w:val="20"/>
        </w:rPr>
        <w:t>sion of the</w:t>
      </w:r>
      <w:r w:rsidRPr="009379A3">
        <w:rPr>
          <w:szCs w:val="20"/>
        </w:rPr>
        <w:t xml:space="preserve"> mining and related sectors</w:t>
      </w:r>
      <w:r>
        <w:rPr>
          <w:szCs w:val="20"/>
        </w:rPr>
        <w:t xml:space="preserve">, these sectors </w:t>
      </w:r>
      <w:r w:rsidRPr="009379A3">
        <w:rPr>
          <w:szCs w:val="20"/>
        </w:rPr>
        <w:t>employ only a small fraction of the total workforce</w:t>
      </w:r>
      <w:r>
        <w:rPr>
          <w:szCs w:val="20"/>
        </w:rPr>
        <w:t>.  Therefore,</w:t>
      </w:r>
      <w:r w:rsidRPr="009379A3">
        <w:rPr>
          <w:szCs w:val="20"/>
        </w:rPr>
        <w:t xml:space="preserve"> demand for labour is not expected to be </w:t>
      </w:r>
      <w:r>
        <w:rPr>
          <w:szCs w:val="20"/>
        </w:rPr>
        <w:t>as strong a</w:t>
      </w:r>
      <w:r w:rsidRPr="009379A3">
        <w:rPr>
          <w:szCs w:val="20"/>
        </w:rPr>
        <w:t xml:space="preserve">s the </w:t>
      </w:r>
      <w:r>
        <w:rPr>
          <w:szCs w:val="20"/>
        </w:rPr>
        <w:t>aggregate real GDP</w:t>
      </w:r>
      <w:r w:rsidRPr="009379A3">
        <w:rPr>
          <w:szCs w:val="20"/>
        </w:rPr>
        <w:t xml:space="preserve"> growth forecasts might suggest.</w:t>
      </w:r>
    </w:p>
    <w:p w:rsidR="00240155" w:rsidRPr="00715628" w:rsidRDefault="00240155" w:rsidP="00240155">
      <w:pPr>
        <w:keepNext/>
        <w:spacing w:after="0"/>
        <w:jc w:val="center"/>
        <w:rPr>
          <w:rFonts w:ascii="Tahoma" w:hAnsi="Tahoma" w:cs="Tahoma"/>
          <w:b/>
        </w:rPr>
      </w:pPr>
      <w:r w:rsidRPr="00715628">
        <w:rPr>
          <w:rFonts w:ascii="Tahoma" w:hAnsi="Tahoma" w:cs="Tahoma"/>
          <w:b/>
        </w:rPr>
        <w:t xml:space="preserve">Chart </w:t>
      </w:r>
      <w:r>
        <w:rPr>
          <w:rFonts w:ascii="Tahoma" w:hAnsi="Tahoma" w:cs="Tahoma"/>
          <w:b/>
        </w:rPr>
        <w:t>12</w:t>
      </w:r>
      <w:r w:rsidRPr="00715628">
        <w:rPr>
          <w:rFonts w:ascii="Tahoma" w:hAnsi="Tahoma" w:cs="Tahoma"/>
          <w:b/>
        </w:rPr>
        <w:t xml:space="preserve">: </w:t>
      </w:r>
      <w:r w:rsidR="00274B47" w:rsidRPr="00274B47">
        <w:rPr>
          <w:rFonts w:ascii="Tahoma" w:hAnsi="Tahoma" w:cs="Tahoma"/>
          <w:b/>
        </w:rPr>
        <w:t>Employment growth and ANZ jobs advertisements growth</w:t>
      </w:r>
      <w:r w:rsidR="006F252D">
        <w:rPr>
          <w:rFonts w:ascii="Tahoma" w:hAnsi="Tahoma" w:cs="Tahoma"/>
          <w:b/>
        </w:rPr>
        <w:t xml:space="preserve"> (trend)</w:t>
      </w:r>
    </w:p>
    <w:p w:rsidR="00240155" w:rsidRPr="005F7DAE" w:rsidRDefault="00DF79D9" w:rsidP="00822950">
      <w:pPr>
        <w:spacing w:after="0" w:line="240" w:lineRule="auto"/>
        <w:jc w:val="left"/>
        <w:rPr>
          <w:b/>
          <w:szCs w:val="20"/>
        </w:rPr>
      </w:pPr>
      <w:r>
        <w:rPr>
          <w:noProof/>
          <w:lang w:eastAsia="en-AU"/>
        </w:rPr>
        <w:pict>
          <v:shape id="_x0000_i1038" type="#_x0000_t75" style="width:225.95pt;height:225.95pt">
            <v:imagedata r:id="rId31" o:title=""/>
          </v:shape>
        </w:pict>
      </w:r>
      <w:r w:rsidR="00240155" w:rsidRPr="00515E7C">
        <w:rPr>
          <w:rFonts w:ascii="Tahoma" w:hAnsi="Tahoma" w:cs="Tahoma"/>
          <w:sz w:val="16"/>
          <w:szCs w:val="16"/>
        </w:rPr>
        <w:t>So</w:t>
      </w:r>
      <w:r w:rsidR="00240155">
        <w:rPr>
          <w:rFonts w:ascii="Tahoma" w:hAnsi="Tahoma" w:cs="Tahoma"/>
          <w:sz w:val="16"/>
          <w:szCs w:val="16"/>
        </w:rPr>
        <w:t>urce: ABS Catalogue Number</w:t>
      </w:r>
      <w:r w:rsidR="00790B29" w:rsidRPr="00790B29">
        <w:rPr>
          <w:rFonts w:ascii="Tahoma" w:hAnsi="Tahoma" w:cs="Tahoma"/>
          <w:sz w:val="16"/>
          <w:szCs w:val="16"/>
        </w:rPr>
        <w:t xml:space="preserve"> 6202.0 and ANZ Job Advertisement Series</w:t>
      </w:r>
      <w:r w:rsidR="00240155">
        <w:rPr>
          <w:rFonts w:ascii="Tahoma" w:hAnsi="Tahoma" w:cs="Tahoma"/>
          <w:sz w:val="16"/>
          <w:szCs w:val="16"/>
        </w:rPr>
        <w:t>.</w:t>
      </w:r>
    </w:p>
    <w:p w:rsidR="00B11985" w:rsidRDefault="0074773B" w:rsidP="00B11985">
      <w:pPr>
        <w:autoSpaceDE w:val="0"/>
        <w:autoSpaceDN w:val="0"/>
        <w:spacing w:before="240"/>
      </w:pPr>
      <w:r>
        <w:rPr>
          <w:szCs w:val="20"/>
        </w:rPr>
        <w:t>After peaking at 66.0 per cent, the participation rate fell to 65.6 per cent in June. Consequently</w:t>
      </w:r>
      <w:r w:rsidR="00B11985">
        <w:rPr>
          <w:szCs w:val="20"/>
        </w:rPr>
        <w:t>,</w:t>
      </w:r>
      <w:r w:rsidR="00B11985" w:rsidRPr="002231F1">
        <w:rPr>
          <w:szCs w:val="20"/>
        </w:rPr>
        <w:t xml:space="preserve"> the </w:t>
      </w:r>
      <w:r w:rsidR="00B11985">
        <w:rPr>
          <w:szCs w:val="20"/>
        </w:rPr>
        <w:t xml:space="preserve">forecast </w:t>
      </w:r>
      <w:r w:rsidR="00B11985" w:rsidRPr="00D31743">
        <w:rPr>
          <w:b/>
          <w:szCs w:val="20"/>
        </w:rPr>
        <w:t>participation rate</w:t>
      </w:r>
      <w:r w:rsidR="00B11985" w:rsidRPr="002231F1">
        <w:rPr>
          <w:szCs w:val="20"/>
        </w:rPr>
        <w:t xml:space="preserve"> has been revised down </w:t>
      </w:r>
      <w:r w:rsidR="00B11985">
        <w:rPr>
          <w:szCs w:val="20"/>
        </w:rPr>
        <w:t>to</w:t>
      </w:r>
      <w:r w:rsidR="00B11985" w:rsidRPr="002231F1">
        <w:rPr>
          <w:szCs w:val="20"/>
        </w:rPr>
        <w:t xml:space="preserve"> 65½</w:t>
      </w:r>
      <w:r w:rsidR="00B11985">
        <w:rPr>
          <w:szCs w:val="20"/>
        </w:rPr>
        <w:t xml:space="preserve"> </w:t>
      </w:r>
      <w:r w:rsidR="00B11985" w:rsidRPr="002231F1">
        <w:rPr>
          <w:szCs w:val="20"/>
        </w:rPr>
        <w:t xml:space="preserve">per cent </w:t>
      </w:r>
      <w:r w:rsidR="00B11985">
        <w:rPr>
          <w:szCs w:val="20"/>
        </w:rPr>
        <w:t>across the forecast horizon, down from 66 per cent at Budget</w:t>
      </w:r>
      <w:r w:rsidR="00B11985" w:rsidRPr="002231F1">
        <w:rPr>
          <w:szCs w:val="20"/>
        </w:rPr>
        <w:t xml:space="preserve">. </w:t>
      </w:r>
      <w:r w:rsidR="00B11985">
        <w:rPr>
          <w:szCs w:val="20"/>
        </w:rPr>
        <w:t>Nevertheless, weaker forecast employment growth is still expected to translate to a more gradual decline in the unemployment rate, from 4.9 per cent currently to 4¾ per cent by the June quarter 2013.</w:t>
      </w:r>
    </w:p>
    <w:p w:rsidR="00223045" w:rsidRDefault="00B11985" w:rsidP="00B11985">
      <w:r>
        <w:t xml:space="preserve">The </w:t>
      </w:r>
      <w:r w:rsidRPr="008D4F89">
        <w:rPr>
          <w:b/>
        </w:rPr>
        <w:t>Wage Price Index</w:t>
      </w:r>
      <w:r>
        <w:t xml:space="preserve"> is expected to grow by a solid 4 per ce</w:t>
      </w:r>
      <w:r w:rsidR="00F45682">
        <w:t>nt in each forecast year (Chart </w:t>
      </w:r>
      <w:r>
        <w:t>13). Forecast wages growth has been revised down by ¼ of a percentage point in 2012-13,  consistent with lower expected employment growth and a more gradual forecast decline in the unemployment rate.</w:t>
      </w:r>
      <w:r w:rsidR="00223045">
        <w:t xml:space="preserve">  </w:t>
      </w:r>
    </w:p>
    <w:p w:rsidR="00535CED" w:rsidRPr="005F7DAE" w:rsidRDefault="00B11985" w:rsidP="000A59D0">
      <w:pPr>
        <w:rPr>
          <w:rFonts w:ascii="Tahoma" w:hAnsi="Tahoma" w:cs="Tahoma"/>
          <w:sz w:val="16"/>
          <w:szCs w:val="16"/>
        </w:rPr>
      </w:pPr>
      <w:r>
        <w:rPr>
          <w:szCs w:val="20"/>
        </w:rPr>
        <w:t xml:space="preserve">After accelerating through 2010, wages growth has stabilised in the first half of 2011.  </w:t>
      </w:r>
      <w:r>
        <w:t>The Wage Price Index (WPI) increased 3.8 per cent through the year to March, only marginally above its 10-year trend average and consistent with growth in Average Weekly Ordinary Time Earnings (AWOTE) over the same period.  Further, according to DEEWR’s Trends in Federal Enterprise Bargaining, the Average Annualised Wage Increase for agreements certified in the December quarter, at 3.8 per cent, was lower than in the September quarter. Shortages of specialised labour in the resource and construction sectors are generating localised wage pressures, with recent wage agreements in the order of 5</w:t>
      </w:r>
      <w:r>
        <w:noBreakHyphen/>
        <w:t xml:space="preserve">10 per cent in some specific professions.  Elsewhere in the economy, however, firms are generally providing increases of </w:t>
      </w:r>
      <w:r w:rsidRPr="000A59D0">
        <w:rPr>
          <w:szCs w:val="20"/>
        </w:rPr>
        <w:t>around</w:t>
      </w:r>
      <w:r>
        <w:t xml:space="preserve"> 3-4 per cent, with no evidence of accelerating wage pressures.</w:t>
      </w:r>
    </w:p>
    <w:p w:rsidR="00535CED" w:rsidRPr="00715628" w:rsidRDefault="00535CED" w:rsidP="00715628">
      <w:pPr>
        <w:keepNext/>
        <w:spacing w:after="0"/>
        <w:jc w:val="center"/>
        <w:rPr>
          <w:rFonts w:ascii="Tahoma" w:hAnsi="Tahoma" w:cs="Tahoma"/>
          <w:b/>
        </w:rPr>
      </w:pPr>
      <w:r w:rsidRPr="00715628">
        <w:rPr>
          <w:rFonts w:ascii="Tahoma" w:hAnsi="Tahoma" w:cs="Tahoma"/>
          <w:b/>
        </w:rPr>
        <w:t xml:space="preserve">Chart </w:t>
      </w:r>
      <w:r w:rsidR="00240155">
        <w:rPr>
          <w:rFonts w:ascii="Tahoma" w:hAnsi="Tahoma" w:cs="Tahoma"/>
          <w:b/>
        </w:rPr>
        <w:t>13</w:t>
      </w:r>
      <w:r w:rsidRPr="00715628">
        <w:rPr>
          <w:rFonts w:ascii="Tahoma" w:hAnsi="Tahoma" w:cs="Tahoma"/>
          <w:b/>
        </w:rPr>
        <w:t>: Wage Price Index growth</w:t>
      </w:r>
    </w:p>
    <w:p w:rsidR="00535CED" w:rsidRPr="005F7DAE" w:rsidRDefault="007B541D" w:rsidP="00822950">
      <w:pPr>
        <w:spacing w:after="0" w:line="240" w:lineRule="auto"/>
        <w:jc w:val="left"/>
        <w:rPr>
          <w:b/>
          <w:szCs w:val="20"/>
        </w:rPr>
      </w:pPr>
      <w:r>
        <w:rPr>
          <w:noProof/>
        </w:rPr>
        <w:pict>
          <v:shapetype id="_x0000_t202" coordsize="21600,21600" o:spt="202" path="m,l,21600r21600,l21600,xe">
            <v:stroke joinstyle="miter"/>
            <v:path gradientshapeok="t" o:connecttype="rect"/>
          </v:shapetype>
          <v:shape id="TextBox 2" o:spid="_x0000_s1042" type="#_x0000_t202" style="position:absolute;margin-left:66.35pt;margin-top:118.4pt;width:72.7pt;height:16.4pt;z-index:25165926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" filled="f" stroked="f">
            <v:textbox style="mso-next-textbox:#TextBox 2;mso-fit-shape-to-text:t">
              <w:txbxContent>
                <w:p w:rsidR="00D8108B" w:rsidRDefault="00D8108B" w:rsidP="001814C4">
                  <w:pPr>
                    <w:pStyle w:val="NormalWeb"/>
                    <w:spacing w:before="0" w:beforeAutospacing="0" w:after="0" w:afterAutospacing="0"/>
                  </w:pPr>
                  <w:r w:rsidRPr="001814C4">
                    <w:rPr>
                      <w:rFonts w:ascii="Arial" w:hAnsi="Arial" w:cs="Arial"/>
                      <w:color w:val="FF0000"/>
                      <w:sz w:val="16"/>
                      <w:szCs w:val="16"/>
                    </w:rPr>
                    <w:t>10-year average</w:t>
                  </w:r>
                </w:p>
              </w:txbxContent>
            </v:textbox>
          </v:shape>
        </w:pict>
      </w:r>
      <w:r w:rsidR="00DF79D9">
        <w:rPr>
          <w:noProof/>
          <w:lang w:eastAsia="en-AU"/>
        </w:rPr>
        <w:pict>
          <v:shape id="_x0000_i1039" type="#_x0000_t75" style="width:225.95pt;height:225.95pt">
            <v:imagedata r:id="rId32" o:title=""/>
          </v:shape>
        </w:pict>
      </w:r>
      <w:r w:rsidR="00535CED" w:rsidRPr="00515E7C">
        <w:rPr>
          <w:rFonts w:ascii="Tahoma" w:hAnsi="Tahoma" w:cs="Tahoma"/>
          <w:sz w:val="16"/>
          <w:szCs w:val="16"/>
        </w:rPr>
        <w:t>So</w:t>
      </w:r>
      <w:r w:rsidR="00535CED">
        <w:rPr>
          <w:rFonts w:ascii="Tahoma" w:hAnsi="Tahoma" w:cs="Tahoma"/>
          <w:sz w:val="16"/>
          <w:szCs w:val="16"/>
        </w:rPr>
        <w:t>urce: ABS Catalogue Number 6345.0 and Treasury.</w:t>
      </w:r>
    </w:p>
    <w:p w:rsidR="003436BE" w:rsidRDefault="003436BE" w:rsidP="003436BE">
      <w:pPr>
        <w:spacing w:after="120"/>
      </w:pPr>
    </w:p>
    <w:p w:rsidR="00AC78BB" w:rsidRDefault="00B11985" w:rsidP="00AC78BB">
      <w:pPr>
        <w:rPr>
          <w:szCs w:val="20"/>
        </w:rPr>
      </w:pPr>
      <w:r>
        <w:rPr>
          <w:szCs w:val="20"/>
        </w:rPr>
        <w:t>The f</w:t>
      </w:r>
      <w:r w:rsidRPr="00CC18B5">
        <w:rPr>
          <w:szCs w:val="20"/>
        </w:rPr>
        <w:t xml:space="preserve">orecasts for </w:t>
      </w:r>
      <w:r w:rsidRPr="00E578E1">
        <w:rPr>
          <w:b/>
          <w:szCs w:val="20"/>
        </w:rPr>
        <w:t xml:space="preserve">headline and underlying inflation </w:t>
      </w:r>
      <w:r>
        <w:rPr>
          <w:szCs w:val="20"/>
        </w:rPr>
        <w:t>have also been revised down since</w:t>
      </w:r>
      <w:r w:rsidRPr="00CC18B5">
        <w:rPr>
          <w:szCs w:val="20"/>
        </w:rPr>
        <w:t xml:space="preserve"> Budget</w:t>
      </w:r>
      <w:r>
        <w:rPr>
          <w:szCs w:val="20"/>
        </w:rPr>
        <w:t>, with capacity pressures now expected to build more gradually over the forecast horizon</w:t>
      </w:r>
      <w:r w:rsidRPr="00CC18B5">
        <w:rPr>
          <w:szCs w:val="20"/>
        </w:rPr>
        <w:t xml:space="preserve">. </w:t>
      </w:r>
      <w:r>
        <w:rPr>
          <w:szCs w:val="20"/>
        </w:rPr>
        <w:t>U</w:t>
      </w:r>
      <w:r w:rsidRPr="00CC18B5">
        <w:rPr>
          <w:szCs w:val="20"/>
        </w:rPr>
        <w:t xml:space="preserve">nderlying inflation </w:t>
      </w:r>
      <w:r>
        <w:rPr>
          <w:szCs w:val="20"/>
        </w:rPr>
        <w:t xml:space="preserve">is </w:t>
      </w:r>
      <w:r w:rsidRPr="00CC18B5">
        <w:rPr>
          <w:szCs w:val="20"/>
        </w:rPr>
        <w:t xml:space="preserve">forecast to rise from 2½ per cent </w:t>
      </w:r>
      <w:r>
        <w:rPr>
          <w:szCs w:val="20"/>
        </w:rPr>
        <w:t>through the year to</w:t>
      </w:r>
      <w:r w:rsidRPr="00CC18B5">
        <w:rPr>
          <w:szCs w:val="20"/>
        </w:rPr>
        <w:t xml:space="preserve"> June 2011 to </w:t>
      </w:r>
      <w:r>
        <w:rPr>
          <w:szCs w:val="20"/>
        </w:rPr>
        <w:t>2¾</w:t>
      </w:r>
      <w:r w:rsidRPr="00CC18B5">
        <w:rPr>
          <w:szCs w:val="20"/>
        </w:rPr>
        <w:t xml:space="preserve"> per cent </w:t>
      </w:r>
      <w:r>
        <w:rPr>
          <w:szCs w:val="20"/>
        </w:rPr>
        <w:t>through the year to</w:t>
      </w:r>
      <w:r w:rsidRPr="00CC18B5">
        <w:rPr>
          <w:szCs w:val="20"/>
        </w:rPr>
        <w:t xml:space="preserve"> </w:t>
      </w:r>
      <w:r>
        <w:rPr>
          <w:szCs w:val="20"/>
        </w:rPr>
        <w:t xml:space="preserve">both </w:t>
      </w:r>
      <w:r w:rsidRPr="00CC18B5">
        <w:rPr>
          <w:szCs w:val="20"/>
        </w:rPr>
        <w:t>June</w:t>
      </w:r>
      <w:r>
        <w:rPr>
          <w:szCs w:val="20"/>
        </w:rPr>
        <w:t> </w:t>
      </w:r>
      <w:r w:rsidRPr="00CC18B5">
        <w:rPr>
          <w:szCs w:val="20"/>
        </w:rPr>
        <w:t>201</w:t>
      </w:r>
      <w:r>
        <w:rPr>
          <w:szCs w:val="20"/>
        </w:rPr>
        <w:t>2 and June 2013, as the dampening influence of the exchange rate appreciation dissipates, the resources boom places pressure on the cost of some labour and materials, and supported by continued strong growth in the price of utilities and other administered items</w:t>
      </w:r>
      <w:r w:rsidRPr="00CC18B5">
        <w:rPr>
          <w:szCs w:val="20"/>
        </w:rPr>
        <w:t xml:space="preserve">. </w:t>
      </w:r>
      <w:r>
        <w:rPr>
          <w:szCs w:val="20"/>
        </w:rPr>
        <w:t xml:space="preserve"> </w:t>
      </w:r>
      <w:r w:rsidRPr="00CC18B5">
        <w:rPr>
          <w:szCs w:val="20"/>
        </w:rPr>
        <w:t xml:space="preserve">Headline inflation is </w:t>
      </w:r>
      <w:r>
        <w:rPr>
          <w:szCs w:val="20"/>
        </w:rPr>
        <w:t xml:space="preserve">also </w:t>
      </w:r>
      <w:r w:rsidRPr="00CC18B5">
        <w:rPr>
          <w:szCs w:val="20"/>
        </w:rPr>
        <w:t xml:space="preserve">expected to </w:t>
      </w:r>
      <w:r>
        <w:rPr>
          <w:szCs w:val="20"/>
        </w:rPr>
        <w:t xml:space="preserve">be 2¾ per cent in the June 2013 </w:t>
      </w:r>
      <w:r w:rsidRPr="00CC18B5">
        <w:rPr>
          <w:szCs w:val="20"/>
        </w:rPr>
        <w:t xml:space="preserve">after spiking </w:t>
      </w:r>
      <w:r>
        <w:rPr>
          <w:szCs w:val="20"/>
        </w:rPr>
        <w:t>at 3</w:t>
      </w:r>
      <w:r w:rsidR="00B67AEF">
        <w:rPr>
          <w:szCs w:val="20"/>
        </w:rPr>
        <w:t xml:space="preserve">¼ </w:t>
      </w:r>
      <w:r>
        <w:rPr>
          <w:szCs w:val="20"/>
        </w:rPr>
        <w:t xml:space="preserve"> per cent in June 2011, </w:t>
      </w:r>
      <w:r w:rsidRPr="00CC18B5">
        <w:rPr>
          <w:szCs w:val="20"/>
        </w:rPr>
        <w:t>due to the impact of flooding and Cyclone Yasi on fruit and vegetable prices and recent increases in world oil prices</w:t>
      </w:r>
      <w:r>
        <w:rPr>
          <w:szCs w:val="20"/>
        </w:rPr>
        <w:t xml:space="preserve"> </w:t>
      </w:r>
      <w:r w:rsidRPr="00E578E1">
        <w:rPr>
          <w:szCs w:val="20"/>
        </w:rPr>
        <w:t xml:space="preserve">(Chart </w:t>
      </w:r>
      <w:r>
        <w:rPr>
          <w:szCs w:val="20"/>
        </w:rPr>
        <w:t>14</w:t>
      </w:r>
      <w:r w:rsidRPr="00E578E1">
        <w:rPr>
          <w:szCs w:val="20"/>
        </w:rPr>
        <w:t>)</w:t>
      </w:r>
      <w:r w:rsidRPr="00CC18B5">
        <w:rPr>
          <w:szCs w:val="20"/>
        </w:rPr>
        <w:t>.</w:t>
      </w:r>
    </w:p>
    <w:p w:rsidR="00AC78BB" w:rsidRPr="00333097" w:rsidRDefault="00AC78BB" w:rsidP="00AC78BB">
      <w:pPr>
        <w:keepNext/>
        <w:spacing w:after="0"/>
        <w:jc w:val="center"/>
        <w:rPr>
          <w:rFonts w:ascii="Tahoma" w:hAnsi="Tahoma" w:cs="Tahoma"/>
          <w:b/>
        </w:rPr>
      </w:pPr>
      <w:r w:rsidRPr="00333097">
        <w:rPr>
          <w:rFonts w:ascii="Tahoma" w:hAnsi="Tahoma" w:cs="Tahoma"/>
          <w:b/>
        </w:rPr>
        <w:t xml:space="preserve">Chart </w:t>
      </w:r>
      <w:r>
        <w:rPr>
          <w:rFonts w:ascii="Tahoma" w:hAnsi="Tahoma" w:cs="Tahoma"/>
          <w:b/>
        </w:rPr>
        <w:t>1</w:t>
      </w:r>
      <w:r w:rsidR="00223045">
        <w:rPr>
          <w:rFonts w:ascii="Tahoma" w:hAnsi="Tahoma" w:cs="Tahoma"/>
          <w:b/>
        </w:rPr>
        <w:t>4</w:t>
      </w:r>
      <w:r w:rsidRPr="00333097">
        <w:rPr>
          <w:rFonts w:ascii="Tahoma" w:hAnsi="Tahoma" w:cs="Tahoma"/>
          <w:b/>
        </w:rPr>
        <w:t>: Inflation</w:t>
      </w:r>
    </w:p>
    <w:p w:rsidR="00AC78BB" w:rsidRPr="00E467DA" w:rsidRDefault="00DF79D9" w:rsidP="00822950">
      <w:pPr>
        <w:spacing w:after="0" w:line="240" w:lineRule="auto"/>
        <w:jc w:val="left"/>
        <w:rPr>
          <w:b/>
          <w:szCs w:val="20"/>
        </w:rPr>
      </w:pPr>
      <w:r>
        <w:rPr>
          <w:b/>
          <w:szCs w:val="20"/>
        </w:rPr>
        <w:pict>
          <v:shape id="_x0000_i1040" type="#_x0000_t75" style="width:227.15pt;height:225.95pt">
            <v:imagedata r:id="rId33" o:title=""/>
          </v:shape>
        </w:pict>
      </w:r>
      <w:r w:rsidR="00AC78BB" w:rsidRPr="00FE56C9">
        <w:rPr>
          <w:rFonts w:ascii="Tahoma" w:hAnsi="Tahoma" w:cs="Tahoma"/>
          <w:sz w:val="16"/>
          <w:szCs w:val="16"/>
        </w:rPr>
        <w:t>Source:</w:t>
      </w:r>
      <w:r w:rsidR="00AC78BB">
        <w:rPr>
          <w:szCs w:val="20"/>
        </w:rPr>
        <w:t xml:space="preserve">  </w:t>
      </w:r>
      <w:r w:rsidR="00AC78BB" w:rsidRPr="002877EB">
        <w:rPr>
          <w:rFonts w:ascii="Tahoma" w:hAnsi="Tahoma" w:cs="Tahoma"/>
          <w:sz w:val="16"/>
          <w:szCs w:val="16"/>
        </w:rPr>
        <w:t>A</w:t>
      </w:r>
      <w:r w:rsidR="00AC78BB">
        <w:rPr>
          <w:rFonts w:ascii="Tahoma" w:hAnsi="Tahoma" w:cs="Tahoma"/>
          <w:sz w:val="16"/>
          <w:szCs w:val="16"/>
        </w:rPr>
        <w:t xml:space="preserve">BS Catalogue Number 6401.0 </w:t>
      </w:r>
      <w:r w:rsidR="00AC78BB" w:rsidRPr="002877EB">
        <w:rPr>
          <w:rFonts w:ascii="Tahoma" w:hAnsi="Tahoma" w:cs="Tahoma"/>
          <w:sz w:val="16"/>
          <w:szCs w:val="16"/>
        </w:rPr>
        <w:t>and Treasury.</w:t>
      </w:r>
    </w:p>
    <w:p w:rsidR="00AC78BB" w:rsidRDefault="00AC78BB" w:rsidP="00AC78BB">
      <w:pPr>
        <w:rPr>
          <w:rFonts w:ascii="Tahoma" w:hAnsi="Tahoma" w:cs="Tahoma"/>
          <w:b/>
        </w:rPr>
      </w:pPr>
    </w:p>
    <w:p w:rsidR="00AC78BB" w:rsidRDefault="00AC78BB" w:rsidP="00AC78BB">
      <w:pPr>
        <w:rPr>
          <w:rFonts w:ascii="Tahoma" w:hAnsi="Tahoma" w:cs="Tahoma"/>
          <w:b/>
        </w:rPr>
      </w:pPr>
    </w:p>
    <w:p w:rsidR="00405DE2" w:rsidRDefault="00405DE2" w:rsidP="00405DE2">
      <w:pPr>
        <w:rPr>
          <w:szCs w:val="20"/>
        </w:rPr>
        <w:sectPr w:rsidR="00405DE2" w:rsidSect="00736A29">
          <w:headerReference w:type="even" r:id="rId34"/>
          <w:footerReference w:type="default" r:id="rId35"/>
          <w:type w:val="continuous"/>
          <w:pgSz w:w="11907" w:h="16840" w:code="9"/>
          <w:pgMar w:top="1418" w:right="1418" w:bottom="1418" w:left="1418" w:header="567" w:footer="567" w:gutter="0"/>
          <w:cols w:num="2" w:space="720"/>
        </w:sectPr>
      </w:pPr>
    </w:p>
    <w:p w:rsidR="00405DE2" w:rsidRDefault="00405DE2" w:rsidP="00B33EC4">
      <w:pPr>
        <w:rPr>
          <w:szCs w:val="20"/>
        </w:rPr>
        <w:sectPr w:rsidR="00405DE2" w:rsidSect="00405DE2">
          <w:type w:val="continuous"/>
          <w:pgSz w:w="11907" w:h="16840" w:code="9"/>
          <w:pgMar w:top="1418" w:right="1418" w:bottom="1418" w:left="1418" w:header="567" w:footer="567" w:gutter="0"/>
          <w:cols w:space="720"/>
        </w:sectPr>
      </w:pPr>
    </w:p>
    <w:p w:rsidR="00EC1392" w:rsidRDefault="00EC1392" w:rsidP="000B5084">
      <w:pPr>
        <w:pStyle w:val="Heading3"/>
      </w:pPr>
    </w:p>
    <w:p w:rsidR="00EC1392" w:rsidRDefault="00EC1392" w:rsidP="000B5084">
      <w:pPr>
        <w:pStyle w:val="Heading3"/>
      </w:pPr>
    </w:p>
    <w:p w:rsidR="00EC1392" w:rsidRDefault="00EC1392" w:rsidP="000B5084">
      <w:pPr>
        <w:pStyle w:val="Heading3"/>
      </w:pPr>
    </w:p>
    <w:p w:rsidR="00EC1392" w:rsidRDefault="00EC1392" w:rsidP="000B5084">
      <w:pPr>
        <w:pStyle w:val="Heading3"/>
      </w:pPr>
    </w:p>
    <w:p w:rsidR="00EC1392" w:rsidRDefault="00EC1392" w:rsidP="000B5084">
      <w:pPr>
        <w:pStyle w:val="Heading3"/>
      </w:pPr>
    </w:p>
    <w:p w:rsidR="00EC1392" w:rsidRDefault="00EC1392" w:rsidP="000B5084">
      <w:pPr>
        <w:pStyle w:val="Heading3"/>
      </w:pPr>
    </w:p>
    <w:p w:rsidR="000B5084" w:rsidRPr="00F355E8" w:rsidRDefault="00EC1392" w:rsidP="00454890">
      <w:pPr>
        <w:pStyle w:val="Heading3"/>
        <w:spacing w:before="0" w:after="120"/>
        <w:sectPr w:rsidR="000B5084" w:rsidRPr="00F355E8">
          <w:type w:val="continuous"/>
          <w:pgSz w:w="11907" w:h="16840" w:code="9"/>
          <w:pgMar w:top="1418" w:right="1418" w:bottom="1418" w:left="1418" w:header="567" w:footer="567" w:gutter="0"/>
          <w:cols w:space="720"/>
        </w:sectPr>
      </w:pPr>
      <w:r>
        <w:br w:type="page"/>
      </w:r>
      <w:bookmarkStart w:id="41" w:name="_Toc298235803"/>
      <w:r w:rsidR="000B5084" w:rsidRPr="00F355E8">
        <w:t>Outlook for the international economy</w:t>
      </w:r>
      <w:bookmarkStart w:id="42" w:name="_Toc90977891"/>
      <w:bookmarkEnd w:id="41"/>
      <w:r w:rsidR="00150650" w:rsidRPr="00F355E8">
        <w:t xml:space="preserve"> </w:t>
      </w:r>
    </w:p>
    <w:p w:rsidR="00370BBB" w:rsidRDefault="00370BBB" w:rsidP="00454890">
      <w:pPr>
        <w:pStyle w:val="TableHeadingCharChar"/>
        <w:spacing w:before="0"/>
      </w:pPr>
      <w:bookmarkStart w:id="43" w:name="OLE_LINK1"/>
      <w:bookmarkStart w:id="44" w:name="_Toc90808267"/>
      <w:bookmarkEnd w:id="42"/>
      <w:r>
        <w:t>Table 1: International GDP growth forecast</w:t>
      </w:r>
      <w:r w:rsidRPr="001B61B7">
        <w:t>s</w:t>
      </w:r>
      <w:r w:rsidRPr="001B61B7">
        <w:rPr>
          <w:rFonts w:cs="Tahoma"/>
          <w:bCs/>
          <w:szCs w:val="22"/>
          <w:vertAlign w:val="superscript"/>
        </w:rPr>
        <w:t>(a)</w:t>
      </w:r>
    </w:p>
    <w:p w:rsidR="00370BBB" w:rsidRPr="007C32A3" w:rsidRDefault="00DF79D9" w:rsidP="00370BBB">
      <w:pPr>
        <w:pStyle w:val="ChartGraphic0"/>
      </w:pPr>
      <w:r>
        <w:pict>
          <v:shape id="_x0000_i1041" type="#_x0000_t75" style="width:453.1pt;height:173.8pt">
            <v:imagedata r:id="rId36" o:title=""/>
          </v:shape>
        </w:pict>
      </w:r>
    </w:p>
    <w:p w:rsidR="00370BBB" w:rsidRPr="000D11AA" w:rsidRDefault="00370BBB" w:rsidP="00370BBB">
      <w:pPr>
        <w:pStyle w:val="ChartGraphic0"/>
      </w:pPr>
    </w:p>
    <w:p w:rsidR="00370BBB" w:rsidRDefault="00370BBB" w:rsidP="00370BBB">
      <w:pPr>
        <w:spacing w:line="240" w:lineRule="auto"/>
        <w:ind w:right="-142"/>
        <w:jc w:val="left"/>
        <w:rPr>
          <w:rFonts w:cs="Arial"/>
          <w:sz w:val="16"/>
          <w:szCs w:val="16"/>
        </w:rPr>
        <w:sectPr w:rsidR="00370BBB">
          <w:headerReference w:type="default" r:id="rId37"/>
          <w:footerReference w:type="even" r:id="rId38"/>
          <w:footerReference w:type="default" r:id="rId39"/>
          <w:type w:val="continuous"/>
          <w:pgSz w:w="11907" w:h="16840" w:code="9"/>
          <w:pgMar w:top="1418" w:right="1418" w:bottom="1418" w:left="1418" w:header="567" w:footer="567" w:gutter="0"/>
          <w:cols w:space="709"/>
        </w:sectPr>
      </w:pPr>
    </w:p>
    <w:p w:rsidR="00370BBB" w:rsidRPr="005711C2" w:rsidRDefault="00370BBB" w:rsidP="00454890">
      <w:pPr>
        <w:pStyle w:val="Heading4"/>
        <w:spacing w:before="0" w:after="120"/>
      </w:pPr>
      <w:bookmarkStart w:id="45" w:name="_Toc298235804"/>
      <w:r>
        <w:t>World outlook and risks</w:t>
      </w:r>
      <w:bookmarkEnd w:id="45"/>
    </w:p>
    <w:bookmarkEnd w:id="43"/>
    <w:bookmarkEnd w:id="44"/>
    <w:p w:rsidR="00454890" w:rsidRPr="00454890" w:rsidRDefault="00454890" w:rsidP="00454890">
      <w:pPr>
        <w:spacing w:after="200"/>
        <w:rPr>
          <w:rFonts w:eastAsia="Times New Roman"/>
          <w:color w:val="000000" w:themeColor="text1"/>
        </w:rPr>
      </w:pPr>
      <w:r w:rsidRPr="00454890">
        <w:rPr>
          <w:rFonts w:eastAsia="Times New Roman"/>
          <w:color w:val="000000" w:themeColor="text1"/>
        </w:rPr>
        <w:t>The outlook for the global recovery is more uncertain compared to Budget. However, the forecast for 2011 global growth is unchanged at 4¼ per cent. This reflects stronger</w:t>
      </w:r>
      <w:r w:rsidRPr="00454890">
        <w:rPr>
          <w:rFonts w:eastAsia="Times New Roman"/>
          <w:color w:val="000000" w:themeColor="text1"/>
        </w:rPr>
        <w:noBreakHyphen/>
        <w:t>than</w:t>
      </w:r>
      <w:r w:rsidRPr="00454890">
        <w:rPr>
          <w:rFonts w:eastAsia="Times New Roman"/>
          <w:color w:val="000000" w:themeColor="text1"/>
        </w:rPr>
        <w:noBreakHyphen/>
        <w:t>expected March quarter outcomes for the euro area and a number of East Asian economies, being offset by weaker</w:t>
      </w:r>
      <w:r w:rsidRPr="00454890">
        <w:rPr>
          <w:rFonts w:eastAsia="Times New Roman"/>
          <w:color w:val="000000" w:themeColor="text1"/>
        </w:rPr>
        <w:noBreakHyphen/>
        <w:t>than</w:t>
      </w:r>
      <w:r w:rsidRPr="00454890">
        <w:rPr>
          <w:rFonts w:eastAsia="Times New Roman"/>
          <w:color w:val="000000" w:themeColor="text1"/>
        </w:rPr>
        <w:noBreakHyphen/>
        <w:t xml:space="preserve">expected growth in the United States and Japan. MTP growth forecasts are also unchanged. </w:t>
      </w:r>
    </w:p>
    <w:p w:rsidR="00454890" w:rsidRPr="00454890" w:rsidRDefault="00454890" w:rsidP="00454890">
      <w:pPr>
        <w:spacing w:after="200"/>
        <w:rPr>
          <w:rFonts w:eastAsia="Times New Roman"/>
          <w:color w:val="000000" w:themeColor="text1"/>
        </w:rPr>
      </w:pPr>
      <w:r w:rsidRPr="00454890">
        <w:rPr>
          <w:rFonts w:eastAsia="Times New Roman"/>
          <w:color w:val="000000" w:themeColor="text1"/>
        </w:rPr>
        <w:t xml:space="preserve">The global outlook remains subject to significant downside risks. The threat of financial contagion from the euro area periphery sovereign debt crisis has intensified and market concerns over sovereign debt have spread to Italy.  Uncertainty over the shape of further financial assistance to Greece and questions over the ability of Portugal and Ireland to return to the markets within their bailout timeframes has prompted a number of credit rating downgrades that have unsettled markets. Furthermore, despite oil prices easing since the end of April, ongoing unrest in the Middle East and North Africa means upside risks to oil prices persist. </w:t>
      </w:r>
    </w:p>
    <w:p w:rsidR="00454890" w:rsidRPr="00454890" w:rsidRDefault="00454890" w:rsidP="00454890">
      <w:pPr>
        <w:spacing w:after="200"/>
        <w:rPr>
          <w:rFonts w:eastAsia="Times New Roman"/>
          <w:color w:val="000000" w:themeColor="text1"/>
        </w:rPr>
      </w:pPr>
      <w:r w:rsidRPr="00454890">
        <w:rPr>
          <w:rFonts w:eastAsia="Times New Roman"/>
          <w:color w:val="000000" w:themeColor="text1"/>
        </w:rPr>
        <w:t xml:space="preserve">After the sharper than expected contraction in March quarter Japanese GDP, partial data since the 11 March earthquake indicate the recovery in Japanese sentiment, spending and supply chains may occur more quickly than expected and therefore the impact on  global activity may be relatively short lived. Accordingly, the forecast for Japan’s 2011 growth has been revised down only ¼ of a percentage point to zero. </w:t>
      </w:r>
    </w:p>
    <w:p w:rsidR="00454890" w:rsidRPr="00454890" w:rsidRDefault="00454890" w:rsidP="00454890">
      <w:pPr>
        <w:spacing w:after="200"/>
        <w:rPr>
          <w:rFonts w:eastAsia="Times New Roman"/>
          <w:color w:val="000000" w:themeColor="text1"/>
        </w:rPr>
      </w:pPr>
      <w:r w:rsidRPr="00454890">
        <w:rPr>
          <w:rFonts w:eastAsia="Times New Roman"/>
          <w:color w:val="000000" w:themeColor="text1"/>
        </w:rPr>
        <w:t xml:space="preserve">An additional concern for the global outlook is the debate over raising the US Federal Government debt ceiling. While the debt ceiling is likely to be raised, the protracted nature of the debate raises the risk, albeit slight, that an agreement may not be reached by the 2 August deadline. Such an outcome risks causing a marked disruption to global financial markets. </w:t>
      </w:r>
    </w:p>
    <w:p w:rsidR="00454890" w:rsidRPr="00454890" w:rsidRDefault="00454890" w:rsidP="00454890">
      <w:pPr>
        <w:spacing w:after="200"/>
        <w:rPr>
          <w:rFonts w:eastAsia="Times New Roman"/>
          <w:color w:val="000000" w:themeColor="text1"/>
        </w:rPr>
      </w:pPr>
      <w:r w:rsidRPr="00454890">
        <w:rPr>
          <w:rFonts w:eastAsia="Times New Roman"/>
          <w:color w:val="000000" w:themeColor="text1"/>
        </w:rPr>
        <w:t xml:space="preserve">The debt ceiling debate adds to existing concerns about the strength of the US recovery. Severe weather and rising oil prices weighed on March quarter US growth, highlighting the fragility of the recovery, while partial data for the June quarter so far have been weaker than expected. As a consequence growth for 2011 has been revised down to 2½ per cent. </w:t>
      </w:r>
    </w:p>
    <w:p w:rsidR="00454890" w:rsidRPr="00454890" w:rsidRDefault="00454890" w:rsidP="00454890">
      <w:pPr>
        <w:spacing w:after="200"/>
        <w:rPr>
          <w:rFonts w:eastAsia="Times New Roman"/>
          <w:color w:val="000000" w:themeColor="text1"/>
        </w:rPr>
      </w:pPr>
      <w:r w:rsidRPr="00454890">
        <w:rPr>
          <w:rFonts w:eastAsia="Times New Roman"/>
          <w:color w:val="000000" w:themeColor="text1"/>
        </w:rPr>
        <w:t xml:space="preserve">Emerging economies continue to grow strongly, and overheating remains a risk. China continues to tighten policy settings, in response to persistent inflationary pressures, and India is in the early stages of what is expected to be a substantial tightening of monetary policy. </w:t>
      </w:r>
    </w:p>
    <w:p w:rsidR="00454890" w:rsidRPr="00454890" w:rsidRDefault="00454890" w:rsidP="00454890">
      <w:pPr>
        <w:spacing w:after="200"/>
        <w:rPr>
          <w:rFonts w:eastAsia="Times New Roman"/>
          <w:color w:val="000000" w:themeColor="text1"/>
        </w:rPr>
      </w:pPr>
      <w:r w:rsidRPr="00454890">
        <w:rPr>
          <w:rFonts w:eastAsia="Times New Roman"/>
          <w:color w:val="000000" w:themeColor="text1"/>
        </w:rPr>
        <w:t xml:space="preserve">The slight downward revision to 2011 Chinese growth reflects the expected impact on activity from power shortages caused by the ongoing drought (hydroelectricity), and the inability of power producers generally to pass on higher prices to businesses and consumers, causing power producers to cut supply. </w:t>
      </w:r>
    </w:p>
    <w:p w:rsidR="00EC1392" w:rsidRDefault="00EC1392" w:rsidP="00B7143F">
      <w:pPr>
        <w:sectPr w:rsidR="00EC1392" w:rsidSect="00240155">
          <w:headerReference w:type="default" r:id="rId40"/>
          <w:footerReference w:type="even" r:id="rId41"/>
          <w:footerReference w:type="default" r:id="rId42"/>
          <w:type w:val="continuous"/>
          <w:pgSz w:w="11907" w:h="16840" w:code="9"/>
          <w:pgMar w:top="1418" w:right="1418" w:bottom="1418" w:left="1418" w:header="567" w:footer="567" w:gutter="0"/>
          <w:cols w:num="2" w:space="709"/>
        </w:sectPr>
      </w:pPr>
    </w:p>
    <w:p w:rsidR="00EC1392" w:rsidRPr="00A324C7" w:rsidRDefault="00AB5037" w:rsidP="001F17AF">
      <w:pPr>
        <w:pStyle w:val="Heading3"/>
      </w:pPr>
      <w:bookmarkStart w:id="46" w:name="_Ref298234885"/>
      <w:bookmarkStart w:id="47" w:name="_Toc298235805"/>
      <w:r>
        <w:t xml:space="preserve">Attachment A: Impact of </w:t>
      </w:r>
      <w:r w:rsidR="00D174F5">
        <w:t>Carbon Policy on Australia’s Near-Term Economic O</w:t>
      </w:r>
      <w:r>
        <w:t>utlook</w:t>
      </w:r>
      <w:bookmarkEnd w:id="46"/>
      <w:bookmarkEnd w:id="47"/>
    </w:p>
    <w:p w:rsidR="00D972F9" w:rsidRDefault="00D972F9" w:rsidP="00BF2153">
      <w:r>
        <w:t xml:space="preserve">This attachment details the impact of the Government’s carbon price policy on the near-term economic </w:t>
      </w:r>
      <w:r w:rsidR="005B62C8">
        <w:t>outlook</w:t>
      </w:r>
      <w:r w:rsidR="00F45682">
        <w:t>,</w:t>
      </w:r>
      <w:r>
        <w:t xml:space="preserve"> adjusting the June JEFG forecasts for deviations from the reference case in the modelling undertaken for </w:t>
      </w:r>
      <w:r w:rsidRPr="007F0A35">
        <w:rPr>
          <w:i/>
          <w:iCs/>
        </w:rPr>
        <w:t>Strong growth, low pollution: modelling a carbon price</w:t>
      </w:r>
      <w:r>
        <w:t xml:space="preserve">.  </w:t>
      </w:r>
      <w:r w:rsidR="00F45682">
        <w:t>The effects of the Government’s carbon policy will be incorporated into the central forecasts from the next forecasting round.</w:t>
      </w:r>
    </w:p>
    <w:p w:rsidR="0018588F" w:rsidRDefault="0018588F" w:rsidP="0018588F">
      <w:pPr>
        <w:spacing w:line="240" w:lineRule="auto"/>
      </w:pPr>
      <w:r>
        <w:t>According to the modelling, t</w:t>
      </w:r>
      <w:r w:rsidR="00D972F9">
        <w:t xml:space="preserve">he </w:t>
      </w:r>
      <w:r w:rsidR="00BF2153">
        <w:t xml:space="preserve">introduction of a carbon price </w:t>
      </w:r>
      <w:r w:rsidR="00D972F9">
        <w:t>reduces</w:t>
      </w:r>
      <w:r w:rsidR="00BF2153">
        <w:t xml:space="preserve"> </w:t>
      </w:r>
      <w:r w:rsidR="00D972F9">
        <w:t xml:space="preserve">forecast </w:t>
      </w:r>
      <w:r>
        <w:t>real GDP growth by ¼ </w:t>
      </w:r>
      <w:r w:rsidR="004C645B">
        <w:t>of a percentage point in 2012</w:t>
      </w:r>
      <w:r w:rsidR="004C645B">
        <w:noBreakHyphen/>
      </w:r>
      <w:r w:rsidR="00BF2153">
        <w:t>13</w:t>
      </w:r>
      <w:r w:rsidR="007A5E95">
        <w:t>,</w:t>
      </w:r>
      <w:r w:rsidR="00D972F9">
        <w:t xml:space="preserve"> to 3¼ per cent.  This largely occurs through a </w:t>
      </w:r>
      <w:r>
        <w:t>¾</w:t>
      </w:r>
      <w:r w:rsidR="00D972F9">
        <w:t xml:space="preserve"> percent</w:t>
      </w:r>
      <w:r>
        <w:t>age point</w:t>
      </w:r>
      <w:r w:rsidR="00D972F9">
        <w:t xml:space="preserve"> reduction in </w:t>
      </w:r>
      <w:r w:rsidR="00BF2153">
        <w:t>business investment</w:t>
      </w:r>
      <w:r w:rsidR="00D972F9">
        <w:t xml:space="preserve">, </w:t>
      </w:r>
      <w:r w:rsidR="00BF2153">
        <w:t xml:space="preserve">partly offset </w:t>
      </w:r>
      <w:r w:rsidR="006A2B0C">
        <w:t xml:space="preserve">by a </w:t>
      </w:r>
      <w:r>
        <w:t>¼</w:t>
      </w:r>
      <w:r w:rsidR="00D972F9">
        <w:t xml:space="preserve"> percentage point </w:t>
      </w:r>
      <w:r w:rsidR="006A2B0C">
        <w:t>reduction in imports</w:t>
      </w:r>
      <w:r w:rsidR="00D972F9">
        <w:t xml:space="preserve"> growth</w:t>
      </w:r>
      <w:r w:rsidR="00BF2153">
        <w:t xml:space="preserve">. </w:t>
      </w:r>
      <w:r>
        <w:t xml:space="preserve">In net terms, </w:t>
      </w:r>
      <w:r w:rsidRPr="0018588F">
        <w:t>t</w:t>
      </w:r>
      <w:r w:rsidR="00D972F9" w:rsidRPr="0018588F">
        <w:t xml:space="preserve">he introduction of the carbon price and the associated household compensation package and personal income tax reforms are not expected to have a material impact on </w:t>
      </w:r>
      <w:r w:rsidR="007A5E95">
        <w:t xml:space="preserve">aggregate </w:t>
      </w:r>
      <w:r>
        <w:t xml:space="preserve">real </w:t>
      </w:r>
      <w:r w:rsidR="00D972F9" w:rsidRPr="0018588F">
        <w:t>household consumption growth in 2012-13.</w:t>
      </w:r>
      <w:r w:rsidRPr="0018588F">
        <w:t xml:space="preserve"> </w:t>
      </w:r>
      <w:r>
        <w:t>The key aggregates are summarised in Table A</w:t>
      </w:r>
      <w:r w:rsidR="00FE467F">
        <w:t>1</w:t>
      </w:r>
      <w:r>
        <w:t>.</w:t>
      </w:r>
    </w:p>
    <w:p w:rsidR="0018588F" w:rsidRPr="007711BC" w:rsidRDefault="0018588F" w:rsidP="00FE467F">
      <w:pPr>
        <w:pStyle w:val="Dash"/>
        <w:keepNext/>
        <w:spacing w:after="0" w:line="240" w:lineRule="auto"/>
        <w:ind w:left="0" w:firstLine="0"/>
        <w:jc w:val="left"/>
        <w:rPr>
          <w:rFonts w:ascii="Tahoma" w:hAnsi="Tahoma" w:cs="Tahoma"/>
          <w:b/>
        </w:rPr>
      </w:pPr>
      <w:r w:rsidRPr="007711BC">
        <w:rPr>
          <w:rFonts w:ascii="Tahoma" w:hAnsi="Tahoma" w:cs="Tahoma"/>
          <w:b/>
        </w:rPr>
        <w:t xml:space="preserve">Table </w:t>
      </w:r>
      <w:r>
        <w:rPr>
          <w:rFonts w:ascii="Tahoma" w:hAnsi="Tahoma" w:cs="Tahoma"/>
          <w:b/>
        </w:rPr>
        <w:t>A</w:t>
      </w:r>
      <w:r w:rsidRPr="007711BC">
        <w:rPr>
          <w:rFonts w:ascii="Tahoma" w:hAnsi="Tahoma" w:cs="Tahoma"/>
          <w:b/>
        </w:rPr>
        <w:t xml:space="preserve">1: Key Domestic Forecasts – </w:t>
      </w:r>
      <w:r>
        <w:rPr>
          <w:rFonts w:ascii="Tahoma" w:hAnsi="Tahoma" w:cs="Tahoma"/>
          <w:b/>
        </w:rPr>
        <w:t>Inclusive of Carbon Policy</w:t>
      </w:r>
    </w:p>
    <w:p w:rsidR="0018588F" w:rsidRDefault="00DF79D9" w:rsidP="00FE467F">
      <w:pPr>
        <w:spacing w:after="120" w:line="240" w:lineRule="auto"/>
      </w:pPr>
      <w:r>
        <w:pict>
          <v:shape id="_x0000_i1042" type="#_x0000_t75" style="width:369.95pt;height:181.25pt">
            <v:imagedata r:id="rId43" o:title=""/>
          </v:shape>
        </w:pict>
      </w:r>
    </w:p>
    <w:p w:rsidR="001F6881" w:rsidRDefault="00BF2153" w:rsidP="00BF2153">
      <w:r>
        <w:t xml:space="preserve">The </w:t>
      </w:r>
      <w:r w:rsidR="00D972F9">
        <w:t>introduction of a carbon price</w:t>
      </w:r>
      <w:r>
        <w:t xml:space="preserve"> raises aggregate price levels. </w:t>
      </w:r>
      <w:r w:rsidR="00D972F9">
        <w:t>Forecast growth in t</w:t>
      </w:r>
      <w:r>
        <w:t xml:space="preserve">he </w:t>
      </w:r>
      <w:r w:rsidR="004730F1">
        <w:t xml:space="preserve">non-farm GDP deflator </w:t>
      </w:r>
      <w:r w:rsidR="001F6881">
        <w:t>is</w:t>
      </w:r>
      <w:r w:rsidR="004730F1">
        <w:t xml:space="preserve"> ½ of a percentage point</w:t>
      </w:r>
      <w:r>
        <w:t xml:space="preserve"> </w:t>
      </w:r>
      <w:r w:rsidR="001F6881">
        <w:t xml:space="preserve">higher </w:t>
      </w:r>
      <w:r>
        <w:t>in 2012-13</w:t>
      </w:r>
      <w:r w:rsidR="001F6881">
        <w:t xml:space="preserve"> due to the policy change</w:t>
      </w:r>
      <w:r w:rsidR="007A5E95">
        <w:t>. T</w:t>
      </w:r>
      <w:r>
        <w:t xml:space="preserve">he </w:t>
      </w:r>
      <w:r w:rsidR="007A5E95">
        <w:t xml:space="preserve">imposition of the carbon price is estimated to increase the </w:t>
      </w:r>
      <w:r>
        <w:t>CPI by</w:t>
      </w:r>
      <w:r w:rsidR="001F6881">
        <w:t xml:space="preserve"> ¾</w:t>
      </w:r>
      <w:r w:rsidR="007A5E95">
        <w:t> </w:t>
      </w:r>
      <w:r w:rsidR="001F6881">
        <w:t>of</w:t>
      </w:r>
      <w:r w:rsidR="007A5E95">
        <w:t> </w:t>
      </w:r>
      <w:r w:rsidR="001F6881">
        <w:t>a</w:t>
      </w:r>
      <w:r w:rsidR="007A5E95">
        <w:t> </w:t>
      </w:r>
      <w:r w:rsidR="001F6881">
        <w:t>percentage point</w:t>
      </w:r>
      <w:r>
        <w:t xml:space="preserve"> in the September quarter 201</w:t>
      </w:r>
      <w:r w:rsidR="007A5E95">
        <w:t>2, raising the headline inflation forecast to 3½ per cent through the year to the June quarter 2013.</w:t>
      </w:r>
    </w:p>
    <w:p w:rsidR="00F77C00" w:rsidRPr="00DB25A1" w:rsidRDefault="005F6F25" w:rsidP="00B73DEF">
      <w:pPr>
        <w:rPr>
          <w:highlight w:val="yellow"/>
        </w:rPr>
      </w:pPr>
      <w:r>
        <w:t>Overall</w:t>
      </w:r>
      <w:r w:rsidR="00D972F9">
        <w:t>,</w:t>
      </w:r>
      <w:r>
        <w:t xml:space="preserve"> forecast nominal GDP growth is ½ of a percentage point </w:t>
      </w:r>
      <w:r w:rsidR="00BF2153">
        <w:t>higher in 2012-13 due to the policy change</w:t>
      </w:r>
      <w:r w:rsidR="001641BC">
        <w:t>, grow</w:t>
      </w:r>
      <w:r w:rsidR="00D972F9">
        <w:t>ing</w:t>
      </w:r>
      <w:r w:rsidR="001641BC">
        <w:t xml:space="preserve"> by</w:t>
      </w:r>
      <w:r>
        <w:t xml:space="preserve"> 5½ per cent</w:t>
      </w:r>
      <w:r w:rsidR="00161F84">
        <w:t xml:space="preserve"> on a policy</w:t>
      </w:r>
      <w:r w:rsidR="00D972F9">
        <w:t>-</w:t>
      </w:r>
      <w:r w:rsidR="00161F84">
        <w:t>inclusive basis</w:t>
      </w:r>
      <w:r w:rsidR="00BF2153">
        <w:t xml:space="preserve">. </w:t>
      </w:r>
      <w:r w:rsidR="00DB25A1" w:rsidRPr="008D64FB">
        <w:t xml:space="preserve">Total corporate </w:t>
      </w:r>
      <w:r w:rsidR="00DB25A1">
        <w:t>gross operating surplus (</w:t>
      </w:r>
      <w:r w:rsidR="00DB25A1" w:rsidRPr="008D64FB">
        <w:t>GOS</w:t>
      </w:r>
      <w:r w:rsidR="00DB25A1">
        <w:t>)</w:t>
      </w:r>
      <w:r w:rsidR="00DB25A1" w:rsidRPr="008D64FB">
        <w:t xml:space="preserve"> </w:t>
      </w:r>
      <w:r w:rsidR="00FF6E0F">
        <w:t>grows by ¼ of a percentage point less</w:t>
      </w:r>
      <w:r w:rsidR="00DB25A1" w:rsidRPr="008D64FB">
        <w:t xml:space="preserve"> in 2012-13 </w:t>
      </w:r>
      <w:r w:rsidR="00FF6E0F">
        <w:t xml:space="preserve">under </w:t>
      </w:r>
      <w:r w:rsidR="00DB25A1" w:rsidRPr="008D64FB">
        <w:t xml:space="preserve">the </w:t>
      </w:r>
      <w:r w:rsidR="00DB25A1">
        <w:t xml:space="preserve">carbon </w:t>
      </w:r>
      <w:r w:rsidR="00DB25A1" w:rsidRPr="008D64FB">
        <w:t>policy</w:t>
      </w:r>
      <w:r w:rsidR="00FF6E0F">
        <w:t>, with growth expected to be 2 </w:t>
      </w:r>
      <w:r w:rsidR="00DB25A1" w:rsidRPr="008D64FB">
        <w:t>per cent. Compensation of employees</w:t>
      </w:r>
      <w:r w:rsidR="00DB25A1">
        <w:t xml:space="preserve"> (COE) is expected to grow more strongly due to higher nominal wages growth. COE is expected to increase 6¼ per cent in 2012-13, which is ¼ of a percentage point faster than the policy-exclusive forecast. </w:t>
      </w:r>
    </w:p>
    <w:p w:rsidR="00DB25A1" w:rsidRDefault="00D972F9" w:rsidP="00B73DEF">
      <w:r w:rsidRPr="00531387">
        <w:t xml:space="preserve">The impact </w:t>
      </w:r>
      <w:r>
        <w:t xml:space="preserve">of the carbon price </w:t>
      </w:r>
      <w:r w:rsidRPr="00531387">
        <w:t xml:space="preserve">on employment is expected to be </w:t>
      </w:r>
      <w:r w:rsidR="0018588F">
        <w:t>minimal</w:t>
      </w:r>
      <w:r w:rsidRPr="00D972F9">
        <w:t>,</w:t>
      </w:r>
      <w:r w:rsidR="008D64FB" w:rsidRPr="00D972F9">
        <w:t xml:space="preserve"> </w:t>
      </w:r>
      <w:r w:rsidRPr="00531387">
        <w:t>with employment growth</w:t>
      </w:r>
      <w:r w:rsidRPr="00D972F9">
        <w:t xml:space="preserve"> </w:t>
      </w:r>
      <w:r w:rsidRPr="00531387">
        <w:t>forecast</w:t>
      </w:r>
      <w:r w:rsidRPr="00D972F9">
        <w:t xml:space="preserve"> </w:t>
      </w:r>
      <w:r w:rsidR="008D64FB" w:rsidRPr="00D972F9">
        <w:t>to be 1½ per cent through the year to June 2013</w:t>
      </w:r>
      <w:r w:rsidR="0018588F">
        <w:t xml:space="preserve"> in rounded terms, including and excluding the carbon policy</w:t>
      </w:r>
      <w:r w:rsidR="008D64FB" w:rsidRPr="00D972F9">
        <w:t xml:space="preserve">. </w:t>
      </w:r>
      <w:r w:rsidR="007A5E95">
        <w:t>T</w:t>
      </w:r>
      <w:r w:rsidR="0043053F">
        <w:t>he increase in the unemployment rate is estimated to be less than ¼</w:t>
      </w:r>
      <w:r w:rsidR="007A5E95">
        <w:t> </w:t>
      </w:r>
      <w:r w:rsidR="0043053F">
        <w:t>of</w:t>
      </w:r>
      <w:r w:rsidR="007A5E95">
        <w:t> </w:t>
      </w:r>
      <w:r w:rsidR="0043053F">
        <w:t>a</w:t>
      </w:r>
      <w:r w:rsidR="007A5E95">
        <w:t> </w:t>
      </w:r>
      <w:r w:rsidR="0043053F">
        <w:t>percentage point</w:t>
      </w:r>
      <w:r w:rsidR="0018588F">
        <w:t xml:space="preserve">.  </w:t>
      </w:r>
    </w:p>
    <w:p w:rsidR="008D64FB" w:rsidRDefault="00DB25A1" w:rsidP="00B73DEF">
      <w:r>
        <w:br w:type="page"/>
      </w:r>
    </w:p>
    <w:p w:rsidR="00EC1392" w:rsidRPr="00A324C7" w:rsidRDefault="00D174F5" w:rsidP="00AB5037">
      <w:pPr>
        <w:pStyle w:val="Heading3"/>
      </w:pPr>
      <w:bookmarkStart w:id="48" w:name="_Toc298235806"/>
      <w:r>
        <w:t>Attachment B: Forecast G</w:t>
      </w:r>
      <w:r w:rsidR="00AB5037">
        <w:t>rowth in Nominal GDP</w:t>
      </w:r>
      <w:bookmarkEnd w:id="48"/>
    </w:p>
    <w:p w:rsidR="009A0734" w:rsidRDefault="00A87548" w:rsidP="009A0734">
      <w:pPr>
        <w:pStyle w:val="NormalWeb"/>
        <w:shd w:val="clear" w:color="auto" w:fill="FFFFFF"/>
        <w:spacing w:before="120" w:beforeAutospacing="0" w:after="120" w:afterAutospacing="0"/>
        <w:jc w:val="both"/>
        <w:rPr>
          <w:szCs w:val="20"/>
        </w:rPr>
      </w:pPr>
      <w:r>
        <w:rPr>
          <w:rFonts w:ascii="Book Antiqua" w:hAnsi="Book Antiqua"/>
          <w:sz w:val="20"/>
          <w:szCs w:val="20"/>
        </w:rPr>
        <w:t xml:space="preserve">Nominal GDP is forecast to grow 8 per cent in 2010-11 and 6¾ per cent in 2011-12.  Forecast growth in nominal GDP is </w:t>
      </w:r>
      <w:r w:rsidR="00D972F9">
        <w:rPr>
          <w:rFonts w:ascii="Book Antiqua" w:hAnsi="Book Antiqua"/>
          <w:sz w:val="20"/>
          <w:szCs w:val="20"/>
        </w:rPr>
        <w:t xml:space="preserve">½ </w:t>
      </w:r>
      <w:r>
        <w:rPr>
          <w:rFonts w:ascii="Book Antiqua" w:hAnsi="Book Antiqua"/>
          <w:sz w:val="20"/>
          <w:szCs w:val="20"/>
        </w:rPr>
        <w:t xml:space="preserve">a percentage point higher in 2011-12 than at Budget due to the unanticipated strength in the terms of trade.  However, nominal GDP growth has been revised down by ¾ of a percentage point to 5 per cent in 2012-13 due to the combination of lower forecast real GDP growth and the larger anticipated decline in the terms of trade in that year, leaving the level of nominal GDP </w:t>
      </w:r>
      <w:r w:rsidRPr="000E0A28">
        <w:rPr>
          <w:rFonts w:ascii="Book Antiqua" w:hAnsi="Book Antiqua"/>
          <w:sz w:val="20"/>
          <w:szCs w:val="20"/>
        </w:rPr>
        <w:t>$5½ billion</w:t>
      </w:r>
      <w:r>
        <w:rPr>
          <w:rFonts w:ascii="Book Antiqua" w:hAnsi="Book Antiqua"/>
          <w:sz w:val="20"/>
          <w:szCs w:val="20"/>
        </w:rPr>
        <w:t xml:space="preserve"> lower in 2012-13 than forecast at Budget</w:t>
      </w:r>
      <w:r w:rsidRPr="00CC18B5">
        <w:rPr>
          <w:rFonts w:ascii="Book Antiqua" w:hAnsi="Book Antiqua"/>
          <w:sz w:val="20"/>
          <w:szCs w:val="20"/>
        </w:rPr>
        <w:t>.</w:t>
      </w:r>
    </w:p>
    <w:p w:rsidR="009A0734" w:rsidRPr="000E0A28" w:rsidRDefault="009A0734" w:rsidP="009A0734">
      <w:pPr>
        <w:keepNext/>
        <w:spacing w:after="0"/>
        <w:jc w:val="center"/>
        <w:rPr>
          <w:rFonts w:ascii="Tahoma" w:hAnsi="Tahoma" w:cs="Tahoma"/>
          <w:b/>
        </w:rPr>
      </w:pPr>
      <w:r w:rsidRPr="00F55ED4">
        <w:rPr>
          <w:rFonts w:ascii="Tahoma" w:hAnsi="Tahoma" w:cs="Tahoma"/>
          <w:b/>
        </w:rPr>
        <w:t>Chart 15: Components of nominal GDP growth</w:t>
      </w:r>
    </w:p>
    <w:p w:rsidR="00F55ED4" w:rsidRDefault="00DF79D9" w:rsidP="00841005">
      <w:pPr>
        <w:pStyle w:val="NormalWeb"/>
        <w:shd w:val="clear" w:color="auto" w:fill="FFFFFF"/>
        <w:spacing w:before="120" w:beforeAutospacing="0" w:after="0" w:afterAutospacing="0"/>
        <w:rPr>
          <w:rFonts w:ascii="Tahoma" w:hAnsi="Tahoma" w:cs="Tahoma"/>
          <w:sz w:val="16"/>
          <w:szCs w:val="16"/>
        </w:rPr>
      </w:pPr>
      <w:r>
        <w:rPr>
          <w:rFonts w:ascii="Book Antiqua" w:hAnsi="Book Antiqua"/>
          <w:sz w:val="20"/>
          <w:szCs w:val="20"/>
        </w:rPr>
        <w:pict>
          <v:shape id="_x0000_i1043" type="#_x0000_t75" style="width:461.8pt;height:240.85pt">
            <v:imagedata r:id="rId44" o:title=""/>
          </v:shape>
        </w:pict>
      </w:r>
      <w:r w:rsidR="00F55ED4" w:rsidRPr="00FE56C9">
        <w:rPr>
          <w:rFonts w:ascii="Tahoma" w:hAnsi="Tahoma" w:cs="Tahoma"/>
          <w:sz w:val="16"/>
          <w:szCs w:val="16"/>
        </w:rPr>
        <w:t>Source:</w:t>
      </w:r>
      <w:r w:rsidR="00F55ED4">
        <w:rPr>
          <w:szCs w:val="20"/>
        </w:rPr>
        <w:t xml:space="preserve">  </w:t>
      </w:r>
      <w:r w:rsidR="00F55ED4" w:rsidRPr="002877EB">
        <w:rPr>
          <w:rFonts w:ascii="Tahoma" w:hAnsi="Tahoma" w:cs="Tahoma"/>
          <w:sz w:val="16"/>
          <w:szCs w:val="16"/>
        </w:rPr>
        <w:t>A</w:t>
      </w:r>
      <w:r w:rsidR="00F55ED4">
        <w:rPr>
          <w:rFonts w:ascii="Tahoma" w:hAnsi="Tahoma" w:cs="Tahoma"/>
          <w:sz w:val="16"/>
          <w:szCs w:val="16"/>
        </w:rPr>
        <w:t xml:space="preserve">BS Catalogue Number 6401.0 </w:t>
      </w:r>
      <w:r w:rsidR="00F55ED4" w:rsidRPr="002877EB">
        <w:rPr>
          <w:rFonts w:ascii="Tahoma" w:hAnsi="Tahoma" w:cs="Tahoma"/>
          <w:sz w:val="16"/>
          <w:szCs w:val="16"/>
        </w:rPr>
        <w:t>and Treasury.</w:t>
      </w:r>
    </w:p>
    <w:p w:rsidR="00A87548" w:rsidRDefault="00D972F9" w:rsidP="00A87548">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Total corporate g</w:t>
      </w:r>
      <w:r w:rsidR="00A87548">
        <w:rPr>
          <w:rFonts w:ascii="Book Antiqua" w:hAnsi="Book Antiqua"/>
          <w:sz w:val="20"/>
          <w:szCs w:val="20"/>
        </w:rPr>
        <w:t xml:space="preserve">ross operating surplus (GOS) is expected to grow </w:t>
      </w:r>
      <w:r>
        <w:rPr>
          <w:rFonts w:ascii="Book Antiqua" w:hAnsi="Book Antiqua"/>
          <w:sz w:val="20"/>
          <w:szCs w:val="20"/>
        </w:rPr>
        <w:t>10¾</w:t>
      </w:r>
      <w:r w:rsidR="00A87548">
        <w:rPr>
          <w:rFonts w:ascii="Book Antiqua" w:hAnsi="Book Antiqua"/>
          <w:sz w:val="20"/>
          <w:szCs w:val="20"/>
        </w:rPr>
        <w:t xml:space="preserve"> per cent in 2010-11, </w:t>
      </w:r>
      <w:r>
        <w:rPr>
          <w:rFonts w:ascii="Book Antiqua" w:hAnsi="Book Antiqua"/>
          <w:sz w:val="20"/>
          <w:szCs w:val="20"/>
        </w:rPr>
        <w:t>8¼ </w:t>
      </w:r>
      <w:r w:rsidR="00A87548">
        <w:rPr>
          <w:rFonts w:ascii="Book Antiqua" w:hAnsi="Book Antiqua"/>
          <w:sz w:val="20"/>
          <w:szCs w:val="20"/>
        </w:rPr>
        <w:t>per</w:t>
      </w:r>
      <w:r>
        <w:rPr>
          <w:rFonts w:ascii="Book Antiqua" w:hAnsi="Book Antiqua"/>
          <w:sz w:val="20"/>
          <w:szCs w:val="20"/>
        </w:rPr>
        <w:t> </w:t>
      </w:r>
      <w:r w:rsidR="00A87548">
        <w:rPr>
          <w:rFonts w:ascii="Book Antiqua" w:hAnsi="Book Antiqua"/>
          <w:sz w:val="20"/>
          <w:szCs w:val="20"/>
        </w:rPr>
        <w:t xml:space="preserve">cent in 2011-12 and </w:t>
      </w:r>
      <w:r>
        <w:rPr>
          <w:rFonts w:ascii="Book Antiqua" w:hAnsi="Book Antiqua"/>
          <w:sz w:val="20"/>
          <w:szCs w:val="20"/>
        </w:rPr>
        <w:t>2</w:t>
      </w:r>
      <w:r w:rsidR="00A87548">
        <w:rPr>
          <w:rFonts w:ascii="Book Antiqua" w:hAnsi="Book Antiqua"/>
          <w:sz w:val="20"/>
          <w:szCs w:val="20"/>
        </w:rPr>
        <w:t xml:space="preserve">¼ per cent in 2012-13.  Growth in GOS was weaker than anticipated in the March quarter, falling </w:t>
      </w:r>
      <w:r>
        <w:rPr>
          <w:rFonts w:ascii="Book Antiqua" w:hAnsi="Book Antiqua"/>
          <w:sz w:val="20"/>
          <w:szCs w:val="20"/>
        </w:rPr>
        <w:t>4.1</w:t>
      </w:r>
      <w:r w:rsidR="00A87548">
        <w:rPr>
          <w:rFonts w:ascii="Book Antiqua" w:hAnsi="Book Antiqua"/>
          <w:sz w:val="20"/>
          <w:szCs w:val="20"/>
        </w:rPr>
        <w:t> per cent</w:t>
      </w:r>
      <w:r>
        <w:rPr>
          <w:rFonts w:ascii="Book Antiqua" w:hAnsi="Book Antiqua"/>
          <w:sz w:val="20"/>
          <w:szCs w:val="20"/>
        </w:rPr>
        <w:t>, with mining profits down 6.8 per cent</w:t>
      </w:r>
      <w:r w:rsidR="00A87548">
        <w:rPr>
          <w:rFonts w:ascii="Book Antiqua" w:hAnsi="Book Antiqua"/>
          <w:sz w:val="20"/>
          <w:szCs w:val="20"/>
        </w:rPr>
        <w:t>.  Forecast growth in GOS has been revised down in 2010</w:t>
      </w:r>
      <w:r w:rsidR="00A87548">
        <w:rPr>
          <w:rFonts w:ascii="Book Antiqua" w:hAnsi="Book Antiqua"/>
          <w:sz w:val="20"/>
          <w:szCs w:val="20"/>
        </w:rPr>
        <w:noBreakHyphen/>
        <w:t>11, reflecting a larger estimated impact of the floods on coal production, but is expected to be stronger than anticipated at Budget in 2011-12 as mining production returns to pre-flood levels and consistent with the upward revision to the terms of trade forecasts in 2010-11 and 2011-12.  Forecast growth in GOS has then been revised down in 2012-13, consistent with weaker forecast growth in real GDP and the larger anticipated decline in the terms of trade in that year.</w:t>
      </w:r>
    </w:p>
    <w:p w:rsidR="00A87548" w:rsidRDefault="00A87548" w:rsidP="00A87548">
      <w:pPr>
        <w:pStyle w:val="NormalWeb"/>
        <w:shd w:val="clear" w:color="auto" w:fill="FFFFFF"/>
        <w:spacing w:before="120" w:beforeAutospacing="0" w:after="120" w:afterAutospacing="0"/>
        <w:jc w:val="both"/>
        <w:rPr>
          <w:rFonts w:ascii="Book Antiqua" w:hAnsi="Book Antiqua"/>
          <w:sz w:val="20"/>
          <w:szCs w:val="20"/>
        </w:rPr>
      </w:pPr>
      <w:r>
        <w:rPr>
          <w:rFonts w:ascii="Book Antiqua" w:hAnsi="Book Antiqua"/>
          <w:sz w:val="20"/>
          <w:szCs w:val="20"/>
        </w:rPr>
        <w:t>Compensation of employees (COE) is forecast to grow 7½ per cent in 2010-11, 6½ per cent in 2011-12 and 6 per cent in 2012-13.  Growth in COE was higher in the March quarter than expected at Budget, reflecting a sharp increase in average earnings.  However, growth in COE has been revised down in both 2011-12 and 2012-13, consistent with the downward revision to forecast growth in wages and employment.</w:t>
      </w:r>
    </w:p>
    <w:p w:rsidR="009A0734" w:rsidRPr="00922A2D" w:rsidRDefault="00A87548" w:rsidP="00A87548">
      <w:pPr>
        <w:jc w:val="left"/>
      </w:pPr>
      <w:r>
        <w:t>Gross mixed income (GMI), which includes the wages and profits of farm and other unincorporated enterprises, is forecast to grow 5¾ per cent in 2010-11, 3 per cent in 2011-12 and 3¾ per cent in 2012-13.</w:t>
      </w:r>
    </w:p>
    <w:p w:rsidR="007C3517" w:rsidRPr="007C3517" w:rsidRDefault="007C3517" w:rsidP="00EC1392">
      <w:pPr>
        <w:pStyle w:val="Heading3"/>
      </w:pPr>
    </w:p>
    <w:sectPr w:rsidR="007C3517" w:rsidRPr="007C3517" w:rsidSect="00F355E8">
      <w:headerReference w:type="default" r:id="rId45"/>
      <w:footerReference w:type="even" r:id="rId46"/>
      <w:footerReference w:type="default" r:id="rId47"/>
      <w:type w:val="continuous"/>
      <w:pgSz w:w="11907" w:h="16840" w:code="9"/>
      <w:pgMar w:top="1418" w:right="1418" w:bottom="1418"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08B" w:rsidRDefault="00D8108B">
      <w:r>
        <w:separator/>
      </w:r>
    </w:p>
  </w:endnote>
  <w:endnote w:type="continuationSeparator" w:id="0">
    <w:p w:rsidR="00D8108B" w:rsidRDefault="00D8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8108B" w:rsidRDefault="00D8108B" w:rsidP="0060744E">
    <w:pPr>
      <w:pStyle w:val="Footer"/>
      <w:ind w:right="360" w:firstLine="360"/>
      <w:jc w:val="center"/>
    </w:pPr>
    <w:r>
      <w:t>PROTECTED</w:t>
    </w:r>
    <w:r>
      <w:fldChar w:fldCharType="begin"/>
    </w:r>
    <w:r>
      <w:instrText xml:space="preserve"> COMMENTS  \* MERGEFORMAT </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8108B" w:rsidRDefault="00D8108B">
    <w:pPr>
      <w:pStyle w:val="Footer"/>
      <w:ind w:right="360"/>
      <w:jc w:val="right"/>
    </w:pPr>
    <w:r>
      <w:fldChar w:fldCharType="begin"/>
    </w:r>
    <w:r>
      <w:instrText xml:space="preserve"> COMMENTS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41D">
      <w:rPr>
        <w:rStyle w:val="PageNumber"/>
        <w:noProof/>
      </w:rPr>
      <w:t>18</w:t>
    </w:r>
    <w:r>
      <w:rPr>
        <w:rStyle w:val="PageNumber"/>
      </w:rPr>
      <w:fldChar w:fldCharType="end"/>
    </w:r>
  </w:p>
  <w:p w:rsidR="00D8108B" w:rsidRDefault="00D8108B">
    <w:pPr>
      <w:pStyle w:val="Footer"/>
      <w:ind w:right="360"/>
      <w:jc w:val="right"/>
    </w:pPr>
    <w:r>
      <w:fldChar w:fldCharType="begin"/>
    </w:r>
    <w:r>
      <w:instrText xml:space="preserve"> COMMENTS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41D">
      <w:rPr>
        <w:rStyle w:val="PageNumber"/>
        <w:noProof/>
      </w:rPr>
      <w:t>2</w:t>
    </w:r>
    <w:r>
      <w:rPr>
        <w:rStyle w:val="PageNumber"/>
      </w:rPr>
      <w:fldChar w:fldCharType="end"/>
    </w:r>
  </w:p>
  <w:p w:rsidR="00D8108B" w:rsidRPr="00704E0D" w:rsidRDefault="00D8108B" w:rsidP="00DF79D9">
    <w:pPr>
      <w:pStyle w:val="Classificatio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1D" w:rsidRDefault="007B54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41D">
      <w:rPr>
        <w:rStyle w:val="PageNumber"/>
        <w:noProof/>
      </w:rPr>
      <w:t>6</w:t>
    </w:r>
    <w:r>
      <w:rPr>
        <w:rStyle w:val="PageNumber"/>
      </w:rPr>
      <w:fldChar w:fldCharType="end"/>
    </w:r>
  </w:p>
  <w:p w:rsidR="00D8108B" w:rsidRDefault="00D8108B">
    <w:pPr>
      <w:pStyle w:val="Footer"/>
      <w:ind w:right="360"/>
      <w:jc w:val="right"/>
    </w:pPr>
    <w:r>
      <w:fldChar w:fldCharType="begin"/>
    </w:r>
    <w:r>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jc w:val="right"/>
    </w:pPr>
    <w:r>
      <w:fldChar w:fldCharType="begin"/>
    </w:r>
    <w:r>
      <w:instrText xml:space="preserve"> PAGE   \* MERGEFORMAT </w:instrText>
    </w:r>
    <w:r>
      <w:fldChar w:fldCharType="separate"/>
    </w:r>
    <w:r w:rsidR="007B541D">
      <w:rPr>
        <w:noProof/>
      </w:rPr>
      <w:t>16</w:t>
    </w:r>
    <w:r>
      <w:rPr>
        <w:noProof/>
      </w:rPr>
      <w:fldChar w:fldCharType="end"/>
    </w:r>
  </w:p>
  <w:p w:rsidR="00D8108B" w:rsidRDefault="00D8108B">
    <w:pPr>
      <w:pStyle w:val="Footer"/>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8108B" w:rsidRDefault="00D8108B">
    <w:pPr>
      <w:pStyle w:val="Footer"/>
      <w:ind w:right="360"/>
      <w:jc w:val="right"/>
    </w:pPr>
    <w:r>
      <w:fldChar w:fldCharType="begin"/>
    </w:r>
    <w:r>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8108B" w:rsidRDefault="00D8108B">
    <w:pPr>
      <w:pStyle w:val="Footer"/>
      <w:ind w:right="360"/>
      <w:jc w:val="right"/>
    </w:pPr>
    <w:r>
      <w:fldChar w:fldCharType="begin"/>
    </w:r>
    <w:r>
      <w:instrText xml:space="preserve"> COMMENTS  \* MERGEFORMAT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8108B" w:rsidRDefault="00D8108B">
    <w:pPr>
      <w:pStyle w:val="Footer"/>
      <w:ind w:right="360"/>
      <w:jc w:val="right"/>
    </w:pPr>
    <w:r>
      <w:fldChar w:fldCharType="begin"/>
    </w:r>
    <w:r>
      <w:instrText xml:space="preserve"> COMMENTS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D8108B" w:rsidRDefault="00D8108B">
    <w:pPr>
      <w:pStyle w:val="Footer"/>
      <w:ind w:right="360"/>
      <w:jc w:val="right"/>
    </w:pP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08B" w:rsidRDefault="00D8108B">
      <w:pPr>
        <w:pStyle w:val="TableBodyText"/>
        <w:spacing w:before="120" w:after="120"/>
      </w:pPr>
      <w:r>
        <w:separator/>
      </w:r>
    </w:p>
  </w:footnote>
  <w:footnote w:type="continuationSeparator" w:id="0">
    <w:p w:rsidR="00D8108B" w:rsidRDefault="00D8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1D" w:rsidRDefault="007B5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1D" w:rsidRDefault="007B5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1D" w:rsidRDefault="007B54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rsidP="003F6407">
    <w:pPr>
      <w:pStyle w:val="Header"/>
      <w:jc w:val="center"/>
    </w:pPr>
    <w:r>
      <w:rPr>
        <w:rStyle w:val="FramedHeader"/>
      </w:rPr>
      <w:t>PROTECTED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Pr="00DF79D9" w:rsidRDefault="00D8108B" w:rsidP="00DF79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D8108B" w:rsidP="005224FD">
    <w:pPr>
      <w:pStyle w:val="Header"/>
      <w:jc w:val="center"/>
    </w:pPr>
    <w:r>
      <w:rPr>
        <w:rStyle w:val="FramedHeader"/>
      </w:rPr>
      <w:t>PROTECTED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7B541D">
    <w:pPr>
      <w:framePr w:wrap="around" w:vAnchor="page" w:hAnchor="margin" w:x="14460" w:y="7939" w:anchorLock="1"/>
      <w:rPr>
        <w:rStyle w:val="FramedHeader"/>
      </w:rPr>
    </w:pPr>
    <w:r>
      <w:fldChar w:fldCharType="begin"/>
    </w:r>
    <w:r>
      <w:instrText xml:space="preserve"> TITLE  \* MERGEFORMAT </w:instrText>
    </w:r>
    <w:r>
      <w:fldChar w:fldCharType="separate"/>
    </w:r>
    <w:r w:rsidR="00D8108B" w:rsidRPr="00D8108B">
      <w:rPr>
        <w:rStyle w:val="FramedHeader"/>
      </w:rPr>
      <w:t>March 06 Forecasting Report</w:t>
    </w:r>
    <w:r>
      <w:rPr>
        <w:rStyle w:val="FramedHeader"/>
      </w:rPr>
      <w:fldChar w:fldCharType="end"/>
    </w:r>
  </w:p>
  <w:p w:rsidR="00D8108B" w:rsidRDefault="00D8108B">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7B541D">
    <w:pPr>
      <w:framePr w:wrap="around" w:vAnchor="page" w:hAnchor="margin" w:x="14460" w:y="7939" w:anchorLock="1"/>
      <w:rPr>
        <w:rStyle w:val="FramedHeader"/>
      </w:rPr>
    </w:pPr>
    <w:r>
      <w:fldChar w:fldCharType="begin"/>
    </w:r>
    <w:r>
      <w:instrText xml:space="preserve"> TITLE  \* ME</w:instrText>
    </w:r>
    <w:r>
      <w:instrText xml:space="preserve">RGEFORMAT </w:instrText>
    </w:r>
    <w:r>
      <w:fldChar w:fldCharType="separate"/>
    </w:r>
    <w:r w:rsidR="00D8108B" w:rsidRPr="00D8108B">
      <w:rPr>
        <w:rStyle w:val="FramedHeader"/>
      </w:rPr>
      <w:t>March 06 Forecasting Report</w:t>
    </w:r>
    <w:r>
      <w:rPr>
        <w:rStyle w:val="FramedHeader"/>
      </w:rPr>
      <w:fldChar w:fldCharType="end"/>
    </w:r>
  </w:p>
  <w:p w:rsidR="00D8108B" w:rsidRDefault="00D8108B">
    <w:pPr>
      <w:pStyle w:val="Header"/>
      <w:jc w:val="center"/>
      <w:rPr>
        <w:b/>
        <w:sz w:val="24"/>
      </w:rPr>
    </w:pPr>
    <w:r>
      <w:rPr>
        <w:rStyle w:val="FramedHeader"/>
      </w:rPr>
      <w:t>PROTECTED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8B" w:rsidRDefault="007B541D">
    <w:pPr>
      <w:framePr w:wrap="around" w:vAnchor="page" w:hAnchor="margin" w:x="14460" w:y="7939" w:anchorLock="1"/>
      <w:rPr>
        <w:rStyle w:val="FramedHeader"/>
      </w:rPr>
    </w:pPr>
    <w:r>
      <w:fldChar w:fldCharType="begin"/>
    </w:r>
    <w:r>
      <w:instrText xml:space="preserve"> TITLE  \* MERGEFORMAT </w:instrText>
    </w:r>
    <w:r>
      <w:fldChar w:fldCharType="separate"/>
    </w:r>
    <w:r w:rsidR="00D8108B" w:rsidRPr="00D8108B">
      <w:rPr>
        <w:rStyle w:val="FramedHeader"/>
      </w:rPr>
      <w:t>March 06 Forecasting Report</w:t>
    </w:r>
    <w:r>
      <w:rPr>
        <w:rStyle w:val="FramedHeader"/>
      </w:rPr>
      <w:fldChar w:fldCharType="end"/>
    </w:r>
  </w:p>
  <w:p w:rsidR="00D8108B" w:rsidRDefault="00D8108B" w:rsidP="00DF79D9">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646"/>
        </w:tabs>
        <w:ind w:left="283" w:firstLine="0"/>
      </w:pPr>
      <w:rPr>
        <w:rFonts w:ascii="Symbol" w:hAnsi="Symbol" w:hint="default"/>
        <w:b w:val="0"/>
        <w:i w:val="0"/>
        <w:caps w:val="0"/>
        <w:smallCaps w:val="0"/>
        <w:strike w:val="0"/>
        <w:dstrike w:val="0"/>
        <w:outline w:val="0"/>
        <w:shadow w:val="0"/>
        <w:emboss w:val="0"/>
        <w:imprint w:val="0"/>
        <w:vanish w:val="0"/>
        <w:sz w:val="20"/>
        <w:u w:val="none"/>
        <w:vertAlign w:val="base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outline w:val="0"/>
        <w:shadow w:val="0"/>
        <w:emboss w:val="0"/>
        <w:imprint w:val="0"/>
        <w:vanish w:val="0"/>
        <w:sz w:val="20"/>
        <w:vertAlign w:val="base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outline w:val="0"/>
        <w:shadow w:val="0"/>
        <w:emboss w:val="0"/>
        <w:imprint w:val="0"/>
        <w:vanish w:val="0"/>
        <w:sz w:val="24"/>
        <w:vertAlign w:val="base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outline w:val="0"/>
        <w:shadow w:val="0"/>
        <w:emboss w:val="0"/>
        <w:imprint w:val="0"/>
        <w:vanish w:val="0"/>
        <w:sz w:val="16"/>
        <w:vertAlign w:val="base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outline w:val="0"/>
        <w:shadow w:val="0"/>
        <w:emboss w:val="0"/>
        <w:imprint w:val="0"/>
        <w:vanish w:val="0"/>
        <w:sz w:val="24"/>
        <w:vertAlign w:val="base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4">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5">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6">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17">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18">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19">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0">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1">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22">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outline w:val="0"/>
        <w:shadow w:val="0"/>
        <w:emboss w:val="0"/>
        <w:imprint w:val="0"/>
        <w:vanish w:val="0"/>
        <w:sz w:val="20"/>
        <w:vertAlign w:val="baseline"/>
      </w:rPr>
    </w:lvl>
  </w:abstractNum>
  <w:abstractNum w:abstractNumId="23">
    <w:nsid w:val="3B8B757B"/>
    <w:multiLevelType w:val="singleLevel"/>
    <w:tmpl w:val="3D8230E8"/>
    <w:lvl w:ilvl="0">
      <w:start w:val="2"/>
      <w:numFmt w:val="decimal"/>
      <w:lvlText w:val="%1."/>
      <w:lvlJc w:val="left"/>
      <w:pPr>
        <w:tabs>
          <w:tab w:val="num" w:pos="567"/>
        </w:tabs>
        <w:ind w:left="0" w:firstLine="0"/>
      </w:pPr>
    </w:lvl>
  </w:abstractNum>
  <w:abstractNum w:abstractNumId="24">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outline w:val="0"/>
        <w:shadow w:val="0"/>
        <w:emboss w:val="0"/>
        <w:imprint w:val="0"/>
        <w:vanish w:val="0"/>
        <w:sz w:val="20"/>
        <w:vertAlign w:val="baseline"/>
      </w:rPr>
    </w:lvl>
  </w:abstractNum>
  <w:abstractNum w:abstractNumId="25">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outline w:val="0"/>
        <w:shadow w:val="0"/>
        <w:emboss w:val="0"/>
        <w:imprint w:val="0"/>
        <w:vanish w:val="0"/>
        <w:sz w:val="20"/>
        <w:vertAlign w:val="baseline"/>
      </w:rPr>
    </w:lvl>
  </w:abstractNum>
  <w:abstractNum w:abstractNumId="26">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27">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28">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29">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0">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31">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2">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3">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4">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outline w:val="0"/>
        <w:shadow w:val="0"/>
        <w:emboss w:val="0"/>
        <w:imprint w:val="0"/>
        <w:vanish w:val="0"/>
        <w:sz w:val="16"/>
        <w:u w:val="none"/>
        <w:vertAlign w:val="baseline"/>
      </w:rPr>
    </w:lvl>
  </w:abstractNum>
  <w:abstractNum w:abstractNumId="35">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20"/>
        <w:vertAlign w:val="baseline"/>
      </w:rPr>
    </w:lvl>
  </w:abstractNum>
  <w:abstractNum w:abstractNumId="36">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37">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outline w:val="0"/>
        <w:shadow w:val="0"/>
        <w:emboss w:val="0"/>
        <w:imprint w:val="0"/>
        <w:vanish w:val="0"/>
        <w:sz w:val="16"/>
        <w:vertAlign w:val="baseline"/>
      </w:rPr>
    </w:lvl>
  </w:abstractNum>
  <w:abstractNum w:abstractNumId="38">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39">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outline w:val="0"/>
        <w:shadow w:val="0"/>
        <w:emboss w:val="0"/>
        <w:imprint w:val="0"/>
        <w:vanish w:val="0"/>
        <w:sz w:val="20"/>
        <w:vertAlign w:val="baseline"/>
      </w:rPr>
    </w:lvl>
  </w:abstractNum>
  <w:abstractNum w:abstractNumId="40">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0"/>
  </w:num>
  <w:num w:numId="2">
    <w:abstractNumId w:val="26"/>
  </w:num>
  <w:num w:numId="3">
    <w:abstractNumId w:val="19"/>
  </w:num>
  <w:num w:numId="4">
    <w:abstractNumId w:val="39"/>
  </w:num>
  <w:num w:numId="5">
    <w:abstractNumId w:val="11"/>
  </w:num>
  <w:num w:numId="6">
    <w:abstractNumId w:val="14"/>
  </w:num>
  <w:num w:numId="7">
    <w:abstractNumId w:val="18"/>
  </w:num>
  <w:num w:numId="8">
    <w:abstractNumId w:val="32"/>
  </w:num>
  <w:num w:numId="9">
    <w:abstractNumId w:val="35"/>
  </w:num>
  <w:num w:numId="10">
    <w:abstractNumId w:val="15"/>
  </w:num>
  <w:num w:numId="11">
    <w:abstractNumId w:val="31"/>
  </w:num>
  <w:num w:numId="12">
    <w:abstractNumId w:val="20"/>
  </w:num>
  <w:num w:numId="13">
    <w:abstractNumId w:val="38"/>
  </w:num>
  <w:num w:numId="14">
    <w:abstractNumId w:val="13"/>
  </w:num>
  <w:num w:numId="15">
    <w:abstractNumId w:val="1"/>
  </w:num>
  <w:num w:numId="16">
    <w:abstractNumId w:val="7"/>
  </w:num>
  <w:num w:numId="17">
    <w:abstractNumId w:val="29"/>
  </w:num>
  <w:num w:numId="18">
    <w:abstractNumId w:val="4"/>
  </w:num>
  <w:num w:numId="19">
    <w:abstractNumId w:val="25"/>
  </w:num>
  <w:num w:numId="20">
    <w:abstractNumId w:val="2"/>
  </w:num>
  <w:num w:numId="21">
    <w:abstractNumId w:val="6"/>
  </w:num>
  <w:num w:numId="22">
    <w:abstractNumId w:val="8"/>
  </w:num>
  <w:num w:numId="23">
    <w:abstractNumId w:val="22"/>
  </w:num>
  <w:num w:numId="24">
    <w:abstractNumId w:val="40"/>
  </w:num>
  <w:num w:numId="25">
    <w:abstractNumId w:val="16"/>
  </w:num>
  <w:num w:numId="26">
    <w:abstractNumId w:val="36"/>
  </w:num>
  <w:num w:numId="27">
    <w:abstractNumId w:val="3"/>
  </w:num>
  <w:num w:numId="28">
    <w:abstractNumId w:val="21"/>
  </w:num>
  <w:num w:numId="29">
    <w:abstractNumId w:val="17"/>
  </w:num>
  <w:num w:numId="30">
    <w:abstractNumId w:val="24"/>
  </w:num>
  <w:num w:numId="31">
    <w:abstractNumId w:val="37"/>
  </w:num>
  <w:num w:numId="32">
    <w:abstractNumId w:val="10"/>
  </w:num>
  <w:num w:numId="33">
    <w:abstractNumId w:val="28"/>
  </w:num>
  <w:num w:numId="34">
    <w:abstractNumId w:val="9"/>
  </w:num>
  <w:num w:numId="35">
    <w:abstractNumId w:val="5"/>
  </w:num>
  <w:num w:numId="36">
    <w:abstractNumId w:val="0"/>
  </w:num>
  <w:num w:numId="37">
    <w:abstractNumId w:val="12"/>
  </w:num>
  <w:num w:numId="38">
    <w:abstractNumId w:val="34"/>
  </w:num>
  <w:num w:numId="39">
    <w:abstractNumId w:val="33"/>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EE6"/>
    <w:rsid w:val="00000E3B"/>
    <w:rsid w:val="00000F89"/>
    <w:rsid w:val="0000168C"/>
    <w:rsid w:val="00001847"/>
    <w:rsid w:val="00001ECA"/>
    <w:rsid w:val="00001ED7"/>
    <w:rsid w:val="00001F20"/>
    <w:rsid w:val="00002B6E"/>
    <w:rsid w:val="000032D9"/>
    <w:rsid w:val="0000336A"/>
    <w:rsid w:val="00003654"/>
    <w:rsid w:val="0000396B"/>
    <w:rsid w:val="00003AB4"/>
    <w:rsid w:val="00003C84"/>
    <w:rsid w:val="00003D87"/>
    <w:rsid w:val="0000421E"/>
    <w:rsid w:val="000044D9"/>
    <w:rsid w:val="000048F1"/>
    <w:rsid w:val="00004D90"/>
    <w:rsid w:val="00004F72"/>
    <w:rsid w:val="000051F3"/>
    <w:rsid w:val="0000520C"/>
    <w:rsid w:val="00005608"/>
    <w:rsid w:val="000058E4"/>
    <w:rsid w:val="00005A9F"/>
    <w:rsid w:val="00005D3C"/>
    <w:rsid w:val="00006587"/>
    <w:rsid w:val="00006910"/>
    <w:rsid w:val="00006A6A"/>
    <w:rsid w:val="00006E4D"/>
    <w:rsid w:val="00007037"/>
    <w:rsid w:val="00007138"/>
    <w:rsid w:val="0000744F"/>
    <w:rsid w:val="00007475"/>
    <w:rsid w:val="0000776A"/>
    <w:rsid w:val="00007813"/>
    <w:rsid w:val="0000785F"/>
    <w:rsid w:val="00007DA9"/>
    <w:rsid w:val="0001006B"/>
    <w:rsid w:val="00010FD8"/>
    <w:rsid w:val="00011C71"/>
    <w:rsid w:val="00012264"/>
    <w:rsid w:val="00012704"/>
    <w:rsid w:val="00012A49"/>
    <w:rsid w:val="00012B6C"/>
    <w:rsid w:val="00012B77"/>
    <w:rsid w:val="00012D40"/>
    <w:rsid w:val="000133E2"/>
    <w:rsid w:val="000144FD"/>
    <w:rsid w:val="0001469E"/>
    <w:rsid w:val="00014D9D"/>
    <w:rsid w:val="00014F14"/>
    <w:rsid w:val="00015306"/>
    <w:rsid w:val="000154D0"/>
    <w:rsid w:val="0001590F"/>
    <w:rsid w:val="00015E50"/>
    <w:rsid w:val="000164DE"/>
    <w:rsid w:val="00016578"/>
    <w:rsid w:val="0001662D"/>
    <w:rsid w:val="00016694"/>
    <w:rsid w:val="00016799"/>
    <w:rsid w:val="000168A0"/>
    <w:rsid w:val="00017156"/>
    <w:rsid w:val="0001742B"/>
    <w:rsid w:val="00017A31"/>
    <w:rsid w:val="00017BF6"/>
    <w:rsid w:val="00017C34"/>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5281"/>
    <w:rsid w:val="000258BF"/>
    <w:rsid w:val="000258CC"/>
    <w:rsid w:val="00025946"/>
    <w:rsid w:val="00025AF2"/>
    <w:rsid w:val="00026305"/>
    <w:rsid w:val="0002670C"/>
    <w:rsid w:val="000268F1"/>
    <w:rsid w:val="00026F4A"/>
    <w:rsid w:val="0003024F"/>
    <w:rsid w:val="00030895"/>
    <w:rsid w:val="00030A75"/>
    <w:rsid w:val="00030FEC"/>
    <w:rsid w:val="000312DD"/>
    <w:rsid w:val="000313E0"/>
    <w:rsid w:val="00031628"/>
    <w:rsid w:val="00031965"/>
    <w:rsid w:val="00031BB7"/>
    <w:rsid w:val="00031BF9"/>
    <w:rsid w:val="00032191"/>
    <w:rsid w:val="00032A80"/>
    <w:rsid w:val="000339CA"/>
    <w:rsid w:val="00033B05"/>
    <w:rsid w:val="00033D2A"/>
    <w:rsid w:val="00033DDD"/>
    <w:rsid w:val="0003423D"/>
    <w:rsid w:val="00034450"/>
    <w:rsid w:val="00034B13"/>
    <w:rsid w:val="00034D5E"/>
    <w:rsid w:val="000353BA"/>
    <w:rsid w:val="0003595A"/>
    <w:rsid w:val="00035C48"/>
    <w:rsid w:val="00035D8E"/>
    <w:rsid w:val="00035EA0"/>
    <w:rsid w:val="00035F8B"/>
    <w:rsid w:val="00035FCB"/>
    <w:rsid w:val="000360C1"/>
    <w:rsid w:val="000364AD"/>
    <w:rsid w:val="0003672D"/>
    <w:rsid w:val="00036879"/>
    <w:rsid w:val="00036EEC"/>
    <w:rsid w:val="000373FA"/>
    <w:rsid w:val="0003768F"/>
    <w:rsid w:val="0003784F"/>
    <w:rsid w:val="00037DDD"/>
    <w:rsid w:val="000401DE"/>
    <w:rsid w:val="000403CD"/>
    <w:rsid w:val="000405C7"/>
    <w:rsid w:val="0004081C"/>
    <w:rsid w:val="0004100A"/>
    <w:rsid w:val="000410EF"/>
    <w:rsid w:val="000419A9"/>
    <w:rsid w:val="00041AA5"/>
    <w:rsid w:val="000426EA"/>
    <w:rsid w:val="00042D41"/>
    <w:rsid w:val="00042E8C"/>
    <w:rsid w:val="000430A2"/>
    <w:rsid w:val="00043EBF"/>
    <w:rsid w:val="00044569"/>
    <w:rsid w:val="00044A73"/>
    <w:rsid w:val="0004510F"/>
    <w:rsid w:val="0004566C"/>
    <w:rsid w:val="000458F6"/>
    <w:rsid w:val="00045976"/>
    <w:rsid w:val="000459F5"/>
    <w:rsid w:val="00046D2C"/>
    <w:rsid w:val="00047449"/>
    <w:rsid w:val="00047F8E"/>
    <w:rsid w:val="0005012C"/>
    <w:rsid w:val="000501DE"/>
    <w:rsid w:val="0005100D"/>
    <w:rsid w:val="000510A0"/>
    <w:rsid w:val="00051203"/>
    <w:rsid w:val="000516B9"/>
    <w:rsid w:val="00051A70"/>
    <w:rsid w:val="00052210"/>
    <w:rsid w:val="000523D3"/>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2DCE"/>
    <w:rsid w:val="00063A9F"/>
    <w:rsid w:val="00063FE2"/>
    <w:rsid w:val="00064071"/>
    <w:rsid w:val="00064179"/>
    <w:rsid w:val="00064748"/>
    <w:rsid w:val="00064AB4"/>
    <w:rsid w:val="000656FF"/>
    <w:rsid w:val="000657E9"/>
    <w:rsid w:val="00065811"/>
    <w:rsid w:val="00065CCB"/>
    <w:rsid w:val="00065D28"/>
    <w:rsid w:val="000660EC"/>
    <w:rsid w:val="000664B6"/>
    <w:rsid w:val="00066565"/>
    <w:rsid w:val="00066F39"/>
    <w:rsid w:val="00067383"/>
    <w:rsid w:val="000679BF"/>
    <w:rsid w:val="00067CA6"/>
    <w:rsid w:val="000707BB"/>
    <w:rsid w:val="00070B41"/>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B12"/>
    <w:rsid w:val="00076B2B"/>
    <w:rsid w:val="00076EF4"/>
    <w:rsid w:val="000773F4"/>
    <w:rsid w:val="000779E7"/>
    <w:rsid w:val="0008026B"/>
    <w:rsid w:val="00080673"/>
    <w:rsid w:val="0008103D"/>
    <w:rsid w:val="00081333"/>
    <w:rsid w:val="0008183C"/>
    <w:rsid w:val="00081C5A"/>
    <w:rsid w:val="00082638"/>
    <w:rsid w:val="00082E6A"/>
    <w:rsid w:val="00083320"/>
    <w:rsid w:val="000839C7"/>
    <w:rsid w:val="00083DC9"/>
    <w:rsid w:val="00083EC2"/>
    <w:rsid w:val="00084887"/>
    <w:rsid w:val="00084AA3"/>
    <w:rsid w:val="00085741"/>
    <w:rsid w:val="00085D16"/>
    <w:rsid w:val="00085FEA"/>
    <w:rsid w:val="0008641A"/>
    <w:rsid w:val="000868D7"/>
    <w:rsid w:val="00086BDC"/>
    <w:rsid w:val="00086D25"/>
    <w:rsid w:val="00086D69"/>
    <w:rsid w:val="00087675"/>
    <w:rsid w:val="00090E63"/>
    <w:rsid w:val="0009108E"/>
    <w:rsid w:val="000911BE"/>
    <w:rsid w:val="000912DF"/>
    <w:rsid w:val="0009171F"/>
    <w:rsid w:val="000919AA"/>
    <w:rsid w:val="00091C2B"/>
    <w:rsid w:val="00091E39"/>
    <w:rsid w:val="00092818"/>
    <w:rsid w:val="00092E11"/>
    <w:rsid w:val="00092EFD"/>
    <w:rsid w:val="00093064"/>
    <w:rsid w:val="0009345A"/>
    <w:rsid w:val="000935EE"/>
    <w:rsid w:val="00093778"/>
    <w:rsid w:val="00093BC7"/>
    <w:rsid w:val="00094375"/>
    <w:rsid w:val="00094ABB"/>
    <w:rsid w:val="00095781"/>
    <w:rsid w:val="00095F2B"/>
    <w:rsid w:val="000962B5"/>
    <w:rsid w:val="000967A8"/>
    <w:rsid w:val="00096846"/>
    <w:rsid w:val="00096D8E"/>
    <w:rsid w:val="0009720F"/>
    <w:rsid w:val="00097478"/>
    <w:rsid w:val="0009771A"/>
    <w:rsid w:val="00097B8F"/>
    <w:rsid w:val="000A00EB"/>
    <w:rsid w:val="000A0B46"/>
    <w:rsid w:val="000A1CA8"/>
    <w:rsid w:val="000A1E38"/>
    <w:rsid w:val="000A2F3B"/>
    <w:rsid w:val="000A3014"/>
    <w:rsid w:val="000A341E"/>
    <w:rsid w:val="000A351A"/>
    <w:rsid w:val="000A35C5"/>
    <w:rsid w:val="000A3E05"/>
    <w:rsid w:val="000A4079"/>
    <w:rsid w:val="000A4C88"/>
    <w:rsid w:val="000A52FF"/>
    <w:rsid w:val="000A53A4"/>
    <w:rsid w:val="000A541C"/>
    <w:rsid w:val="000A5514"/>
    <w:rsid w:val="000A59D0"/>
    <w:rsid w:val="000A5E00"/>
    <w:rsid w:val="000A5F56"/>
    <w:rsid w:val="000A620D"/>
    <w:rsid w:val="000A6C7C"/>
    <w:rsid w:val="000A6E3C"/>
    <w:rsid w:val="000A7696"/>
    <w:rsid w:val="000A77F9"/>
    <w:rsid w:val="000A79FB"/>
    <w:rsid w:val="000B00A1"/>
    <w:rsid w:val="000B1DBB"/>
    <w:rsid w:val="000B1DEF"/>
    <w:rsid w:val="000B1FEF"/>
    <w:rsid w:val="000B2079"/>
    <w:rsid w:val="000B2636"/>
    <w:rsid w:val="000B2788"/>
    <w:rsid w:val="000B286A"/>
    <w:rsid w:val="000B2CCF"/>
    <w:rsid w:val="000B3011"/>
    <w:rsid w:val="000B3C04"/>
    <w:rsid w:val="000B3ED5"/>
    <w:rsid w:val="000B413C"/>
    <w:rsid w:val="000B4418"/>
    <w:rsid w:val="000B5084"/>
    <w:rsid w:val="000B5C5B"/>
    <w:rsid w:val="000B5ED5"/>
    <w:rsid w:val="000B62E0"/>
    <w:rsid w:val="000B679B"/>
    <w:rsid w:val="000B67AB"/>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B3D"/>
    <w:rsid w:val="000C3CCF"/>
    <w:rsid w:val="000C3E1D"/>
    <w:rsid w:val="000C3F0A"/>
    <w:rsid w:val="000C4B88"/>
    <w:rsid w:val="000C4E37"/>
    <w:rsid w:val="000C4FF9"/>
    <w:rsid w:val="000C5211"/>
    <w:rsid w:val="000C54DC"/>
    <w:rsid w:val="000C596E"/>
    <w:rsid w:val="000C5A7B"/>
    <w:rsid w:val="000C5A98"/>
    <w:rsid w:val="000C61DD"/>
    <w:rsid w:val="000C6D74"/>
    <w:rsid w:val="000C740B"/>
    <w:rsid w:val="000C78F1"/>
    <w:rsid w:val="000C7B2E"/>
    <w:rsid w:val="000C7B94"/>
    <w:rsid w:val="000C7E81"/>
    <w:rsid w:val="000C7FCE"/>
    <w:rsid w:val="000D01E9"/>
    <w:rsid w:val="000D12E7"/>
    <w:rsid w:val="000D2038"/>
    <w:rsid w:val="000D21D4"/>
    <w:rsid w:val="000D27F6"/>
    <w:rsid w:val="000D2A4B"/>
    <w:rsid w:val="000D335F"/>
    <w:rsid w:val="000D3F3F"/>
    <w:rsid w:val="000D48F2"/>
    <w:rsid w:val="000D4A23"/>
    <w:rsid w:val="000D59D3"/>
    <w:rsid w:val="000D5CA0"/>
    <w:rsid w:val="000D5F9F"/>
    <w:rsid w:val="000D63AD"/>
    <w:rsid w:val="000D63DA"/>
    <w:rsid w:val="000D6430"/>
    <w:rsid w:val="000D66DB"/>
    <w:rsid w:val="000D6AA5"/>
    <w:rsid w:val="000D6D5A"/>
    <w:rsid w:val="000D6F29"/>
    <w:rsid w:val="000D73E5"/>
    <w:rsid w:val="000D79EB"/>
    <w:rsid w:val="000D7D91"/>
    <w:rsid w:val="000E0420"/>
    <w:rsid w:val="000E06FF"/>
    <w:rsid w:val="000E08F9"/>
    <w:rsid w:val="000E1586"/>
    <w:rsid w:val="000E1758"/>
    <w:rsid w:val="000E1BEF"/>
    <w:rsid w:val="000E20D7"/>
    <w:rsid w:val="000E23B5"/>
    <w:rsid w:val="000E24C2"/>
    <w:rsid w:val="000E3149"/>
    <w:rsid w:val="000E32E7"/>
    <w:rsid w:val="000E39CB"/>
    <w:rsid w:val="000E446B"/>
    <w:rsid w:val="000E4560"/>
    <w:rsid w:val="000E457E"/>
    <w:rsid w:val="000E4649"/>
    <w:rsid w:val="000E4655"/>
    <w:rsid w:val="000E4ECF"/>
    <w:rsid w:val="000E5DD8"/>
    <w:rsid w:val="000E60BD"/>
    <w:rsid w:val="000E6802"/>
    <w:rsid w:val="000E6E1A"/>
    <w:rsid w:val="000E6EE6"/>
    <w:rsid w:val="000E7334"/>
    <w:rsid w:val="000E7D54"/>
    <w:rsid w:val="000F024D"/>
    <w:rsid w:val="000F0522"/>
    <w:rsid w:val="000F18A2"/>
    <w:rsid w:val="000F1C6E"/>
    <w:rsid w:val="000F212F"/>
    <w:rsid w:val="000F2232"/>
    <w:rsid w:val="000F246A"/>
    <w:rsid w:val="000F2749"/>
    <w:rsid w:val="000F2994"/>
    <w:rsid w:val="000F303D"/>
    <w:rsid w:val="000F30C2"/>
    <w:rsid w:val="000F3549"/>
    <w:rsid w:val="000F369B"/>
    <w:rsid w:val="000F3B9E"/>
    <w:rsid w:val="000F40BE"/>
    <w:rsid w:val="000F4480"/>
    <w:rsid w:val="000F4AC6"/>
    <w:rsid w:val="000F4C12"/>
    <w:rsid w:val="000F5299"/>
    <w:rsid w:val="000F5600"/>
    <w:rsid w:val="000F59C1"/>
    <w:rsid w:val="000F59DC"/>
    <w:rsid w:val="000F5C54"/>
    <w:rsid w:val="000F5DFE"/>
    <w:rsid w:val="000F608E"/>
    <w:rsid w:val="000F6FBC"/>
    <w:rsid w:val="000F7767"/>
    <w:rsid w:val="000F7B6B"/>
    <w:rsid w:val="001002BA"/>
    <w:rsid w:val="00100C13"/>
    <w:rsid w:val="00100C44"/>
    <w:rsid w:val="00100CC8"/>
    <w:rsid w:val="0010113D"/>
    <w:rsid w:val="00101870"/>
    <w:rsid w:val="00101A29"/>
    <w:rsid w:val="00101C87"/>
    <w:rsid w:val="00101DE7"/>
    <w:rsid w:val="00101FBE"/>
    <w:rsid w:val="001020BD"/>
    <w:rsid w:val="001022E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7297"/>
    <w:rsid w:val="00107593"/>
    <w:rsid w:val="00107901"/>
    <w:rsid w:val="00107C65"/>
    <w:rsid w:val="00110E11"/>
    <w:rsid w:val="00110E60"/>
    <w:rsid w:val="00110F33"/>
    <w:rsid w:val="00111018"/>
    <w:rsid w:val="0011147D"/>
    <w:rsid w:val="001116C7"/>
    <w:rsid w:val="00111721"/>
    <w:rsid w:val="00111C85"/>
    <w:rsid w:val="00111EBC"/>
    <w:rsid w:val="0011200D"/>
    <w:rsid w:val="001121DD"/>
    <w:rsid w:val="001121E2"/>
    <w:rsid w:val="00112274"/>
    <w:rsid w:val="00112576"/>
    <w:rsid w:val="00112D4D"/>
    <w:rsid w:val="00113519"/>
    <w:rsid w:val="00113590"/>
    <w:rsid w:val="001138AE"/>
    <w:rsid w:val="00114BBB"/>
    <w:rsid w:val="00115129"/>
    <w:rsid w:val="0011517C"/>
    <w:rsid w:val="001156FC"/>
    <w:rsid w:val="001157E3"/>
    <w:rsid w:val="00115AD5"/>
    <w:rsid w:val="00115F68"/>
    <w:rsid w:val="00116561"/>
    <w:rsid w:val="00116D4D"/>
    <w:rsid w:val="00116F5A"/>
    <w:rsid w:val="00116F8E"/>
    <w:rsid w:val="00117382"/>
    <w:rsid w:val="00117D6D"/>
    <w:rsid w:val="00117EFB"/>
    <w:rsid w:val="00120E68"/>
    <w:rsid w:val="001216D7"/>
    <w:rsid w:val="00121AC6"/>
    <w:rsid w:val="00122236"/>
    <w:rsid w:val="00122747"/>
    <w:rsid w:val="00122CE8"/>
    <w:rsid w:val="00122CFE"/>
    <w:rsid w:val="00122EFA"/>
    <w:rsid w:val="00123AF5"/>
    <w:rsid w:val="00123C56"/>
    <w:rsid w:val="00123F25"/>
    <w:rsid w:val="00124243"/>
    <w:rsid w:val="001255A6"/>
    <w:rsid w:val="0012560B"/>
    <w:rsid w:val="00125CC7"/>
    <w:rsid w:val="00125E26"/>
    <w:rsid w:val="001260CC"/>
    <w:rsid w:val="00126C9C"/>
    <w:rsid w:val="00126EEE"/>
    <w:rsid w:val="001270BC"/>
    <w:rsid w:val="0012767B"/>
    <w:rsid w:val="00130221"/>
    <w:rsid w:val="00131171"/>
    <w:rsid w:val="001311BF"/>
    <w:rsid w:val="00131818"/>
    <w:rsid w:val="00132233"/>
    <w:rsid w:val="0013229B"/>
    <w:rsid w:val="00132C59"/>
    <w:rsid w:val="001334AE"/>
    <w:rsid w:val="001338A1"/>
    <w:rsid w:val="00133985"/>
    <w:rsid w:val="001339AC"/>
    <w:rsid w:val="00133E4A"/>
    <w:rsid w:val="00133FE3"/>
    <w:rsid w:val="00134230"/>
    <w:rsid w:val="0013465B"/>
    <w:rsid w:val="00134663"/>
    <w:rsid w:val="00134AEA"/>
    <w:rsid w:val="0013558E"/>
    <w:rsid w:val="001355E1"/>
    <w:rsid w:val="00135FBC"/>
    <w:rsid w:val="00136BFF"/>
    <w:rsid w:val="001370DE"/>
    <w:rsid w:val="001373BC"/>
    <w:rsid w:val="001376F7"/>
    <w:rsid w:val="00137B03"/>
    <w:rsid w:val="00137DB7"/>
    <w:rsid w:val="00137E4E"/>
    <w:rsid w:val="00137FBF"/>
    <w:rsid w:val="00140023"/>
    <w:rsid w:val="00140C94"/>
    <w:rsid w:val="00141DEC"/>
    <w:rsid w:val="00142CB5"/>
    <w:rsid w:val="00142CCD"/>
    <w:rsid w:val="00142CE6"/>
    <w:rsid w:val="001440B4"/>
    <w:rsid w:val="00144455"/>
    <w:rsid w:val="00144866"/>
    <w:rsid w:val="0014491F"/>
    <w:rsid w:val="00145115"/>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807"/>
    <w:rsid w:val="0015540F"/>
    <w:rsid w:val="001561EB"/>
    <w:rsid w:val="001571E2"/>
    <w:rsid w:val="001577EB"/>
    <w:rsid w:val="001578A8"/>
    <w:rsid w:val="00157F35"/>
    <w:rsid w:val="00160830"/>
    <w:rsid w:val="00160EFE"/>
    <w:rsid w:val="00161069"/>
    <w:rsid w:val="00161A99"/>
    <w:rsid w:val="00161F84"/>
    <w:rsid w:val="00162046"/>
    <w:rsid w:val="00162649"/>
    <w:rsid w:val="0016298D"/>
    <w:rsid w:val="00162B76"/>
    <w:rsid w:val="0016342F"/>
    <w:rsid w:val="00163ABD"/>
    <w:rsid w:val="00163E47"/>
    <w:rsid w:val="001641BC"/>
    <w:rsid w:val="00164316"/>
    <w:rsid w:val="001647A1"/>
    <w:rsid w:val="001648FE"/>
    <w:rsid w:val="00164AE8"/>
    <w:rsid w:val="00164C98"/>
    <w:rsid w:val="001652F2"/>
    <w:rsid w:val="001654A9"/>
    <w:rsid w:val="00165860"/>
    <w:rsid w:val="00165CDE"/>
    <w:rsid w:val="00166576"/>
    <w:rsid w:val="001672F6"/>
    <w:rsid w:val="00167EA5"/>
    <w:rsid w:val="0017044D"/>
    <w:rsid w:val="00170868"/>
    <w:rsid w:val="0017192A"/>
    <w:rsid w:val="00171930"/>
    <w:rsid w:val="00171A03"/>
    <w:rsid w:val="001720C8"/>
    <w:rsid w:val="001724FC"/>
    <w:rsid w:val="00172A53"/>
    <w:rsid w:val="00172A57"/>
    <w:rsid w:val="001734AE"/>
    <w:rsid w:val="00173AFD"/>
    <w:rsid w:val="001740DF"/>
    <w:rsid w:val="00174351"/>
    <w:rsid w:val="00174563"/>
    <w:rsid w:val="00174D62"/>
    <w:rsid w:val="00175934"/>
    <w:rsid w:val="00175C6B"/>
    <w:rsid w:val="001763B9"/>
    <w:rsid w:val="00176700"/>
    <w:rsid w:val="001769D4"/>
    <w:rsid w:val="00176D3E"/>
    <w:rsid w:val="001771F7"/>
    <w:rsid w:val="00177899"/>
    <w:rsid w:val="00177A89"/>
    <w:rsid w:val="00180213"/>
    <w:rsid w:val="00180BC5"/>
    <w:rsid w:val="001814C4"/>
    <w:rsid w:val="0018175C"/>
    <w:rsid w:val="0018269D"/>
    <w:rsid w:val="00182BE5"/>
    <w:rsid w:val="00182FEC"/>
    <w:rsid w:val="00183791"/>
    <w:rsid w:val="001839A5"/>
    <w:rsid w:val="00183BE1"/>
    <w:rsid w:val="00184161"/>
    <w:rsid w:val="0018431A"/>
    <w:rsid w:val="001844AA"/>
    <w:rsid w:val="00184C5F"/>
    <w:rsid w:val="00184E3D"/>
    <w:rsid w:val="00184FBD"/>
    <w:rsid w:val="00184FF7"/>
    <w:rsid w:val="001850CB"/>
    <w:rsid w:val="001850FF"/>
    <w:rsid w:val="00185794"/>
    <w:rsid w:val="0018588F"/>
    <w:rsid w:val="00185DA7"/>
    <w:rsid w:val="00185FEA"/>
    <w:rsid w:val="00186A5A"/>
    <w:rsid w:val="001902A1"/>
    <w:rsid w:val="00190428"/>
    <w:rsid w:val="0019086F"/>
    <w:rsid w:val="001908CC"/>
    <w:rsid w:val="00190BEC"/>
    <w:rsid w:val="00190C8D"/>
    <w:rsid w:val="00190D6F"/>
    <w:rsid w:val="0019163C"/>
    <w:rsid w:val="00191D10"/>
    <w:rsid w:val="00191E76"/>
    <w:rsid w:val="001928FD"/>
    <w:rsid w:val="00192B96"/>
    <w:rsid w:val="00192EC8"/>
    <w:rsid w:val="00192F45"/>
    <w:rsid w:val="001937D4"/>
    <w:rsid w:val="001937F9"/>
    <w:rsid w:val="00193846"/>
    <w:rsid w:val="00193BA0"/>
    <w:rsid w:val="00194364"/>
    <w:rsid w:val="0019482D"/>
    <w:rsid w:val="00194A9B"/>
    <w:rsid w:val="00194B60"/>
    <w:rsid w:val="00195060"/>
    <w:rsid w:val="00195218"/>
    <w:rsid w:val="001954D2"/>
    <w:rsid w:val="0019582D"/>
    <w:rsid w:val="00195D78"/>
    <w:rsid w:val="001963AD"/>
    <w:rsid w:val="00196498"/>
    <w:rsid w:val="001966BE"/>
    <w:rsid w:val="00197163"/>
    <w:rsid w:val="001971D5"/>
    <w:rsid w:val="00197F16"/>
    <w:rsid w:val="001A08AA"/>
    <w:rsid w:val="001A0C7E"/>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6537"/>
    <w:rsid w:val="001A6734"/>
    <w:rsid w:val="001A68C2"/>
    <w:rsid w:val="001A6DA3"/>
    <w:rsid w:val="001A71B5"/>
    <w:rsid w:val="001A7540"/>
    <w:rsid w:val="001A7754"/>
    <w:rsid w:val="001A7EE0"/>
    <w:rsid w:val="001B0055"/>
    <w:rsid w:val="001B0169"/>
    <w:rsid w:val="001B046D"/>
    <w:rsid w:val="001B08FF"/>
    <w:rsid w:val="001B0E64"/>
    <w:rsid w:val="001B0FCC"/>
    <w:rsid w:val="001B127E"/>
    <w:rsid w:val="001B175E"/>
    <w:rsid w:val="001B22DE"/>
    <w:rsid w:val="001B29DC"/>
    <w:rsid w:val="001B2C06"/>
    <w:rsid w:val="001B353B"/>
    <w:rsid w:val="001B372F"/>
    <w:rsid w:val="001B3FE1"/>
    <w:rsid w:val="001B4CAC"/>
    <w:rsid w:val="001B4E1C"/>
    <w:rsid w:val="001B4E89"/>
    <w:rsid w:val="001B4F4D"/>
    <w:rsid w:val="001B55F4"/>
    <w:rsid w:val="001B55FE"/>
    <w:rsid w:val="001B573B"/>
    <w:rsid w:val="001B5C13"/>
    <w:rsid w:val="001B5E8C"/>
    <w:rsid w:val="001B5F39"/>
    <w:rsid w:val="001B604C"/>
    <w:rsid w:val="001B61EC"/>
    <w:rsid w:val="001B6400"/>
    <w:rsid w:val="001B6598"/>
    <w:rsid w:val="001B6765"/>
    <w:rsid w:val="001B6DBD"/>
    <w:rsid w:val="001B70D9"/>
    <w:rsid w:val="001B7970"/>
    <w:rsid w:val="001B7B5E"/>
    <w:rsid w:val="001C0875"/>
    <w:rsid w:val="001C0A89"/>
    <w:rsid w:val="001C0C34"/>
    <w:rsid w:val="001C0EEA"/>
    <w:rsid w:val="001C13C2"/>
    <w:rsid w:val="001C16A0"/>
    <w:rsid w:val="001C1AF3"/>
    <w:rsid w:val="001C1B89"/>
    <w:rsid w:val="001C1DD8"/>
    <w:rsid w:val="001C2299"/>
    <w:rsid w:val="001C2A96"/>
    <w:rsid w:val="001C3896"/>
    <w:rsid w:val="001C3D6E"/>
    <w:rsid w:val="001C3E87"/>
    <w:rsid w:val="001C4277"/>
    <w:rsid w:val="001C43DD"/>
    <w:rsid w:val="001C4BB4"/>
    <w:rsid w:val="001C4CF6"/>
    <w:rsid w:val="001C4D67"/>
    <w:rsid w:val="001C4F40"/>
    <w:rsid w:val="001C520E"/>
    <w:rsid w:val="001C5CC5"/>
    <w:rsid w:val="001C64DA"/>
    <w:rsid w:val="001C6DA8"/>
    <w:rsid w:val="001C7606"/>
    <w:rsid w:val="001C79F3"/>
    <w:rsid w:val="001D034C"/>
    <w:rsid w:val="001D0350"/>
    <w:rsid w:val="001D052C"/>
    <w:rsid w:val="001D06F2"/>
    <w:rsid w:val="001D0BC0"/>
    <w:rsid w:val="001D1223"/>
    <w:rsid w:val="001D122E"/>
    <w:rsid w:val="001D15C4"/>
    <w:rsid w:val="001D170A"/>
    <w:rsid w:val="001D1D4F"/>
    <w:rsid w:val="001D1DAA"/>
    <w:rsid w:val="001D1EC1"/>
    <w:rsid w:val="001D3124"/>
    <w:rsid w:val="001D318D"/>
    <w:rsid w:val="001D35AA"/>
    <w:rsid w:val="001D372E"/>
    <w:rsid w:val="001D3CC0"/>
    <w:rsid w:val="001D4E61"/>
    <w:rsid w:val="001D4E67"/>
    <w:rsid w:val="001D505A"/>
    <w:rsid w:val="001D56BF"/>
    <w:rsid w:val="001D5775"/>
    <w:rsid w:val="001D5A2A"/>
    <w:rsid w:val="001D5ADC"/>
    <w:rsid w:val="001D5C7B"/>
    <w:rsid w:val="001D5EA6"/>
    <w:rsid w:val="001D6453"/>
    <w:rsid w:val="001D749E"/>
    <w:rsid w:val="001D7A21"/>
    <w:rsid w:val="001E01BD"/>
    <w:rsid w:val="001E02C4"/>
    <w:rsid w:val="001E02EC"/>
    <w:rsid w:val="001E06F7"/>
    <w:rsid w:val="001E098E"/>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D11"/>
    <w:rsid w:val="001E4EF3"/>
    <w:rsid w:val="001E5878"/>
    <w:rsid w:val="001E6493"/>
    <w:rsid w:val="001E6967"/>
    <w:rsid w:val="001E6E6B"/>
    <w:rsid w:val="001E723F"/>
    <w:rsid w:val="001E79AA"/>
    <w:rsid w:val="001E7E88"/>
    <w:rsid w:val="001F0384"/>
    <w:rsid w:val="001F099D"/>
    <w:rsid w:val="001F0AF0"/>
    <w:rsid w:val="001F0B75"/>
    <w:rsid w:val="001F100E"/>
    <w:rsid w:val="001F1298"/>
    <w:rsid w:val="001F133A"/>
    <w:rsid w:val="001F1719"/>
    <w:rsid w:val="001F17AF"/>
    <w:rsid w:val="001F18CE"/>
    <w:rsid w:val="001F1C53"/>
    <w:rsid w:val="001F23AE"/>
    <w:rsid w:val="001F4E9F"/>
    <w:rsid w:val="001F5F51"/>
    <w:rsid w:val="001F64A6"/>
    <w:rsid w:val="001F6881"/>
    <w:rsid w:val="001F6A86"/>
    <w:rsid w:val="001F6B2C"/>
    <w:rsid w:val="001F6BC4"/>
    <w:rsid w:val="001F7193"/>
    <w:rsid w:val="001F72DE"/>
    <w:rsid w:val="001F783E"/>
    <w:rsid w:val="001F79AC"/>
    <w:rsid w:val="00201146"/>
    <w:rsid w:val="00201224"/>
    <w:rsid w:val="00201370"/>
    <w:rsid w:val="002019E6"/>
    <w:rsid w:val="00201C89"/>
    <w:rsid w:val="00201ED5"/>
    <w:rsid w:val="002020D5"/>
    <w:rsid w:val="0020347C"/>
    <w:rsid w:val="00203901"/>
    <w:rsid w:val="00203AF4"/>
    <w:rsid w:val="00203B13"/>
    <w:rsid w:val="0020425D"/>
    <w:rsid w:val="00204936"/>
    <w:rsid w:val="00204DD1"/>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603A"/>
    <w:rsid w:val="00216767"/>
    <w:rsid w:val="002169C5"/>
    <w:rsid w:val="00216C30"/>
    <w:rsid w:val="00217722"/>
    <w:rsid w:val="002179EA"/>
    <w:rsid w:val="00217B46"/>
    <w:rsid w:val="00220229"/>
    <w:rsid w:val="00220237"/>
    <w:rsid w:val="002203F0"/>
    <w:rsid w:val="00220690"/>
    <w:rsid w:val="0022086A"/>
    <w:rsid w:val="0022108D"/>
    <w:rsid w:val="00221519"/>
    <w:rsid w:val="0022163F"/>
    <w:rsid w:val="00221CCD"/>
    <w:rsid w:val="00221DD8"/>
    <w:rsid w:val="00222746"/>
    <w:rsid w:val="0022289A"/>
    <w:rsid w:val="00223045"/>
    <w:rsid w:val="002234D3"/>
    <w:rsid w:val="002237FE"/>
    <w:rsid w:val="002238A2"/>
    <w:rsid w:val="0022412C"/>
    <w:rsid w:val="002241D9"/>
    <w:rsid w:val="00224407"/>
    <w:rsid w:val="0022440C"/>
    <w:rsid w:val="00224D22"/>
    <w:rsid w:val="00225149"/>
    <w:rsid w:val="002256E7"/>
    <w:rsid w:val="002259EA"/>
    <w:rsid w:val="00226397"/>
    <w:rsid w:val="002267E4"/>
    <w:rsid w:val="00226CB5"/>
    <w:rsid w:val="00226EBA"/>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78D"/>
    <w:rsid w:val="002344D1"/>
    <w:rsid w:val="00234998"/>
    <w:rsid w:val="00234D4B"/>
    <w:rsid w:val="0023557E"/>
    <w:rsid w:val="00235759"/>
    <w:rsid w:val="00235DC0"/>
    <w:rsid w:val="002366BD"/>
    <w:rsid w:val="00236852"/>
    <w:rsid w:val="002369A3"/>
    <w:rsid w:val="00236B0C"/>
    <w:rsid w:val="00237635"/>
    <w:rsid w:val="00237A1E"/>
    <w:rsid w:val="00237B5E"/>
    <w:rsid w:val="00237BA9"/>
    <w:rsid w:val="00240155"/>
    <w:rsid w:val="00240A1D"/>
    <w:rsid w:val="00241B19"/>
    <w:rsid w:val="00241BB5"/>
    <w:rsid w:val="00242470"/>
    <w:rsid w:val="002425BE"/>
    <w:rsid w:val="002426CB"/>
    <w:rsid w:val="0024287D"/>
    <w:rsid w:val="00242CEE"/>
    <w:rsid w:val="00243506"/>
    <w:rsid w:val="00243964"/>
    <w:rsid w:val="00243B7C"/>
    <w:rsid w:val="00243C9D"/>
    <w:rsid w:val="002446F9"/>
    <w:rsid w:val="00244FF9"/>
    <w:rsid w:val="00245046"/>
    <w:rsid w:val="002451FA"/>
    <w:rsid w:val="00245339"/>
    <w:rsid w:val="00245C33"/>
    <w:rsid w:val="002460DD"/>
    <w:rsid w:val="002462F1"/>
    <w:rsid w:val="00246F35"/>
    <w:rsid w:val="002471EC"/>
    <w:rsid w:val="002478FF"/>
    <w:rsid w:val="002501F1"/>
    <w:rsid w:val="002502F9"/>
    <w:rsid w:val="00250634"/>
    <w:rsid w:val="0025082F"/>
    <w:rsid w:val="00250ADF"/>
    <w:rsid w:val="0025101E"/>
    <w:rsid w:val="002516B1"/>
    <w:rsid w:val="00251CAC"/>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E"/>
    <w:rsid w:val="00254E89"/>
    <w:rsid w:val="002550A9"/>
    <w:rsid w:val="002556B2"/>
    <w:rsid w:val="00255A0A"/>
    <w:rsid w:val="00256279"/>
    <w:rsid w:val="00256983"/>
    <w:rsid w:val="002571F3"/>
    <w:rsid w:val="0025799B"/>
    <w:rsid w:val="00257A2D"/>
    <w:rsid w:val="00257B0C"/>
    <w:rsid w:val="00257C51"/>
    <w:rsid w:val="00257E74"/>
    <w:rsid w:val="002602DC"/>
    <w:rsid w:val="00260371"/>
    <w:rsid w:val="00260428"/>
    <w:rsid w:val="002608C9"/>
    <w:rsid w:val="00260AFE"/>
    <w:rsid w:val="00260C01"/>
    <w:rsid w:val="00261200"/>
    <w:rsid w:val="00261478"/>
    <w:rsid w:val="0026167C"/>
    <w:rsid w:val="00261CC1"/>
    <w:rsid w:val="0026247A"/>
    <w:rsid w:val="00263767"/>
    <w:rsid w:val="00263B3E"/>
    <w:rsid w:val="00263DF0"/>
    <w:rsid w:val="002643BE"/>
    <w:rsid w:val="00264992"/>
    <w:rsid w:val="00264BF5"/>
    <w:rsid w:val="00264F69"/>
    <w:rsid w:val="00265379"/>
    <w:rsid w:val="00265494"/>
    <w:rsid w:val="00265C5F"/>
    <w:rsid w:val="0026606D"/>
    <w:rsid w:val="002660ED"/>
    <w:rsid w:val="0026620E"/>
    <w:rsid w:val="0026661D"/>
    <w:rsid w:val="002670A4"/>
    <w:rsid w:val="00267168"/>
    <w:rsid w:val="0027087A"/>
    <w:rsid w:val="00270F5E"/>
    <w:rsid w:val="00271494"/>
    <w:rsid w:val="002714BA"/>
    <w:rsid w:val="0027160A"/>
    <w:rsid w:val="00271C65"/>
    <w:rsid w:val="00272246"/>
    <w:rsid w:val="00272443"/>
    <w:rsid w:val="002726FA"/>
    <w:rsid w:val="002728E7"/>
    <w:rsid w:val="00272A1D"/>
    <w:rsid w:val="00272A51"/>
    <w:rsid w:val="00272F28"/>
    <w:rsid w:val="0027352A"/>
    <w:rsid w:val="002739C4"/>
    <w:rsid w:val="00273A21"/>
    <w:rsid w:val="002741C2"/>
    <w:rsid w:val="0027461D"/>
    <w:rsid w:val="0027465D"/>
    <w:rsid w:val="00274997"/>
    <w:rsid w:val="002749BA"/>
    <w:rsid w:val="00274A9B"/>
    <w:rsid w:val="00274B47"/>
    <w:rsid w:val="00274BA3"/>
    <w:rsid w:val="002750F9"/>
    <w:rsid w:val="00275740"/>
    <w:rsid w:val="002766ED"/>
    <w:rsid w:val="00276BD4"/>
    <w:rsid w:val="00276D87"/>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8"/>
    <w:rsid w:val="00284409"/>
    <w:rsid w:val="00284707"/>
    <w:rsid w:val="00284812"/>
    <w:rsid w:val="00284FA5"/>
    <w:rsid w:val="00285FDE"/>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2048"/>
    <w:rsid w:val="002925CA"/>
    <w:rsid w:val="0029279F"/>
    <w:rsid w:val="00293562"/>
    <w:rsid w:val="002936DE"/>
    <w:rsid w:val="002940D6"/>
    <w:rsid w:val="00294889"/>
    <w:rsid w:val="00294BBD"/>
    <w:rsid w:val="00295181"/>
    <w:rsid w:val="0029529A"/>
    <w:rsid w:val="00295641"/>
    <w:rsid w:val="00295A99"/>
    <w:rsid w:val="002964B0"/>
    <w:rsid w:val="002965DF"/>
    <w:rsid w:val="00296DCF"/>
    <w:rsid w:val="002975BA"/>
    <w:rsid w:val="002978F0"/>
    <w:rsid w:val="00297A54"/>
    <w:rsid w:val="00297ED0"/>
    <w:rsid w:val="002A01CB"/>
    <w:rsid w:val="002A04A4"/>
    <w:rsid w:val="002A07FB"/>
    <w:rsid w:val="002A158B"/>
    <w:rsid w:val="002A1687"/>
    <w:rsid w:val="002A18E4"/>
    <w:rsid w:val="002A1C98"/>
    <w:rsid w:val="002A264C"/>
    <w:rsid w:val="002A2950"/>
    <w:rsid w:val="002A30C2"/>
    <w:rsid w:val="002A3483"/>
    <w:rsid w:val="002A3AF2"/>
    <w:rsid w:val="002A45F6"/>
    <w:rsid w:val="002A4E24"/>
    <w:rsid w:val="002A5297"/>
    <w:rsid w:val="002A5A73"/>
    <w:rsid w:val="002A629C"/>
    <w:rsid w:val="002A649C"/>
    <w:rsid w:val="002A6AAC"/>
    <w:rsid w:val="002A6B09"/>
    <w:rsid w:val="002A6DC4"/>
    <w:rsid w:val="002A6EC6"/>
    <w:rsid w:val="002A7173"/>
    <w:rsid w:val="002A71FE"/>
    <w:rsid w:val="002A7345"/>
    <w:rsid w:val="002B0236"/>
    <w:rsid w:val="002B0374"/>
    <w:rsid w:val="002B06F6"/>
    <w:rsid w:val="002B0946"/>
    <w:rsid w:val="002B0D0E"/>
    <w:rsid w:val="002B0D75"/>
    <w:rsid w:val="002B0E50"/>
    <w:rsid w:val="002B12C4"/>
    <w:rsid w:val="002B12F4"/>
    <w:rsid w:val="002B1FBB"/>
    <w:rsid w:val="002B21B1"/>
    <w:rsid w:val="002B22C7"/>
    <w:rsid w:val="002B2422"/>
    <w:rsid w:val="002B24D2"/>
    <w:rsid w:val="002B270C"/>
    <w:rsid w:val="002B28E2"/>
    <w:rsid w:val="002B2951"/>
    <w:rsid w:val="002B2A67"/>
    <w:rsid w:val="002B2CC6"/>
    <w:rsid w:val="002B2D9B"/>
    <w:rsid w:val="002B2E82"/>
    <w:rsid w:val="002B3249"/>
    <w:rsid w:val="002B336A"/>
    <w:rsid w:val="002B3882"/>
    <w:rsid w:val="002B4975"/>
    <w:rsid w:val="002B50D3"/>
    <w:rsid w:val="002B5111"/>
    <w:rsid w:val="002B512A"/>
    <w:rsid w:val="002B521A"/>
    <w:rsid w:val="002B56D5"/>
    <w:rsid w:val="002B5AAE"/>
    <w:rsid w:val="002B6C55"/>
    <w:rsid w:val="002B79DF"/>
    <w:rsid w:val="002C001B"/>
    <w:rsid w:val="002C065E"/>
    <w:rsid w:val="002C0705"/>
    <w:rsid w:val="002C0B45"/>
    <w:rsid w:val="002C1B0D"/>
    <w:rsid w:val="002C207D"/>
    <w:rsid w:val="002C24C8"/>
    <w:rsid w:val="002C3123"/>
    <w:rsid w:val="002C3A5A"/>
    <w:rsid w:val="002C4092"/>
    <w:rsid w:val="002C4620"/>
    <w:rsid w:val="002C4771"/>
    <w:rsid w:val="002C4E32"/>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3066"/>
    <w:rsid w:val="002D3BED"/>
    <w:rsid w:val="002D3D0F"/>
    <w:rsid w:val="002D4433"/>
    <w:rsid w:val="002D4E04"/>
    <w:rsid w:val="002D4F40"/>
    <w:rsid w:val="002D5269"/>
    <w:rsid w:val="002D54A5"/>
    <w:rsid w:val="002D5EBC"/>
    <w:rsid w:val="002D5ED8"/>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DE1"/>
    <w:rsid w:val="002E2E14"/>
    <w:rsid w:val="002E315F"/>
    <w:rsid w:val="002E31A0"/>
    <w:rsid w:val="002E39F6"/>
    <w:rsid w:val="002E4119"/>
    <w:rsid w:val="002E446C"/>
    <w:rsid w:val="002E465C"/>
    <w:rsid w:val="002E4735"/>
    <w:rsid w:val="002E4D36"/>
    <w:rsid w:val="002E4D3D"/>
    <w:rsid w:val="002E4E77"/>
    <w:rsid w:val="002E5132"/>
    <w:rsid w:val="002E5742"/>
    <w:rsid w:val="002E5A20"/>
    <w:rsid w:val="002E5AC5"/>
    <w:rsid w:val="002E668A"/>
    <w:rsid w:val="002E6D48"/>
    <w:rsid w:val="002E6E9B"/>
    <w:rsid w:val="002E6FB8"/>
    <w:rsid w:val="002E73FB"/>
    <w:rsid w:val="002E757D"/>
    <w:rsid w:val="002E77F4"/>
    <w:rsid w:val="002E7D04"/>
    <w:rsid w:val="002E7D46"/>
    <w:rsid w:val="002F004C"/>
    <w:rsid w:val="002F0A49"/>
    <w:rsid w:val="002F0AC7"/>
    <w:rsid w:val="002F1275"/>
    <w:rsid w:val="002F1396"/>
    <w:rsid w:val="002F1742"/>
    <w:rsid w:val="002F1D6E"/>
    <w:rsid w:val="002F262A"/>
    <w:rsid w:val="002F271E"/>
    <w:rsid w:val="002F27FE"/>
    <w:rsid w:val="002F2837"/>
    <w:rsid w:val="002F28A7"/>
    <w:rsid w:val="002F3952"/>
    <w:rsid w:val="002F4544"/>
    <w:rsid w:val="002F495F"/>
    <w:rsid w:val="002F49DE"/>
    <w:rsid w:val="002F5249"/>
    <w:rsid w:val="002F5A20"/>
    <w:rsid w:val="002F629B"/>
    <w:rsid w:val="002F6550"/>
    <w:rsid w:val="002F65C6"/>
    <w:rsid w:val="002F6658"/>
    <w:rsid w:val="002F66E9"/>
    <w:rsid w:val="002F67DC"/>
    <w:rsid w:val="002F6AD9"/>
    <w:rsid w:val="002F6C56"/>
    <w:rsid w:val="002F70A3"/>
    <w:rsid w:val="002F75B4"/>
    <w:rsid w:val="002F77A3"/>
    <w:rsid w:val="002F7DE5"/>
    <w:rsid w:val="002F7F30"/>
    <w:rsid w:val="002F7F34"/>
    <w:rsid w:val="002F7F4A"/>
    <w:rsid w:val="003001E5"/>
    <w:rsid w:val="00300EA9"/>
    <w:rsid w:val="00301020"/>
    <w:rsid w:val="00301274"/>
    <w:rsid w:val="00301560"/>
    <w:rsid w:val="00301670"/>
    <w:rsid w:val="00301EE2"/>
    <w:rsid w:val="003022B5"/>
    <w:rsid w:val="00302435"/>
    <w:rsid w:val="00302446"/>
    <w:rsid w:val="00302831"/>
    <w:rsid w:val="0030297A"/>
    <w:rsid w:val="0030305C"/>
    <w:rsid w:val="00303B2D"/>
    <w:rsid w:val="00304B0A"/>
    <w:rsid w:val="00305E5E"/>
    <w:rsid w:val="0030604E"/>
    <w:rsid w:val="00306292"/>
    <w:rsid w:val="00306357"/>
    <w:rsid w:val="003069D5"/>
    <w:rsid w:val="00306D87"/>
    <w:rsid w:val="003075E9"/>
    <w:rsid w:val="003103E6"/>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4453"/>
    <w:rsid w:val="003144ED"/>
    <w:rsid w:val="00314A22"/>
    <w:rsid w:val="00314C61"/>
    <w:rsid w:val="003150C0"/>
    <w:rsid w:val="0031510F"/>
    <w:rsid w:val="00315490"/>
    <w:rsid w:val="003156B1"/>
    <w:rsid w:val="00315B07"/>
    <w:rsid w:val="00315D18"/>
    <w:rsid w:val="00315D88"/>
    <w:rsid w:val="00316A38"/>
    <w:rsid w:val="00316BCA"/>
    <w:rsid w:val="00316CFC"/>
    <w:rsid w:val="00316EEF"/>
    <w:rsid w:val="00316FB5"/>
    <w:rsid w:val="00317596"/>
    <w:rsid w:val="003175C3"/>
    <w:rsid w:val="0031793F"/>
    <w:rsid w:val="0031794F"/>
    <w:rsid w:val="00317D8F"/>
    <w:rsid w:val="003208D8"/>
    <w:rsid w:val="00320C0F"/>
    <w:rsid w:val="0032157D"/>
    <w:rsid w:val="003219D3"/>
    <w:rsid w:val="00321A1C"/>
    <w:rsid w:val="00321B44"/>
    <w:rsid w:val="00321DD4"/>
    <w:rsid w:val="00322523"/>
    <w:rsid w:val="0032271A"/>
    <w:rsid w:val="00322BB5"/>
    <w:rsid w:val="0032410C"/>
    <w:rsid w:val="00324679"/>
    <w:rsid w:val="00324795"/>
    <w:rsid w:val="00324923"/>
    <w:rsid w:val="00324B7A"/>
    <w:rsid w:val="003252CD"/>
    <w:rsid w:val="00325B0C"/>
    <w:rsid w:val="003265A8"/>
    <w:rsid w:val="00326804"/>
    <w:rsid w:val="00327789"/>
    <w:rsid w:val="003304CE"/>
    <w:rsid w:val="00330763"/>
    <w:rsid w:val="00330A71"/>
    <w:rsid w:val="00330BA2"/>
    <w:rsid w:val="00330D37"/>
    <w:rsid w:val="00330F6D"/>
    <w:rsid w:val="00331197"/>
    <w:rsid w:val="003312EF"/>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EF7"/>
    <w:rsid w:val="003468EB"/>
    <w:rsid w:val="003469B5"/>
    <w:rsid w:val="00346B70"/>
    <w:rsid w:val="00347078"/>
    <w:rsid w:val="00347157"/>
    <w:rsid w:val="003472B7"/>
    <w:rsid w:val="00347564"/>
    <w:rsid w:val="003477B2"/>
    <w:rsid w:val="003477EB"/>
    <w:rsid w:val="0035048A"/>
    <w:rsid w:val="00350802"/>
    <w:rsid w:val="00350955"/>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5740"/>
    <w:rsid w:val="00355CC0"/>
    <w:rsid w:val="00355DA5"/>
    <w:rsid w:val="003563C2"/>
    <w:rsid w:val="003565DD"/>
    <w:rsid w:val="00356850"/>
    <w:rsid w:val="00356CFF"/>
    <w:rsid w:val="003573C9"/>
    <w:rsid w:val="00357630"/>
    <w:rsid w:val="00357D5B"/>
    <w:rsid w:val="00360468"/>
    <w:rsid w:val="003604B1"/>
    <w:rsid w:val="00360B06"/>
    <w:rsid w:val="003611E0"/>
    <w:rsid w:val="003614B0"/>
    <w:rsid w:val="0036156F"/>
    <w:rsid w:val="003628AD"/>
    <w:rsid w:val="00362988"/>
    <w:rsid w:val="003629D7"/>
    <w:rsid w:val="00362B16"/>
    <w:rsid w:val="00362D9D"/>
    <w:rsid w:val="00362F86"/>
    <w:rsid w:val="0036388B"/>
    <w:rsid w:val="00363A4F"/>
    <w:rsid w:val="00364425"/>
    <w:rsid w:val="00364472"/>
    <w:rsid w:val="0036504F"/>
    <w:rsid w:val="0036522A"/>
    <w:rsid w:val="0036528D"/>
    <w:rsid w:val="00365836"/>
    <w:rsid w:val="00365A93"/>
    <w:rsid w:val="00365C11"/>
    <w:rsid w:val="0036635A"/>
    <w:rsid w:val="00366661"/>
    <w:rsid w:val="00366A80"/>
    <w:rsid w:val="00366C32"/>
    <w:rsid w:val="00366C38"/>
    <w:rsid w:val="00367621"/>
    <w:rsid w:val="00367A7C"/>
    <w:rsid w:val="00367E97"/>
    <w:rsid w:val="00370116"/>
    <w:rsid w:val="003707EF"/>
    <w:rsid w:val="00370BBB"/>
    <w:rsid w:val="00370C02"/>
    <w:rsid w:val="00370C21"/>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700A"/>
    <w:rsid w:val="00377BB7"/>
    <w:rsid w:val="00377F0B"/>
    <w:rsid w:val="00377F1E"/>
    <w:rsid w:val="003803A1"/>
    <w:rsid w:val="003806BA"/>
    <w:rsid w:val="00380DD5"/>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FB7"/>
    <w:rsid w:val="00386615"/>
    <w:rsid w:val="0038758E"/>
    <w:rsid w:val="003876AF"/>
    <w:rsid w:val="00387D5A"/>
    <w:rsid w:val="003907CE"/>
    <w:rsid w:val="0039093B"/>
    <w:rsid w:val="00390AE8"/>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7423"/>
    <w:rsid w:val="00397653"/>
    <w:rsid w:val="0039780D"/>
    <w:rsid w:val="003979E8"/>
    <w:rsid w:val="00397AEC"/>
    <w:rsid w:val="003A08E5"/>
    <w:rsid w:val="003A1956"/>
    <w:rsid w:val="003A1F2E"/>
    <w:rsid w:val="003A1F4D"/>
    <w:rsid w:val="003A1FAE"/>
    <w:rsid w:val="003A2A86"/>
    <w:rsid w:val="003A3887"/>
    <w:rsid w:val="003A3AFB"/>
    <w:rsid w:val="003A4C6E"/>
    <w:rsid w:val="003A5505"/>
    <w:rsid w:val="003A5D91"/>
    <w:rsid w:val="003A6C18"/>
    <w:rsid w:val="003A7C56"/>
    <w:rsid w:val="003A7DBE"/>
    <w:rsid w:val="003B03C9"/>
    <w:rsid w:val="003B04DE"/>
    <w:rsid w:val="003B0A76"/>
    <w:rsid w:val="003B0BB8"/>
    <w:rsid w:val="003B0C33"/>
    <w:rsid w:val="003B0D8F"/>
    <w:rsid w:val="003B0EA4"/>
    <w:rsid w:val="003B0FC8"/>
    <w:rsid w:val="003B1759"/>
    <w:rsid w:val="003B1B69"/>
    <w:rsid w:val="003B1EB3"/>
    <w:rsid w:val="003B1F4A"/>
    <w:rsid w:val="003B22FE"/>
    <w:rsid w:val="003B2480"/>
    <w:rsid w:val="003B2AA1"/>
    <w:rsid w:val="003B2B52"/>
    <w:rsid w:val="003B2DDE"/>
    <w:rsid w:val="003B2F1F"/>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AD1"/>
    <w:rsid w:val="003B7F63"/>
    <w:rsid w:val="003B7FA6"/>
    <w:rsid w:val="003C094D"/>
    <w:rsid w:val="003C09B6"/>
    <w:rsid w:val="003C1157"/>
    <w:rsid w:val="003C1864"/>
    <w:rsid w:val="003C1E88"/>
    <w:rsid w:val="003C2376"/>
    <w:rsid w:val="003C2378"/>
    <w:rsid w:val="003C280F"/>
    <w:rsid w:val="003C28F8"/>
    <w:rsid w:val="003C293C"/>
    <w:rsid w:val="003C2E18"/>
    <w:rsid w:val="003C2E93"/>
    <w:rsid w:val="003C38D4"/>
    <w:rsid w:val="003C3930"/>
    <w:rsid w:val="003C3BE7"/>
    <w:rsid w:val="003C4110"/>
    <w:rsid w:val="003C42CF"/>
    <w:rsid w:val="003C4408"/>
    <w:rsid w:val="003C4D13"/>
    <w:rsid w:val="003C519E"/>
    <w:rsid w:val="003C5528"/>
    <w:rsid w:val="003C55E4"/>
    <w:rsid w:val="003C57C0"/>
    <w:rsid w:val="003C6A94"/>
    <w:rsid w:val="003C6E0B"/>
    <w:rsid w:val="003C7224"/>
    <w:rsid w:val="003C73B6"/>
    <w:rsid w:val="003D0970"/>
    <w:rsid w:val="003D0A09"/>
    <w:rsid w:val="003D0B0A"/>
    <w:rsid w:val="003D16F6"/>
    <w:rsid w:val="003D188D"/>
    <w:rsid w:val="003D18BA"/>
    <w:rsid w:val="003D18D0"/>
    <w:rsid w:val="003D1A27"/>
    <w:rsid w:val="003D1C26"/>
    <w:rsid w:val="003D2633"/>
    <w:rsid w:val="003D26D2"/>
    <w:rsid w:val="003D2E26"/>
    <w:rsid w:val="003D3648"/>
    <w:rsid w:val="003D397E"/>
    <w:rsid w:val="003D5200"/>
    <w:rsid w:val="003D5868"/>
    <w:rsid w:val="003D59D1"/>
    <w:rsid w:val="003D5A65"/>
    <w:rsid w:val="003D5B58"/>
    <w:rsid w:val="003D5BA0"/>
    <w:rsid w:val="003D622E"/>
    <w:rsid w:val="003D7409"/>
    <w:rsid w:val="003D7CAA"/>
    <w:rsid w:val="003D7E44"/>
    <w:rsid w:val="003E02A0"/>
    <w:rsid w:val="003E0308"/>
    <w:rsid w:val="003E0833"/>
    <w:rsid w:val="003E0C86"/>
    <w:rsid w:val="003E10EE"/>
    <w:rsid w:val="003E1459"/>
    <w:rsid w:val="003E176F"/>
    <w:rsid w:val="003E1E5F"/>
    <w:rsid w:val="003E1F3A"/>
    <w:rsid w:val="003E20D0"/>
    <w:rsid w:val="003E21CE"/>
    <w:rsid w:val="003E251D"/>
    <w:rsid w:val="003E2554"/>
    <w:rsid w:val="003E297C"/>
    <w:rsid w:val="003E3686"/>
    <w:rsid w:val="003E3DAD"/>
    <w:rsid w:val="003E3EDE"/>
    <w:rsid w:val="003E46AF"/>
    <w:rsid w:val="003E4AC5"/>
    <w:rsid w:val="003E528C"/>
    <w:rsid w:val="003E5766"/>
    <w:rsid w:val="003E57A6"/>
    <w:rsid w:val="003E6258"/>
    <w:rsid w:val="003E663C"/>
    <w:rsid w:val="003E6B2F"/>
    <w:rsid w:val="003E6C4F"/>
    <w:rsid w:val="003E785E"/>
    <w:rsid w:val="003F00CC"/>
    <w:rsid w:val="003F0187"/>
    <w:rsid w:val="003F069D"/>
    <w:rsid w:val="003F129A"/>
    <w:rsid w:val="003F1470"/>
    <w:rsid w:val="003F168F"/>
    <w:rsid w:val="003F18A5"/>
    <w:rsid w:val="003F18A9"/>
    <w:rsid w:val="003F31C9"/>
    <w:rsid w:val="003F3315"/>
    <w:rsid w:val="003F33A5"/>
    <w:rsid w:val="003F3446"/>
    <w:rsid w:val="003F35ED"/>
    <w:rsid w:val="003F36D3"/>
    <w:rsid w:val="003F37D5"/>
    <w:rsid w:val="003F3B46"/>
    <w:rsid w:val="003F3C5E"/>
    <w:rsid w:val="003F40AC"/>
    <w:rsid w:val="003F44F2"/>
    <w:rsid w:val="003F45E1"/>
    <w:rsid w:val="003F45F3"/>
    <w:rsid w:val="003F473B"/>
    <w:rsid w:val="003F4F81"/>
    <w:rsid w:val="003F4FA1"/>
    <w:rsid w:val="003F59D4"/>
    <w:rsid w:val="003F6407"/>
    <w:rsid w:val="003F70B4"/>
    <w:rsid w:val="003F7143"/>
    <w:rsid w:val="003F76AF"/>
    <w:rsid w:val="0040020E"/>
    <w:rsid w:val="004003F0"/>
    <w:rsid w:val="0040085F"/>
    <w:rsid w:val="00400984"/>
    <w:rsid w:val="004012A4"/>
    <w:rsid w:val="0040136A"/>
    <w:rsid w:val="0040156C"/>
    <w:rsid w:val="00401602"/>
    <w:rsid w:val="004017FB"/>
    <w:rsid w:val="00401F86"/>
    <w:rsid w:val="0040267F"/>
    <w:rsid w:val="00402C7B"/>
    <w:rsid w:val="004036D1"/>
    <w:rsid w:val="00404B62"/>
    <w:rsid w:val="00404D4F"/>
    <w:rsid w:val="00404F12"/>
    <w:rsid w:val="004050AA"/>
    <w:rsid w:val="004052B3"/>
    <w:rsid w:val="00405AAA"/>
    <w:rsid w:val="00405DE2"/>
    <w:rsid w:val="004070DA"/>
    <w:rsid w:val="004073B6"/>
    <w:rsid w:val="00407C5C"/>
    <w:rsid w:val="00407ECB"/>
    <w:rsid w:val="00410070"/>
    <w:rsid w:val="0041062E"/>
    <w:rsid w:val="0041089F"/>
    <w:rsid w:val="00410A22"/>
    <w:rsid w:val="00410B5D"/>
    <w:rsid w:val="0041121B"/>
    <w:rsid w:val="004112CA"/>
    <w:rsid w:val="00411B10"/>
    <w:rsid w:val="00412563"/>
    <w:rsid w:val="00412877"/>
    <w:rsid w:val="00412A18"/>
    <w:rsid w:val="00412C66"/>
    <w:rsid w:val="00413524"/>
    <w:rsid w:val="004135D0"/>
    <w:rsid w:val="00413668"/>
    <w:rsid w:val="00413E01"/>
    <w:rsid w:val="00414D56"/>
    <w:rsid w:val="00414E38"/>
    <w:rsid w:val="00415DB9"/>
    <w:rsid w:val="00415F7C"/>
    <w:rsid w:val="00416762"/>
    <w:rsid w:val="00416A70"/>
    <w:rsid w:val="00416E67"/>
    <w:rsid w:val="0041715A"/>
    <w:rsid w:val="004202E7"/>
    <w:rsid w:val="0042030F"/>
    <w:rsid w:val="004205AC"/>
    <w:rsid w:val="004214C0"/>
    <w:rsid w:val="004216FE"/>
    <w:rsid w:val="00421D33"/>
    <w:rsid w:val="0042264F"/>
    <w:rsid w:val="004235B8"/>
    <w:rsid w:val="00423837"/>
    <w:rsid w:val="004239E1"/>
    <w:rsid w:val="00423A2A"/>
    <w:rsid w:val="00423ADE"/>
    <w:rsid w:val="0042408A"/>
    <w:rsid w:val="00424E37"/>
    <w:rsid w:val="004259C1"/>
    <w:rsid w:val="00425A64"/>
    <w:rsid w:val="00425BCC"/>
    <w:rsid w:val="00425F0B"/>
    <w:rsid w:val="004262C0"/>
    <w:rsid w:val="00426D77"/>
    <w:rsid w:val="0042763F"/>
    <w:rsid w:val="00427697"/>
    <w:rsid w:val="004278A8"/>
    <w:rsid w:val="00427A33"/>
    <w:rsid w:val="00427AB7"/>
    <w:rsid w:val="00427B6A"/>
    <w:rsid w:val="0043045A"/>
    <w:rsid w:val="0043053F"/>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21A7"/>
    <w:rsid w:val="0044237F"/>
    <w:rsid w:val="00442483"/>
    <w:rsid w:val="00442C6E"/>
    <w:rsid w:val="00442CDB"/>
    <w:rsid w:val="0044312A"/>
    <w:rsid w:val="004432ED"/>
    <w:rsid w:val="0044344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251"/>
    <w:rsid w:val="004504D4"/>
    <w:rsid w:val="004505F1"/>
    <w:rsid w:val="00450714"/>
    <w:rsid w:val="00450D66"/>
    <w:rsid w:val="0045113B"/>
    <w:rsid w:val="004517D3"/>
    <w:rsid w:val="00451C82"/>
    <w:rsid w:val="0045274A"/>
    <w:rsid w:val="00453A46"/>
    <w:rsid w:val="0045438E"/>
    <w:rsid w:val="00454685"/>
    <w:rsid w:val="00454788"/>
    <w:rsid w:val="00454890"/>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729"/>
    <w:rsid w:val="00462FB7"/>
    <w:rsid w:val="00463219"/>
    <w:rsid w:val="0046322E"/>
    <w:rsid w:val="0046333F"/>
    <w:rsid w:val="00463EF9"/>
    <w:rsid w:val="00464400"/>
    <w:rsid w:val="004646EB"/>
    <w:rsid w:val="00464833"/>
    <w:rsid w:val="00464B24"/>
    <w:rsid w:val="00465098"/>
    <w:rsid w:val="00465134"/>
    <w:rsid w:val="00465DD7"/>
    <w:rsid w:val="00465E01"/>
    <w:rsid w:val="00465FDE"/>
    <w:rsid w:val="004660F8"/>
    <w:rsid w:val="004662DC"/>
    <w:rsid w:val="004664F1"/>
    <w:rsid w:val="00466741"/>
    <w:rsid w:val="00466956"/>
    <w:rsid w:val="00466DAD"/>
    <w:rsid w:val="00466EC0"/>
    <w:rsid w:val="0046707B"/>
    <w:rsid w:val="004671AB"/>
    <w:rsid w:val="00467C6B"/>
    <w:rsid w:val="00467FCF"/>
    <w:rsid w:val="004700D7"/>
    <w:rsid w:val="0047026A"/>
    <w:rsid w:val="004706A5"/>
    <w:rsid w:val="00471471"/>
    <w:rsid w:val="00471750"/>
    <w:rsid w:val="00471B0A"/>
    <w:rsid w:val="00471CF3"/>
    <w:rsid w:val="0047218A"/>
    <w:rsid w:val="004722D4"/>
    <w:rsid w:val="0047255E"/>
    <w:rsid w:val="004726BB"/>
    <w:rsid w:val="0047271B"/>
    <w:rsid w:val="00472C87"/>
    <w:rsid w:val="00472D97"/>
    <w:rsid w:val="00472FA0"/>
    <w:rsid w:val="00472FAA"/>
    <w:rsid w:val="004730F1"/>
    <w:rsid w:val="004739BF"/>
    <w:rsid w:val="004740D8"/>
    <w:rsid w:val="004746B5"/>
    <w:rsid w:val="004748BE"/>
    <w:rsid w:val="004748DA"/>
    <w:rsid w:val="00474D83"/>
    <w:rsid w:val="004755DC"/>
    <w:rsid w:val="00475A90"/>
    <w:rsid w:val="0047686B"/>
    <w:rsid w:val="00476903"/>
    <w:rsid w:val="00477D09"/>
    <w:rsid w:val="00477D6E"/>
    <w:rsid w:val="00477F08"/>
    <w:rsid w:val="004801B1"/>
    <w:rsid w:val="00480AF7"/>
    <w:rsid w:val="00480D56"/>
    <w:rsid w:val="0048121F"/>
    <w:rsid w:val="00481452"/>
    <w:rsid w:val="0048178D"/>
    <w:rsid w:val="00481947"/>
    <w:rsid w:val="00481B00"/>
    <w:rsid w:val="00481E7A"/>
    <w:rsid w:val="00481F3B"/>
    <w:rsid w:val="004828C9"/>
    <w:rsid w:val="004832E5"/>
    <w:rsid w:val="004838EC"/>
    <w:rsid w:val="00483D71"/>
    <w:rsid w:val="00484377"/>
    <w:rsid w:val="0048443B"/>
    <w:rsid w:val="00484CAF"/>
    <w:rsid w:val="00484FA7"/>
    <w:rsid w:val="00485970"/>
    <w:rsid w:val="00485B66"/>
    <w:rsid w:val="00485BE6"/>
    <w:rsid w:val="004864EF"/>
    <w:rsid w:val="00487131"/>
    <w:rsid w:val="0048743C"/>
    <w:rsid w:val="0048755A"/>
    <w:rsid w:val="00487C12"/>
    <w:rsid w:val="00487CA0"/>
    <w:rsid w:val="00487EBA"/>
    <w:rsid w:val="004902A5"/>
    <w:rsid w:val="00490304"/>
    <w:rsid w:val="00490E20"/>
    <w:rsid w:val="00491189"/>
    <w:rsid w:val="0049140D"/>
    <w:rsid w:val="004917AA"/>
    <w:rsid w:val="00491D57"/>
    <w:rsid w:val="004922CC"/>
    <w:rsid w:val="004923D6"/>
    <w:rsid w:val="00492A91"/>
    <w:rsid w:val="00492C22"/>
    <w:rsid w:val="00493D49"/>
    <w:rsid w:val="00493E85"/>
    <w:rsid w:val="00493FAF"/>
    <w:rsid w:val="004947C5"/>
    <w:rsid w:val="004956B4"/>
    <w:rsid w:val="004956FB"/>
    <w:rsid w:val="00495B8D"/>
    <w:rsid w:val="00495C42"/>
    <w:rsid w:val="00496377"/>
    <w:rsid w:val="00496AA1"/>
    <w:rsid w:val="00496BCA"/>
    <w:rsid w:val="00496FEF"/>
    <w:rsid w:val="00497693"/>
    <w:rsid w:val="0049774F"/>
    <w:rsid w:val="00497786"/>
    <w:rsid w:val="004978A0"/>
    <w:rsid w:val="00497A7E"/>
    <w:rsid w:val="00497D67"/>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DED"/>
    <w:rsid w:val="004A6E71"/>
    <w:rsid w:val="004A71BC"/>
    <w:rsid w:val="004A72CC"/>
    <w:rsid w:val="004A739C"/>
    <w:rsid w:val="004A73ED"/>
    <w:rsid w:val="004A758A"/>
    <w:rsid w:val="004A76A0"/>
    <w:rsid w:val="004A76E4"/>
    <w:rsid w:val="004A7946"/>
    <w:rsid w:val="004B0755"/>
    <w:rsid w:val="004B0896"/>
    <w:rsid w:val="004B1686"/>
    <w:rsid w:val="004B1BB0"/>
    <w:rsid w:val="004B1E25"/>
    <w:rsid w:val="004B1F38"/>
    <w:rsid w:val="004B2217"/>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3E4"/>
    <w:rsid w:val="004C457E"/>
    <w:rsid w:val="004C4AE1"/>
    <w:rsid w:val="004C537F"/>
    <w:rsid w:val="004C5875"/>
    <w:rsid w:val="004C5CA3"/>
    <w:rsid w:val="004C6155"/>
    <w:rsid w:val="004C644C"/>
    <w:rsid w:val="004C645B"/>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757"/>
    <w:rsid w:val="004D5819"/>
    <w:rsid w:val="004D5A97"/>
    <w:rsid w:val="004D6046"/>
    <w:rsid w:val="004D61FA"/>
    <w:rsid w:val="004D6EC1"/>
    <w:rsid w:val="004D6F04"/>
    <w:rsid w:val="004D739B"/>
    <w:rsid w:val="004E094D"/>
    <w:rsid w:val="004E0BA0"/>
    <w:rsid w:val="004E0CA7"/>
    <w:rsid w:val="004E1021"/>
    <w:rsid w:val="004E112B"/>
    <w:rsid w:val="004E14B0"/>
    <w:rsid w:val="004E1562"/>
    <w:rsid w:val="004E15C9"/>
    <w:rsid w:val="004E1829"/>
    <w:rsid w:val="004E19C9"/>
    <w:rsid w:val="004E1F3A"/>
    <w:rsid w:val="004E2153"/>
    <w:rsid w:val="004E43A0"/>
    <w:rsid w:val="004E4558"/>
    <w:rsid w:val="004E4846"/>
    <w:rsid w:val="004E4C4F"/>
    <w:rsid w:val="004E5002"/>
    <w:rsid w:val="004E51C8"/>
    <w:rsid w:val="004E5830"/>
    <w:rsid w:val="004E5C50"/>
    <w:rsid w:val="004E5D60"/>
    <w:rsid w:val="004E5E7A"/>
    <w:rsid w:val="004E66ED"/>
    <w:rsid w:val="004E67ED"/>
    <w:rsid w:val="004E6815"/>
    <w:rsid w:val="004E6B4D"/>
    <w:rsid w:val="004E7007"/>
    <w:rsid w:val="004E70AA"/>
    <w:rsid w:val="004E7386"/>
    <w:rsid w:val="004E7516"/>
    <w:rsid w:val="004E7EB0"/>
    <w:rsid w:val="004F07D9"/>
    <w:rsid w:val="004F0AC5"/>
    <w:rsid w:val="004F0D23"/>
    <w:rsid w:val="004F103C"/>
    <w:rsid w:val="004F10E7"/>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EE4"/>
    <w:rsid w:val="004F713A"/>
    <w:rsid w:val="004F79CB"/>
    <w:rsid w:val="004F7A2F"/>
    <w:rsid w:val="004F7E84"/>
    <w:rsid w:val="00500002"/>
    <w:rsid w:val="00500463"/>
    <w:rsid w:val="00500817"/>
    <w:rsid w:val="0050197A"/>
    <w:rsid w:val="00501DBB"/>
    <w:rsid w:val="00501F6F"/>
    <w:rsid w:val="005022CE"/>
    <w:rsid w:val="005023B0"/>
    <w:rsid w:val="005023E8"/>
    <w:rsid w:val="0050250C"/>
    <w:rsid w:val="00502686"/>
    <w:rsid w:val="00502F45"/>
    <w:rsid w:val="005033C2"/>
    <w:rsid w:val="0050344B"/>
    <w:rsid w:val="005038F6"/>
    <w:rsid w:val="00503B5F"/>
    <w:rsid w:val="00504156"/>
    <w:rsid w:val="0050460A"/>
    <w:rsid w:val="005047E1"/>
    <w:rsid w:val="00504882"/>
    <w:rsid w:val="00505551"/>
    <w:rsid w:val="0050566D"/>
    <w:rsid w:val="00505A53"/>
    <w:rsid w:val="00505F4C"/>
    <w:rsid w:val="0050609C"/>
    <w:rsid w:val="005060CB"/>
    <w:rsid w:val="00506307"/>
    <w:rsid w:val="005063B9"/>
    <w:rsid w:val="00506AC0"/>
    <w:rsid w:val="00506D31"/>
    <w:rsid w:val="0050711A"/>
    <w:rsid w:val="005072C9"/>
    <w:rsid w:val="00507D19"/>
    <w:rsid w:val="00510395"/>
    <w:rsid w:val="00510C1E"/>
    <w:rsid w:val="00510D01"/>
    <w:rsid w:val="00510DF0"/>
    <w:rsid w:val="00511321"/>
    <w:rsid w:val="00511600"/>
    <w:rsid w:val="005116EB"/>
    <w:rsid w:val="00511787"/>
    <w:rsid w:val="005119AD"/>
    <w:rsid w:val="00511BA0"/>
    <w:rsid w:val="00511D11"/>
    <w:rsid w:val="00511D31"/>
    <w:rsid w:val="00511E7E"/>
    <w:rsid w:val="00512224"/>
    <w:rsid w:val="00512653"/>
    <w:rsid w:val="005129AB"/>
    <w:rsid w:val="00512BD9"/>
    <w:rsid w:val="00512E29"/>
    <w:rsid w:val="0051322E"/>
    <w:rsid w:val="005134D6"/>
    <w:rsid w:val="005137A4"/>
    <w:rsid w:val="00513822"/>
    <w:rsid w:val="00513E16"/>
    <w:rsid w:val="00513F68"/>
    <w:rsid w:val="005142DD"/>
    <w:rsid w:val="00515AA5"/>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3D22"/>
    <w:rsid w:val="0052463C"/>
    <w:rsid w:val="00524DE0"/>
    <w:rsid w:val="00524F2B"/>
    <w:rsid w:val="0052501C"/>
    <w:rsid w:val="005257C1"/>
    <w:rsid w:val="00525808"/>
    <w:rsid w:val="00525E77"/>
    <w:rsid w:val="00525F10"/>
    <w:rsid w:val="005263BC"/>
    <w:rsid w:val="0052658B"/>
    <w:rsid w:val="005265EA"/>
    <w:rsid w:val="005266AE"/>
    <w:rsid w:val="00526791"/>
    <w:rsid w:val="00527048"/>
    <w:rsid w:val="0052762C"/>
    <w:rsid w:val="00527D14"/>
    <w:rsid w:val="00527DCF"/>
    <w:rsid w:val="00527EB8"/>
    <w:rsid w:val="005303A3"/>
    <w:rsid w:val="0053091D"/>
    <w:rsid w:val="00530E7C"/>
    <w:rsid w:val="00531176"/>
    <w:rsid w:val="00531311"/>
    <w:rsid w:val="00531387"/>
    <w:rsid w:val="00531533"/>
    <w:rsid w:val="00531694"/>
    <w:rsid w:val="00531CD8"/>
    <w:rsid w:val="00531E0C"/>
    <w:rsid w:val="00532043"/>
    <w:rsid w:val="0053251E"/>
    <w:rsid w:val="0053293F"/>
    <w:rsid w:val="00532952"/>
    <w:rsid w:val="00532D4A"/>
    <w:rsid w:val="00532E3F"/>
    <w:rsid w:val="00532E69"/>
    <w:rsid w:val="00533A87"/>
    <w:rsid w:val="005343AC"/>
    <w:rsid w:val="00534B65"/>
    <w:rsid w:val="00534D9A"/>
    <w:rsid w:val="00534DA0"/>
    <w:rsid w:val="00534E63"/>
    <w:rsid w:val="00535588"/>
    <w:rsid w:val="00535CED"/>
    <w:rsid w:val="00535D79"/>
    <w:rsid w:val="0053617A"/>
    <w:rsid w:val="005364CB"/>
    <w:rsid w:val="00537566"/>
    <w:rsid w:val="00537AF3"/>
    <w:rsid w:val="00537D58"/>
    <w:rsid w:val="00540013"/>
    <w:rsid w:val="00540D48"/>
    <w:rsid w:val="00540FE4"/>
    <w:rsid w:val="0054165D"/>
    <w:rsid w:val="005420BC"/>
    <w:rsid w:val="0054262E"/>
    <w:rsid w:val="0054289F"/>
    <w:rsid w:val="00542912"/>
    <w:rsid w:val="0054293C"/>
    <w:rsid w:val="00542C20"/>
    <w:rsid w:val="00543267"/>
    <w:rsid w:val="0054345C"/>
    <w:rsid w:val="005438A2"/>
    <w:rsid w:val="005441D8"/>
    <w:rsid w:val="0054427E"/>
    <w:rsid w:val="00544BE5"/>
    <w:rsid w:val="00545045"/>
    <w:rsid w:val="0054523E"/>
    <w:rsid w:val="00545EA4"/>
    <w:rsid w:val="00546EDE"/>
    <w:rsid w:val="00547782"/>
    <w:rsid w:val="005479CA"/>
    <w:rsid w:val="00547A76"/>
    <w:rsid w:val="00547B58"/>
    <w:rsid w:val="00547B8B"/>
    <w:rsid w:val="00547E4A"/>
    <w:rsid w:val="00547F9D"/>
    <w:rsid w:val="005504DA"/>
    <w:rsid w:val="0055068A"/>
    <w:rsid w:val="0055079F"/>
    <w:rsid w:val="00551813"/>
    <w:rsid w:val="00551945"/>
    <w:rsid w:val="005522E4"/>
    <w:rsid w:val="00552407"/>
    <w:rsid w:val="00552827"/>
    <w:rsid w:val="00552CBF"/>
    <w:rsid w:val="00553773"/>
    <w:rsid w:val="005539BF"/>
    <w:rsid w:val="00553A2F"/>
    <w:rsid w:val="005543CC"/>
    <w:rsid w:val="00554541"/>
    <w:rsid w:val="00554CA0"/>
    <w:rsid w:val="00555471"/>
    <w:rsid w:val="00556835"/>
    <w:rsid w:val="005568EC"/>
    <w:rsid w:val="00556C93"/>
    <w:rsid w:val="005571CA"/>
    <w:rsid w:val="005571F3"/>
    <w:rsid w:val="0055723B"/>
    <w:rsid w:val="0055771B"/>
    <w:rsid w:val="00557A13"/>
    <w:rsid w:val="00557A8B"/>
    <w:rsid w:val="00557F2F"/>
    <w:rsid w:val="00557FE0"/>
    <w:rsid w:val="005601EF"/>
    <w:rsid w:val="0056036E"/>
    <w:rsid w:val="00560866"/>
    <w:rsid w:val="00561599"/>
    <w:rsid w:val="0056194B"/>
    <w:rsid w:val="00561A73"/>
    <w:rsid w:val="005628FA"/>
    <w:rsid w:val="0056297B"/>
    <w:rsid w:val="00562A3F"/>
    <w:rsid w:val="00562D9F"/>
    <w:rsid w:val="005633A7"/>
    <w:rsid w:val="00563825"/>
    <w:rsid w:val="00563DC0"/>
    <w:rsid w:val="00563FEC"/>
    <w:rsid w:val="00564419"/>
    <w:rsid w:val="00564A71"/>
    <w:rsid w:val="00565027"/>
    <w:rsid w:val="005650C9"/>
    <w:rsid w:val="00565336"/>
    <w:rsid w:val="005658D4"/>
    <w:rsid w:val="005662B2"/>
    <w:rsid w:val="005664AD"/>
    <w:rsid w:val="005668E0"/>
    <w:rsid w:val="00566A8E"/>
    <w:rsid w:val="00566D89"/>
    <w:rsid w:val="00566EDA"/>
    <w:rsid w:val="005674C3"/>
    <w:rsid w:val="00567C72"/>
    <w:rsid w:val="00567DA3"/>
    <w:rsid w:val="0057083F"/>
    <w:rsid w:val="005709A3"/>
    <w:rsid w:val="00570F1F"/>
    <w:rsid w:val="00571772"/>
    <w:rsid w:val="005719AE"/>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6310"/>
    <w:rsid w:val="005768C1"/>
    <w:rsid w:val="0057732F"/>
    <w:rsid w:val="00577F9F"/>
    <w:rsid w:val="005801BF"/>
    <w:rsid w:val="0058028B"/>
    <w:rsid w:val="005803F7"/>
    <w:rsid w:val="00580E78"/>
    <w:rsid w:val="00581002"/>
    <w:rsid w:val="00581081"/>
    <w:rsid w:val="00581084"/>
    <w:rsid w:val="00581295"/>
    <w:rsid w:val="00581BEB"/>
    <w:rsid w:val="00582B4B"/>
    <w:rsid w:val="005836E4"/>
    <w:rsid w:val="00584084"/>
    <w:rsid w:val="005843AD"/>
    <w:rsid w:val="0058486B"/>
    <w:rsid w:val="00584997"/>
    <w:rsid w:val="00584BE7"/>
    <w:rsid w:val="00584CC2"/>
    <w:rsid w:val="00584DEA"/>
    <w:rsid w:val="00585195"/>
    <w:rsid w:val="0058526A"/>
    <w:rsid w:val="00585865"/>
    <w:rsid w:val="00585F10"/>
    <w:rsid w:val="00586097"/>
    <w:rsid w:val="005868C6"/>
    <w:rsid w:val="00586D76"/>
    <w:rsid w:val="005875B2"/>
    <w:rsid w:val="00587EC3"/>
    <w:rsid w:val="00587FEB"/>
    <w:rsid w:val="005903D6"/>
    <w:rsid w:val="005909A9"/>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BAD"/>
    <w:rsid w:val="00594C8A"/>
    <w:rsid w:val="00594E64"/>
    <w:rsid w:val="00594FF6"/>
    <w:rsid w:val="005952AB"/>
    <w:rsid w:val="0059533B"/>
    <w:rsid w:val="005953FC"/>
    <w:rsid w:val="00595402"/>
    <w:rsid w:val="005955AB"/>
    <w:rsid w:val="00595613"/>
    <w:rsid w:val="00595D66"/>
    <w:rsid w:val="00596063"/>
    <w:rsid w:val="005964C3"/>
    <w:rsid w:val="00596551"/>
    <w:rsid w:val="00596948"/>
    <w:rsid w:val="00597060"/>
    <w:rsid w:val="005972D0"/>
    <w:rsid w:val="00597309"/>
    <w:rsid w:val="00597516"/>
    <w:rsid w:val="00597915"/>
    <w:rsid w:val="00597D52"/>
    <w:rsid w:val="00597DC0"/>
    <w:rsid w:val="005A024A"/>
    <w:rsid w:val="005A08DF"/>
    <w:rsid w:val="005A1086"/>
    <w:rsid w:val="005A1E0F"/>
    <w:rsid w:val="005A2798"/>
    <w:rsid w:val="005A2D06"/>
    <w:rsid w:val="005A2D4A"/>
    <w:rsid w:val="005A2D9F"/>
    <w:rsid w:val="005A3F69"/>
    <w:rsid w:val="005A4467"/>
    <w:rsid w:val="005A44FB"/>
    <w:rsid w:val="005A4725"/>
    <w:rsid w:val="005A56F0"/>
    <w:rsid w:val="005A5713"/>
    <w:rsid w:val="005A5977"/>
    <w:rsid w:val="005A643D"/>
    <w:rsid w:val="005A6538"/>
    <w:rsid w:val="005A68F9"/>
    <w:rsid w:val="005A6D61"/>
    <w:rsid w:val="005A7019"/>
    <w:rsid w:val="005A7134"/>
    <w:rsid w:val="005A71D0"/>
    <w:rsid w:val="005A7276"/>
    <w:rsid w:val="005A76BA"/>
    <w:rsid w:val="005A7EAA"/>
    <w:rsid w:val="005B0603"/>
    <w:rsid w:val="005B103B"/>
    <w:rsid w:val="005B10F6"/>
    <w:rsid w:val="005B130B"/>
    <w:rsid w:val="005B1562"/>
    <w:rsid w:val="005B18EA"/>
    <w:rsid w:val="005B1BB7"/>
    <w:rsid w:val="005B26D6"/>
    <w:rsid w:val="005B29B5"/>
    <w:rsid w:val="005B2A90"/>
    <w:rsid w:val="005B2E64"/>
    <w:rsid w:val="005B354C"/>
    <w:rsid w:val="005B376B"/>
    <w:rsid w:val="005B389D"/>
    <w:rsid w:val="005B3C03"/>
    <w:rsid w:val="005B3CD5"/>
    <w:rsid w:val="005B442B"/>
    <w:rsid w:val="005B4DE2"/>
    <w:rsid w:val="005B4F59"/>
    <w:rsid w:val="005B5027"/>
    <w:rsid w:val="005B5440"/>
    <w:rsid w:val="005B5522"/>
    <w:rsid w:val="005B5B49"/>
    <w:rsid w:val="005B5F38"/>
    <w:rsid w:val="005B62C8"/>
    <w:rsid w:val="005B6636"/>
    <w:rsid w:val="005B6B9C"/>
    <w:rsid w:val="005B6FC4"/>
    <w:rsid w:val="005B7625"/>
    <w:rsid w:val="005B79E3"/>
    <w:rsid w:val="005C06B5"/>
    <w:rsid w:val="005C11B4"/>
    <w:rsid w:val="005C143D"/>
    <w:rsid w:val="005C1756"/>
    <w:rsid w:val="005C1BCF"/>
    <w:rsid w:val="005C2127"/>
    <w:rsid w:val="005C2309"/>
    <w:rsid w:val="005C23CF"/>
    <w:rsid w:val="005C257E"/>
    <w:rsid w:val="005C2F7E"/>
    <w:rsid w:val="005C3B77"/>
    <w:rsid w:val="005C4306"/>
    <w:rsid w:val="005C46B1"/>
    <w:rsid w:val="005C5586"/>
    <w:rsid w:val="005C56DE"/>
    <w:rsid w:val="005C5761"/>
    <w:rsid w:val="005C667B"/>
    <w:rsid w:val="005C6885"/>
    <w:rsid w:val="005C6C33"/>
    <w:rsid w:val="005C6D38"/>
    <w:rsid w:val="005C708F"/>
    <w:rsid w:val="005C7DDF"/>
    <w:rsid w:val="005D007D"/>
    <w:rsid w:val="005D0198"/>
    <w:rsid w:val="005D0CEC"/>
    <w:rsid w:val="005D0CFF"/>
    <w:rsid w:val="005D148D"/>
    <w:rsid w:val="005D206F"/>
    <w:rsid w:val="005D2233"/>
    <w:rsid w:val="005D225C"/>
    <w:rsid w:val="005D2266"/>
    <w:rsid w:val="005D24E7"/>
    <w:rsid w:val="005D2DDE"/>
    <w:rsid w:val="005D323A"/>
    <w:rsid w:val="005D34E7"/>
    <w:rsid w:val="005D3EAB"/>
    <w:rsid w:val="005D452F"/>
    <w:rsid w:val="005D47E7"/>
    <w:rsid w:val="005D4CB8"/>
    <w:rsid w:val="005D4D47"/>
    <w:rsid w:val="005D52B3"/>
    <w:rsid w:val="005D5A8D"/>
    <w:rsid w:val="005D5D7D"/>
    <w:rsid w:val="005D6798"/>
    <w:rsid w:val="005D6990"/>
    <w:rsid w:val="005D6CD1"/>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4518"/>
    <w:rsid w:val="005E4A87"/>
    <w:rsid w:val="005E4ABB"/>
    <w:rsid w:val="005E4F69"/>
    <w:rsid w:val="005E4FFB"/>
    <w:rsid w:val="005E520B"/>
    <w:rsid w:val="005E6551"/>
    <w:rsid w:val="005E7AAA"/>
    <w:rsid w:val="005F0650"/>
    <w:rsid w:val="005F0982"/>
    <w:rsid w:val="005F0A88"/>
    <w:rsid w:val="005F0F33"/>
    <w:rsid w:val="005F15B6"/>
    <w:rsid w:val="005F2026"/>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60DC"/>
    <w:rsid w:val="005F669E"/>
    <w:rsid w:val="005F66A1"/>
    <w:rsid w:val="005F6F25"/>
    <w:rsid w:val="005F7AA0"/>
    <w:rsid w:val="005F7BC0"/>
    <w:rsid w:val="005F7DAE"/>
    <w:rsid w:val="0060045C"/>
    <w:rsid w:val="00600570"/>
    <w:rsid w:val="006005BC"/>
    <w:rsid w:val="006008E4"/>
    <w:rsid w:val="00600CD3"/>
    <w:rsid w:val="006013C6"/>
    <w:rsid w:val="006013E9"/>
    <w:rsid w:val="00601FC5"/>
    <w:rsid w:val="00602445"/>
    <w:rsid w:val="006028EF"/>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D7F"/>
    <w:rsid w:val="006100D1"/>
    <w:rsid w:val="006101FD"/>
    <w:rsid w:val="006104E4"/>
    <w:rsid w:val="00610524"/>
    <w:rsid w:val="00610580"/>
    <w:rsid w:val="00610E0C"/>
    <w:rsid w:val="00611300"/>
    <w:rsid w:val="006118E9"/>
    <w:rsid w:val="00611971"/>
    <w:rsid w:val="006119D4"/>
    <w:rsid w:val="00611AEA"/>
    <w:rsid w:val="00611D49"/>
    <w:rsid w:val="00611DD7"/>
    <w:rsid w:val="0061214C"/>
    <w:rsid w:val="00612DED"/>
    <w:rsid w:val="00613622"/>
    <w:rsid w:val="00614081"/>
    <w:rsid w:val="00614332"/>
    <w:rsid w:val="00614863"/>
    <w:rsid w:val="00614BD9"/>
    <w:rsid w:val="00614D36"/>
    <w:rsid w:val="00614D6C"/>
    <w:rsid w:val="0061517A"/>
    <w:rsid w:val="00615344"/>
    <w:rsid w:val="00615527"/>
    <w:rsid w:val="00615CFE"/>
    <w:rsid w:val="00615DB2"/>
    <w:rsid w:val="00616838"/>
    <w:rsid w:val="00616864"/>
    <w:rsid w:val="0061719F"/>
    <w:rsid w:val="006171D1"/>
    <w:rsid w:val="006175B3"/>
    <w:rsid w:val="00617869"/>
    <w:rsid w:val="0061789D"/>
    <w:rsid w:val="006179AC"/>
    <w:rsid w:val="006179D7"/>
    <w:rsid w:val="006204B7"/>
    <w:rsid w:val="00620D25"/>
    <w:rsid w:val="0062116B"/>
    <w:rsid w:val="0062124A"/>
    <w:rsid w:val="006213E6"/>
    <w:rsid w:val="006218B8"/>
    <w:rsid w:val="00621A66"/>
    <w:rsid w:val="00621E9F"/>
    <w:rsid w:val="00622908"/>
    <w:rsid w:val="00622FF3"/>
    <w:rsid w:val="00623133"/>
    <w:rsid w:val="00623B3A"/>
    <w:rsid w:val="00623BB0"/>
    <w:rsid w:val="00623CBD"/>
    <w:rsid w:val="00623E53"/>
    <w:rsid w:val="00623F5F"/>
    <w:rsid w:val="0062404D"/>
    <w:rsid w:val="00624180"/>
    <w:rsid w:val="006246D5"/>
    <w:rsid w:val="00624827"/>
    <w:rsid w:val="00625123"/>
    <w:rsid w:val="00625553"/>
    <w:rsid w:val="00625953"/>
    <w:rsid w:val="00625A27"/>
    <w:rsid w:val="00625DE8"/>
    <w:rsid w:val="00625E4D"/>
    <w:rsid w:val="00625F55"/>
    <w:rsid w:val="00626031"/>
    <w:rsid w:val="00626681"/>
    <w:rsid w:val="0062704E"/>
    <w:rsid w:val="0062774D"/>
    <w:rsid w:val="00627DE2"/>
    <w:rsid w:val="00630839"/>
    <w:rsid w:val="00630BCC"/>
    <w:rsid w:val="00630E44"/>
    <w:rsid w:val="0063165E"/>
    <w:rsid w:val="00631766"/>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CBE"/>
    <w:rsid w:val="00637E2D"/>
    <w:rsid w:val="006404AC"/>
    <w:rsid w:val="00640D70"/>
    <w:rsid w:val="00640E6B"/>
    <w:rsid w:val="006414B8"/>
    <w:rsid w:val="0064163F"/>
    <w:rsid w:val="00641705"/>
    <w:rsid w:val="00641A39"/>
    <w:rsid w:val="00641FD7"/>
    <w:rsid w:val="0064248A"/>
    <w:rsid w:val="00642B65"/>
    <w:rsid w:val="006436AA"/>
    <w:rsid w:val="00643889"/>
    <w:rsid w:val="00643DB1"/>
    <w:rsid w:val="00643F65"/>
    <w:rsid w:val="00644083"/>
    <w:rsid w:val="00644708"/>
    <w:rsid w:val="00644EE6"/>
    <w:rsid w:val="0064528D"/>
    <w:rsid w:val="0064580D"/>
    <w:rsid w:val="006458CB"/>
    <w:rsid w:val="00645983"/>
    <w:rsid w:val="00645A33"/>
    <w:rsid w:val="00645BC1"/>
    <w:rsid w:val="00646367"/>
    <w:rsid w:val="00646383"/>
    <w:rsid w:val="00646545"/>
    <w:rsid w:val="00646851"/>
    <w:rsid w:val="00646E33"/>
    <w:rsid w:val="00647574"/>
    <w:rsid w:val="00647BDC"/>
    <w:rsid w:val="00647CD7"/>
    <w:rsid w:val="00647F60"/>
    <w:rsid w:val="00650112"/>
    <w:rsid w:val="0065012A"/>
    <w:rsid w:val="006506F8"/>
    <w:rsid w:val="006509F2"/>
    <w:rsid w:val="00650B2D"/>
    <w:rsid w:val="00650EFC"/>
    <w:rsid w:val="00651256"/>
    <w:rsid w:val="006519EA"/>
    <w:rsid w:val="00651C88"/>
    <w:rsid w:val="00651D3C"/>
    <w:rsid w:val="00651DF1"/>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B84"/>
    <w:rsid w:val="006615DF"/>
    <w:rsid w:val="00661CC7"/>
    <w:rsid w:val="00661F1E"/>
    <w:rsid w:val="00662458"/>
    <w:rsid w:val="006624E3"/>
    <w:rsid w:val="00662DC3"/>
    <w:rsid w:val="00663457"/>
    <w:rsid w:val="006636A4"/>
    <w:rsid w:val="00663A6F"/>
    <w:rsid w:val="00663C54"/>
    <w:rsid w:val="00663F8B"/>
    <w:rsid w:val="006640CF"/>
    <w:rsid w:val="006640EA"/>
    <w:rsid w:val="0066423F"/>
    <w:rsid w:val="00664545"/>
    <w:rsid w:val="00664AB1"/>
    <w:rsid w:val="00664ADF"/>
    <w:rsid w:val="00664C44"/>
    <w:rsid w:val="00664D95"/>
    <w:rsid w:val="006650E5"/>
    <w:rsid w:val="006653DD"/>
    <w:rsid w:val="00665730"/>
    <w:rsid w:val="00666C2A"/>
    <w:rsid w:val="00666D89"/>
    <w:rsid w:val="0066769C"/>
    <w:rsid w:val="006679B2"/>
    <w:rsid w:val="006704B4"/>
    <w:rsid w:val="006710AC"/>
    <w:rsid w:val="006710CC"/>
    <w:rsid w:val="00671334"/>
    <w:rsid w:val="0067148E"/>
    <w:rsid w:val="0067193F"/>
    <w:rsid w:val="00671977"/>
    <w:rsid w:val="00671B86"/>
    <w:rsid w:val="00671CB2"/>
    <w:rsid w:val="00671ED7"/>
    <w:rsid w:val="006723D7"/>
    <w:rsid w:val="00672479"/>
    <w:rsid w:val="006726B6"/>
    <w:rsid w:val="00672D4C"/>
    <w:rsid w:val="00672FBB"/>
    <w:rsid w:val="006732C2"/>
    <w:rsid w:val="006734B0"/>
    <w:rsid w:val="006734B3"/>
    <w:rsid w:val="00673C3C"/>
    <w:rsid w:val="006740BF"/>
    <w:rsid w:val="006742EE"/>
    <w:rsid w:val="00674F90"/>
    <w:rsid w:val="00675B28"/>
    <w:rsid w:val="006761A5"/>
    <w:rsid w:val="006766EA"/>
    <w:rsid w:val="006775AB"/>
    <w:rsid w:val="006777F6"/>
    <w:rsid w:val="00677B1C"/>
    <w:rsid w:val="00680205"/>
    <w:rsid w:val="00680273"/>
    <w:rsid w:val="00680747"/>
    <w:rsid w:val="00680DA1"/>
    <w:rsid w:val="00680E41"/>
    <w:rsid w:val="00681653"/>
    <w:rsid w:val="0068166A"/>
    <w:rsid w:val="00681751"/>
    <w:rsid w:val="00681EBE"/>
    <w:rsid w:val="00681EE3"/>
    <w:rsid w:val="0068202D"/>
    <w:rsid w:val="006831C1"/>
    <w:rsid w:val="0068368A"/>
    <w:rsid w:val="00684167"/>
    <w:rsid w:val="006842E5"/>
    <w:rsid w:val="00684734"/>
    <w:rsid w:val="0068481F"/>
    <w:rsid w:val="0068494F"/>
    <w:rsid w:val="00684D55"/>
    <w:rsid w:val="00685973"/>
    <w:rsid w:val="00685A4B"/>
    <w:rsid w:val="00685C43"/>
    <w:rsid w:val="00685D7D"/>
    <w:rsid w:val="0068635D"/>
    <w:rsid w:val="00686E57"/>
    <w:rsid w:val="00686F13"/>
    <w:rsid w:val="0068755D"/>
    <w:rsid w:val="00687596"/>
    <w:rsid w:val="00687947"/>
    <w:rsid w:val="006879C4"/>
    <w:rsid w:val="0069048A"/>
    <w:rsid w:val="00690DF0"/>
    <w:rsid w:val="00690F8C"/>
    <w:rsid w:val="006915CB"/>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5FB"/>
    <w:rsid w:val="006956D5"/>
    <w:rsid w:val="006957D5"/>
    <w:rsid w:val="006958C2"/>
    <w:rsid w:val="00695EFF"/>
    <w:rsid w:val="00695F3B"/>
    <w:rsid w:val="0069627C"/>
    <w:rsid w:val="00696298"/>
    <w:rsid w:val="006965BA"/>
    <w:rsid w:val="0069694D"/>
    <w:rsid w:val="00697273"/>
    <w:rsid w:val="00697483"/>
    <w:rsid w:val="006978ED"/>
    <w:rsid w:val="006979D2"/>
    <w:rsid w:val="00697B8D"/>
    <w:rsid w:val="00697C21"/>
    <w:rsid w:val="00697FE0"/>
    <w:rsid w:val="006A0055"/>
    <w:rsid w:val="006A0B7F"/>
    <w:rsid w:val="006A1C19"/>
    <w:rsid w:val="006A22FA"/>
    <w:rsid w:val="006A230B"/>
    <w:rsid w:val="006A2B0C"/>
    <w:rsid w:val="006A34E1"/>
    <w:rsid w:val="006A3833"/>
    <w:rsid w:val="006A3D49"/>
    <w:rsid w:val="006A3D51"/>
    <w:rsid w:val="006A41DB"/>
    <w:rsid w:val="006A429C"/>
    <w:rsid w:val="006A4377"/>
    <w:rsid w:val="006A4626"/>
    <w:rsid w:val="006A46E0"/>
    <w:rsid w:val="006A5252"/>
    <w:rsid w:val="006A53D4"/>
    <w:rsid w:val="006A5631"/>
    <w:rsid w:val="006A611E"/>
    <w:rsid w:val="006A69F8"/>
    <w:rsid w:val="006A6C5C"/>
    <w:rsid w:val="006A6F7B"/>
    <w:rsid w:val="006A7BA1"/>
    <w:rsid w:val="006A7E8D"/>
    <w:rsid w:val="006B0116"/>
    <w:rsid w:val="006B0689"/>
    <w:rsid w:val="006B0FB4"/>
    <w:rsid w:val="006B1665"/>
    <w:rsid w:val="006B19B5"/>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5E4"/>
    <w:rsid w:val="006C0075"/>
    <w:rsid w:val="006C061C"/>
    <w:rsid w:val="006C0AF8"/>
    <w:rsid w:val="006C1303"/>
    <w:rsid w:val="006C1B20"/>
    <w:rsid w:val="006C1CDF"/>
    <w:rsid w:val="006C1E52"/>
    <w:rsid w:val="006C1EB3"/>
    <w:rsid w:val="006C2561"/>
    <w:rsid w:val="006C257B"/>
    <w:rsid w:val="006C2BD6"/>
    <w:rsid w:val="006C2C3D"/>
    <w:rsid w:val="006C39DA"/>
    <w:rsid w:val="006C4089"/>
    <w:rsid w:val="006C4813"/>
    <w:rsid w:val="006C4B0B"/>
    <w:rsid w:val="006C4EE4"/>
    <w:rsid w:val="006C4F23"/>
    <w:rsid w:val="006C56F7"/>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BD8"/>
    <w:rsid w:val="006E0252"/>
    <w:rsid w:val="006E0B5E"/>
    <w:rsid w:val="006E1007"/>
    <w:rsid w:val="006E12F7"/>
    <w:rsid w:val="006E1862"/>
    <w:rsid w:val="006E1ECF"/>
    <w:rsid w:val="006E1FF6"/>
    <w:rsid w:val="006E2B7D"/>
    <w:rsid w:val="006E3ACE"/>
    <w:rsid w:val="006E3B0B"/>
    <w:rsid w:val="006E4296"/>
    <w:rsid w:val="006E530F"/>
    <w:rsid w:val="006E57CB"/>
    <w:rsid w:val="006E5A32"/>
    <w:rsid w:val="006E5A96"/>
    <w:rsid w:val="006E5D53"/>
    <w:rsid w:val="006E5EF9"/>
    <w:rsid w:val="006E6019"/>
    <w:rsid w:val="006E6152"/>
    <w:rsid w:val="006E6242"/>
    <w:rsid w:val="006E6CF2"/>
    <w:rsid w:val="006E70AF"/>
    <w:rsid w:val="006E72E7"/>
    <w:rsid w:val="006E7640"/>
    <w:rsid w:val="006E7D53"/>
    <w:rsid w:val="006F020B"/>
    <w:rsid w:val="006F09D0"/>
    <w:rsid w:val="006F0FAA"/>
    <w:rsid w:val="006F1649"/>
    <w:rsid w:val="006F1982"/>
    <w:rsid w:val="006F1FB9"/>
    <w:rsid w:val="006F2237"/>
    <w:rsid w:val="006F2292"/>
    <w:rsid w:val="006F23A2"/>
    <w:rsid w:val="006F23AC"/>
    <w:rsid w:val="006F252D"/>
    <w:rsid w:val="006F2870"/>
    <w:rsid w:val="006F3770"/>
    <w:rsid w:val="006F3849"/>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45E"/>
    <w:rsid w:val="007008C8"/>
    <w:rsid w:val="00700D19"/>
    <w:rsid w:val="00700FB0"/>
    <w:rsid w:val="00701309"/>
    <w:rsid w:val="007019D3"/>
    <w:rsid w:val="00701C64"/>
    <w:rsid w:val="00701E44"/>
    <w:rsid w:val="007021E8"/>
    <w:rsid w:val="00703043"/>
    <w:rsid w:val="00703B5C"/>
    <w:rsid w:val="007040D1"/>
    <w:rsid w:val="0070418D"/>
    <w:rsid w:val="0070497B"/>
    <w:rsid w:val="00704E0D"/>
    <w:rsid w:val="00705400"/>
    <w:rsid w:val="00705F1D"/>
    <w:rsid w:val="007060B5"/>
    <w:rsid w:val="0070611B"/>
    <w:rsid w:val="00706203"/>
    <w:rsid w:val="007066CB"/>
    <w:rsid w:val="00707129"/>
    <w:rsid w:val="00707591"/>
    <w:rsid w:val="00707D7B"/>
    <w:rsid w:val="00707FED"/>
    <w:rsid w:val="00710095"/>
    <w:rsid w:val="00710201"/>
    <w:rsid w:val="00711548"/>
    <w:rsid w:val="007116A7"/>
    <w:rsid w:val="00711F96"/>
    <w:rsid w:val="00712524"/>
    <w:rsid w:val="00712D7A"/>
    <w:rsid w:val="007131AB"/>
    <w:rsid w:val="00713328"/>
    <w:rsid w:val="00713578"/>
    <w:rsid w:val="0071371E"/>
    <w:rsid w:val="007137B3"/>
    <w:rsid w:val="00713B01"/>
    <w:rsid w:val="00713E7C"/>
    <w:rsid w:val="00714AB3"/>
    <w:rsid w:val="00714C81"/>
    <w:rsid w:val="00714D0C"/>
    <w:rsid w:val="00715628"/>
    <w:rsid w:val="00715F8C"/>
    <w:rsid w:val="007163BB"/>
    <w:rsid w:val="00716BA0"/>
    <w:rsid w:val="00716C92"/>
    <w:rsid w:val="007170E0"/>
    <w:rsid w:val="00717710"/>
    <w:rsid w:val="00717F58"/>
    <w:rsid w:val="00720A9A"/>
    <w:rsid w:val="00720AD9"/>
    <w:rsid w:val="00720D39"/>
    <w:rsid w:val="00721085"/>
    <w:rsid w:val="0072111B"/>
    <w:rsid w:val="0072121B"/>
    <w:rsid w:val="00721988"/>
    <w:rsid w:val="00722142"/>
    <w:rsid w:val="0072289D"/>
    <w:rsid w:val="00722D31"/>
    <w:rsid w:val="00722E09"/>
    <w:rsid w:val="0072338D"/>
    <w:rsid w:val="007235DD"/>
    <w:rsid w:val="00724109"/>
    <w:rsid w:val="00724112"/>
    <w:rsid w:val="00724409"/>
    <w:rsid w:val="00724440"/>
    <w:rsid w:val="0072453A"/>
    <w:rsid w:val="0072485A"/>
    <w:rsid w:val="00724A08"/>
    <w:rsid w:val="0072540A"/>
    <w:rsid w:val="00725423"/>
    <w:rsid w:val="0072590B"/>
    <w:rsid w:val="00725A3D"/>
    <w:rsid w:val="00725D34"/>
    <w:rsid w:val="0072625C"/>
    <w:rsid w:val="00726682"/>
    <w:rsid w:val="007267C5"/>
    <w:rsid w:val="00726B4C"/>
    <w:rsid w:val="00727767"/>
    <w:rsid w:val="007300EA"/>
    <w:rsid w:val="0073046A"/>
    <w:rsid w:val="00730546"/>
    <w:rsid w:val="007308CA"/>
    <w:rsid w:val="00730E45"/>
    <w:rsid w:val="007310C3"/>
    <w:rsid w:val="00731111"/>
    <w:rsid w:val="007313C9"/>
    <w:rsid w:val="00731B84"/>
    <w:rsid w:val="00731D7F"/>
    <w:rsid w:val="00731F48"/>
    <w:rsid w:val="0073246D"/>
    <w:rsid w:val="007324A9"/>
    <w:rsid w:val="0073293E"/>
    <w:rsid w:val="007331A9"/>
    <w:rsid w:val="00733423"/>
    <w:rsid w:val="00733810"/>
    <w:rsid w:val="007340C7"/>
    <w:rsid w:val="00734A59"/>
    <w:rsid w:val="0073584B"/>
    <w:rsid w:val="007359BF"/>
    <w:rsid w:val="00735DED"/>
    <w:rsid w:val="00735F82"/>
    <w:rsid w:val="007363DD"/>
    <w:rsid w:val="00736A29"/>
    <w:rsid w:val="00736B7D"/>
    <w:rsid w:val="00736BAC"/>
    <w:rsid w:val="00736EB3"/>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D8B"/>
    <w:rsid w:val="0074740E"/>
    <w:rsid w:val="0074773B"/>
    <w:rsid w:val="00747CDD"/>
    <w:rsid w:val="00747FC8"/>
    <w:rsid w:val="0075051A"/>
    <w:rsid w:val="00750A72"/>
    <w:rsid w:val="00750F54"/>
    <w:rsid w:val="00751528"/>
    <w:rsid w:val="00751618"/>
    <w:rsid w:val="007519CB"/>
    <w:rsid w:val="00752394"/>
    <w:rsid w:val="007525CC"/>
    <w:rsid w:val="00752EA4"/>
    <w:rsid w:val="0075342F"/>
    <w:rsid w:val="00754983"/>
    <w:rsid w:val="00754A69"/>
    <w:rsid w:val="00754D6C"/>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CFD"/>
    <w:rsid w:val="00761D1D"/>
    <w:rsid w:val="007622AE"/>
    <w:rsid w:val="007632B2"/>
    <w:rsid w:val="007634B2"/>
    <w:rsid w:val="007637DF"/>
    <w:rsid w:val="00764154"/>
    <w:rsid w:val="0076448E"/>
    <w:rsid w:val="00764907"/>
    <w:rsid w:val="00764CB7"/>
    <w:rsid w:val="00764F43"/>
    <w:rsid w:val="0076515E"/>
    <w:rsid w:val="007652E9"/>
    <w:rsid w:val="007653FA"/>
    <w:rsid w:val="00765437"/>
    <w:rsid w:val="00765909"/>
    <w:rsid w:val="00765E2C"/>
    <w:rsid w:val="007663C8"/>
    <w:rsid w:val="00766762"/>
    <w:rsid w:val="00766B3A"/>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759"/>
    <w:rsid w:val="007728F1"/>
    <w:rsid w:val="00772B18"/>
    <w:rsid w:val="00773413"/>
    <w:rsid w:val="00773537"/>
    <w:rsid w:val="007736B4"/>
    <w:rsid w:val="007737E8"/>
    <w:rsid w:val="0077458C"/>
    <w:rsid w:val="0077488B"/>
    <w:rsid w:val="00774A16"/>
    <w:rsid w:val="00775014"/>
    <w:rsid w:val="00775027"/>
    <w:rsid w:val="007755BF"/>
    <w:rsid w:val="007757C8"/>
    <w:rsid w:val="007759D9"/>
    <w:rsid w:val="007759E5"/>
    <w:rsid w:val="00775F35"/>
    <w:rsid w:val="007760EF"/>
    <w:rsid w:val="00776264"/>
    <w:rsid w:val="007764FF"/>
    <w:rsid w:val="007766EB"/>
    <w:rsid w:val="007768BC"/>
    <w:rsid w:val="007772AC"/>
    <w:rsid w:val="007776F0"/>
    <w:rsid w:val="00777A28"/>
    <w:rsid w:val="00777E59"/>
    <w:rsid w:val="00777F11"/>
    <w:rsid w:val="00780223"/>
    <w:rsid w:val="0078028D"/>
    <w:rsid w:val="007802AC"/>
    <w:rsid w:val="007811D0"/>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9057E"/>
    <w:rsid w:val="007905BF"/>
    <w:rsid w:val="00790B29"/>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FD4"/>
    <w:rsid w:val="007945AF"/>
    <w:rsid w:val="00795310"/>
    <w:rsid w:val="00795586"/>
    <w:rsid w:val="00795660"/>
    <w:rsid w:val="007956D3"/>
    <w:rsid w:val="00795770"/>
    <w:rsid w:val="0079594B"/>
    <w:rsid w:val="00795C5D"/>
    <w:rsid w:val="007965DA"/>
    <w:rsid w:val="00796708"/>
    <w:rsid w:val="007970BE"/>
    <w:rsid w:val="007970E4"/>
    <w:rsid w:val="00797D4B"/>
    <w:rsid w:val="007A0A4D"/>
    <w:rsid w:val="007A0CFD"/>
    <w:rsid w:val="007A0D65"/>
    <w:rsid w:val="007A0EC1"/>
    <w:rsid w:val="007A1ACC"/>
    <w:rsid w:val="007A1E35"/>
    <w:rsid w:val="007A2225"/>
    <w:rsid w:val="007A2354"/>
    <w:rsid w:val="007A26BA"/>
    <w:rsid w:val="007A2B2A"/>
    <w:rsid w:val="007A2D52"/>
    <w:rsid w:val="007A2F3D"/>
    <w:rsid w:val="007A3714"/>
    <w:rsid w:val="007A3D29"/>
    <w:rsid w:val="007A40AD"/>
    <w:rsid w:val="007A40E3"/>
    <w:rsid w:val="007A4456"/>
    <w:rsid w:val="007A4EF1"/>
    <w:rsid w:val="007A5017"/>
    <w:rsid w:val="007A507A"/>
    <w:rsid w:val="007A513F"/>
    <w:rsid w:val="007A5548"/>
    <w:rsid w:val="007A5C5E"/>
    <w:rsid w:val="007A5D63"/>
    <w:rsid w:val="007A5E95"/>
    <w:rsid w:val="007A6553"/>
    <w:rsid w:val="007A6C8A"/>
    <w:rsid w:val="007A6D9A"/>
    <w:rsid w:val="007A729E"/>
    <w:rsid w:val="007A79F1"/>
    <w:rsid w:val="007A7A7B"/>
    <w:rsid w:val="007A7CD8"/>
    <w:rsid w:val="007B00CD"/>
    <w:rsid w:val="007B0439"/>
    <w:rsid w:val="007B0881"/>
    <w:rsid w:val="007B08B5"/>
    <w:rsid w:val="007B13E7"/>
    <w:rsid w:val="007B15B0"/>
    <w:rsid w:val="007B15C9"/>
    <w:rsid w:val="007B1647"/>
    <w:rsid w:val="007B1E26"/>
    <w:rsid w:val="007B1E93"/>
    <w:rsid w:val="007B2134"/>
    <w:rsid w:val="007B3074"/>
    <w:rsid w:val="007B3B76"/>
    <w:rsid w:val="007B3DB4"/>
    <w:rsid w:val="007B41DD"/>
    <w:rsid w:val="007B47D5"/>
    <w:rsid w:val="007B4CDA"/>
    <w:rsid w:val="007B4F8F"/>
    <w:rsid w:val="007B52C3"/>
    <w:rsid w:val="007B541D"/>
    <w:rsid w:val="007B57B7"/>
    <w:rsid w:val="007B5A5F"/>
    <w:rsid w:val="007B68CB"/>
    <w:rsid w:val="007B6ACA"/>
    <w:rsid w:val="007B6DF8"/>
    <w:rsid w:val="007B6E0D"/>
    <w:rsid w:val="007B7096"/>
    <w:rsid w:val="007B7DC8"/>
    <w:rsid w:val="007C01C2"/>
    <w:rsid w:val="007C0655"/>
    <w:rsid w:val="007C0784"/>
    <w:rsid w:val="007C09B4"/>
    <w:rsid w:val="007C0D8D"/>
    <w:rsid w:val="007C0E3C"/>
    <w:rsid w:val="007C1042"/>
    <w:rsid w:val="007C1562"/>
    <w:rsid w:val="007C1B81"/>
    <w:rsid w:val="007C1DA8"/>
    <w:rsid w:val="007C230B"/>
    <w:rsid w:val="007C3220"/>
    <w:rsid w:val="007C322F"/>
    <w:rsid w:val="007C3298"/>
    <w:rsid w:val="007C3517"/>
    <w:rsid w:val="007C3D9A"/>
    <w:rsid w:val="007C3E8A"/>
    <w:rsid w:val="007C412E"/>
    <w:rsid w:val="007C47C7"/>
    <w:rsid w:val="007C4FDD"/>
    <w:rsid w:val="007C55E2"/>
    <w:rsid w:val="007C5781"/>
    <w:rsid w:val="007C5B34"/>
    <w:rsid w:val="007C5D3D"/>
    <w:rsid w:val="007C5F5B"/>
    <w:rsid w:val="007C6010"/>
    <w:rsid w:val="007C65A0"/>
    <w:rsid w:val="007C6EA0"/>
    <w:rsid w:val="007C6EA5"/>
    <w:rsid w:val="007C7058"/>
    <w:rsid w:val="007C77E8"/>
    <w:rsid w:val="007C7830"/>
    <w:rsid w:val="007C7F3F"/>
    <w:rsid w:val="007D0590"/>
    <w:rsid w:val="007D05E3"/>
    <w:rsid w:val="007D1255"/>
    <w:rsid w:val="007D1A9F"/>
    <w:rsid w:val="007D2A1D"/>
    <w:rsid w:val="007D2A53"/>
    <w:rsid w:val="007D3697"/>
    <w:rsid w:val="007D443E"/>
    <w:rsid w:val="007D44FA"/>
    <w:rsid w:val="007D48CA"/>
    <w:rsid w:val="007D4ABB"/>
    <w:rsid w:val="007D4B10"/>
    <w:rsid w:val="007D4D0B"/>
    <w:rsid w:val="007D5AC1"/>
    <w:rsid w:val="007D5DE9"/>
    <w:rsid w:val="007D6192"/>
    <w:rsid w:val="007D68D1"/>
    <w:rsid w:val="007D6B49"/>
    <w:rsid w:val="007D6CAD"/>
    <w:rsid w:val="007D7561"/>
    <w:rsid w:val="007D75BA"/>
    <w:rsid w:val="007D789B"/>
    <w:rsid w:val="007D7B43"/>
    <w:rsid w:val="007D7B53"/>
    <w:rsid w:val="007D7BFD"/>
    <w:rsid w:val="007D7E0B"/>
    <w:rsid w:val="007E00B4"/>
    <w:rsid w:val="007E02F6"/>
    <w:rsid w:val="007E08BA"/>
    <w:rsid w:val="007E08DE"/>
    <w:rsid w:val="007E168A"/>
    <w:rsid w:val="007E1A9A"/>
    <w:rsid w:val="007E1D51"/>
    <w:rsid w:val="007E1F32"/>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74F8"/>
    <w:rsid w:val="007E7AE5"/>
    <w:rsid w:val="007E7D9E"/>
    <w:rsid w:val="007F055B"/>
    <w:rsid w:val="007F0A35"/>
    <w:rsid w:val="007F10D6"/>
    <w:rsid w:val="007F10EC"/>
    <w:rsid w:val="007F1275"/>
    <w:rsid w:val="007F1E59"/>
    <w:rsid w:val="007F1FF2"/>
    <w:rsid w:val="007F2197"/>
    <w:rsid w:val="007F288B"/>
    <w:rsid w:val="007F2D99"/>
    <w:rsid w:val="007F379B"/>
    <w:rsid w:val="007F3EC4"/>
    <w:rsid w:val="007F3F7E"/>
    <w:rsid w:val="007F4456"/>
    <w:rsid w:val="007F4B36"/>
    <w:rsid w:val="007F4C05"/>
    <w:rsid w:val="007F4C2E"/>
    <w:rsid w:val="007F4F9B"/>
    <w:rsid w:val="007F53EE"/>
    <w:rsid w:val="007F548A"/>
    <w:rsid w:val="007F588D"/>
    <w:rsid w:val="007F58AA"/>
    <w:rsid w:val="007F5A4C"/>
    <w:rsid w:val="007F5B11"/>
    <w:rsid w:val="007F5C32"/>
    <w:rsid w:val="007F63A6"/>
    <w:rsid w:val="007F67A6"/>
    <w:rsid w:val="007F6D2C"/>
    <w:rsid w:val="007F6E29"/>
    <w:rsid w:val="007F7324"/>
    <w:rsid w:val="007F7B19"/>
    <w:rsid w:val="007F7BC2"/>
    <w:rsid w:val="00800627"/>
    <w:rsid w:val="00800AB0"/>
    <w:rsid w:val="008011B9"/>
    <w:rsid w:val="008011E0"/>
    <w:rsid w:val="008012FF"/>
    <w:rsid w:val="008014A4"/>
    <w:rsid w:val="00801601"/>
    <w:rsid w:val="00801A02"/>
    <w:rsid w:val="00801D67"/>
    <w:rsid w:val="00801D89"/>
    <w:rsid w:val="0080252F"/>
    <w:rsid w:val="008028B6"/>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AEA"/>
    <w:rsid w:val="0081079F"/>
    <w:rsid w:val="00810EB3"/>
    <w:rsid w:val="00810FE7"/>
    <w:rsid w:val="008110D9"/>
    <w:rsid w:val="0081119C"/>
    <w:rsid w:val="008120DF"/>
    <w:rsid w:val="008124CA"/>
    <w:rsid w:val="00812C0B"/>
    <w:rsid w:val="00812E15"/>
    <w:rsid w:val="00813083"/>
    <w:rsid w:val="00813288"/>
    <w:rsid w:val="008132D0"/>
    <w:rsid w:val="0081366E"/>
    <w:rsid w:val="008138B6"/>
    <w:rsid w:val="00813DF8"/>
    <w:rsid w:val="0081446E"/>
    <w:rsid w:val="00814983"/>
    <w:rsid w:val="00815018"/>
    <w:rsid w:val="008155F2"/>
    <w:rsid w:val="0081576E"/>
    <w:rsid w:val="00816124"/>
    <w:rsid w:val="008162B3"/>
    <w:rsid w:val="008165D5"/>
    <w:rsid w:val="00816710"/>
    <w:rsid w:val="008169C0"/>
    <w:rsid w:val="00816B1A"/>
    <w:rsid w:val="0081739D"/>
    <w:rsid w:val="008176F4"/>
    <w:rsid w:val="008177D1"/>
    <w:rsid w:val="00817940"/>
    <w:rsid w:val="00817F63"/>
    <w:rsid w:val="008207ED"/>
    <w:rsid w:val="00821326"/>
    <w:rsid w:val="00821560"/>
    <w:rsid w:val="00821BC3"/>
    <w:rsid w:val="00822950"/>
    <w:rsid w:val="00822B06"/>
    <w:rsid w:val="00823198"/>
    <w:rsid w:val="00823868"/>
    <w:rsid w:val="00823F1E"/>
    <w:rsid w:val="0082426E"/>
    <w:rsid w:val="00824412"/>
    <w:rsid w:val="0082443B"/>
    <w:rsid w:val="0082456C"/>
    <w:rsid w:val="0082480C"/>
    <w:rsid w:val="00825476"/>
    <w:rsid w:val="008257D2"/>
    <w:rsid w:val="0082592D"/>
    <w:rsid w:val="00825B08"/>
    <w:rsid w:val="00826650"/>
    <w:rsid w:val="00826DE5"/>
    <w:rsid w:val="008272BB"/>
    <w:rsid w:val="00827742"/>
    <w:rsid w:val="008279A9"/>
    <w:rsid w:val="00830600"/>
    <w:rsid w:val="008311C4"/>
    <w:rsid w:val="00831A49"/>
    <w:rsid w:val="00831D5C"/>
    <w:rsid w:val="00831E7A"/>
    <w:rsid w:val="008337B5"/>
    <w:rsid w:val="008339F3"/>
    <w:rsid w:val="00833A5D"/>
    <w:rsid w:val="00834236"/>
    <w:rsid w:val="008359F2"/>
    <w:rsid w:val="00835BC5"/>
    <w:rsid w:val="00835C0E"/>
    <w:rsid w:val="008364C3"/>
    <w:rsid w:val="00836C79"/>
    <w:rsid w:val="00837204"/>
    <w:rsid w:val="00837930"/>
    <w:rsid w:val="00837AE6"/>
    <w:rsid w:val="00837AF8"/>
    <w:rsid w:val="00840805"/>
    <w:rsid w:val="00840908"/>
    <w:rsid w:val="008409C0"/>
    <w:rsid w:val="008409E5"/>
    <w:rsid w:val="00840D65"/>
    <w:rsid w:val="00841005"/>
    <w:rsid w:val="00841198"/>
    <w:rsid w:val="0084125B"/>
    <w:rsid w:val="00841780"/>
    <w:rsid w:val="0084243D"/>
    <w:rsid w:val="00842500"/>
    <w:rsid w:val="00842DE7"/>
    <w:rsid w:val="00842DF2"/>
    <w:rsid w:val="00842E14"/>
    <w:rsid w:val="008436BA"/>
    <w:rsid w:val="00843993"/>
    <w:rsid w:val="008439C9"/>
    <w:rsid w:val="0084405D"/>
    <w:rsid w:val="008441C7"/>
    <w:rsid w:val="008450A8"/>
    <w:rsid w:val="008454C4"/>
    <w:rsid w:val="00845F1E"/>
    <w:rsid w:val="008461CF"/>
    <w:rsid w:val="00846481"/>
    <w:rsid w:val="00846862"/>
    <w:rsid w:val="00846C16"/>
    <w:rsid w:val="0084741D"/>
    <w:rsid w:val="00847467"/>
    <w:rsid w:val="00847AC0"/>
    <w:rsid w:val="00847EB8"/>
    <w:rsid w:val="00850138"/>
    <w:rsid w:val="00850B25"/>
    <w:rsid w:val="00850C98"/>
    <w:rsid w:val="00850D65"/>
    <w:rsid w:val="00850F2D"/>
    <w:rsid w:val="00851132"/>
    <w:rsid w:val="00851D4D"/>
    <w:rsid w:val="00852137"/>
    <w:rsid w:val="0085214D"/>
    <w:rsid w:val="008528CD"/>
    <w:rsid w:val="00852904"/>
    <w:rsid w:val="008533B7"/>
    <w:rsid w:val="00853485"/>
    <w:rsid w:val="00853666"/>
    <w:rsid w:val="00853CFB"/>
    <w:rsid w:val="008547A1"/>
    <w:rsid w:val="0085534B"/>
    <w:rsid w:val="0085537A"/>
    <w:rsid w:val="008555A9"/>
    <w:rsid w:val="00855F82"/>
    <w:rsid w:val="0085605A"/>
    <w:rsid w:val="008565BC"/>
    <w:rsid w:val="00856909"/>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F48"/>
    <w:rsid w:val="0086331D"/>
    <w:rsid w:val="00863AC1"/>
    <w:rsid w:val="00864A42"/>
    <w:rsid w:val="00865007"/>
    <w:rsid w:val="0086506E"/>
    <w:rsid w:val="0086526F"/>
    <w:rsid w:val="008653BB"/>
    <w:rsid w:val="00865B6E"/>
    <w:rsid w:val="008662BA"/>
    <w:rsid w:val="008665D6"/>
    <w:rsid w:val="00866981"/>
    <w:rsid w:val="00866A7D"/>
    <w:rsid w:val="00866FB2"/>
    <w:rsid w:val="00867010"/>
    <w:rsid w:val="00867369"/>
    <w:rsid w:val="008676CD"/>
    <w:rsid w:val="00867889"/>
    <w:rsid w:val="00867B5F"/>
    <w:rsid w:val="00867E3F"/>
    <w:rsid w:val="00867F5F"/>
    <w:rsid w:val="00870A8B"/>
    <w:rsid w:val="00871073"/>
    <w:rsid w:val="00871ED9"/>
    <w:rsid w:val="00872443"/>
    <w:rsid w:val="008724F8"/>
    <w:rsid w:val="00872811"/>
    <w:rsid w:val="008728F2"/>
    <w:rsid w:val="00872BB3"/>
    <w:rsid w:val="0087345A"/>
    <w:rsid w:val="0087351F"/>
    <w:rsid w:val="0087363C"/>
    <w:rsid w:val="008738E4"/>
    <w:rsid w:val="00873EF2"/>
    <w:rsid w:val="00874096"/>
    <w:rsid w:val="008746E8"/>
    <w:rsid w:val="008748DD"/>
    <w:rsid w:val="00874C95"/>
    <w:rsid w:val="00874DFD"/>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D51"/>
    <w:rsid w:val="00880D71"/>
    <w:rsid w:val="00881418"/>
    <w:rsid w:val="008814EC"/>
    <w:rsid w:val="0088177D"/>
    <w:rsid w:val="008825D3"/>
    <w:rsid w:val="00882BF0"/>
    <w:rsid w:val="008833DF"/>
    <w:rsid w:val="00883A05"/>
    <w:rsid w:val="0088426B"/>
    <w:rsid w:val="00885129"/>
    <w:rsid w:val="00885161"/>
    <w:rsid w:val="00885305"/>
    <w:rsid w:val="008853EA"/>
    <w:rsid w:val="00885764"/>
    <w:rsid w:val="00885784"/>
    <w:rsid w:val="008857CF"/>
    <w:rsid w:val="00885807"/>
    <w:rsid w:val="00885987"/>
    <w:rsid w:val="00885DAA"/>
    <w:rsid w:val="00885DE9"/>
    <w:rsid w:val="00886002"/>
    <w:rsid w:val="008860CF"/>
    <w:rsid w:val="0088611C"/>
    <w:rsid w:val="008864C4"/>
    <w:rsid w:val="008864ED"/>
    <w:rsid w:val="0088653D"/>
    <w:rsid w:val="00886971"/>
    <w:rsid w:val="00886A4E"/>
    <w:rsid w:val="00886C57"/>
    <w:rsid w:val="008871E3"/>
    <w:rsid w:val="008873A7"/>
    <w:rsid w:val="00887A37"/>
    <w:rsid w:val="00887CCD"/>
    <w:rsid w:val="00887EEB"/>
    <w:rsid w:val="0089003C"/>
    <w:rsid w:val="00890681"/>
    <w:rsid w:val="008909E4"/>
    <w:rsid w:val="00891215"/>
    <w:rsid w:val="00891360"/>
    <w:rsid w:val="00891807"/>
    <w:rsid w:val="00891992"/>
    <w:rsid w:val="00892D54"/>
    <w:rsid w:val="008930B9"/>
    <w:rsid w:val="00893AC9"/>
    <w:rsid w:val="008941DE"/>
    <w:rsid w:val="00894524"/>
    <w:rsid w:val="0089481C"/>
    <w:rsid w:val="00894C98"/>
    <w:rsid w:val="00894D2F"/>
    <w:rsid w:val="00895691"/>
    <w:rsid w:val="00895807"/>
    <w:rsid w:val="00895DF3"/>
    <w:rsid w:val="008964EA"/>
    <w:rsid w:val="008967D1"/>
    <w:rsid w:val="00896907"/>
    <w:rsid w:val="00896E2D"/>
    <w:rsid w:val="008971F8"/>
    <w:rsid w:val="00897852"/>
    <w:rsid w:val="00897E6E"/>
    <w:rsid w:val="008A03BC"/>
    <w:rsid w:val="008A08F5"/>
    <w:rsid w:val="008A1964"/>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8AF"/>
    <w:rsid w:val="008B6D86"/>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12D5"/>
    <w:rsid w:val="008D196A"/>
    <w:rsid w:val="008D1970"/>
    <w:rsid w:val="008D1D09"/>
    <w:rsid w:val="008D1F6F"/>
    <w:rsid w:val="008D27DE"/>
    <w:rsid w:val="008D3179"/>
    <w:rsid w:val="008D3D2C"/>
    <w:rsid w:val="008D3D4B"/>
    <w:rsid w:val="008D3DF2"/>
    <w:rsid w:val="008D40F6"/>
    <w:rsid w:val="008D4B8E"/>
    <w:rsid w:val="008D55A3"/>
    <w:rsid w:val="008D5DEC"/>
    <w:rsid w:val="008D5FD4"/>
    <w:rsid w:val="008D61B6"/>
    <w:rsid w:val="008D61EB"/>
    <w:rsid w:val="008D64FA"/>
    <w:rsid w:val="008D64FB"/>
    <w:rsid w:val="008D6501"/>
    <w:rsid w:val="008D6788"/>
    <w:rsid w:val="008D6BBA"/>
    <w:rsid w:val="008D7386"/>
    <w:rsid w:val="008D76C0"/>
    <w:rsid w:val="008D7C9D"/>
    <w:rsid w:val="008E0000"/>
    <w:rsid w:val="008E063A"/>
    <w:rsid w:val="008E1385"/>
    <w:rsid w:val="008E15E4"/>
    <w:rsid w:val="008E1744"/>
    <w:rsid w:val="008E183D"/>
    <w:rsid w:val="008E1C53"/>
    <w:rsid w:val="008E23C7"/>
    <w:rsid w:val="008E264E"/>
    <w:rsid w:val="008E28DB"/>
    <w:rsid w:val="008E2947"/>
    <w:rsid w:val="008E2A47"/>
    <w:rsid w:val="008E3A8E"/>
    <w:rsid w:val="008E441F"/>
    <w:rsid w:val="008E4646"/>
    <w:rsid w:val="008E4870"/>
    <w:rsid w:val="008E4BBA"/>
    <w:rsid w:val="008E4D7E"/>
    <w:rsid w:val="008E519E"/>
    <w:rsid w:val="008E58F1"/>
    <w:rsid w:val="008E5ADF"/>
    <w:rsid w:val="008E5DFF"/>
    <w:rsid w:val="008E65A1"/>
    <w:rsid w:val="008E6A40"/>
    <w:rsid w:val="008E6FBD"/>
    <w:rsid w:val="008E7284"/>
    <w:rsid w:val="008E7348"/>
    <w:rsid w:val="008E74BF"/>
    <w:rsid w:val="008E7948"/>
    <w:rsid w:val="008E7FD6"/>
    <w:rsid w:val="008F0229"/>
    <w:rsid w:val="008F025D"/>
    <w:rsid w:val="008F02A1"/>
    <w:rsid w:val="008F043B"/>
    <w:rsid w:val="008F07C0"/>
    <w:rsid w:val="008F1225"/>
    <w:rsid w:val="008F13CC"/>
    <w:rsid w:val="008F1425"/>
    <w:rsid w:val="008F16B2"/>
    <w:rsid w:val="008F1A28"/>
    <w:rsid w:val="008F20F1"/>
    <w:rsid w:val="008F280C"/>
    <w:rsid w:val="008F2B23"/>
    <w:rsid w:val="008F2DE8"/>
    <w:rsid w:val="008F307F"/>
    <w:rsid w:val="008F3B21"/>
    <w:rsid w:val="008F3F92"/>
    <w:rsid w:val="008F424A"/>
    <w:rsid w:val="008F4947"/>
    <w:rsid w:val="008F4BC6"/>
    <w:rsid w:val="008F526E"/>
    <w:rsid w:val="008F52AD"/>
    <w:rsid w:val="008F5D23"/>
    <w:rsid w:val="008F6555"/>
    <w:rsid w:val="008F686F"/>
    <w:rsid w:val="008F6973"/>
    <w:rsid w:val="008F72BF"/>
    <w:rsid w:val="008F77AD"/>
    <w:rsid w:val="008F7C5A"/>
    <w:rsid w:val="009001C6"/>
    <w:rsid w:val="009001DE"/>
    <w:rsid w:val="009005BC"/>
    <w:rsid w:val="0090076E"/>
    <w:rsid w:val="009008DD"/>
    <w:rsid w:val="00900E60"/>
    <w:rsid w:val="00900FA9"/>
    <w:rsid w:val="0090101C"/>
    <w:rsid w:val="0090175B"/>
    <w:rsid w:val="00901803"/>
    <w:rsid w:val="00901EDD"/>
    <w:rsid w:val="00902509"/>
    <w:rsid w:val="009026B8"/>
    <w:rsid w:val="0090274D"/>
    <w:rsid w:val="00902805"/>
    <w:rsid w:val="00902FD7"/>
    <w:rsid w:val="00903157"/>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81E"/>
    <w:rsid w:val="009116C4"/>
    <w:rsid w:val="0091223F"/>
    <w:rsid w:val="00912F2F"/>
    <w:rsid w:val="009137A4"/>
    <w:rsid w:val="009137EE"/>
    <w:rsid w:val="00913C45"/>
    <w:rsid w:val="009146FE"/>
    <w:rsid w:val="00914853"/>
    <w:rsid w:val="00914D5F"/>
    <w:rsid w:val="00915036"/>
    <w:rsid w:val="00915064"/>
    <w:rsid w:val="009150BD"/>
    <w:rsid w:val="009150F0"/>
    <w:rsid w:val="00915DCF"/>
    <w:rsid w:val="00916B39"/>
    <w:rsid w:val="00920588"/>
    <w:rsid w:val="009206EA"/>
    <w:rsid w:val="00920DC4"/>
    <w:rsid w:val="00920E50"/>
    <w:rsid w:val="009211FB"/>
    <w:rsid w:val="009213B9"/>
    <w:rsid w:val="00921430"/>
    <w:rsid w:val="00921445"/>
    <w:rsid w:val="00921CA1"/>
    <w:rsid w:val="00921FBE"/>
    <w:rsid w:val="00922022"/>
    <w:rsid w:val="00922ECF"/>
    <w:rsid w:val="00923519"/>
    <w:rsid w:val="009242E9"/>
    <w:rsid w:val="0092433C"/>
    <w:rsid w:val="009245B4"/>
    <w:rsid w:val="009245EB"/>
    <w:rsid w:val="00924981"/>
    <w:rsid w:val="00924A32"/>
    <w:rsid w:val="00924F92"/>
    <w:rsid w:val="00925222"/>
    <w:rsid w:val="00925619"/>
    <w:rsid w:val="00926132"/>
    <w:rsid w:val="0092613B"/>
    <w:rsid w:val="00927110"/>
    <w:rsid w:val="009273C7"/>
    <w:rsid w:val="00927749"/>
    <w:rsid w:val="00927C01"/>
    <w:rsid w:val="00927DE2"/>
    <w:rsid w:val="00930260"/>
    <w:rsid w:val="0093074A"/>
    <w:rsid w:val="00930A1F"/>
    <w:rsid w:val="00930CF7"/>
    <w:rsid w:val="009313A9"/>
    <w:rsid w:val="009313D7"/>
    <w:rsid w:val="00931653"/>
    <w:rsid w:val="00931F50"/>
    <w:rsid w:val="00932098"/>
    <w:rsid w:val="00932767"/>
    <w:rsid w:val="00932818"/>
    <w:rsid w:val="009328D0"/>
    <w:rsid w:val="00932985"/>
    <w:rsid w:val="00932E57"/>
    <w:rsid w:val="0093351D"/>
    <w:rsid w:val="00933B5A"/>
    <w:rsid w:val="00933CAD"/>
    <w:rsid w:val="00933DB1"/>
    <w:rsid w:val="0093479D"/>
    <w:rsid w:val="00934829"/>
    <w:rsid w:val="00934A2E"/>
    <w:rsid w:val="00935840"/>
    <w:rsid w:val="00935896"/>
    <w:rsid w:val="00935897"/>
    <w:rsid w:val="00936095"/>
    <w:rsid w:val="00936B35"/>
    <w:rsid w:val="0093709D"/>
    <w:rsid w:val="009371BB"/>
    <w:rsid w:val="00937399"/>
    <w:rsid w:val="00937935"/>
    <w:rsid w:val="009379AF"/>
    <w:rsid w:val="009379F4"/>
    <w:rsid w:val="009401DE"/>
    <w:rsid w:val="009401ED"/>
    <w:rsid w:val="00940453"/>
    <w:rsid w:val="009404DA"/>
    <w:rsid w:val="00940523"/>
    <w:rsid w:val="009407F9"/>
    <w:rsid w:val="00942543"/>
    <w:rsid w:val="00942730"/>
    <w:rsid w:val="0094291F"/>
    <w:rsid w:val="00942BB9"/>
    <w:rsid w:val="00942BBE"/>
    <w:rsid w:val="0094363D"/>
    <w:rsid w:val="00943A2E"/>
    <w:rsid w:val="00944110"/>
    <w:rsid w:val="009442D0"/>
    <w:rsid w:val="009447A6"/>
    <w:rsid w:val="00944FC2"/>
    <w:rsid w:val="0094529B"/>
    <w:rsid w:val="009452DF"/>
    <w:rsid w:val="00945330"/>
    <w:rsid w:val="00945365"/>
    <w:rsid w:val="0094580E"/>
    <w:rsid w:val="00946027"/>
    <w:rsid w:val="009462D4"/>
    <w:rsid w:val="00946A41"/>
    <w:rsid w:val="00946B9D"/>
    <w:rsid w:val="0094725A"/>
    <w:rsid w:val="00950096"/>
    <w:rsid w:val="00950433"/>
    <w:rsid w:val="009508B3"/>
    <w:rsid w:val="00950C97"/>
    <w:rsid w:val="00950E17"/>
    <w:rsid w:val="00950FDD"/>
    <w:rsid w:val="009513B7"/>
    <w:rsid w:val="009514F5"/>
    <w:rsid w:val="0095154B"/>
    <w:rsid w:val="00951BD0"/>
    <w:rsid w:val="009522F5"/>
    <w:rsid w:val="00952B16"/>
    <w:rsid w:val="009531B9"/>
    <w:rsid w:val="00953840"/>
    <w:rsid w:val="00953B74"/>
    <w:rsid w:val="009549CC"/>
    <w:rsid w:val="00954D0A"/>
    <w:rsid w:val="00955406"/>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A51"/>
    <w:rsid w:val="00964EF8"/>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AD"/>
    <w:rsid w:val="00971B20"/>
    <w:rsid w:val="00971EC9"/>
    <w:rsid w:val="00971F61"/>
    <w:rsid w:val="0097202B"/>
    <w:rsid w:val="0097216D"/>
    <w:rsid w:val="00972467"/>
    <w:rsid w:val="0097292A"/>
    <w:rsid w:val="00972BF5"/>
    <w:rsid w:val="00972E3F"/>
    <w:rsid w:val="00972E46"/>
    <w:rsid w:val="00973D63"/>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7172"/>
    <w:rsid w:val="0098734C"/>
    <w:rsid w:val="00987543"/>
    <w:rsid w:val="00987A06"/>
    <w:rsid w:val="00990C1B"/>
    <w:rsid w:val="00990F4F"/>
    <w:rsid w:val="00991A15"/>
    <w:rsid w:val="00991D21"/>
    <w:rsid w:val="00991E93"/>
    <w:rsid w:val="00992158"/>
    <w:rsid w:val="00992499"/>
    <w:rsid w:val="00992CA8"/>
    <w:rsid w:val="00992F50"/>
    <w:rsid w:val="009935AB"/>
    <w:rsid w:val="00993A64"/>
    <w:rsid w:val="00993ADA"/>
    <w:rsid w:val="00994547"/>
    <w:rsid w:val="00994654"/>
    <w:rsid w:val="009949A7"/>
    <w:rsid w:val="0099500B"/>
    <w:rsid w:val="00995893"/>
    <w:rsid w:val="00995CE3"/>
    <w:rsid w:val="009961E4"/>
    <w:rsid w:val="00996304"/>
    <w:rsid w:val="0099716C"/>
    <w:rsid w:val="00997561"/>
    <w:rsid w:val="009975DC"/>
    <w:rsid w:val="00997D2B"/>
    <w:rsid w:val="00997DD1"/>
    <w:rsid w:val="009A05A3"/>
    <w:rsid w:val="009A0734"/>
    <w:rsid w:val="009A0AC1"/>
    <w:rsid w:val="009A0DAB"/>
    <w:rsid w:val="009A210D"/>
    <w:rsid w:val="009A2385"/>
    <w:rsid w:val="009A23CD"/>
    <w:rsid w:val="009A28FA"/>
    <w:rsid w:val="009A2BA4"/>
    <w:rsid w:val="009A2E43"/>
    <w:rsid w:val="009A394C"/>
    <w:rsid w:val="009A3B1E"/>
    <w:rsid w:val="009A3D37"/>
    <w:rsid w:val="009A3D4E"/>
    <w:rsid w:val="009A44D2"/>
    <w:rsid w:val="009A4A9A"/>
    <w:rsid w:val="009A4AAD"/>
    <w:rsid w:val="009A4B3A"/>
    <w:rsid w:val="009A50FF"/>
    <w:rsid w:val="009A657E"/>
    <w:rsid w:val="009A6676"/>
    <w:rsid w:val="009A6DB4"/>
    <w:rsid w:val="009A79E9"/>
    <w:rsid w:val="009B0933"/>
    <w:rsid w:val="009B0B08"/>
    <w:rsid w:val="009B0C53"/>
    <w:rsid w:val="009B0F02"/>
    <w:rsid w:val="009B10AA"/>
    <w:rsid w:val="009B12EB"/>
    <w:rsid w:val="009B173F"/>
    <w:rsid w:val="009B26CA"/>
    <w:rsid w:val="009B29B5"/>
    <w:rsid w:val="009B2D98"/>
    <w:rsid w:val="009B2E69"/>
    <w:rsid w:val="009B2FF4"/>
    <w:rsid w:val="009B3306"/>
    <w:rsid w:val="009B39D1"/>
    <w:rsid w:val="009B3AA1"/>
    <w:rsid w:val="009B43D0"/>
    <w:rsid w:val="009B4B61"/>
    <w:rsid w:val="009B5ADE"/>
    <w:rsid w:val="009B5B3F"/>
    <w:rsid w:val="009B6736"/>
    <w:rsid w:val="009B695C"/>
    <w:rsid w:val="009B6BD3"/>
    <w:rsid w:val="009B714D"/>
    <w:rsid w:val="009B7164"/>
    <w:rsid w:val="009B756A"/>
    <w:rsid w:val="009B7591"/>
    <w:rsid w:val="009B77F2"/>
    <w:rsid w:val="009B7ABF"/>
    <w:rsid w:val="009C08BD"/>
    <w:rsid w:val="009C0BAB"/>
    <w:rsid w:val="009C0BBE"/>
    <w:rsid w:val="009C0F2C"/>
    <w:rsid w:val="009C0F43"/>
    <w:rsid w:val="009C1D69"/>
    <w:rsid w:val="009C1EAD"/>
    <w:rsid w:val="009C223D"/>
    <w:rsid w:val="009C246A"/>
    <w:rsid w:val="009C2625"/>
    <w:rsid w:val="009C281D"/>
    <w:rsid w:val="009C2837"/>
    <w:rsid w:val="009C2FF5"/>
    <w:rsid w:val="009C30E9"/>
    <w:rsid w:val="009C34DD"/>
    <w:rsid w:val="009C3590"/>
    <w:rsid w:val="009C399F"/>
    <w:rsid w:val="009C3B3D"/>
    <w:rsid w:val="009C3DF9"/>
    <w:rsid w:val="009C49BA"/>
    <w:rsid w:val="009C4B28"/>
    <w:rsid w:val="009C514D"/>
    <w:rsid w:val="009C5C87"/>
    <w:rsid w:val="009C5ED3"/>
    <w:rsid w:val="009C692C"/>
    <w:rsid w:val="009C71E4"/>
    <w:rsid w:val="009C7650"/>
    <w:rsid w:val="009C76C8"/>
    <w:rsid w:val="009C7809"/>
    <w:rsid w:val="009C7C5C"/>
    <w:rsid w:val="009C7C9A"/>
    <w:rsid w:val="009D0732"/>
    <w:rsid w:val="009D0D33"/>
    <w:rsid w:val="009D1366"/>
    <w:rsid w:val="009D1912"/>
    <w:rsid w:val="009D19ED"/>
    <w:rsid w:val="009D21E6"/>
    <w:rsid w:val="009D2BE8"/>
    <w:rsid w:val="009D321F"/>
    <w:rsid w:val="009D35BC"/>
    <w:rsid w:val="009D3669"/>
    <w:rsid w:val="009D378C"/>
    <w:rsid w:val="009D3926"/>
    <w:rsid w:val="009D4D7B"/>
    <w:rsid w:val="009D5719"/>
    <w:rsid w:val="009D64B3"/>
    <w:rsid w:val="009D6610"/>
    <w:rsid w:val="009D6A07"/>
    <w:rsid w:val="009D6A3A"/>
    <w:rsid w:val="009D6AA8"/>
    <w:rsid w:val="009D6BB3"/>
    <w:rsid w:val="009D7552"/>
    <w:rsid w:val="009D75AE"/>
    <w:rsid w:val="009D7882"/>
    <w:rsid w:val="009D78C7"/>
    <w:rsid w:val="009D78FA"/>
    <w:rsid w:val="009D7C02"/>
    <w:rsid w:val="009D7DF9"/>
    <w:rsid w:val="009D7E94"/>
    <w:rsid w:val="009E03C0"/>
    <w:rsid w:val="009E0963"/>
    <w:rsid w:val="009E0C31"/>
    <w:rsid w:val="009E0D19"/>
    <w:rsid w:val="009E0D2B"/>
    <w:rsid w:val="009E0EC3"/>
    <w:rsid w:val="009E0F24"/>
    <w:rsid w:val="009E118C"/>
    <w:rsid w:val="009E1263"/>
    <w:rsid w:val="009E1B89"/>
    <w:rsid w:val="009E24BB"/>
    <w:rsid w:val="009E2B57"/>
    <w:rsid w:val="009E31A2"/>
    <w:rsid w:val="009E32BE"/>
    <w:rsid w:val="009E3373"/>
    <w:rsid w:val="009E348B"/>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315"/>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DE4"/>
    <w:rsid w:val="009F30FB"/>
    <w:rsid w:val="009F312E"/>
    <w:rsid w:val="009F33C3"/>
    <w:rsid w:val="009F366F"/>
    <w:rsid w:val="009F3AE5"/>
    <w:rsid w:val="009F455B"/>
    <w:rsid w:val="009F4BB0"/>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128F"/>
    <w:rsid w:val="00A012F4"/>
    <w:rsid w:val="00A02038"/>
    <w:rsid w:val="00A023DE"/>
    <w:rsid w:val="00A02996"/>
    <w:rsid w:val="00A02C1A"/>
    <w:rsid w:val="00A031C0"/>
    <w:rsid w:val="00A033D4"/>
    <w:rsid w:val="00A03CF2"/>
    <w:rsid w:val="00A043AB"/>
    <w:rsid w:val="00A043FD"/>
    <w:rsid w:val="00A04402"/>
    <w:rsid w:val="00A049AE"/>
    <w:rsid w:val="00A04AB5"/>
    <w:rsid w:val="00A05A87"/>
    <w:rsid w:val="00A06086"/>
    <w:rsid w:val="00A060ED"/>
    <w:rsid w:val="00A064D8"/>
    <w:rsid w:val="00A064D9"/>
    <w:rsid w:val="00A06546"/>
    <w:rsid w:val="00A06AA5"/>
    <w:rsid w:val="00A06F58"/>
    <w:rsid w:val="00A075BA"/>
    <w:rsid w:val="00A07715"/>
    <w:rsid w:val="00A079AA"/>
    <w:rsid w:val="00A07ABC"/>
    <w:rsid w:val="00A07CD2"/>
    <w:rsid w:val="00A10445"/>
    <w:rsid w:val="00A10847"/>
    <w:rsid w:val="00A1193E"/>
    <w:rsid w:val="00A11A8C"/>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40F"/>
    <w:rsid w:val="00A20F9A"/>
    <w:rsid w:val="00A21102"/>
    <w:rsid w:val="00A216F0"/>
    <w:rsid w:val="00A219EB"/>
    <w:rsid w:val="00A22190"/>
    <w:rsid w:val="00A22430"/>
    <w:rsid w:val="00A231C6"/>
    <w:rsid w:val="00A2358E"/>
    <w:rsid w:val="00A247ED"/>
    <w:rsid w:val="00A2490D"/>
    <w:rsid w:val="00A24931"/>
    <w:rsid w:val="00A24FC3"/>
    <w:rsid w:val="00A25300"/>
    <w:rsid w:val="00A2543E"/>
    <w:rsid w:val="00A25BD9"/>
    <w:rsid w:val="00A262F2"/>
    <w:rsid w:val="00A263DF"/>
    <w:rsid w:val="00A26793"/>
    <w:rsid w:val="00A267F3"/>
    <w:rsid w:val="00A26A5B"/>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47FA"/>
    <w:rsid w:val="00A34D96"/>
    <w:rsid w:val="00A35963"/>
    <w:rsid w:val="00A36315"/>
    <w:rsid w:val="00A363B0"/>
    <w:rsid w:val="00A36572"/>
    <w:rsid w:val="00A365D9"/>
    <w:rsid w:val="00A36DC1"/>
    <w:rsid w:val="00A370C5"/>
    <w:rsid w:val="00A372E8"/>
    <w:rsid w:val="00A37539"/>
    <w:rsid w:val="00A37748"/>
    <w:rsid w:val="00A37CCD"/>
    <w:rsid w:val="00A40C4F"/>
    <w:rsid w:val="00A4143E"/>
    <w:rsid w:val="00A4187E"/>
    <w:rsid w:val="00A41A89"/>
    <w:rsid w:val="00A428D1"/>
    <w:rsid w:val="00A42956"/>
    <w:rsid w:val="00A42FEC"/>
    <w:rsid w:val="00A4368F"/>
    <w:rsid w:val="00A4391A"/>
    <w:rsid w:val="00A43CB7"/>
    <w:rsid w:val="00A43DCA"/>
    <w:rsid w:val="00A440BE"/>
    <w:rsid w:val="00A448E1"/>
    <w:rsid w:val="00A44E7B"/>
    <w:rsid w:val="00A452B3"/>
    <w:rsid w:val="00A45DD8"/>
    <w:rsid w:val="00A46223"/>
    <w:rsid w:val="00A463DF"/>
    <w:rsid w:val="00A4643E"/>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CFB"/>
    <w:rsid w:val="00A51E3C"/>
    <w:rsid w:val="00A52155"/>
    <w:rsid w:val="00A52401"/>
    <w:rsid w:val="00A52A7B"/>
    <w:rsid w:val="00A52EB3"/>
    <w:rsid w:val="00A53012"/>
    <w:rsid w:val="00A5313B"/>
    <w:rsid w:val="00A533A3"/>
    <w:rsid w:val="00A5396B"/>
    <w:rsid w:val="00A53993"/>
    <w:rsid w:val="00A5411F"/>
    <w:rsid w:val="00A542A2"/>
    <w:rsid w:val="00A54663"/>
    <w:rsid w:val="00A54766"/>
    <w:rsid w:val="00A5492D"/>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748"/>
    <w:rsid w:val="00A647D5"/>
    <w:rsid w:val="00A65160"/>
    <w:rsid w:val="00A652C0"/>
    <w:rsid w:val="00A65490"/>
    <w:rsid w:val="00A65F2E"/>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40B8"/>
    <w:rsid w:val="00A74256"/>
    <w:rsid w:val="00A74974"/>
    <w:rsid w:val="00A74B2F"/>
    <w:rsid w:val="00A74FDF"/>
    <w:rsid w:val="00A75396"/>
    <w:rsid w:val="00A7539B"/>
    <w:rsid w:val="00A755C1"/>
    <w:rsid w:val="00A75DE8"/>
    <w:rsid w:val="00A75EF3"/>
    <w:rsid w:val="00A7629F"/>
    <w:rsid w:val="00A7646D"/>
    <w:rsid w:val="00A76851"/>
    <w:rsid w:val="00A775E9"/>
    <w:rsid w:val="00A776BC"/>
    <w:rsid w:val="00A77A1E"/>
    <w:rsid w:val="00A77EB2"/>
    <w:rsid w:val="00A8031F"/>
    <w:rsid w:val="00A804DA"/>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FD5"/>
    <w:rsid w:val="00A86221"/>
    <w:rsid w:val="00A864CE"/>
    <w:rsid w:val="00A8671C"/>
    <w:rsid w:val="00A86EC7"/>
    <w:rsid w:val="00A87003"/>
    <w:rsid w:val="00A87548"/>
    <w:rsid w:val="00A87EDA"/>
    <w:rsid w:val="00A90753"/>
    <w:rsid w:val="00A90A45"/>
    <w:rsid w:val="00A91507"/>
    <w:rsid w:val="00A91C99"/>
    <w:rsid w:val="00A921C8"/>
    <w:rsid w:val="00A92885"/>
    <w:rsid w:val="00A92AE2"/>
    <w:rsid w:val="00A92F66"/>
    <w:rsid w:val="00A932CE"/>
    <w:rsid w:val="00A937B9"/>
    <w:rsid w:val="00A93CFA"/>
    <w:rsid w:val="00A93FF2"/>
    <w:rsid w:val="00A9438C"/>
    <w:rsid w:val="00A94C6C"/>
    <w:rsid w:val="00A94DFB"/>
    <w:rsid w:val="00A94FF6"/>
    <w:rsid w:val="00A951DB"/>
    <w:rsid w:val="00A95B4D"/>
    <w:rsid w:val="00A96474"/>
    <w:rsid w:val="00A964ED"/>
    <w:rsid w:val="00A969D1"/>
    <w:rsid w:val="00A9792F"/>
    <w:rsid w:val="00A97AB6"/>
    <w:rsid w:val="00A97BE3"/>
    <w:rsid w:val="00AA03BC"/>
    <w:rsid w:val="00AA28E8"/>
    <w:rsid w:val="00AA2958"/>
    <w:rsid w:val="00AA393E"/>
    <w:rsid w:val="00AA39B5"/>
    <w:rsid w:val="00AA430F"/>
    <w:rsid w:val="00AA43D6"/>
    <w:rsid w:val="00AA4571"/>
    <w:rsid w:val="00AA462B"/>
    <w:rsid w:val="00AA4B8D"/>
    <w:rsid w:val="00AA4CBA"/>
    <w:rsid w:val="00AA4DD2"/>
    <w:rsid w:val="00AA5053"/>
    <w:rsid w:val="00AA506F"/>
    <w:rsid w:val="00AA6C60"/>
    <w:rsid w:val="00AA6EF2"/>
    <w:rsid w:val="00AA78B9"/>
    <w:rsid w:val="00AA7A07"/>
    <w:rsid w:val="00AA7C6D"/>
    <w:rsid w:val="00AB0583"/>
    <w:rsid w:val="00AB0E2B"/>
    <w:rsid w:val="00AB0EA3"/>
    <w:rsid w:val="00AB104A"/>
    <w:rsid w:val="00AB18D9"/>
    <w:rsid w:val="00AB1C6B"/>
    <w:rsid w:val="00AB1E50"/>
    <w:rsid w:val="00AB20DE"/>
    <w:rsid w:val="00AB2666"/>
    <w:rsid w:val="00AB2D5F"/>
    <w:rsid w:val="00AB316A"/>
    <w:rsid w:val="00AB31E8"/>
    <w:rsid w:val="00AB344F"/>
    <w:rsid w:val="00AB3527"/>
    <w:rsid w:val="00AB38F0"/>
    <w:rsid w:val="00AB38FB"/>
    <w:rsid w:val="00AB3966"/>
    <w:rsid w:val="00AB3C22"/>
    <w:rsid w:val="00AB3DA2"/>
    <w:rsid w:val="00AB3F3B"/>
    <w:rsid w:val="00AB4A4B"/>
    <w:rsid w:val="00AB4B55"/>
    <w:rsid w:val="00AB5037"/>
    <w:rsid w:val="00AB50CF"/>
    <w:rsid w:val="00AB5193"/>
    <w:rsid w:val="00AB5FB8"/>
    <w:rsid w:val="00AB60E5"/>
    <w:rsid w:val="00AB617F"/>
    <w:rsid w:val="00AB64FC"/>
    <w:rsid w:val="00AB6592"/>
    <w:rsid w:val="00AB67CA"/>
    <w:rsid w:val="00AB6918"/>
    <w:rsid w:val="00AB6D92"/>
    <w:rsid w:val="00AB75CA"/>
    <w:rsid w:val="00AB767F"/>
    <w:rsid w:val="00AB76CC"/>
    <w:rsid w:val="00AB79A2"/>
    <w:rsid w:val="00AC02EA"/>
    <w:rsid w:val="00AC047B"/>
    <w:rsid w:val="00AC09F0"/>
    <w:rsid w:val="00AC0EAB"/>
    <w:rsid w:val="00AC1616"/>
    <w:rsid w:val="00AC19B3"/>
    <w:rsid w:val="00AC26A6"/>
    <w:rsid w:val="00AC2AD6"/>
    <w:rsid w:val="00AC2F3B"/>
    <w:rsid w:val="00AC3241"/>
    <w:rsid w:val="00AC36C4"/>
    <w:rsid w:val="00AC38C1"/>
    <w:rsid w:val="00AC461C"/>
    <w:rsid w:val="00AC49E3"/>
    <w:rsid w:val="00AC4B2A"/>
    <w:rsid w:val="00AC50B4"/>
    <w:rsid w:val="00AC512C"/>
    <w:rsid w:val="00AC5F66"/>
    <w:rsid w:val="00AC62C4"/>
    <w:rsid w:val="00AC72AF"/>
    <w:rsid w:val="00AC7550"/>
    <w:rsid w:val="00AC7865"/>
    <w:rsid w:val="00AC78BB"/>
    <w:rsid w:val="00AC7C30"/>
    <w:rsid w:val="00AD0501"/>
    <w:rsid w:val="00AD0BC2"/>
    <w:rsid w:val="00AD0CDE"/>
    <w:rsid w:val="00AD0CED"/>
    <w:rsid w:val="00AD0DD4"/>
    <w:rsid w:val="00AD1595"/>
    <w:rsid w:val="00AD1CF7"/>
    <w:rsid w:val="00AD2D11"/>
    <w:rsid w:val="00AD2FB7"/>
    <w:rsid w:val="00AD2FED"/>
    <w:rsid w:val="00AD380A"/>
    <w:rsid w:val="00AD3D7E"/>
    <w:rsid w:val="00AD3FA2"/>
    <w:rsid w:val="00AD4780"/>
    <w:rsid w:val="00AD4877"/>
    <w:rsid w:val="00AD4C81"/>
    <w:rsid w:val="00AD5190"/>
    <w:rsid w:val="00AD52E7"/>
    <w:rsid w:val="00AD5439"/>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22FF"/>
    <w:rsid w:val="00AE2B41"/>
    <w:rsid w:val="00AE2F26"/>
    <w:rsid w:val="00AE309A"/>
    <w:rsid w:val="00AE334F"/>
    <w:rsid w:val="00AE354E"/>
    <w:rsid w:val="00AE3745"/>
    <w:rsid w:val="00AE3859"/>
    <w:rsid w:val="00AE3C29"/>
    <w:rsid w:val="00AE4122"/>
    <w:rsid w:val="00AE43E5"/>
    <w:rsid w:val="00AE45E3"/>
    <w:rsid w:val="00AE4970"/>
    <w:rsid w:val="00AE55D2"/>
    <w:rsid w:val="00AE59C8"/>
    <w:rsid w:val="00AE5A70"/>
    <w:rsid w:val="00AE5B12"/>
    <w:rsid w:val="00AE5B4E"/>
    <w:rsid w:val="00AE5FB4"/>
    <w:rsid w:val="00AE608B"/>
    <w:rsid w:val="00AE6152"/>
    <w:rsid w:val="00AE651F"/>
    <w:rsid w:val="00AE653F"/>
    <w:rsid w:val="00AE6543"/>
    <w:rsid w:val="00AE73F4"/>
    <w:rsid w:val="00AE7419"/>
    <w:rsid w:val="00AE7704"/>
    <w:rsid w:val="00AE78F4"/>
    <w:rsid w:val="00AE7957"/>
    <w:rsid w:val="00AE7C3A"/>
    <w:rsid w:val="00AE7E1F"/>
    <w:rsid w:val="00AE7EC5"/>
    <w:rsid w:val="00AF038D"/>
    <w:rsid w:val="00AF0A5A"/>
    <w:rsid w:val="00AF0B5C"/>
    <w:rsid w:val="00AF101F"/>
    <w:rsid w:val="00AF15D2"/>
    <w:rsid w:val="00AF19B7"/>
    <w:rsid w:val="00AF1D19"/>
    <w:rsid w:val="00AF1E0B"/>
    <w:rsid w:val="00AF24A3"/>
    <w:rsid w:val="00AF33E2"/>
    <w:rsid w:val="00AF3413"/>
    <w:rsid w:val="00AF3475"/>
    <w:rsid w:val="00AF3628"/>
    <w:rsid w:val="00AF4084"/>
    <w:rsid w:val="00AF48F5"/>
    <w:rsid w:val="00AF4C4E"/>
    <w:rsid w:val="00AF55BC"/>
    <w:rsid w:val="00AF57FF"/>
    <w:rsid w:val="00AF6468"/>
    <w:rsid w:val="00AF6FD3"/>
    <w:rsid w:val="00AF7497"/>
    <w:rsid w:val="00AF7DED"/>
    <w:rsid w:val="00AF7FC9"/>
    <w:rsid w:val="00B000CD"/>
    <w:rsid w:val="00B001D9"/>
    <w:rsid w:val="00B007E9"/>
    <w:rsid w:val="00B00998"/>
    <w:rsid w:val="00B01C0A"/>
    <w:rsid w:val="00B01FB2"/>
    <w:rsid w:val="00B027F0"/>
    <w:rsid w:val="00B02A99"/>
    <w:rsid w:val="00B02B00"/>
    <w:rsid w:val="00B031BB"/>
    <w:rsid w:val="00B031E9"/>
    <w:rsid w:val="00B032B7"/>
    <w:rsid w:val="00B03A76"/>
    <w:rsid w:val="00B03B24"/>
    <w:rsid w:val="00B04570"/>
    <w:rsid w:val="00B0461A"/>
    <w:rsid w:val="00B05EDF"/>
    <w:rsid w:val="00B06B38"/>
    <w:rsid w:val="00B06BD5"/>
    <w:rsid w:val="00B06F6A"/>
    <w:rsid w:val="00B10500"/>
    <w:rsid w:val="00B106D9"/>
    <w:rsid w:val="00B10ED8"/>
    <w:rsid w:val="00B11651"/>
    <w:rsid w:val="00B11933"/>
    <w:rsid w:val="00B11985"/>
    <w:rsid w:val="00B11C22"/>
    <w:rsid w:val="00B11E9F"/>
    <w:rsid w:val="00B12933"/>
    <w:rsid w:val="00B12D84"/>
    <w:rsid w:val="00B12FFA"/>
    <w:rsid w:val="00B13F3D"/>
    <w:rsid w:val="00B149F3"/>
    <w:rsid w:val="00B149F8"/>
    <w:rsid w:val="00B15289"/>
    <w:rsid w:val="00B1549B"/>
    <w:rsid w:val="00B1577B"/>
    <w:rsid w:val="00B15D39"/>
    <w:rsid w:val="00B15D73"/>
    <w:rsid w:val="00B160EA"/>
    <w:rsid w:val="00B162C1"/>
    <w:rsid w:val="00B16CB7"/>
    <w:rsid w:val="00B171A6"/>
    <w:rsid w:val="00B17382"/>
    <w:rsid w:val="00B17CBD"/>
    <w:rsid w:val="00B17DC6"/>
    <w:rsid w:val="00B17E12"/>
    <w:rsid w:val="00B20790"/>
    <w:rsid w:val="00B208D8"/>
    <w:rsid w:val="00B20B9F"/>
    <w:rsid w:val="00B20D78"/>
    <w:rsid w:val="00B20F2E"/>
    <w:rsid w:val="00B2136D"/>
    <w:rsid w:val="00B2194D"/>
    <w:rsid w:val="00B21DF9"/>
    <w:rsid w:val="00B21F02"/>
    <w:rsid w:val="00B2283A"/>
    <w:rsid w:val="00B229CC"/>
    <w:rsid w:val="00B234C4"/>
    <w:rsid w:val="00B23540"/>
    <w:rsid w:val="00B237EE"/>
    <w:rsid w:val="00B24559"/>
    <w:rsid w:val="00B24A16"/>
    <w:rsid w:val="00B24DD8"/>
    <w:rsid w:val="00B25416"/>
    <w:rsid w:val="00B25B4F"/>
    <w:rsid w:val="00B260AE"/>
    <w:rsid w:val="00B27030"/>
    <w:rsid w:val="00B3078E"/>
    <w:rsid w:val="00B30AAD"/>
    <w:rsid w:val="00B310D4"/>
    <w:rsid w:val="00B31276"/>
    <w:rsid w:val="00B31885"/>
    <w:rsid w:val="00B323F7"/>
    <w:rsid w:val="00B326AD"/>
    <w:rsid w:val="00B32D6B"/>
    <w:rsid w:val="00B33273"/>
    <w:rsid w:val="00B33700"/>
    <w:rsid w:val="00B33C88"/>
    <w:rsid w:val="00B33EC4"/>
    <w:rsid w:val="00B34444"/>
    <w:rsid w:val="00B34AAC"/>
    <w:rsid w:val="00B34E13"/>
    <w:rsid w:val="00B3506C"/>
    <w:rsid w:val="00B363D8"/>
    <w:rsid w:val="00B365E4"/>
    <w:rsid w:val="00B36A7B"/>
    <w:rsid w:val="00B36B86"/>
    <w:rsid w:val="00B370E8"/>
    <w:rsid w:val="00B37904"/>
    <w:rsid w:val="00B37BCF"/>
    <w:rsid w:val="00B37C34"/>
    <w:rsid w:val="00B40204"/>
    <w:rsid w:val="00B4064E"/>
    <w:rsid w:val="00B407CD"/>
    <w:rsid w:val="00B40AA4"/>
    <w:rsid w:val="00B40EEA"/>
    <w:rsid w:val="00B41347"/>
    <w:rsid w:val="00B42036"/>
    <w:rsid w:val="00B424D3"/>
    <w:rsid w:val="00B429A3"/>
    <w:rsid w:val="00B42DB1"/>
    <w:rsid w:val="00B430E0"/>
    <w:rsid w:val="00B442B0"/>
    <w:rsid w:val="00B443D0"/>
    <w:rsid w:val="00B4465B"/>
    <w:rsid w:val="00B4467D"/>
    <w:rsid w:val="00B446BD"/>
    <w:rsid w:val="00B449AD"/>
    <w:rsid w:val="00B451D3"/>
    <w:rsid w:val="00B453A2"/>
    <w:rsid w:val="00B456A3"/>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1022"/>
    <w:rsid w:val="00B51129"/>
    <w:rsid w:val="00B51840"/>
    <w:rsid w:val="00B51AF0"/>
    <w:rsid w:val="00B51D59"/>
    <w:rsid w:val="00B51E29"/>
    <w:rsid w:val="00B52294"/>
    <w:rsid w:val="00B52D5C"/>
    <w:rsid w:val="00B52FE9"/>
    <w:rsid w:val="00B5358E"/>
    <w:rsid w:val="00B536B7"/>
    <w:rsid w:val="00B53730"/>
    <w:rsid w:val="00B53B21"/>
    <w:rsid w:val="00B53BB2"/>
    <w:rsid w:val="00B53BE3"/>
    <w:rsid w:val="00B54EF7"/>
    <w:rsid w:val="00B55069"/>
    <w:rsid w:val="00B5556F"/>
    <w:rsid w:val="00B5562C"/>
    <w:rsid w:val="00B5584A"/>
    <w:rsid w:val="00B55CCC"/>
    <w:rsid w:val="00B56C44"/>
    <w:rsid w:val="00B571EB"/>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67AEF"/>
    <w:rsid w:val="00B7047D"/>
    <w:rsid w:val="00B706C8"/>
    <w:rsid w:val="00B70886"/>
    <w:rsid w:val="00B7091D"/>
    <w:rsid w:val="00B70B1A"/>
    <w:rsid w:val="00B71112"/>
    <w:rsid w:val="00B7143F"/>
    <w:rsid w:val="00B7210F"/>
    <w:rsid w:val="00B72520"/>
    <w:rsid w:val="00B72ABA"/>
    <w:rsid w:val="00B72EA7"/>
    <w:rsid w:val="00B73974"/>
    <w:rsid w:val="00B73DEF"/>
    <w:rsid w:val="00B74987"/>
    <w:rsid w:val="00B74DD4"/>
    <w:rsid w:val="00B753E0"/>
    <w:rsid w:val="00B75A5D"/>
    <w:rsid w:val="00B75FB9"/>
    <w:rsid w:val="00B7613C"/>
    <w:rsid w:val="00B766B9"/>
    <w:rsid w:val="00B768DA"/>
    <w:rsid w:val="00B772C4"/>
    <w:rsid w:val="00B7764E"/>
    <w:rsid w:val="00B7768C"/>
    <w:rsid w:val="00B77CBB"/>
    <w:rsid w:val="00B77F2F"/>
    <w:rsid w:val="00B8091A"/>
    <w:rsid w:val="00B80AA5"/>
    <w:rsid w:val="00B80E1F"/>
    <w:rsid w:val="00B81937"/>
    <w:rsid w:val="00B81B65"/>
    <w:rsid w:val="00B81ED1"/>
    <w:rsid w:val="00B81FA8"/>
    <w:rsid w:val="00B81FD5"/>
    <w:rsid w:val="00B82086"/>
    <w:rsid w:val="00B82350"/>
    <w:rsid w:val="00B82D50"/>
    <w:rsid w:val="00B82E1D"/>
    <w:rsid w:val="00B83369"/>
    <w:rsid w:val="00B834D5"/>
    <w:rsid w:val="00B83AAC"/>
    <w:rsid w:val="00B8412B"/>
    <w:rsid w:val="00B8421F"/>
    <w:rsid w:val="00B845F5"/>
    <w:rsid w:val="00B8519A"/>
    <w:rsid w:val="00B85354"/>
    <w:rsid w:val="00B85359"/>
    <w:rsid w:val="00B85F28"/>
    <w:rsid w:val="00B860FF"/>
    <w:rsid w:val="00B86547"/>
    <w:rsid w:val="00B867CF"/>
    <w:rsid w:val="00B86885"/>
    <w:rsid w:val="00B86B07"/>
    <w:rsid w:val="00B86E63"/>
    <w:rsid w:val="00B8717B"/>
    <w:rsid w:val="00B87A2B"/>
    <w:rsid w:val="00B87E38"/>
    <w:rsid w:val="00B90393"/>
    <w:rsid w:val="00B919E5"/>
    <w:rsid w:val="00B91D51"/>
    <w:rsid w:val="00B91E3E"/>
    <w:rsid w:val="00B9256A"/>
    <w:rsid w:val="00B93ABA"/>
    <w:rsid w:val="00B93B03"/>
    <w:rsid w:val="00B93B9D"/>
    <w:rsid w:val="00B93C54"/>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797F"/>
    <w:rsid w:val="00B97D07"/>
    <w:rsid w:val="00B97D9A"/>
    <w:rsid w:val="00BA08C9"/>
    <w:rsid w:val="00BA0BFB"/>
    <w:rsid w:val="00BA11F2"/>
    <w:rsid w:val="00BA12E8"/>
    <w:rsid w:val="00BA152B"/>
    <w:rsid w:val="00BA1678"/>
    <w:rsid w:val="00BA1857"/>
    <w:rsid w:val="00BA23E1"/>
    <w:rsid w:val="00BA340C"/>
    <w:rsid w:val="00BA3ABD"/>
    <w:rsid w:val="00BA3B80"/>
    <w:rsid w:val="00BA3FAA"/>
    <w:rsid w:val="00BA423C"/>
    <w:rsid w:val="00BA45C7"/>
    <w:rsid w:val="00BA46A9"/>
    <w:rsid w:val="00BA4E06"/>
    <w:rsid w:val="00BA50EA"/>
    <w:rsid w:val="00BA52BC"/>
    <w:rsid w:val="00BA539D"/>
    <w:rsid w:val="00BA53F3"/>
    <w:rsid w:val="00BA54CB"/>
    <w:rsid w:val="00BA5A1C"/>
    <w:rsid w:val="00BA5B9E"/>
    <w:rsid w:val="00BA60D1"/>
    <w:rsid w:val="00BA6308"/>
    <w:rsid w:val="00BA651B"/>
    <w:rsid w:val="00BA667B"/>
    <w:rsid w:val="00BA7B99"/>
    <w:rsid w:val="00BB09AA"/>
    <w:rsid w:val="00BB0A68"/>
    <w:rsid w:val="00BB0C4F"/>
    <w:rsid w:val="00BB0FEB"/>
    <w:rsid w:val="00BB1209"/>
    <w:rsid w:val="00BB1301"/>
    <w:rsid w:val="00BB1479"/>
    <w:rsid w:val="00BB15C1"/>
    <w:rsid w:val="00BB192A"/>
    <w:rsid w:val="00BB1CC8"/>
    <w:rsid w:val="00BB2616"/>
    <w:rsid w:val="00BB2D45"/>
    <w:rsid w:val="00BB305D"/>
    <w:rsid w:val="00BB3961"/>
    <w:rsid w:val="00BB3E97"/>
    <w:rsid w:val="00BB446E"/>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F8"/>
    <w:rsid w:val="00BC2405"/>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4A5"/>
    <w:rsid w:val="00BC6640"/>
    <w:rsid w:val="00BC68FB"/>
    <w:rsid w:val="00BC76D7"/>
    <w:rsid w:val="00BC7923"/>
    <w:rsid w:val="00BD08E5"/>
    <w:rsid w:val="00BD11FA"/>
    <w:rsid w:val="00BD14F5"/>
    <w:rsid w:val="00BD1DFE"/>
    <w:rsid w:val="00BD257E"/>
    <w:rsid w:val="00BD295A"/>
    <w:rsid w:val="00BD2BE6"/>
    <w:rsid w:val="00BD2E27"/>
    <w:rsid w:val="00BD3483"/>
    <w:rsid w:val="00BD3D97"/>
    <w:rsid w:val="00BD4341"/>
    <w:rsid w:val="00BD43F5"/>
    <w:rsid w:val="00BD4924"/>
    <w:rsid w:val="00BD52EE"/>
    <w:rsid w:val="00BD536A"/>
    <w:rsid w:val="00BD5701"/>
    <w:rsid w:val="00BD63DE"/>
    <w:rsid w:val="00BD65DA"/>
    <w:rsid w:val="00BD6C2F"/>
    <w:rsid w:val="00BD6C8C"/>
    <w:rsid w:val="00BD6D77"/>
    <w:rsid w:val="00BD6E45"/>
    <w:rsid w:val="00BD70DE"/>
    <w:rsid w:val="00BD7F86"/>
    <w:rsid w:val="00BE0465"/>
    <w:rsid w:val="00BE05DD"/>
    <w:rsid w:val="00BE1007"/>
    <w:rsid w:val="00BE1482"/>
    <w:rsid w:val="00BE154C"/>
    <w:rsid w:val="00BE2C46"/>
    <w:rsid w:val="00BE3BFC"/>
    <w:rsid w:val="00BE40AB"/>
    <w:rsid w:val="00BE4809"/>
    <w:rsid w:val="00BE48B9"/>
    <w:rsid w:val="00BE4BE9"/>
    <w:rsid w:val="00BE5148"/>
    <w:rsid w:val="00BE5E67"/>
    <w:rsid w:val="00BE6061"/>
    <w:rsid w:val="00BE6B3B"/>
    <w:rsid w:val="00BE787D"/>
    <w:rsid w:val="00BE7935"/>
    <w:rsid w:val="00BE7B50"/>
    <w:rsid w:val="00BE7C72"/>
    <w:rsid w:val="00BE7E7F"/>
    <w:rsid w:val="00BF1AF4"/>
    <w:rsid w:val="00BF1BBA"/>
    <w:rsid w:val="00BF2153"/>
    <w:rsid w:val="00BF21CA"/>
    <w:rsid w:val="00BF224A"/>
    <w:rsid w:val="00BF2262"/>
    <w:rsid w:val="00BF34C0"/>
    <w:rsid w:val="00BF4ADF"/>
    <w:rsid w:val="00BF4F7A"/>
    <w:rsid w:val="00BF4FF6"/>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BF1"/>
    <w:rsid w:val="00C01E4A"/>
    <w:rsid w:val="00C021B0"/>
    <w:rsid w:val="00C02301"/>
    <w:rsid w:val="00C035BF"/>
    <w:rsid w:val="00C0425B"/>
    <w:rsid w:val="00C04261"/>
    <w:rsid w:val="00C04319"/>
    <w:rsid w:val="00C05066"/>
    <w:rsid w:val="00C05369"/>
    <w:rsid w:val="00C057C4"/>
    <w:rsid w:val="00C059FB"/>
    <w:rsid w:val="00C05ED2"/>
    <w:rsid w:val="00C060DA"/>
    <w:rsid w:val="00C06860"/>
    <w:rsid w:val="00C068B2"/>
    <w:rsid w:val="00C06939"/>
    <w:rsid w:val="00C06B8B"/>
    <w:rsid w:val="00C06FEC"/>
    <w:rsid w:val="00C07206"/>
    <w:rsid w:val="00C07256"/>
    <w:rsid w:val="00C07566"/>
    <w:rsid w:val="00C07717"/>
    <w:rsid w:val="00C077C5"/>
    <w:rsid w:val="00C07A94"/>
    <w:rsid w:val="00C07E4C"/>
    <w:rsid w:val="00C1023F"/>
    <w:rsid w:val="00C1042E"/>
    <w:rsid w:val="00C106CC"/>
    <w:rsid w:val="00C1166A"/>
    <w:rsid w:val="00C118D7"/>
    <w:rsid w:val="00C11BBC"/>
    <w:rsid w:val="00C124F7"/>
    <w:rsid w:val="00C127CC"/>
    <w:rsid w:val="00C12C6C"/>
    <w:rsid w:val="00C12E79"/>
    <w:rsid w:val="00C1329F"/>
    <w:rsid w:val="00C136DE"/>
    <w:rsid w:val="00C13A3C"/>
    <w:rsid w:val="00C13E58"/>
    <w:rsid w:val="00C13E68"/>
    <w:rsid w:val="00C1411E"/>
    <w:rsid w:val="00C14207"/>
    <w:rsid w:val="00C143AC"/>
    <w:rsid w:val="00C143E2"/>
    <w:rsid w:val="00C146F0"/>
    <w:rsid w:val="00C1535E"/>
    <w:rsid w:val="00C15ABB"/>
    <w:rsid w:val="00C15FC0"/>
    <w:rsid w:val="00C16ADD"/>
    <w:rsid w:val="00C16E79"/>
    <w:rsid w:val="00C171BA"/>
    <w:rsid w:val="00C1796F"/>
    <w:rsid w:val="00C17C56"/>
    <w:rsid w:val="00C20253"/>
    <w:rsid w:val="00C2034B"/>
    <w:rsid w:val="00C20371"/>
    <w:rsid w:val="00C2045D"/>
    <w:rsid w:val="00C20732"/>
    <w:rsid w:val="00C20CD9"/>
    <w:rsid w:val="00C210FA"/>
    <w:rsid w:val="00C21550"/>
    <w:rsid w:val="00C21789"/>
    <w:rsid w:val="00C217B8"/>
    <w:rsid w:val="00C218E4"/>
    <w:rsid w:val="00C21E95"/>
    <w:rsid w:val="00C227EE"/>
    <w:rsid w:val="00C2311E"/>
    <w:rsid w:val="00C235AD"/>
    <w:rsid w:val="00C238C3"/>
    <w:rsid w:val="00C23ABF"/>
    <w:rsid w:val="00C23B71"/>
    <w:rsid w:val="00C24063"/>
    <w:rsid w:val="00C24B39"/>
    <w:rsid w:val="00C24D90"/>
    <w:rsid w:val="00C24FBC"/>
    <w:rsid w:val="00C25260"/>
    <w:rsid w:val="00C253E6"/>
    <w:rsid w:val="00C25475"/>
    <w:rsid w:val="00C257CF"/>
    <w:rsid w:val="00C26980"/>
    <w:rsid w:val="00C26F1B"/>
    <w:rsid w:val="00C26FB5"/>
    <w:rsid w:val="00C278D0"/>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95D"/>
    <w:rsid w:val="00C34435"/>
    <w:rsid w:val="00C34607"/>
    <w:rsid w:val="00C3485A"/>
    <w:rsid w:val="00C34DB1"/>
    <w:rsid w:val="00C34DEE"/>
    <w:rsid w:val="00C35905"/>
    <w:rsid w:val="00C35D05"/>
    <w:rsid w:val="00C35E4C"/>
    <w:rsid w:val="00C36479"/>
    <w:rsid w:val="00C36574"/>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402A"/>
    <w:rsid w:val="00C444E3"/>
    <w:rsid w:val="00C446E3"/>
    <w:rsid w:val="00C447A6"/>
    <w:rsid w:val="00C44D5F"/>
    <w:rsid w:val="00C44F33"/>
    <w:rsid w:val="00C4583A"/>
    <w:rsid w:val="00C46055"/>
    <w:rsid w:val="00C462A2"/>
    <w:rsid w:val="00C469EB"/>
    <w:rsid w:val="00C46D85"/>
    <w:rsid w:val="00C46F39"/>
    <w:rsid w:val="00C471D9"/>
    <w:rsid w:val="00C472FB"/>
    <w:rsid w:val="00C474A3"/>
    <w:rsid w:val="00C474C7"/>
    <w:rsid w:val="00C47572"/>
    <w:rsid w:val="00C47782"/>
    <w:rsid w:val="00C502E1"/>
    <w:rsid w:val="00C5076C"/>
    <w:rsid w:val="00C50874"/>
    <w:rsid w:val="00C50BD9"/>
    <w:rsid w:val="00C50F5E"/>
    <w:rsid w:val="00C50FB3"/>
    <w:rsid w:val="00C517E4"/>
    <w:rsid w:val="00C518A4"/>
    <w:rsid w:val="00C51D21"/>
    <w:rsid w:val="00C52BC1"/>
    <w:rsid w:val="00C52C5A"/>
    <w:rsid w:val="00C533EA"/>
    <w:rsid w:val="00C5388D"/>
    <w:rsid w:val="00C53E34"/>
    <w:rsid w:val="00C5424B"/>
    <w:rsid w:val="00C542D0"/>
    <w:rsid w:val="00C5469A"/>
    <w:rsid w:val="00C54C6F"/>
    <w:rsid w:val="00C5506D"/>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3C2"/>
    <w:rsid w:val="00C62787"/>
    <w:rsid w:val="00C630F8"/>
    <w:rsid w:val="00C63B8A"/>
    <w:rsid w:val="00C63C44"/>
    <w:rsid w:val="00C641A1"/>
    <w:rsid w:val="00C64FD5"/>
    <w:rsid w:val="00C653B2"/>
    <w:rsid w:val="00C655B9"/>
    <w:rsid w:val="00C657F0"/>
    <w:rsid w:val="00C65AB3"/>
    <w:rsid w:val="00C65AE5"/>
    <w:rsid w:val="00C66116"/>
    <w:rsid w:val="00C664C9"/>
    <w:rsid w:val="00C667D9"/>
    <w:rsid w:val="00C701D6"/>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1115"/>
    <w:rsid w:val="00C81228"/>
    <w:rsid w:val="00C81EA7"/>
    <w:rsid w:val="00C822B2"/>
    <w:rsid w:val="00C825B7"/>
    <w:rsid w:val="00C82C01"/>
    <w:rsid w:val="00C82EEF"/>
    <w:rsid w:val="00C82F1F"/>
    <w:rsid w:val="00C8300C"/>
    <w:rsid w:val="00C83018"/>
    <w:rsid w:val="00C83450"/>
    <w:rsid w:val="00C836B8"/>
    <w:rsid w:val="00C84430"/>
    <w:rsid w:val="00C84856"/>
    <w:rsid w:val="00C84882"/>
    <w:rsid w:val="00C8488F"/>
    <w:rsid w:val="00C84C2D"/>
    <w:rsid w:val="00C84CF7"/>
    <w:rsid w:val="00C8521E"/>
    <w:rsid w:val="00C85397"/>
    <w:rsid w:val="00C855A6"/>
    <w:rsid w:val="00C85C6A"/>
    <w:rsid w:val="00C85CDC"/>
    <w:rsid w:val="00C870C0"/>
    <w:rsid w:val="00C870E8"/>
    <w:rsid w:val="00C873D7"/>
    <w:rsid w:val="00C876AA"/>
    <w:rsid w:val="00C87946"/>
    <w:rsid w:val="00C9024D"/>
    <w:rsid w:val="00C904FD"/>
    <w:rsid w:val="00C9050F"/>
    <w:rsid w:val="00C9076B"/>
    <w:rsid w:val="00C907D6"/>
    <w:rsid w:val="00C90857"/>
    <w:rsid w:val="00C90BAA"/>
    <w:rsid w:val="00C910D2"/>
    <w:rsid w:val="00C913A5"/>
    <w:rsid w:val="00C9178F"/>
    <w:rsid w:val="00C920B1"/>
    <w:rsid w:val="00C92262"/>
    <w:rsid w:val="00C9289F"/>
    <w:rsid w:val="00C9406D"/>
    <w:rsid w:val="00C94135"/>
    <w:rsid w:val="00C942A9"/>
    <w:rsid w:val="00C945DA"/>
    <w:rsid w:val="00C95715"/>
    <w:rsid w:val="00C960DD"/>
    <w:rsid w:val="00C960E5"/>
    <w:rsid w:val="00C960F2"/>
    <w:rsid w:val="00C96211"/>
    <w:rsid w:val="00C963E5"/>
    <w:rsid w:val="00C9645A"/>
    <w:rsid w:val="00C96936"/>
    <w:rsid w:val="00C96F22"/>
    <w:rsid w:val="00C973E3"/>
    <w:rsid w:val="00C97A46"/>
    <w:rsid w:val="00C97DBC"/>
    <w:rsid w:val="00CA11B9"/>
    <w:rsid w:val="00CA1401"/>
    <w:rsid w:val="00CA310D"/>
    <w:rsid w:val="00CA343D"/>
    <w:rsid w:val="00CA38F0"/>
    <w:rsid w:val="00CA3919"/>
    <w:rsid w:val="00CA3FB1"/>
    <w:rsid w:val="00CA40A3"/>
    <w:rsid w:val="00CA4244"/>
    <w:rsid w:val="00CA4D3B"/>
    <w:rsid w:val="00CA5270"/>
    <w:rsid w:val="00CA5B55"/>
    <w:rsid w:val="00CA6A2E"/>
    <w:rsid w:val="00CA6F89"/>
    <w:rsid w:val="00CA7430"/>
    <w:rsid w:val="00CA7ACD"/>
    <w:rsid w:val="00CA7C5C"/>
    <w:rsid w:val="00CB01AB"/>
    <w:rsid w:val="00CB01BD"/>
    <w:rsid w:val="00CB0474"/>
    <w:rsid w:val="00CB059E"/>
    <w:rsid w:val="00CB090E"/>
    <w:rsid w:val="00CB10C1"/>
    <w:rsid w:val="00CB11B3"/>
    <w:rsid w:val="00CB12ED"/>
    <w:rsid w:val="00CB1797"/>
    <w:rsid w:val="00CB19E4"/>
    <w:rsid w:val="00CB2022"/>
    <w:rsid w:val="00CB2497"/>
    <w:rsid w:val="00CB2C39"/>
    <w:rsid w:val="00CB3081"/>
    <w:rsid w:val="00CB34B5"/>
    <w:rsid w:val="00CB3D99"/>
    <w:rsid w:val="00CB414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FD"/>
    <w:rsid w:val="00CC2CE5"/>
    <w:rsid w:val="00CC2FFB"/>
    <w:rsid w:val="00CC34E0"/>
    <w:rsid w:val="00CC36E4"/>
    <w:rsid w:val="00CC38C8"/>
    <w:rsid w:val="00CC3967"/>
    <w:rsid w:val="00CC3CE9"/>
    <w:rsid w:val="00CC3D3B"/>
    <w:rsid w:val="00CC417D"/>
    <w:rsid w:val="00CC42CA"/>
    <w:rsid w:val="00CC42DA"/>
    <w:rsid w:val="00CC5379"/>
    <w:rsid w:val="00CC58BA"/>
    <w:rsid w:val="00CC5DA6"/>
    <w:rsid w:val="00CC638E"/>
    <w:rsid w:val="00CC6564"/>
    <w:rsid w:val="00CC6F49"/>
    <w:rsid w:val="00CC7915"/>
    <w:rsid w:val="00CC79FB"/>
    <w:rsid w:val="00CC7C10"/>
    <w:rsid w:val="00CC7F37"/>
    <w:rsid w:val="00CD00E9"/>
    <w:rsid w:val="00CD017D"/>
    <w:rsid w:val="00CD0287"/>
    <w:rsid w:val="00CD030B"/>
    <w:rsid w:val="00CD07C1"/>
    <w:rsid w:val="00CD09F8"/>
    <w:rsid w:val="00CD134F"/>
    <w:rsid w:val="00CD14C3"/>
    <w:rsid w:val="00CD1653"/>
    <w:rsid w:val="00CD1696"/>
    <w:rsid w:val="00CD1909"/>
    <w:rsid w:val="00CD1E75"/>
    <w:rsid w:val="00CD1EA2"/>
    <w:rsid w:val="00CD2DF7"/>
    <w:rsid w:val="00CD30F6"/>
    <w:rsid w:val="00CD3211"/>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78"/>
    <w:rsid w:val="00CD7009"/>
    <w:rsid w:val="00CD7223"/>
    <w:rsid w:val="00CD7D71"/>
    <w:rsid w:val="00CD7FDD"/>
    <w:rsid w:val="00CE0B07"/>
    <w:rsid w:val="00CE0C1B"/>
    <w:rsid w:val="00CE1430"/>
    <w:rsid w:val="00CE150D"/>
    <w:rsid w:val="00CE1669"/>
    <w:rsid w:val="00CE1823"/>
    <w:rsid w:val="00CE193F"/>
    <w:rsid w:val="00CE1BE3"/>
    <w:rsid w:val="00CE1FDA"/>
    <w:rsid w:val="00CE2DCE"/>
    <w:rsid w:val="00CE2F3B"/>
    <w:rsid w:val="00CE2F58"/>
    <w:rsid w:val="00CE3CB9"/>
    <w:rsid w:val="00CE3E0F"/>
    <w:rsid w:val="00CE4447"/>
    <w:rsid w:val="00CE4BAF"/>
    <w:rsid w:val="00CE4CB1"/>
    <w:rsid w:val="00CE5479"/>
    <w:rsid w:val="00CE5636"/>
    <w:rsid w:val="00CE5C00"/>
    <w:rsid w:val="00CE606B"/>
    <w:rsid w:val="00CE60D2"/>
    <w:rsid w:val="00CE62CA"/>
    <w:rsid w:val="00CE6E3F"/>
    <w:rsid w:val="00CE734B"/>
    <w:rsid w:val="00CE7AE6"/>
    <w:rsid w:val="00CF0B69"/>
    <w:rsid w:val="00CF0D20"/>
    <w:rsid w:val="00CF0D8A"/>
    <w:rsid w:val="00CF0DC9"/>
    <w:rsid w:val="00CF121C"/>
    <w:rsid w:val="00CF1250"/>
    <w:rsid w:val="00CF1409"/>
    <w:rsid w:val="00CF1446"/>
    <w:rsid w:val="00CF274A"/>
    <w:rsid w:val="00CF278D"/>
    <w:rsid w:val="00CF289F"/>
    <w:rsid w:val="00CF2B74"/>
    <w:rsid w:val="00CF319C"/>
    <w:rsid w:val="00CF3451"/>
    <w:rsid w:val="00CF3506"/>
    <w:rsid w:val="00CF3ACC"/>
    <w:rsid w:val="00CF3B0B"/>
    <w:rsid w:val="00CF3DDF"/>
    <w:rsid w:val="00CF3E29"/>
    <w:rsid w:val="00CF3EE6"/>
    <w:rsid w:val="00CF45ED"/>
    <w:rsid w:val="00CF4F58"/>
    <w:rsid w:val="00CF5562"/>
    <w:rsid w:val="00CF5C6A"/>
    <w:rsid w:val="00CF6AF0"/>
    <w:rsid w:val="00CF71A3"/>
    <w:rsid w:val="00CF72F1"/>
    <w:rsid w:val="00CF7B77"/>
    <w:rsid w:val="00CF7C07"/>
    <w:rsid w:val="00D00090"/>
    <w:rsid w:val="00D00473"/>
    <w:rsid w:val="00D006F9"/>
    <w:rsid w:val="00D007AB"/>
    <w:rsid w:val="00D009DC"/>
    <w:rsid w:val="00D00C8B"/>
    <w:rsid w:val="00D0166C"/>
    <w:rsid w:val="00D01783"/>
    <w:rsid w:val="00D01881"/>
    <w:rsid w:val="00D01E2E"/>
    <w:rsid w:val="00D02059"/>
    <w:rsid w:val="00D02172"/>
    <w:rsid w:val="00D030E8"/>
    <w:rsid w:val="00D0317C"/>
    <w:rsid w:val="00D037CE"/>
    <w:rsid w:val="00D03C69"/>
    <w:rsid w:val="00D03DF1"/>
    <w:rsid w:val="00D04475"/>
    <w:rsid w:val="00D04486"/>
    <w:rsid w:val="00D048D2"/>
    <w:rsid w:val="00D04B1A"/>
    <w:rsid w:val="00D051E3"/>
    <w:rsid w:val="00D05AEC"/>
    <w:rsid w:val="00D05FCF"/>
    <w:rsid w:val="00D06456"/>
    <w:rsid w:val="00D064C0"/>
    <w:rsid w:val="00D068E0"/>
    <w:rsid w:val="00D06945"/>
    <w:rsid w:val="00D071B5"/>
    <w:rsid w:val="00D07423"/>
    <w:rsid w:val="00D07494"/>
    <w:rsid w:val="00D0749E"/>
    <w:rsid w:val="00D07794"/>
    <w:rsid w:val="00D079C2"/>
    <w:rsid w:val="00D07DE1"/>
    <w:rsid w:val="00D07EC6"/>
    <w:rsid w:val="00D10262"/>
    <w:rsid w:val="00D108CF"/>
    <w:rsid w:val="00D10EC8"/>
    <w:rsid w:val="00D110A9"/>
    <w:rsid w:val="00D111A5"/>
    <w:rsid w:val="00D1191C"/>
    <w:rsid w:val="00D11D57"/>
    <w:rsid w:val="00D120DF"/>
    <w:rsid w:val="00D122E1"/>
    <w:rsid w:val="00D1261A"/>
    <w:rsid w:val="00D1277A"/>
    <w:rsid w:val="00D127FE"/>
    <w:rsid w:val="00D12E40"/>
    <w:rsid w:val="00D12EA9"/>
    <w:rsid w:val="00D134B4"/>
    <w:rsid w:val="00D13659"/>
    <w:rsid w:val="00D13BAD"/>
    <w:rsid w:val="00D1406B"/>
    <w:rsid w:val="00D1426E"/>
    <w:rsid w:val="00D1498E"/>
    <w:rsid w:val="00D14E0B"/>
    <w:rsid w:val="00D15151"/>
    <w:rsid w:val="00D15710"/>
    <w:rsid w:val="00D15914"/>
    <w:rsid w:val="00D16137"/>
    <w:rsid w:val="00D163FC"/>
    <w:rsid w:val="00D1665C"/>
    <w:rsid w:val="00D16B07"/>
    <w:rsid w:val="00D16F25"/>
    <w:rsid w:val="00D16F74"/>
    <w:rsid w:val="00D1731B"/>
    <w:rsid w:val="00D17404"/>
    <w:rsid w:val="00D174F5"/>
    <w:rsid w:val="00D1783B"/>
    <w:rsid w:val="00D20180"/>
    <w:rsid w:val="00D20932"/>
    <w:rsid w:val="00D209B3"/>
    <w:rsid w:val="00D20B78"/>
    <w:rsid w:val="00D20C8B"/>
    <w:rsid w:val="00D21065"/>
    <w:rsid w:val="00D213AB"/>
    <w:rsid w:val="00D21424"/>
    <w:rsid w:val="00D21739"/>
    <w:rsid w:val="00D21745"/>
    <w:rsid w:val="00D21CA8"/>
    <w:rsid w:val="00D220EB"/>
    <w:rsid w:val="00D22B3C"/>
    <w:rsid w:val="00D22FB0"/>
    <w:rsid w:val="00D23131"/>
    <w:rsid w:val="00D232B8"/>
    <w:rsid w:val="00D23300"/>
    <w:rsid w:val="00D23610"/>
    <w:rsid w:val="00D23871"/>
    <w:rsid w:val="00D24236"/>
    <w:rsid w:val="00D24924"/>
    <w:rsid w:val="00D24979"/>
    <w:rsid w:val="00D24A33"/>
    <w:rsid w:val="00D24AC5"/>
    <w:rsid w:val="00D24E0C"/>
    <w:rsid w:val="00D25646"/>
    <w:rsid w:val="00D256C1"/>
    <w:rsid w:val="00D256F0"/>
    <w:rsid w:val="00D25822"/>
    <w:rsid w:val="00D2608C"/>
    <w:rsid w:val="00D26FE3"/>
    <w:rsid w:val="00D27B52"/>
    <w:rsid w:val="00D3000D"/>
    <w:rsid w:val="00D30703"/>
    <w:rsid w:val="00D30755"/>
    <w:rsid w:val="00D31A56"/>
    <w:rsid w:val="00D32163"/>
    <w:rsid w:val="00D322AB"/>
    <w:rsid w:val="00D32315"/>
    <w:rsid w:val="00D32FE0"/>
    <w:rsid w:val="00D33840"/>
    <w:rsid w:val="00D3399D"/>
    <w:rsid w:val="00D33DDE"/>
    <w:rsid w:val="00D340B7"/>
    <w:rsid w:val="00D347DE"/>
    <w:rsid w:val="00D349D5"/>
    <w:rsid w:val="00D34A59"/>
    <w:rsid w:val="00D359F3"/>
    <w:rsid w:val="00D36D1A"/>
    <w:rsid w:val="00D36D25"/>
    <w:rsid w:val="00D37278"/>
    <w:rsid w:val="00D375F9"/>
    <w:rsid w:val="00D37E8A"/>
    <w:rsid w:val="00D4080D"/>
    <w:rsid w:val="00D409F6"/>
    <w:rsid w:val="00D40E29"/>
    <w:rsid w:val="00D4118C"/>
    <w:rsid w:val="00D41771"/>
    <w:rsid w:val="00D4208C"/>
    <w:rsid w:val="00D4234C"/>
    <w:rsid w:val="00D42B03"/>
    <w:rsid w:val="00D434C8"/>
    <w:rsid w:val="00D4374F"/>
    <w:rsid w:val="00D441F7"/>
    <w:rsid w:val="00D44276"/>
    <w:rsid w:val="00D444C7"/>
    <w:rsid w:val="00D44E24"/>
    <w:rsid w:val="00D454ED"/>
    <w:rsid w:val="00D45C1D"/>
    <w:rsid w:val="00D45C6E"/>
    <w:rsid w:val="00D45CAB"/>
    <w:rsid w:val="00D4604A"/>
    <w:rsid w:val="00D465A2"/>
    <w:rsid w:val="00D466C4"/>
    <w:rsid w:val="00D467DD"/>
    <w:rsid w:val="00D46C9D"/>
    <w:rsid w:val="00D46FF8"/>
    <w:rsid w:val="00D4796D"/>
    <w:rsid w:val="00D50021"/>
    <w:rsid w:val="00D503B1"/>
    <w:rsid w:val="00D50F8F"/>
    <w:rsid w:val="00D51012"/>
    <w:rsid w:val="00D51179"/>
    <w:rsid w:val="00D51DAB"/>
    <w:rsid w:val="00D52E91"/>
    <w:rsid w:val="00D52F43"/>
    <w:rsid w:val="00D538F9"/>
    <w:rsid w:val="00D53F25"/>
    <w:rsid w:val="00D54208"/>
    <w:rsid w:val="00D5438A"/>
    <w:rsid w:val="00D54925"/>
    <w:rsid w:val="00D54FE9"/>
    <w:rsid w:val="00D55797"/>
    <w:rsid w:val="00D55924"/>
    <w:rsid w:val="00D55CCE"/>
    <w:rsid w:val="00D5604E"/>
    <w:rsid w:val="00D560B6"/>
    <w:rsid w:val="00D56256"/>
    <w:rsid w:val="00D5653F"/>
    <w:rsid w:val="00D56F89"/>
    <w:rsid w:val="00D5788F"/>
    <w:rsid w:val="00D579BA"/>
    <w:rsid w:val="00D57E26"/>
    <w:rsid w:val="00D57FD6"/>
    <w:rsid w:val="00D6012F"/>
    <w:rsid w:val="00D60A04"/>
    <w:rsid w:val="00D6126E"/>
    <w:rsid w:val="00D61346"/>
    <w:rsid w:val="00D61400"/>
    <w:rsid w:val="00D615EA"/>
    <w:rsid w:val="00D617C2"/>
    <w:rsid w:val="00D61CDD"/>
    <w:rsid w:val="00D61D01"/>
    <w:rsid w:val="00D620A1"/>
    <w:rsid w:val="00D6235A"/>
    <w:rsid w:val="00D62467"/>
    <w:rsid w:val="00D62674"/>
    <w:rsid w:val="00D62788"/>
    <w:rsid w:val="00D629E0"/>
    <w:rsid w:val="00D62CF9"/>
    <w:rsid w:val="00D63675"/>
    <w:rsid w:val="00D64419"/>
    <w:rsid w:val="00D64A78"/>
    <w:rsid w:val="00D659F8"/>
    <w:rsid w:val="00D65A3F"/>
    <w:rsid w:val="00D65C7B"/>
    <w:rsid w:val="00D660C4"/>
    <w:rsid w:val="00D664C7"/>
    <w:rsid w:val="00D66ADE"/>
    <w:rsid w:val="00D66C6B"/>
    <w:rsid w:val="00D66F7E"/>
    <w:rsid w:val="00D67B90"/>
    <w:rsid w:val="00D67CDB"/>
    <w:rsid w:val="00D67D25"/>
    <w:rsid w:val="00D67F40"/>
    <w:rsid w:val="00D7007F"/>
    <w:rsid w:val="00D70142"/>
    <w:rsid w:val="00D704DE"/>
    <w:rsid w:val="00D70506"/>
    <w:rsid w:val="00D70623"/>
    <w:rsid w:val="00D70939"/>
    <w:rsid w:val="00D70D0C"/>
    <w:rsid w:val="00D7149A"/>
    <w:rsid w:val="00D71B39"/>
    <w:rsid w:val="00D71D21"/>
    <w:rsid w:val="00D71F0E"/>
    <w:rsid w:val="00D71F48"/>
    <w:rsid w:val="00D72027"/>
    <w:rsid w:val="00D725EA"/>
    <w:rsid w:val="00D72804"/>
    <w:rsid w:val="00D72AF9"/>
    <w:rsid w:val="00D72C2A"/>
    <w:rsid w:val="00D7339C"/>
    <w:rsid w:val="00D73563"/>
    <w:rsid w:val="00D73AE0"/>
    <w:rsid w:val="00D73E26"/>
    <w:rsid w:val="00D73FA3"/>
    <w:rsid w:val="00D742BC"/>
    <w:rsid w:val="00D74BA0"/>
    <w:rsid w:val="00D74D03"/>
    <w:rsid w:val="00D75C77"/>
    <w:rsid w:val="00D75EDB"/>
    <w:rsid w:val="00D75F97"/>
    <w:rsid w:val="00D76D50"/>
    <w:rsid w:val="00D77278"/>
    <w:rsid w:val="00D77887"/>
    <w:rsid w:val="00D804E8"/>
    <w:rsid w:val="00D80799"/>
    <w:rsid w:val="00D808FF"/>
    <w:rsid w:val="00D809CD"/>
    <w:rsid w:val="00D80A99"/>
    <w:rsid w:val="00D80F04"/>
    <w:rsid w:val="00D8108B"/>
    <w:rsid w:val="00D8123C"/>
    <w:rsid w:val="00D8165A"/>
    <w:rsid w:val="00D81675"/>
    <w:rsid w:val="00D81C1E"/>
    <w:rsid w:val="00D8215F"/>
    <w:rsid w:val="00D826E1"/>
    <w:rsid w:val="00D82C98"/>
    <w:rsid w:val="00D82D7B"/>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81F"/>
    <w:rsid w:val="00D869B2"/>
    <w:rsid w:val="00D86AEF"/>
    <w:rsid w:val="00D86B93"/>
    <w:rsid w:val="00D86F6B"/>
    <w:rsid w:val="00D87866"/>
    <w:rsid w:val="00D87AB4"/>
    <w:rsid w:val="00D906BE"/>
    <w:rsid w:val="00D90941"/>
    <w:rsid w:val="00D91A3C"/>
    <w:rsid w:val="00D9201A"/>
    <w:rsid w:val="00D92093"/>
    <w:rsid w:val="00D92233"/>
    <w:rsid w:val="00D93234"/>
    <w:rsid w:val="00D93493"/>
    <w:rsid w:val="00D93832"/>
    <w:rsid w:val="00D938F0"/>
    <w:rsid w:val="00D93A1D"/>
    <w:rsid w:val="00D93BA0"/>
    <w:rsid w:val="00D9445F"/>
    <w:rsid w:val="00D946B8"/>
    <w:rsid w:val="00D946F7"/>
    <w:rsid w:val="00D947B0"/>
    <w:rsid w:val="00D948A2"/>
    <w:rsid w:val="00D948FF"/>
    <w:rsid w:val="00D9490C"/>
    <w:rsid w:val="00D94CCC"/>
    <w:rsid w:val="00D9547F"/>
    <w:rsid w:val="00D95573"/>
    <w:rsid w:val="00D95691"/>
    <w:rsid w:val="00D95A52"/>
    <w:rsid w:val="00D9606A"/>
    <w:rsid w:val="00D9619E"/>
    <w:rsid w:val="00D961A7"/>
    <w:rsid w:val="00D96E9B"/>
    <w:rsid w:val="00D97066"/>
    <w:rsid w:val="00D972ED"/>
    <w:rsid w:val="00D972F9"/>
    <w:rsid w:val="00D97514"/>
    <w:rsid w:val="00D977B9"/>
    <w:rsid w:val="00D97949"/>
    <w:rsid w:val="00D97CE8"/>
    <w:rsid w:val="00D97EBC"/>
    <w:rsid w:val="00D97F7D"/>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702"/>
    <w:rsid w:val="00DA6308"/>
    <w:rsid w:val="00DA6FCA"/>
    <w:rsid w:val="00DA7195"/>
    <w:rsid w:val="00DA7380"/>
    <w:rsid w:val="00DA768F"/>
    <w:rsid w:val="00DA7784"/>
    <w:rsid w:val="00DB0009"/>
    <w:rsid w:val="00DB00A2"/>
    <w:rsid w:val="00DB01B4"/>
    <w:rsid w:val="00DB031E"/>
    <w:rsid w:val="00DB0811"/>
    <w:rsid w:val="00DB0EDB"/>
    <w:rsid w:val="00DB1370"/>
    <w:rsid w:val="00DB13A7"/>
    <w:rsid w:val="00DB152E"/>
    <w:rsid w:val="00DB1B8E"/>
    <w:rsid w:val="00DB240A"/>
    <w:rsid w:val="00DB2481"/>
    <w:rsid w:val="00DB25A1"/>
    <w:rsid w:val="00DB2687"/>
    <w:rsid w:val="00DB2695"/>
    <w:rsid w:val="00DB37FA"/>
    <w:rsid w:val="00DB3A9E"/>
    <w:rsid w:val="00DB3FCF"/>
    <w:rsid w:val="00DB423A"/>
    <w:rsid w:val="00DB43E1"/>
    <w:rsid w:val="00DB448A"/>
    <w:rsid w:val="00DB4636"/>
    <w:rsid w:val="00DB4CDA"/>
    <w:rsid w:val="00DB4CED"/>
    <w:rsid w:val="00DB4D21"/>
    <w:rsid w:val="00DB53C5"/>
    <w:rsid w:val="00DB595F"/>
    <w:rsid w:val="00DB5B2F"/>
    <w:rsid w:val="00DB5F08"/>
    <w:rsid w:val="00DB6843"/>
    <w:rsid w:val="00DB6DE3"/>
    <w:rsid w:val="00DB73AB"/>
    <w:rsid w:val="00DB789B"/>
    <w:rsid w:val="00DB7D20"/>
    <w:rsid w:val="00DB7E66"/>
    <w:rsid w:val="00DB7FBD"/>
    <w:rsid w:val="00DC00DF"/>
    <w:rsid w:val="00DC0155"/>
    <w:rsid w:val="00DC0745"/>
    <w:rsid w:val="00DC0D4E"/>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E44"/>
    <w:rsid w:val="00DC4521"/>
    <w:rsid w:val="00DC458A"/>
    <w:rsid w:val="00DC46FA"/>
    <w:rsid w:val="00DC4B2F"/>
    <w:rsid w:val="00DC4E24"/>
    <w:rsid w:val="00DC4F70"/>
    <w:rsid w:val="00DC517E"/>
    <w:rsid w:val="00DC5187"/>
    <w:rsid w:val="00DC54D5"/>
    <w:rsid w:val="00DC5532"/>
    <w:rsid w:val="00DC5B09"/>
    <w:rsid w:val="00DC6B05"/>
    <w:rsid w:val="00DC7079"/>
    <w:rsid w:val="00DC7264"/>
    <w:rsid w:val="00DC7906"/>
    <w:rsid w:val="00DC792E"/>
    <w:rsid w:val="00DC7948"/>
    <w:rsid w:val="00DC7AA4"/>
    <w:rsid w:val="00DC7C5B"/>
    <w:rsid w:val="00DC7E43"/>
    <w:rsid w:val="00DD0918"/>
    <w:rsid w:val="00DD0EEF"/>
    <w:rsid w:val="00DD10CD"/>
    <w:rsid w:val="00DD1EE3"/>
    <w:rsid w:val="00DD2235"/>
    <w:rsid w:val="00DD2C0F"/>
    <w:rsid w:val="00DD3007"/>
    <w:rsid w:val="00DD3039"/>
    <w:rsid w:val="00DD316B"/>
    <w:rsid w:val="00DD35AF"/>
    <w:rsid w:val="00DD3A4D"/>
    <w:rsid w:val="00DD3CFE"/>
    <w:rsid w:val="00DD3FEE"/>
    <w:rsid w:val="00DD4911"/>
    <w:rsid w:val="00DD4BA9"/>
    <w:rsid w:val="00DD5592"/>
    <w:rsid w:val="00DD5714"/>
    <w:rsid w:val="00DD5C5B"/>
    <w:rsid w:val="00DD5CB6"/>
    <w:rsid w:val="00DD6301"/>
    <w:rsid w:val="00DD647C"/>
    <w:rsid w:val="00DD67EC"/>
    <w:rsid w:val="00DD69A6"/>
    <w:rsid w:val="00DD6B9B"/>
    <w:rsid w:val="00DD6D4F"/>
    <w:rsid w:val="00DD6F35"/>
    <w:rsid w:val="00DD70F3"/>
    <w:rsid w:val="00DE0045"/>
    <w:rsid w:val="00DE008C"/>
    <w:rsid w:val="00DE0248"/>
    <w:rsid w:val="00DE03AD"/>
    <w:rsid w:val="00DE0558"/>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E51"/>
    <w:rsid w:val="00DE52C2"/>
    <w:rsid w:val="00DE5856"/>
    <w:rsid w:val="00DE58DC"/>
    <w:rsid w:val="00DE5E33"/>
    <w:rsid w:val="00DE5FC9"/>
    <w:rsid w:val="00DE6B12"/>
    <w:rsid w:val="00DE6D8A"/>
    <w:rsid w:val="00DE7483"/>
    <w:rsid w:val="00DE756E"/>
    <w:rsid w:val="00DE7765"/>
    <w:rsid w:val="00DE77E6"/>
    <w:rsid w:val="00DE798A"/>
    <w:rsid w:val="00DE7E17"/>
    <w:rsid w:val="00DE7EA9"/>
    <w:rsid w:val="00DE7F21"/>
    <w:rsid w:val="00DE7FC6"/>
    <w:rsid w:val="00DF006A"/>
    <w:rsid w:val="00DF06BE"/>
    <w:rsid w:val="00DF07EB"/>
    <w:rsid w:val="00DF08DB"/>
    <w:rsid w:val="00DF09D0"/>
    <w:rsid w:val="00DF0D21"/>
    <w:rsid w:val="00DF0F15"/>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A73"/>
    <w:rsid w:val="00DF6C49"/>
    <w:rsid w:val="00DF6C9C"/>
    <w:rsid w:val="00DF72A5"/>
    <w:rsid w:val="00DF79B1"/>
    <w:rsid w:val="00DF79D9"/>
    <w:rsid w:val="00E00078"/>
    <w:rsid w:val="00E003BE"/>
    <w:rsid w:val="00E00A15"/>
    <w:rsid w:val="00E01271"/>
    <w:rsid w:val="00E0167B"/>
    <w:rsid w:val="00E0174C"/>
    <w:rsid w:val="00E018FC"/>
    <w:rsid w:val="00E01C12"/>
    <w:rsid w:val="00E01D87"/>
    <w:rsid w:val="00E01E9F"/>
    <w:rsid w:val="00E01F86"/>
    <w:rsid w:val="00E02058"/>
    <w:rsid w:val="00E0247A"/>
    <w:rsid w:val="00E024F4"/>
    <w:rsid w:val="00E029B8"/>
    <w:rsid w:val="00E02CB4"/>
    <w:rsid w:val="00E02D57"/>
    <w:rsid w:val="00E02E51"/>
    <w:rsid w:val="00E03470"/>
    <w:rsid w:val="00E0349E"/>
    <w:rsid w:val="00E0389C"/>
    <w:rsid w:val="00E03BE2"/>
    <w:rsid w:val="00E0428D"/>
    <w:rsid w:val="00E042C5"/>
    <w:rsid w:val="00E044EC"/>
    <w:rsid w:val="00E045E2"/>
    <w:rsid w:val="00E04D15"/>
    <w:rsid w:val="00E058B1"/>
    <w:rsid w:val="00E05995"/>
    <w:rsid w:val="00E05E1A"/>
    <w:rsid w:val="00E061CE"/>
    <w:rsid w:val="00E063B8"/>
    <w:rsid w:val="00E068BE"/>
    <w:rsid w:val="00E06A8C"/>
    <w:rsid w:val="00E06DB9"/>
    <w:rsid w:val="00E06EFB"/>
    <w:rsid w:val="00E070AD"/>
    <w:rsid w:val="00E070E6"/>
    <w:rsid w:val="00E07144"/>
    <w:rsid w:val="00E0739A"/>
    <w:rsid w:val="00E07AE5"/>
    <w:rsid w:val="00E07D46"/>
    <w:rsid w:val="00E10649"/>
    <w:rsid w:val="00E116E8"/>
    <w:rsid w:val="00E119A8"/>
    <w:rsid w:val="00E11D41"/>
    <w:rsid w:val="00E11D63"/>
    <w:rsid w:val="00E13A26"/>
    <w:rsid w:val="00E13C81"/>
    <w:rsid w:val="00E14407"/>
    <w:rsid w:val="00E144BF"/>
    <w:rsid w:val="00E1484F"/>
    <w:rsid w:val="00E14D1D"/>
    <w:rsid w:val="00E153E2"/>
    <w:rsid w:val="00E153ED"/>
    <w:rsid w:val="00E153F0"/>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205AA"/>
    <w:rsid w:val="00E20AAB"/>
    <w:rsid w:val="00E20AB6"/>
    <w:rsid w:val="00E20B8E"/>
    <w:rsid w:val="00E20E79"/>
    <w:rsid w:val="00E20EAB"/>
    <w:rsid w:val="00E21079"/>
    <w:rsid w:val="00E21759"/>
    <w:rsid w:val="00E21B5F"/>
    <w:rsid w:val="00E22373"/>
    <w:rsid w:val="00E22FC8"/>
    <w:rsid w:val="00E232D7"/>
    <w:rsid w:val="00E2345D"/>
    <w:rsid w:val="00E235B7"/>
    <w:rsid w:val="00E23E1D"/>
    <w:rsid w:val="00E241F5"/>
    <w:rsid w:val="00E24A05"/>
    <w:rsid w:val="00E2518B"/>
    <w:rsid w:val="00E25CC4"/>
    <w:rsid w:val="00E25D40"/>
    <w:rsid w:val="00E26010"/>
    <w:rsid w:val="00E2603F"/>
    <w:rsid w:val="00E26116"/>
    <w:rsid w:val="00E26307"/>
    <w:rsid w:val="00E2683D"/>
    <w:rsid w:val="00E2689B"/>
    <w:rsid w:val="00E269AF"/>
    <w:rsid w:val="00E2726E"/>
    <w:rsid w:val="00E2782B"/>
    <w:rsid w:val="00E27AE1"/>
    <w:rsid w:val="00E27D16"/>
    <w:rsid w:val="00E27D8C"/>
    <w:rsid w:val="00E30644"/>
    <w:rsid w:val="00E31143"/>
    <w:rsid w:val="00E31658"/>
    <w:rsid w:val="00E3192C"/>
    <w:rsid w:val="00E31A95"/>
    <w:rsid w:val="00E32227"/>
    <w:rsid w:val="00E3264D"/>
    <w:rsid w:val="00E327F2"/>
    <w:rsid w:val="00E32D8D"/>
    <w:rsid w:val="00E33238"/>
    <w:rsid w:val="00E336B6"/>
    <w:rsid w:val="00E33775"/>
    <w:rsid w:val="00E344C7"/>
    <w:rsid w:val="00E345F8"/>
    <w:rsid w:val="00E346FA"/>
    <w:rsid w:val="00E34ABC"/>
    <w:rsid w:val="00E34C7F"/>
    <w:rsid w:val="00E34D08"/>
    <w:rsid w:val="00E3508B"/>
    <w:rsid w:val="00E3552F"/>
    <w:rsid w:val="00E3566A"/>
    <w:rsid w:val="00E35BB2"/>
    <w:rsid w:val="00E3662F"/>
    <w:rsid w:val="00E36798"/>
    <w:rsid w:val="00E3701A"/>
    <w:rsid w:val="00E372F3"/>
    <w:rsid w:val="00E372FD"/>
    <w:rsid w:val="00E37A5E"/>
    <w:rsid w:val="00E37A72"/>
    <w:rsid w:val="00E37EB3"/>
    <w:rsid w:val="00E40070"/>
    <w:rsid w:val="00E4013A"/>
    <w:rsid w:val="00E4029B"/>
    <w:rsid w:val="00E4086A"/>
    <w:rsid w:val="00E41547"/>
    <w:rsid w:val="00E415BA"/>
    <w:rsid w:val="00E41A35"/>
    <w:rsid w:val="00E41B7B"/>
    <w:rsid w:val="00E41DFB"/>
    <w:rsid w:val="00E42280"/>
    <w:rsid w:val="00E428BA"/>
    <w:rsid w:val="00E429FB"/>
    <w:rsid w:val="00E42B15"/>
    <w:rsid w:val="00E433E9"/>
    <w:rsid w:val="00E435BB"/>
    <w:rsid w:val="00E436D9"/>
    <w:rsid w:val="00E438B2"/>
    <w:rsid w:val="00E443CC"/>
    <w:rsid w:val="00E449D1"/>
    <w:rsid w:val="00E44B05"/>
    <w:rsid w:val="00E44E40"/>
    <w:rsid w:val="00E44E99"/>
    <w:rsid w:val="00E45955"/>
    <w:rsid w:val="00E45E09"/>
    <w:rsid w:val="00E45E68"/>
    <w:rsid w:val="00E46229"/>
    <w:rsid w:val="00E4635B"/>
    <w:rsid w:val="00E4651E"/>
    <w:rsid w:val="00E465A7"/>
    <w:rsid w:val="00E466BF"/>
    <w:rsid w:val="00E467DA"/>
    <w:rsid w:val="00E46CAB"/>
    <w:rsid w:val="00E471B0"/>
    <w:rsid w:val="00E4756F"/>
    <w:rsid w:val="00E47B42"/>
    <w:rsid w:val="00E47DAA"/>
    <w:rsid w:val="00E50745"/>
    <w:rsid w:val="00E50747"/>
    <w:rsid w:val="00E51711"/>
    <w:rsid w:val="00E518DB"/>
    <w:rsid w:val="00E527B7"/>
    <w:rsid w:val="00E527C9"/>
    <w:rsid w:val="00E52A9E"/>
    <w:rsid w:val="00E52E13"/>
    <w:rsid w:val="00E52F4E"/>
    <w:rsid w:val="00E53097"/>
    <w:rsid w:val="00E5409C"/>
    <w:rsid w:val="00E54445"/>
    <w:rsid w:val="00E54838"/>
    <w:rsid w:val="00E54A47"/>
    <w:rsid w:val="00E553AA"/>
    <w:rsid w:val="00E55B96"/>
    <w:rsid w:val="00E55E7F"/>
    <w:rsid w:val="00E56EDC"/>
    <w:rsid w:val="00E57714"/>
    <w:rsid w:val="00E57AC7"/>
    <w:rsid w:val="00E57B25"/>
    <w:rsid w:val="00E57EEE"/>
    <w:rsid w:val="00E60979"/>
    <w:rsid w:val="00E60998"/>
    <w:rsid w:val="00E60ACF"/>
    <w:rsid w:val="00E60B1E"/>
    <w:rsid w:val="00E60CBA"/>
    <w:rsid w:val="00E6149F"/>
    <w:rsid w:val="00E61A31"/>
    <w:rsid w:val="00E61A83"/>
    <w:rsid w:val="00E61CD7"/>
    <w:rsid w:val="00E62063"/>
    <w:rsid w:val="00E621C3"/>
    <w:rsid w:val="00E62873"/>
    <w:rsid w:val="00E62D29"/>
    <w:rsid w:val="00E62D6A"/>
    <w:rsid w:val="00E637C0"/>
    <w:rsid w:val="00E63E2E"/>
    <w:rsid w:val="00E645E0"/>
    <w:rsid w:val="00E64F73"/>
    <w:rsid w:val="00E657AB"/>
    <w:rsid w:val="00E660DE"/>
    <w:rsid w:val="00E66839"/>
    <w:rsid w:val="00E6685C"/>
    <w:rsid w:val="00E6732A"/>
    <w:rsid w:val="00E67ABE"/>
    <w:rsid w:val="00E67B9A"/>
    <w:rsid w:val="00E707F5"/>
    <w:rsid w:val="00E7128F"/>
    <w:rsid w:val="00E71D15"/>
    <w:rsid w:val="00E72270"/>
    <w:rsid w:val="00E7235D"/>
    <w:rsid w:val="00E7245F"/>
    <w:rsid w:val="00E727B5"/>
    <w:rsid w:val="00E729B1"/>
    <w:rsid w:val="00E72B47"/>
    <w:rsid w:val="00E72E0D"/>
    <w:rsid w:val="00E737EF"/>
    <w:rsid w:val="00E73D4F"/>
    <w:rsid w:val="00E73D60"/>
    <w:rsid w:val="00E74097"/>
    <w:rsid w:val="00E74C3B"/>
    <w:rsid w:val="00E74E47"/>
    <w:rsid w:val="00E758A5"/>
    <w:rsid w:val="00E758B1"/>
    <w:rsid w:val="00E75DED"/>
    <w:rsid w:val="00E75E36"/>
    <w:rsid w:val="00E75F22"/>
    <w:rsid w:val="00E75F71"/>
    <w:rsid w:val="00E75FE3"/>
    <w:rsid w:val="00E76759"/>
    <w:rsid w:val="00E7680E"/>
    <w:rsid w:val="00E76ACF"/>
    <w:rsid w:val="00E76C23"/>
    <w:rsid w:val="00E76E85"/>
    <w:rsid w:val="00E77048"/>
    <w:rsid w:val="00E7705F"/>
    <w:rsid w:val="00E77102"/>
    <w:rsid w:val="00E772FD"/>
    <w:rsid w:val="00E7783C"/>
    <w:rsid w:val="00E77963"/>
    <w:rsid w:val="00E77F51"/>
    <w:rsid w:val="00E80191"/>
    <w:rsid w:val="00E80998"/>
    <w:rsid w:val="00E80DEE"/>
    <w:rsid w:val="00E818A2"/>
    <w:rsid w:val="00E81B0C"/>
    <w:rsid w:val="00E8202E"/>
    <w:rsid w:val="00E82043"/>
    <w:rsid w:val="00E82BA7"/>
    <w:rsid w:val="00E82E1F"/>
    <w:rsid w:val="00E82F35"/>
    <w:rsid w:val="00E83192"/>
    <w:rsid w:val="00E8328F"/>
    <w:rsid w:val="00E83720"/>
    <w:rsid w:val="00E839F3"/>
    <w:rsid w:val="00E84927"/>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987"/>
    <w:rsid w:val="00E87F8A"/>
    <w:rsid w:val="00E87FCD"/>
    <w:rsid w:val="00E903A8"/>
    <w:rsid w:val="00E90B6F"/>
    <w:rsid w:val="00E911C0"/>
    <w:rsid w:val="00E9122F"/>
    <w:rsid w:val="00E918E6"/>
    <w:rsid w:val="00E91C58"/>
    <w:rsid w:val="00E9250C"/>
    <w:rsid w:val="00E9297C"/>
    <w:rsid w:val="00E92994"/>
    <w:rsid w:val="00E92C77"/>
    <w:rsid w:val="00E92C99"/>
    <w:rsid w:val="00E9301C"/>
    <w:rsid w:val="00E93D36"/>
    <w:rsid w:val="00E940DB"/>
    <w:rsid w:val="00E94310"/>
    <w:rsid w:val="00E94A6A"/>
    <w:rsid w:val="00E9529C"/>
    <w:rsid w:val="00E957F8"/>
    <w:rsid w:val="00E95B5A"/>
    <w:rsid w:val="00E96231"/>
    <w:rsid w:val="00E968E3"/>
    <w:rsid w:val="00E96997"/>
    <w:rsid w:val="00E96B5F"/>
    <w:rsid w:val="00E97660"/>
    <w:rsid w:val="00E977CB"/>
    <w:rsid w:val="00E97B57"/>
    <w:rsid w:val="00E97D3C"/>
    <w:rsid w:val="00EA03CF"/>
    <w:rsid w:val="00EA0505"/>
    <w:rsid w:val="00EA08C9"/>
    <w:rsid w:val="00EA1051"/>
    <w:rsid w:val="00EA1872"/>
    <w:rsid w:val="00EA1BA0"/>
    <w:rsid w:val="00EA1BCF"/>
    <w:rsid w:val="00EA2375"/>
    <w:rsid w:val="00EA251B"/>
    <w:rsid w:val="00EA270D"/>
    <w:rsid w:val="00EA2871"/>
    <w:rsid w:val="00EA2A22"/>
    <w:rsid w:val="00EA2B3B"/>
    <w:rsid w:val="00EA2C9B"/>
    <w:rsid w:val="00EA2FD5"/>
    <w:rsid w:val="00EA300A"/>
    <w:rsid w:val="00EA34C0"/>
    <w:rsid w:val="00EA4603"/>
    <w:rsid w:val="00EA47FA"/>
    <w:rsid w:val="00EA5512"/>
    <w:rsid w:val="00EA5834"/>
    <w:rsid w:val="00EA5972"/>
    <w:rsid w:val="00EA5DCA"/>
    <w:rsid w:val="00EA6427"/>
    <w:rsid w:val="00EA6565"/>
    <w:rsid w:val="00EA658B"/>
    <w:rsid w:val="00EA68C9"/>
    <w:rsid w:val="00EA7112"/>
    <w:rsid w:val="00EA74E8"/>
    <w:rsid w:val="00EA760B"/>
    <w:rsid w:val="00EA77E8"/>
    <w:rsid w:val="00EA7912"/>
    <w:rsid w:val="00EB003F"/>
    <w:rsid w:val="00EB088F"/>
    <w:rsid w:val="00EB0A3C"/>
    <w:rsid w:val="00EB0F69"/>
    <w:rsid w:val="00EB1067"/>
    <w:rsid w:val="00EB176E"/>
    <w:rsid w:val="00EB202D"/>
    <w:rsid w:val="00EB2C4E"/>
    <w:rsid w:val="00EB2C70"/>
    <w:rsid w:val="00EB30BF"/>
    <w:rsid w:val="00EB32C0"/>
    <w:rsid w:val="00EB47A7"/>
    <w:rsid w:val="00EB47E3"/>
    <w:rsid w:val="00EB47F0"/>
    <w:rsid w:val="00EB5080"/>
    <w:rsid w:val="00EB5850"/>
    <w:rsid w:val="00EB599B"/>
    <w:rsid w:val="00EB6474"/>
    <w:rsid w:val="00EB721B"/>
    <w:rsid w:val="00EB73A7"/>
    <w:rsid w:val="00EB7516"/>
    <w:rsid w:val="00EB753F"/>
    <w:rsid w:val="00EB7966"/>
    <w:rsid w:val="00EB79F8"/>
    <w:rsid w:val="00EC0038"/>
    <w:rsid w:val="00EC06EB"/>
    <w:rsid w:val="00EC0BC9"/>
    <w:rsid w:val="00EC0D48"/>
    <w:rsid w:val="00EC1110"/>
    <w:rsid w:val="00EC1392"/>
    <w:rsid w:val="00EC1575"/>
    <w:rsid w:val="00EC1948"/>
    <w:rsid w:val="00EC1AAA"/>
    <w:rsid w:val="00EC1BDB"/>
    <w:rsid w:val="00EC26D0"/>
    <w:rsid w:val="00EC2729"/>
    <w:rsid w:val="00EC279A"/>
    <w:rsid w:val="00EC2846"/>
    <w:rsid w:val="00EC2888"/>
    <w:rsid w:val="00EC29A2"/>
    <w:rsid w:val="00EC2EB5"/>
    <w:rsid w:val="00EC3861"/>
    <w:rsid w:val="00EC3D93"/>
    <w:rsid w:val="00EC4079"/>
    <w:rsid w:val="00EC422F"/>
    <w:rsid w:val="00EC4242"/>
    <w:rsid w:val="00EC424D"/>
    <w:rsid w:val="00EC432F"/>
    <w:rsid w:val="00EC4C0F"/>
    <w:rsid w:val="00EC51A6"/>
    <w:rsid w:val="00EC5358"/>
    <w:rsid w:val="00EC5F54"/>
    <w:rsid w:val="00EC6542"/>
    <w:rsid w:val="00EC714A"/>
    <w:rsid w:val="00EC7750"/>
    <w:rsid w:val="00EC79EA"/>
    <w:rsid w:val="00ED04B3"/>
    <w:rsid w:val="00ED0AD2"/>
    <w:rsid w:val="00ED0E48"/>
    <w:rsid w:val="00ED16DD"/>
    <w:rsid w:val="00ED20D3"/>
    <w:rsid w:val="00ED20E2"/>
    <w:rsid w:val="00ED21E1"/>
    <w:rsid w:val="00ED22A3"/>
    <w:rsid w:val="00ED2F02"/>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D5F"/>
    <w:rsid w:val="00EE1DC3"/>
    <w:rsid w:val="00EE21F2"/>
    <w:rsid w:val="00EE35C6"/>
    <w:rsid w:val="00EE3632"/>
    <w:rsid w:val="00EE368C"/>
    <w:rsid w:val="00EE41D9"/>
    <w:rsid w:val="00EE4673"/>
    <w:rsid w:val="00EE5755"/>
    <w:rsid w:val="00EE6710"/>
    <w:rsid w:val="00EE75DB"/>
    <w:rsid w:val="00EE7C1C"/>
    <w:rsid w:val="00EF0187"/>
    <w:rsid w:val="00EF0456"/>
    <w:rsid w:val="00EF06D1"/>
    <w:rsid w:val="00EF07B1"/>
    <w:rsid w:val="00EF0BB6"/>
    <w:rsid w:val="00EF0DA4"/>
    <w:rsid w:val="00EF10E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2F3"/>
    <w:rsid w:val="00F0438C"/>
    <w:rsid w:val="00F04703"/>
    <w:rsid w:val="00F04E82"/>
    <w:rsid w:val="00F0537E"/>
    <w:rsid w:val="00F05543"/>
    <w:rsid w:val="00F057E1"/>
    <w:rsid w:val="00F05831"/>
    <w:rsid w:val="00F05A99"/>
    <w:rsid w:val="00F062B3"/>
    <w:rsid w:val="00F064A2"/>
    <w:rsid w:val="00F06744"/>
    <w:rsid w:val="00F072E0"/>
    <w:rsid w:val="00F07433"/>
    <w:rsid w:val="00F0769E"/>
    <w:rsid w:val="00F10F9E"/>
    <w:rsid w:val="00F11011"/>
    <w:rsid w:val="00F11081"/>
    <w:rsid w:val="00F1112F"/>
    <w:rsid w:val="00F111E2"/>
    <w:rsid w:val="00F11392"/>
    <w:rsid w:val="00F117B0"/>
    <w:rsid w:val="00F11D3B"/>
    <w:rsid w:val="00F11ECE"/>
    <w:rsid w:val="00F1200B"/>
    <w:rsid w:val="00F123C8"/>
    <w:rsid w:val="00F12E78"/>
    <w:rsid w:val="00F14603"/>
    <w:rsid w:val="00F15330"/>
    <w:rsid w:val="00F154C8"/>
    <w:rsid w:val="00F1574D"/>
    <w:rsid w:val="00F1587F"/>
    <w:rsid w:val="00F15F98"/>
    <w:rsid w:val="00F160CF"/>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D"/>
    <w:rsid w:val="00F24111"/>
    <w:rsid w:val="00F24186"/>
    <w:rsid w:val="00F24374"/>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C3"/>
    <w:rsid w:val="00F32219"/>
    <w:rsid w:val="00F3260D"/>
    <w:rsid w:val="00F3279F"/>
    <w:rsid w:val="00F3297B"/>
    <w:rsid w:val="00F32C94"/>
    <w:rsid w:val="00F32E74"/>
    <w:rsid w:val="00F33EFE"/>
    <w:rsid w:val="00F3461A"/>
    <w:rsid w:val="00F34CE7"/>
    <w:rsid w:val="00F35093"/>
    <w:rsid w:val="00F355E8"/>
    <w:rsid w:val="00F35A90"/>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636"/>
    <w:rsid w:val="00F44B4B"/>
    <w:rsid w:val="00F44B76"/>
    <w:rsid w:val="00F44B83"/>
    <w:rsid w:val="00F44BF4"/>
    <w:rsid w:val="00F44E52"/>
    <w:rsid w:val="00F44F05"/>
    <w:rsid w:val="00F4501D"/>
    <w:rsid w:val="00F45622"/>
    <w:rsid w:val="00F45682"/>
    <w:rsid w:val="00F45A5B"/>
    <w:rsid w:val="00F45AD4"/>
    <w:rsid w:val="00F45E4E"/>
    <w:rsid w:val="00F45F37"/>
    <w:rsid w:val="00F4683F"/>
    <w:rsid w:val="00F46D44"/>
    <w:rsid w:val="00F46DD8"/>
    <w:rsid w:val="00F47BA0"/>
    <w:rsid w:val="00F47C4B"/>
    <w:rsid w:val="00F50368"/>
    <w:rsid w:val="00F50371"/>
    <w:rsid w:val="00F509DC"/>
    <w:rsid w:val="00F51188"/>
    <w:rsid w:val="00F51B70"/>
    <w:rsid w:val="00F51DAE"/>
    <w:rsid w:val="00F51E78"/>
    <w:rsid w:val="00F5272D"/>
    <w:rsid w:val="00F53321"/>
    <w:rsid w:val="00F53403"/>
    <w:rsid w:val="00F5340A"/>
    <w:rsid w:val="00F5396A"/>
    <w:rsid w:val="00F53DA3"/>
    <w:rsid w:val="00F53DCC"/>
    <w:rsid w:val="00F53EDB"/>
    <w:rsid w:val="00F54016"/>
    <w:rsid w:val="00F5490C"/>
    <w:rsid w:val="00F54CAB"/>
    <w:rsid w:val="00F54DC1"/>
    <w:rsid w:val="00F5525B"/>
    <w:rsid w:val="00F55322"/>
    <w:rsid w:val="00F55361"/>
    <w:rsid w:val="00F55412"/>
    <w:rsid w:val="00F5549F"/>
    <w:rsid w:val="00F55A5C"/>
    <w:rsid w:val="00F55AE6"/>
    <w:rsid w:val="00F55B9E"/>
    <w:rsid w:val="00F55ED4"/>
    <w:rsid w:val="00F560F7"/>
    <w:rsid w:val="00F56862"/>
    <w:rsid w:val="00F56A5C"/>
    <w:rsid w:val="00F56C72"/>
    <w:rsid w:val="00F57BE6"/>
    <w:rsid w:val="00F60335"/>
    <w:rsid w:val="00F60989"/>
    <w:rsid w:val="00F609C4"/>
    <w:rsid w:val="00F6188C"/>
    <w:rsid w:val="00F61A2D"/>
    <w:rsid w:val="00F61B17"/>
    <w:rsid w:val="00F62374"/>
    <w:rsid w:val="00F627E4"/>
    <w:rsid w:val="00F62906"/>
    <w:rsid w:val="00F62A7A"/>
    <w:rsid w:val="00F63250"/>
    <w:rsid w:val="00F632E7"/>
    <w:rsid w:val="00F6371E"/>
    <w:rsid w:val="00F6371F"/>
    <w:rsid w:val="00F637A0"/>
    <w:rsid w:val="00F63B54"/>
    <w:rsid w:val="00F63BF0"/>
    <w:rsid w:val="00F64222"/>
    <w:rsid w:val="00F642C8"/>
    <w:rsid w:val="00F64B5B"/>
    <w:rsid w:val="00F64E25"/>
    <w:rsid w:val="00F652D5"/>
    <w:rsid w:val="00F655D0"/>
    <w:rsid w:val="00F65691"/>
    <w:rsid w:val="00F6622A"/>
    <w:rsid w:val="00F66251"/>
    <w:rsid w:val="00F66590"/>
    <w:rsid w:val="00F6687B"/>
    <w:rsid w:val="00F66FE3"/>
    <w:rsid w:val="00F67827"/>
    <w:rsid w:val="00F67A2D"/>
    <w:rsid w:val="00F67BF1"/>
    <w:rsid w:val="00F67C54"/>
    <w:rsid w:val="00F70095"/>
    <w:rsid w:val="00F70A23"/>
    <w:rsid w:val="00F71661"/>
    <w:rsid w:val="00F72031"/>
    <w:rsid w:val="00F7215D"/>
    <w:rsid w:val="00F72261"/>
    <w:rsid w:val="00F72288"/>
    <w:rsid w:val="00F72E13"/>
    <w:rsid w:val="00F733FE"/>
    <w:rsid w:val="00F73731"/>
    <w:rsid w:val="00F73CAB"/>
    <w:rsid w:val="00F74099"/>
    <w:rsid w:val="00F7453E"/>
    <w:rsid w:val="00F74CA4"/>
    <w:rsid w:val="00F754FA"/>
    <w:rsid w:val="00F75672"/>
    <w:rsid w:val="00F75DF4"/>
    <w:rsid w:val="00F7605B"/>
    <w:rsid w:val="00F76668"/>
    <w:rsid w:val="00F76974"/>
    <w:rsid w:val="00F76FDD"/>
    <w:rsid w:val="00F7733B"/>
    <w:rsid w:val="00F77654"/>
    <w:rsid w:val="00F77746"/>
    <w:rsid w:val="00F77B23"/>
    <w:rsid w:val="00F77C00"/>
    <w:rsid w:val="00F80997"/>
    <w:rsid w:val="00F80C37"/>
    <w:rsid w:val="00F81256"/>
    <w:rsid w:val="00F81462"/>
    <w:rsid w:val="00F8147B"/>
    <w:rsid w:val="00F81563"/>
    <w:rsid w:val="00F81ADC"/>
    <w:rsid w:val="00F81D85"/>
    <w:rsid w:val="00F8201E"/>
    <w:rsid w:val="00F82430"/>
    <w:rsid w:val="00F82506"/>
    <w:rsid w:val="00F82763"/>
    <w:rsid w:val="00F827E5"/>
    <w:rsid w:val="00F82E4A"/>
    <w:rsid w:val="00F8385D"/>
    <w:rsid w:val="00F8426F"/>
    <w:rsid w:val="00F849F7"/>
    <w:rsid w:val="00F84F4F"/>
    <w:rsid w:val="00F851AF"/>
    <w:rsid w:val="00F8534F"/>
    <w:rsid w:val="00F8553E"/>
    <w:rsid w:val="00F85F20"/>
    <w:rsid w:val="00F862B7"/>
    <w:rsid w:val="00F86AA6"/>
    <w:rsid w:val="00F86BD2"/>
    <w:rsid w:val="00F870FD"/>
    <w:rsid w:val="00F872A3"/>
    <w:rsid w:val="00F8753E"/>
    <w:rsid w:val="00F8759A"/>
    <w:rsid w:val="00F87960"/>
    <w:rsid w:val="00F87CE2"/>
    <w:rsid w:val="00F90D93"/>
    <w:rsid w:val="00F91B11"/>
    <w:rsid w:val="00F91D50"/>
    <w:rsid w:val="00F926B6"/>
    <w:rsid w:val="00F932A9"/>
    <w:rsid w:val="00F93A1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B22"/>
    <w:rsid w:val="00FA44F4"/>
    <w:rsid w:val="00FA5762"/>
    <w:rsid w:val="00FA5BCB"/>
    <w:rsid w:val="00FA62E1"/>
    <w:rsid w:val="00FA6AC6"/>
    <w:rsid w:val="00FA6D4B"/>
    <w:rsid w:val="00FA6EE7"/>
    <w:rsid w:val="00FA6EF2"/>
    <w:rsid w:val="00FA72D0"/>
    <w:rsid w:val="00FA7451"/>
    <w:rsid w:val="00FA796D"/>
    <w:rsid w:val="00FB09F4"/>
    <w:rsid w:val="00FB0C59"/>
    <w:rsid w:val="00FB12FA"/>
    <w:rsid w:val="00FB135C"/>
    <w:rsid w:val="00FB1F66"/>
    <w:rsid w:val="00FB22E2"/>
    <w:rsid w:val="00FB2A92"/>
    <w:rsid w:val="00FB2C42"/>
    <w:rsid w:val="00FB2F77"/>
    <w:rsid w:val="00FB329B"/>
    <w:rsid w:val="00FB42D0"/>
    <w:rsid w:val="00FB448E"/>
    <w:rsid w:val="00FB45A9"/>
    <w:rsid w:val="00FB4753"/>
    <w:rsid w:val="00FB4EFF"/>
    <w:rsid w:val="00FB55F6"/>
    <w:rsid w:val="00FB5937"/>
    <w:rsid w:val="00FB5BD9"/>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FAB"/>
    <w:rsid w:val="00FC4C6B"/>
    <w:rsid w:val="00FC4EEF"/>
    <w:rsid w:val="00FC585C"/>
    <w:rsid w:val="00FC5A1D"/>
    <w:rsid w:val="00FC5EEA"/>
    <w:rsid w:val="00FC5FC3"/>
    <w:rsid w:val="00FC6175"/>
    <w:rsid w:val="00FC62C7"/>
    <w:rsid w:val="00FC66AB"/>
    <w:rsid w:val="00FC6851"/>
    <w:rsid w:val="00FC6896"/>
    <w:rsid w:val="00FC6C23"/>
    <w:rsid w:val="00FC6D10"/>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4FD"/>
    <w:rsid w:val="00FD56CB"/>
    <w:rsid w:val="00FD5760"/>
    <w:rsid w:val="00FD589D"/>
    <w:rsid w:val="00FD5C97"/>
    <w:rsid w:val="00FD6285"/>
    <w:rsid w:val="00FD6952"/>
    <w:rsid w:val="00FD6C16"/>
    <w:rsid w:val="00FD6EBB"/>
    <w:rsid w:val="00FE02A1"/>
    <w:rsid w:val="00FE0321"/>
    <w:rsid w:val="00FE0849"/>
    <w:rsid w:val="00FE0C9F"/>
    <w:rsid w:val="00FE1183"/>
    <w:rsid w:val="00FE1502"/>
    <w:rsid w:val="00FE1643"/>
    <w:rsid w:val="00FE1D1C"/>
    <w:rsid w:val="00FE1EA1"/>
    <w:rsid w:val="00FE200B"/>
    <w:rsid w:val="00FE20D5"/>
    <w:rsid w:val="00FE243B"/>
    <w:rsid w:val="00FE2A9D"/>
    <w:rsid w:val="00FE2B06"/>
    <w:rsid w:val="00FE33B6"/>
    <w:rsid w:val="00FE377B"/>
    <w:rsid w:val="00FE388A"/>
    <w:rsid w:val="00FE3A8B"/>
    <w:rsid w:val="00FE3D82"/>
    <w:rsid w:val="00FE4661"/>
    <w:rsid w:val="00FE467F"/>
    <w:rsid w:val="00FE47BA"/>
    <w:rsid w:val="00FE48F6"/>
    <w:rsid w:val="00FE4DC8"/>
    <w:rsid w:val="00FE4E1F"/>
    <w:rsid w:val="00FE5F31"/>
    <w:rsid w:val="00FE661A"/>
    <w:rsid w:val="00FE6E5B"/>
    <w:rsid w:val="00FE728C"/>
    <w:rsid w:val="00FE72C8"/>
    <w:rsid w:val="00FE72E8"/>
    <w:rsid w:val="00FF00B3"/>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EE8"/>
    <w:rsid w:val="00FF517C"/>
    <w:rsid w:val="00FF53C3"/>
    <w:rsid w:val="00FF5A92"/>
    <w:rsid w:val="00FF6044"/>
    <w:rsid w:val="00FF6706"/>
    <w:rsid w:val="00FF68F6"/>
    <w:rsid w:val="00FF69C5"/>
    <w:rsid w:val="00FF6AC7"/>
    <w:rsid w:val="00FF6B60"/>
    <w:rsid w:val="00FF6B6F"/>
    <w:rsid w:val="00FF6E0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164"/>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uiPriority w:val="99"/>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uiPriority w:val="99"/>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uiPriority w:val="99"/>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uiPriority w:val="99"/>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
    <w:basedOn w:val="Normal"/>
    <w:link w:val="BulletChar"/>
    <w:rsid w:val="004D4273"/>
    <w:pPr>
      <w:ind w:left="283" w:hanging="283"/>
    </w:pPr>
  </w:style>
  <w:style w:type="character" w:customStyle="1" w:styleId="BulletChar">
    <w:name w:val="Bullet Char"/>
    <w:basedOn w:val="DefaultParagraphFont"/>
    <w:link w:val="Bullet"/>
    <w:rsid w:val="004D4273"/>
    <w:rPr>
      <w:rFonts w:ascii="Book Antiqua" w:hAnsi="Book Antiqua"/>
      <w:szCs w:val="24"/>
      <w:lang w:val="en-AU" w:eastAsia="en-US" w:bidi="ar-SA"/>
    </w:rPr>
  </w:style>
  <w:style w:type="paragraph" w:customStyle="1" w:styleId="Dash">
    <w:name w:val="Dash"/>
    <w:basedOn w:val="Normal"/>
    <w:rsid w:val="004D4273"/>
    <w:pPr>
      <w:ind w:left="567" w:hanging="283"/>
    </w:pPr>
  </w:style>
  <w:style w:type="paragraph" w:customStyle="1" w:styleId="DoubleDot">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uiPriority w:val="99"/>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uiPriority w:val="99"/>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0">
    <w:name w:val="Double Dot"/>
    <w:basedOn w:val="Normal"/>
    <w:rsid w:val="004D4273"/>
    <w:pPr>
      <w:tabs>
        <w:tab w:val="num" w:pos="1416"/>
      </w:tabs>
      <w:ind w:left="1416" w:hanging="472"/>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uiPriority w:val="99"/>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uiPriority w:val="99"/>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character" w:customStyle="1" w:styleId="FootnoteTextChar">
    <w:name w:val="Footnote Text Char"/>
    <w:link w:val="FootnoteText"/>
    <w:uiPriority w:val="99"/>
    <w:semiHidden/>
    <w:rsid w:val="00223045"/>
    <w:rPr>
      <w:rFonts w:ascii="Book Antiqua" w:hAnsi="Book Antiqua"/>
      <w:sz w:val="18"/>
      <w:szCs w:val="24"/>
      <w:lang w:eastAsia="en-US"/>
    </w:rPr>
  </w:style>
  <w:style w:type="character" w:styleId="Emphasis">
    <w:name w:val="Emphasis"/>
    <w:uiPriority w:val="20"/>
    <w:qFormat/>
    <w:rsid w:val="007F0A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104926234">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9.e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footer" Target="footer6.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image" Target="media/image12.e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7.emf"/><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14.emf"/><Relationship Id="rId44" Type="http://schemas.openxmlformats.org/officeDocument/2006/relationships/image" Target="media/image1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footer" Target="footer5.xml"/><Relationship Id="rId43" Type="http://schemas.openxmlformats.org/officeDocument/2006/relationships/image" Target="media/image18.emf"/><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DAC1E2E-81F2-452F-8E40-83B641E8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6546</Words>
  <Characters>35713</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Joint Economic Forecasting Group Report - June 2011</vt:lpstr>
    </vt:vector>
  </TitlesOfParts>
  <Manager/>
  <Company/>
  <LinksUpToDate>false</LinksUpToDate>
  <CharactersWithSpaces>42175</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Economic Forecasting Group Report - June 2011</dc:title>
  <dc:subject/>
  <dc:creator/>
  <cp:keywords/>
  <cp:lastModifiedBy/>
  <cp:revision>1</cp:revision>
  <dcterms:created xsi:type="dcterms:W3CDTF">2015-02-11T22:26:00Z</dcterms:created>
  <dcterms:modified xsi:type="dcterms:W3CDTF">2015-02-11T22:26:00Z</dcterms:modified>
</cp:coreProperties>
</file>