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B81B65" w:rsidP="005E7AAA">
      <w:pPr>
        <w:pStyle w:val="Title"/>
        <w:rPr>
          <w:b/>
          <w:color w:val="auto"/>
        </w:rPr>
      </w:pPr>
      <w:bookmarkStart w:id="0" w:name="_GoBack"/>
      <w:bookmarkEnd w:id="0"/>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B0461A" w:rsidRDefault="00EF6F1B" w:rsidP="00184FBD">
      <w:pPr>
        <w:pStyle w:val="Title"/>
        <w:rPr>
          <w:b/>
          <w:color w:val="auto"/>
        </w:rPr>
      </w:pPr>
      <w:bookmarkStart w:id="1" w:name="_Toc90808381"/>
      <w:bookmarkStart w:id="2" w:name="_Toc90808817"/>
      <w:bookmarkStart w:id="3" w:name="_Toc90957458"/>
      <w:bookmarkStart w:id="4" w:name="_Toc90977878"/>
      <w:bookmarkStart w:id="5" w:name="_Toc91318581"/>
      <w:bookmarkStart w:id="6" w:name="_Toc91390382"/>
      <w:bookmarkStart w:id="7" w:name="_Toc101073463"/>
      <w:bookmarkStart w:id="8" w:name="_Toc101073686"/>
      <w:bookmarkStart w:id="9" w:name="_Toc101254962"/>
      <w:bookmarkStart w:id="10" w:name="_Toc115841645"/>
      <w:bookmarkStart w:id="11" w:name="_Toc115841910"/>
      <w:bookmarkStart w:id="12" w:name="_Toc116366073"/>
      <w:bookmarkStart w:id="13" w:name="_Toc124925294"/>
      <w:bookmarkStart w:id="14" w:name="_Toc131378785"/>
      <w:r w:rsidRPr="00B0461A">
        <w:rPr>
          <w:b/>
          <w:color w:val="auto"/>
        </w:rPr>
        <w:t xml:space="preserve">Economic outlook for </w:t>
      </w:r>
      <w:bookmarkEnd w:id="1"/>
      <w:bookmarkEnd w:id="2"/>
      <w:bookmarkEnd w:id="3"/>
      <w:bookmarkEnd w:id="4"/>
      <w:bookmarkEnd w:id="5"/>
      <w:bookmarkEnd w:id="6"/>
      <w:bookmarkEnd w:id="7"/>
      <w:bookmarkEnd w:id="8"/>
      <w:bookmarkEnd w:id="9"/>
      <w:bookmarkEnd w:id="10"/>
      <w:bookmarkEnd w:id="11"/>
      <w:bookmarkEnd w:id="12"/>
      <w:bookmarkEnd w:id="13"/>
      <w:bookmarkEnd w:id="14"/>
      <w:r w:rsidR="004C7F6D" w:rsidRPr="00B0461A">
        <w:rPr>
          <w:b/>
          <w:color w:val="auto"/>
        </w:rPr>
        <w:t>2010-11</w:t>
      </w:r>
      <w:r w:rsidR="00CD56CB">
        <w:rPr>
          <w:b/>
          <w:color w:val="auto"/>
        </w:rPr>
        <w:t>, 2011-12</w:t>
      </w:r>
      <w:r w:rsidR="004E1829" w:rsidRPr="00B0461A">
        <w:rPr>
          <w:b/>
          <w:color w:val="auto"/>
        </w:rPr>
        <w:t xml:space="preserve"> and 201</w:t>
      </w:r>
      <w:r w:rsidR="00CD56CB">
        <w:rPr>
          <w:b/>
          <w:color w:val="auto"/>
        </w:rPr>
        <w:t>2</w:t>
      </w:r>
      <w:r w:rsidR="004E1829" w:rsidRPr="00B0461A">
        <w:rPr>
          <w:b/>
          <w:color w:val="auto"/>
        </w:rPr>
        <w:t>-1</w:t>
      </w:r>
      <w:r w:rsidR="00CD56CB">
        <w:rPr>
          <w:b/>
          <w:color w:val="auto"/>
        </w:rPr>
        <w:t>3</w:t>
      </w:r>
    </w:p>
    <w:p w:rsidR="00D86180" w:rsidRPr="00B0461A" w:rsidRDefault="00C960F2" w:rsidP="00184FBD">
      <w:pPr>
        <w:pStyle w:val="Title"/>
        <w:rPr>
          <w:b/>
          <w:color w:val="auto"/>
        </w:rPr>
      </w:pPr>
      <w:bookmarkStart w:id="15" w:name="_Toc115841647"/>
      <w:bookmarkStart w:id="16" w:name="_Toc115841912"/>
      <w:bookmarkStart w:id="17" w:name="_Toc116366075"/>
      <w:bookmarkStart w:id="18" w:name="_Toc124925296"/>
      <w:bookmarkStart w:id="19" w:name="_Toc131378787"/>
      <w:r>
        <w:rPr>
          <w:b/>
          <w:color w:val="auto"/>
        </w:rPr>
        <w:t>March</w:t>
      </w:r>
      <w:r w:rsidR="00CD56CB">
        <w:rPr>
          <w:b/>
          <w:color w:val="auto"/>
        </w:rPr>
        <w:t xml:space="preserve"> </w:t>
      </w:r>
      <w:r>
        <w:rPr>
          <w:b/>
          <w:color w:val="auto"/>
        </w:rPr>
        <w:t>2011</w:t>
      </w:r>
    </w:p>
    <w:p w:rsidR="00C825B7" w:rsidRPr="00FB09F4" w:rsidRDefault="00EF6F1B" w:rsidP="00184FBD">
      <w:pPr>
        <w:pStyle w:val="Title"/>
        <w:rPr>
          <w:color w:val="auto"/>
          <w:sz w:val="24"/>
          <w:szCs w:val="24"/>
        </w:rPr>
      </w:pPr>
      <w:bookmarkStart w:id="20" w:name="_Toc185499305"/>
      <w:r w:rsidRPr="00FB09F4">
        <w:rPr>
          <w:color w:val="auto"/>
          <w:sz w:val="24"/>
          <w:szCs w:val="24"/>
        </w:rPr>
        <w:t>(</w:t>
      </w:r>
      <w:r w:rsidR="00804C8B" w:rsidRPr="00FB09F4">
        <w:rPr>
          <w:color w:val="auto"/>
          <w:sz w:val="24"/>
          <w:szCs w:val="24"/>
        </w:rPr>
        <w:t>t</w:t>
      </w:r>
      <w:r w:rsidRPr="00FB09F4">
        <w:rPr>
          <w:color w:val="auto"/>
          <w:sz w:val="24"/>
          <w:szCs w:val="24"/>
        </w:rPr>
        <w:t>his report incorpora</w:t>
      </w:r>
      <w:r w:rsidR="001A4888" w:rsidRPr="00FB09F4">
        <w:rPr>
          <w:color w:val="auto"/>
          <w:sz w:val="24"/>
          <w:szCs w:val="24"/>
        </w:rPr>
        <w:t xml:space="preserve">tes </w:t>
      </w:r>
      <w:r w:rsidR="008A69FA" w:rsidRPr="00FB09F4">
        <w:rPr>
          <w:color w:val="auto"/>
          <w:sz w:val="24"/>
          <w:szCs w:val="24"/>
        </w:rPr>
        <w:t xml:space="preserve">domestic </w:t>
      </w:r>
      <w:r w:rsidR="009137A4" w:rsidRPr="00FB09F4">
        <w:rPr>
          <w:color w:val="auto"/>
          <w:sz w:val="24"/>
          <w:szCs w:val="24"/>
        </w:rPr>
        <w:t xml:space="preserve">and international </w:t>
      </w:r>
      <w:r w:rsidR="001A4888" w:rsidRPr="00FB09F4">
        <w:rPr>
          <w:color w:val="auto"/>
          <w:sz w:val="24"/>
          <w:szCs w:val="24"/>
        </w:rPr>
        <w:t>data released up</w:t>
      </w:r>
      <w:r w:rsidR="000510A0" w:rsidRPr="00FB09F4">
        <w:rPr>
          <w:color w:val="auto"/>
          <w:sz w:val="24"/>
          <w:szCs w:val="24"/>
        </w:rPr>
        <w:t xml:space="preserve"> </w:t>
      </w:r>
      <w:r w:rsidR="00234D4B" w:rsidRPr="00FB09F4">
        <w:rPr>
          <w:color w:val="auto"/>
          <w:sz w:val="24"/>
          <w:szCs w:val="24"/>
        </w:rPr>
        <w:t xml:space="preserve">to </w:t>
      </w:r>
      <w:bookmarkStart w:id="21" w:name="OLE_LINK8"/>
      <w:bookmarkStart w:id="22" w:name="OLE_LINK9"/>
      <w:r w:rsidR="00E72B47" w:rsidRPr="00FB09F4">
        <w:rPr>
          <w:color w:val="auto"/>
          <w:sz w:val="24"/>
          <w:szCs w:val="24"/>
        </w:rPr>
        <w:br/>
      </w:r>
      <w:r w:rsidR="008D3179">
        <w:rPr>
          <w:color w:val="auto"/>
          <w:sz w:val="24"/>
          <w:szCs w:val="24"/>
        </w:rPr>
        <w:t>22</w:t>
      </w:r>
      <w:r w:rsidR="00E72B47" w:rsidRPr="00FB09F4">
        <w:rPr>
          <w:color w:val="auto"/>
          <w:sz w:val="24"/>
          <w:szCs w:val="24"/>
        </w:rPr>
        <w:t xml:space="preserve"> </w:t>
      </w:r>
      <w:r w:rsidR="00C960F2">
        <w:rPr>
          <w:color w:val="auto"/>
          <w:sz w:val="24"/>
          <w:szCs w:val="24"/>
        </w:rPr>
        <w:t>March</w:t>
      </w:r>
      <w:r w:rsidR="008043A8" w:rsidRPr="00FB09F4">
        <w:rPr>
          <w:color w:val="auto"/>
          <w:sz w:val="24"/>
          <w:szCs w:val="24"/>
        </w:rPr>
        <w:t xml:space="preserve"> </w:t>
      </w:r>
      <w:r w:rsidR="000510A0" w:rsidRPr="00FB09F4">
        <w:rPr>
          <w:color w:val="auto"/>
          <w:sz w:val="24"/>
          <w:szCs w:val="24"/>
        </w:rPr>
        <w:t>20</w:t>
      </w:r>
      <w:bookmarkEnd w:id="21"/>
      <w:bookmarkEnd w:id="22"/>
      <w:r w:rsidR="00C960F2">
        <w:rPr>
          <w:color w:val="auto"/>
          <w:sz w:val="24"/>
          <w:szCs w:val="24"/>
        </w:rPr>
        <w:t>11</w:t>
      </w:r>
      <w:r w:rsidRPr="00FB09F4">
        <w:rPr>
          <w:color w:val="auto"/>
          <w:sz w:val="24"/>
          <w:szCs w:val="24"/>
        </w:rPr>
        <w:t>)</w:t>
      </w:r>
      <w:bookmarkEnd w:id="15"/>
      <w:bookmarkEnd w:id="16"/>
      <w:bookmarkEnd w:id="17"/>
      <w:bookmarkEnd w:id="18"/>
      <w:bookmarkEnd w:id="19"/>
      <w:bookmarkEnd w:id="20"/>
    </w:p>
    <w:p w:rsidR="00A472A1" w:rsidRDefault="00A8671C">
      <w:pPr>
        <w:pStyle w:val="TOC3"/>
      </w:pPr>
      <w:r w:rsidRPr="003344B0">
        <w:rPr>
          <w:b w:val="0"/>
          <w:highlight w:val="yellow"/>
        </w:rPr>
        <w:br w:type="page"/>
      </w:r>
      <w:r w:rsidR="004D4273" w:rsidRPr="003344B0">
        <w:rPr>
          <w:b w:val="0"/>
          <w:highlight w:val="yellow"/>
        </w:rPr>
        <w:lastRenderedPageBreak/>
        <w:fldChar w:fldCharType="begin"/>
      </w:r>
      <w:r w:rsidR="00C825B7" w:rsidRPr="003344B0">
        <w:rPr>
          <w:b w:val="0"/>
          <w:highlight w:val="yellow"/>
        </w:rPr>
        <w:instrText xml:space="preserve"> TOC \o "1-4" \h \z \u </w:instrText>
      </w:r>
      <w:r w:rsidR="004D4273" w:rsidRPr="003344B0">
        <w:rPr>
          <w:b w:val="0"/>
          <w:highlight w:val="yellow"/>
        </w:rPr>
        <w:fldChar w:fldCharType="separate"/>
      </w:r>
    </w:p>
    <w:p w:rsidR="00A472A1" w:rsidRDefault="00497F2E">
      <w:pPr>
        <w:pStyle w:val="TOC3"/>
        <w:rPr>
          <w:rFonts w:asciiTheme="minorHAnsi" w:eastAsiaTheme="minorEastAsia" w:hAnsiTheme="minorHAnsi" w:cstheme="minorBidi"/>
          <w:b w:val="0"/>
          <w:sz w:val="22"/>
          <w:szCs w:val="22"/>
          <w:lang w:eastAsia="en-AU"/>
        </w:rPr>
      </w:pPr>
      <w:hyperlink w:anchor="_Toc289277421" w:history="1">
        <w:r w:rsidR="00A472A1" w:rsidRPr="009E7210">
          <w:rPr>
            <w:rStyle w:val="Hyperlink"/>
          </w:rPr>
          <w:t>Overview</w:t>
        </w:r>
        <w:r w:rsidR="00A472A1">
          <w:rPr>
            <w:webHidden/>
          </w:rPr>
          <w:tab/>
        </w:r>
        <w:r w:rsidR="00A472A1">
          <w:rPr>
            <w:webHidden/>
          </w:rPr>
          <w:fldChar w:fldCharType="begin"/>
        </w:r>
        <w:r w:rsidR="00A472A1">
          <w:rPr>
            <w:webHidden/>
          </w:rPr>
          <w:instrText xml:space="preserve"> PAGEREF _Toc289277421 \h </w:instrText>
        </w:r>
        <w:r w:rsidR="00A472A1">
          <w:rPr>
            <w:webHidden/>
          </w:rPr>
        </w:r>
        <w:r w:rsidR="00A472A1">
          <w:rPr>
            <w:webHidden/>
          </w:rPr>
          <w:fldChar w:fldCharType="separate"/>
        </w:r>
        <w:r w:rsidR="002B3639">
          <w:rPr>
            <w:webHidden/>
          </w:rPr>
          <w:t>3</w:t>
        </w:r>
        <w:r w:rsidR="00A472A1">
          <w:rPr>
            <w:webHidden/>
          </w:rPr>
          <w:fldChar w:fldCharType="end"/>
        </w:r>
      </w:hyperlink>
    </w:p>
    <w:p w:rsidR="00A472A1" w:rsidRDefault="00497F2E">
      <w:pPr>
        <w:pStyle w:val="TOC3"/>
        <w:rPr>
          <w:rFonts w:asciiTheme="minorHAnsi" w:eastAsiaTheme="minorEastAsia" w:hAnsiTheme="minorHAnsi" w:cstheme="minorBidi"/>
          <w:b w:val="0"/>
          <w:sz w:val="22"/>
          <w:szCs w:val="22"/>
          <w:lang w:eastAsia="en-AU"/>
        </w:rPr>
      </w:pPr>
      <w:hyperlink w:anchor="_Toc289277422" w:history="1">
        <w:r w:rsidR="00A472A1" w:rsidRPr="009E7210">
          <w:rPr>
            <w:rStyle w:val="Hyperlink"/>
          </w:rPr>
          <w:t>Outlook for the domestic economy</w:t>
        </w:r>
        <w:r w:rsidR="00A472A1">
          <w:rPr>
            <w:webHidden/>
          </w:rPr>
          <w:tab/>
        </w:r>
        <w:r w:rsidR="00A472A1">
          <w:rPr>
            <w:webHidden/>
          </w:rPr>
          <w:fldChar w:fldCharType="begin"/>
        </w:r>
        <w:r w:rsidR="00A472A1">
          <w:rPr>
            <w:webHidden/>
          </w:rPr>
          <w:instrText xml:space="preserve"> PAGEREF _Toc289277422 \h </w:instrText>
        </w:r>
        <w:r w:rsidR="00A472A1">
          <w:rPr>
            <w:webHidden/>
          </w:rPr>
        </w:r>
        <w:r w:rsidR="00A472A1">
          <w:rPr>
            <w:webHidden/>
          </w:rPr>
          <w:fldChar w:fldCharType="separate"/>
        </w:r>
        <w:r w:rsidR="002B3639">
          <w:rPr>
            <w:webHidden/>
          </w:rPr>
          <w:t>7</w:t>
        </w:r>
        <w:r w:rsidR="00A472A1">
          <w:rPr>
            <w:webHidden/>
          </w:rPr>
          <w:fldChar w:fldCharType="end"/>
        </w:r>
      </w:hyperlink>
    </w:p>
    <w:p w:rsidR="00A472A1" w:rsidRDefault="00497F2E">
      <w:pPr>
        <w:pStyle w:val="TOC4"/>
        <w:rPr>
          <w:rFonts w:asciiTheme="minorHAnsi" w:eastAsiaTheme="minorEastAsia" w:hAnsiTheme="minorHAnsi" w:cstheme="minorBidi"/>
          <w:i w:val="0"/>
          <w:sz w:val="22"/>
          <w:szCs w:val="22"/>
          <w:lang w:eastAsia="en-AU"/>
        </w:rPr>
      </w:pPr>
      <w:hyperlink w:anchor="_Toc289277423" w:history="1">
        <w:r w:rsidR="00A472A1" w:rsidRPr="009E7210">
          <w:rPr>
            <w:rStyle w:val="Hyperlink"/>
          </w:rPr>
          <w:t>Household consumption</w:t>
        </w:r>
        <w:r w:rsidR="00A472A1">
          <w:rPr>
            <w:webHidden/>
          </w:rPr>
          <w:tab/>
        </w:r>
        <w:r w:rsidR="00A472A1">
          <w:rPr>
            <w:webHidden/>
          </w:rPr>
          <w:fldChar w:fldCharType="begin"/>
        </w:r>
        <w:r w:rsidR="00A472A1">
          <w:rPr>
            <w:webHidden/>
          </w:rPr>
          <w:instrText xml:space="preserve"> PAGEREF _Toc289277423 \h </w:instrText>
        </w:r>
        <w:r w:rsidR="00A472A1">
          <w:rPr>
            <w:webHidden/>
          </w:rPr>
        </w:r>
        <w:r w:rsidR="00A472A1">
          <w:rPr>
            <w:webHidden/>
          </w:rPr>
          <w:fldChar w:fldCharType="separate"/>
        </w:r>
        <w:r w:rsidR="002B3639">
          <w:rPr>
            <w:webHidden/>
          </w:rPr>
          <w:t>7</w:t>
        </w:r>
        <w:r w:rsidR="00A472A1">
          <w:rPr>
            <w:webHidden/>
          </w:rPr>
          <w:fldChar w:fldCharType="end"/>
        </w:r>
      </w:hyperlink>
    </w:p>
    <w:p w:rsidR="00A472A1" w:rsidRDefault="00497F2E">
      <w:pPr>
        <w:pStyle w:val="TOC4"/>
        <w:rPr>
          <w:rFonts w:asciiTheme="minorHAnsi" w:eastAsiaTheme="minorEastAsia" w:hAnsiTheme="minorHAnsi" w:cstheme="minorBidi"/>
          <w:i w:val="0"/>
          <w:sz w:val="22"/>
          <w:szCs w:val="22"/>
          <w:lang w:eastAsia="en-AU"/>
        </w:rPr>
      </w:pPr>
      <w:hyperlink w:anchor="_Toc289277424" w:history="1">
        <w:r w:rsidR="00A472A1" w:rsidRPr="009E7210">
          <w:rPr>
            <w:rStyle w:val="Hyperlink"/>
          </w:rPr>
          <w:t>Dwelling investment</w:t>
        </w:r>
        <w:r w:rsidR="00A472A1">
          <w:rPr>
            <w:webHidden/>
          </w:rPr>
          <w:tab/>
        </w:r>
        <w:r w:rsidR="00A472A1">
          <w:rPr>
            <w:webHidden/>
          </w:rPr>
          <w:fldChar w:fldCharType="begin"/>
        </w:r>
        <w:r w:rsidR="00A472A1">
          <w:rPr>
            <w:webHidden/>
          </w:rPr>
          <w:instrText xml:space="preserve"> PAGEREF _Toc289277424 \h </w:instrText>
        </w:r>
        <w:r w:rsidR="00A472A1">
          <w:rPr>
            <w:webHidden/>
          </w:rPr>
        </w:r>
        <w:r w:rsidR="00A472A1">
          <w:rPr>
            <w:webHidden/>
          </w:rPr>
          <w:fldChar w:fldCharType="separate"/>
        </w:r>
        <w:r w:rsidR="002B3639">
          <w:rPr>
            <w:webHidden/>
          </w:rPr>
          <w:t>8</w:t>
        </w:r>
        <w:r w:rsidR="00A472A1">
          <w:rPr>
            <w:webHidden/>
          </w:rPr>
          <w:fldChar w:fldCharType="end"/>
        </w:r>
      </w:hyperlink>
    </w:p>
    <w:p w:rsidR="00A472A1" w:rsidRDefault="00497F2E">
      <w:pPr>
        <w:pStyle w:val="TOC4"/>
        <w:rPr>
          <w:rFonts w:asciiTheme="minorHAnsi" w:eastAsiaTheme="minorEastAsia" w:hAnsiTheme="minorHAnsi" w:cstheme="minorBidi"/>
          <w:i w:val="0"/>
          <w:sz w:val="22"/>
          <w:szCs w:val="22"/>
          <w:lang w:eastAsia="en-AU"/>
        </w:rPr>
      </w:pPr>
      <w:hyperlink w:anchor="_Toc289277425" w:history="1">
        <w:r w:rsidR="00A472A1" w:rsidRPr="009E7210">
          <w:rPr>
            <w:rStyle w:val="Hyperlink"/>
          </w:rPr>
          <w:t>Business investment</w:t>
        </w:r>
        <w:r w:rsidR="00A472A1">
          <w:rPr>
            <w:webHidden/>
          </w:rPr>
          <w:tab/>
        </w:r>
        <w:r w:rsidR="00A472A1">
          <w:rPr>
            <w:webHidden/>
          </w:rPr>
          <w:fldChar w:fldCharType="begin"/>
        </w:r>
        <w:r w:rsidR="00A472A1">
          <w:rPr>
            <w:webHidden/>
          </w:rPr>
          <w:instrText xml:space="preserve"> PAGEREF _Toc289277425 \h </w:instrText>
        </w:r>
        <w:r w:rsidR="00A472A1">
          <w:rPr>
            <w:webHidden/>
          </w:rPr>
        </w:r>
        <w:r w:rsidR="00A472A1">
          <w:rPr>
            <w:webHidden/>
          </w:rPr>
          <w:fldChar w:fldCharType="separate"/>
        </w:r>
        <w:r w:rsidR="002B3639">
          <w:rPr>
            <w:webHidden/>
          </w:rPr>
          <w:t>8</w:t>
        </w:r>
        <w:r w:rsidR="00A472A1">
          <w:rPr>
            <w:webHidden/>
          </w:rPr>
          <w:fldChar w:fldCharType="end"/>
        </w:r>
      </w:hyperlink>
    </w:p>
    <w:p w:rsidR="00A472A1" w:rsidRDefault="00497F2E">
      <w:pPr>
        <w:pStyle w:val="TOC4"/>
        <w:rPr>
          <w:rFonts w:asciiTheme="minorHAnsi" w:eastAsiaTheme="minorEastAsia" w:hAnsiTheme="minorHAnsi" w:cstheme="minorBidi"/>
          <w:i w:val="0"/>
          <w:sz w:val="22"/>
          <w:szCs w:val="22"/>
          <w:lang w:eastAsia="en-AU"/>
        </w:rPr>
      </w:pPr>
      <w:hyperlink w:anchor="_Toc289277426" w:history="1">
        <w:r w:rsidR="00A472A1" w:rsidRPr="009E7210">
          <w:rPr>
            <w:rStyle w:val="Hyperlink"/>
          </w:rPr>
          <w:t>Public final demand</w:t>
        </w:r>
        <w:r w:rsidR="00A472A1">
          <w:rPr>
            <w:webHidden/>
          </w:rPr>
          <w:tab/>
        </w:r>
        <w:r w:rsidR="00A472A1">
          <w:rPr>
            <w:webHidden/>
          </w:rPr>
          <w:fldChar w:fldCharType="begin"/>
        </w:r>
        <w:r w:rsidR="00A472A1">
          <w:rPr>
            <w:webHidden/>
          </w:rPr>
          <w:instrText xml:space="preserve"> PAGEREF _Toc289277426 \h </w:instrText>
        </w:r>
        <w:r w:rsidR="00A472A1">
          <w:rPr>
            <w:webHidden/>
          </w:rPr>
        </w:r>
        <w:r w:rsidR="00A472A1">
          <w:rPr>
            <w:webHidden/>
          </w:rPr>
          <w:fldChar w:fldCharType="separate"/>
        </w:r>
        <w:r w:rsidR="002B3639">
          <w:rPr>
            <w:webHidden/>
          </w:rPr>
          <w:t>9</w:t>
        </w:r>
        <w:r w:rsidR="00A472A1">
          <w:rPr>
            <w:webHidden/>
          </w:rPr>
          <w:fldChar w:fldCharType="end"/>
        </w:r>
      </w:hyperlink>
    </w:p>
    <w:p w:rsidR="00A472A1" w:rsidRDefault="00497F2E">
      <w:pPr>
        <w:pStyle w:val="TOC4"/>
        <w:rPr>
          <w:rFonts w:asciiTheme="minorHAnsi" w:eastAsiaTheme="minorEastAsia" w:hAnsiTheme="minorHAnsi" w:cstheme="minorBidi"/>
          <w:i w:val="0"/>
          <w:sz w:val="22"/>
          <w:szCs w:val="22"/>
          <w:lang w:eastAsia="en-AU"/>
        </w:rPr>
      </w:pPr>
      <w:hyperlink w:anchor="_Toc289277427" w:history="1">
        <w:r w:rsidR="00A472A1" w:rsidRPr="009E7210">
          <w:rPr>
            <w:rStyle w:val="Hyperlink"/>
          </w:rPr>
          <w:t>Exports, imports and the current account deficit</w:t>
        </w:r>
        <w:r w:rsidR="00A472A1">
          <w:rPr>
            <w:webHidden/>
          </w:rPr>
          <w:tab/>
        </w:r>
        <w:r w:rsidR="00A472A1">
          <w:rPr>
            <w:webHidden/>
          </w:rPr>
          <w:fldChar w:fldCharType="begin"/>
        </w:r>
        <w:r w:rsidR="00A472A1">
          <w:rPr>
            <w:webHidden/>
          </w:rPr>
          <w:instrText xml:space="preserve"> PAGEREF _Toc289277427 \h </w:instrText>
        </w:r>
        <w:r w:rsidR="00A472A1">
          <w:rPr>
            <w:webHidden/>
          </w:rPr>
        </w:r>
        <w:r w:rsidR="00A472A1">
          <w:rPr>
            <w:webHidden/>
          </w:rPr>
          <w:fldChar w:fldCharType="separate"/>
        </w:r>
        <w:r w:rsidR="002B3639">
          <w:rPr>
            <w:webHidden/>
          </w:rPr>
          <w:t>10</w:t>
        </w:r>
        <w:r w:rsidR="00A472A1">
          <w:rPr>
            <w:webHidden/>
          </w:rPr>
          <w:fldChar w:fldCharType="end"/>
        </w:r>
      </w:hyperlink>
    </w:p>
    <w:p w:rsidR="00A472A1" w:rsidRDefault="00497F2E">
      <w:pPr>
        <w:pStyle w:val="TOC4"/>
        <w:rPr>
          <w:rFonts w:asciiTheme="minorHAnsi" w:eastAsiaTheme="minorEastAsia" w:hAnsiTheme="minorHAnsi" w:cstheme="minorBidi"/>
          <w:i w:val="0"/>
          <w:sz w:val="22"/>
          <w:szCs w:val="22"/>
          <w:lang w:eastAsia="en-AU"/>
        </w:rPr>
      </w:pPr>
      <w:hyperlink w:anchor="_Toc289277428" w:history="1">
        <w:r w:rsidR="00A472A1" w:rsidRPr="009E7210">
          <w:rPr>
            <w:rStyle w:val="Hyperlink"/>
          </w:rPr>
          <w:t>Employment, wages and inflation</w:t>
        </w:r>
        <w:r w:rsidR="00A472A1">
          <w:rPr>
            <w:webHidden/>
          </w:rPr>
          <w:tab/>
        </w:r>
        <w:r w:rsidR="00A472A1">
          <w:rPr>
            <w:webHidden/>
          </w:rPr>
          <w:fldChar w:fldCharType="begin"/>
        </w:r>
        <w:r w:rsidR="00A472A1">
          <w:rPr>
            <w:webHidden/>
          </w:rPr>
          <w:instrText xml:space="preserve"> PAGEREF _Toc289277428 \h </w:instrText>
        </w:r>
        <w:r w:rsidR="00A472A1">
          <w:rPr>
            <w:webHidden/>
          </w:rPr>
        </w:r>
        <w:r w:rsidR="00A472A1">
          <w:rPr>
            <w:webHidden/>
          </w:rPr>
          <w:fldChar w:fldCharType="separate"/>
        </w:r>
        <w:r w:rsidR="002B3639">
          <w:rPr>
            <w:webHidden/>
          </w:rPr>
          <w:t>12</w:t>
        </w:r>
        <w:r w:rsidR="00A472A1">
          <w:rPr>
            <w:webHidden/>
          </w:rPr>
          <w:fldChar w:fldCharType="end"/>
        </w:r>
      </w:hyperlink>
    </w:p>
    <w:p w:rsidR="00A472A1" w:rsidRDefault="00497F2E">
      <w:pPr>
        <w:pStyle w:val="TOC3"/>
        <w:rPr>
          <w:rFonts w:asciiTheme="minorHAnsi" w:eastAsiaTheme="minorEastAsia" w:hAnsiTheme="minorHAnsi" w:cstheme="minorBidi"/>
          <w:b w:val="0"/>
          <w:sz w:val="22"/>
          <w:szCs w:val="22"/>
          <w:lang w:eastAsia="en-AU"/>
        </w:rPr>
      </w:pPr>
      <w:hyperlink w:anchor="_Toc289277429" w:history="1">
        <w:r w:rsidR="00A472A1" w:rsidRPr="009E7210">
          <w:rPr>
            <w:rStyle w:val="Hyperlink"/>
          </w:rPr>
          <w:t>Box 1: Impact of Floods and Cyclone Yasi</w:t>
        </w:r>
        <w:r w:rsidR="00A472A1">
          <w:rPr>
            <w:webHidden/>
          </w:rPr>
          <w:tab/>
        </w:r>
        <w:r w:rsidR="00A472A1">
          <w:rPr>
            <w:webHidden/>
          </w:rPr>
          <w:fldChar w:fldCharType="begin"/>
        </w:r>
        <w:r w:rsidR="00A472A1">
          <w:rPr>
            <w:webHidden/>
          </w:rPr>
          <w:instrText xml:space="preserve"> PAGEREF _Toc289277429 \h </w:instrText>
        </w:r>
        <w:r w:rsidR="00A472A1">
          <w:rPr>
            <w:webHidden/>
          </w:rPr>
        </w:r>
        <w:r w:rsidR="00A472A1">
          <w:rPr>
            <w:webHidden/>
          </w:rPr>
          <w:fldChar w:fldCharType="separate"/>
        </w:r>
        <w:r w:rsidR="002B3639">
          <w:rPr>
            <w:webHidden/>
          </w:rPr>
          <w:t>14</w:t>
        </w:r>
        <w:r w:rsidR="00A472A1">
          <w:rPr>
            <w:webHidden/>
          </w:rPr>
          <w:fldChar w:fldCharType="end"/>
        </w:r>
      </w:hyperlink>
    </w:p>
    <w:p w:rsidR="00A472A1" w:rsidRDefault="00497F2E">
      <w:pPr>
        <w:pStyle w:val="TOC3"/>
        <w:rPr>
          <w:rFonts w:asciiTheme="minorHAnsi" w:eastAsiaTheme="minorEastAsia" w:hAnsiTheme="minorHAnsi" w:cstheme="minorBidi"/>
          <w:b w:val="0"/>
          <w:sz w:val="22"/>
          <w:szCs w:val="22"/>
          <w:lang w:eastAsia="en-AU"/>
        </w:rPr>
      </w:pPr>
      <w:hyperlink w:anchor="_Toc289277430" w:history="1">
        <w:r w:rsidR="00A472A1" w:rsidRPr="009E7210">
          <w:rPr>
            <w:rStyle w:val="Hyperlink"/>
          </w:rPr>
          <w:t>Outlook for the international economy</w:t>
        </w:r>
        <w:r w:rsidR="00A472A1">
          <w:rPr>
            <w:webHidden/>
          </w:rPr>
          <w:tab/>
        </w:r>
        <w:r w:rsidR="00A472A1">
          <w:rPr>
            <w:webHidden/>
          </w:rPr>
          <w:fldChar w:fldCharType="begin"/>
        </w:r>
        <w:r w:rsidR="00A472A1">
          <w:rPr>
            <w:webHidden/>
          </w:rPr>
          <w:instrText xml:space="preserve"> PAGEREF _Toc289277430 \h </w:instrText>
        </w:r>
        <w:r w:rsidR="00A472A1">
          <w:rPr>
            <w:webHidden/>
          </w:rPr>
        </w:r>
        <w:r w:rsidR="00A472A1">
          <w:rPr>
            <w:webHidden/>
          </w:rPr>
          <w:fldChar w:fldCharType="separate"/>
        </w:r>
        <w:r w:rsidR="002B3639">
          <w:rPr>
            <w:webHidden/>
          </w:rPr>
          <w:t>15</w:t>
        </w:r>
        <w:r w:rsidR="00A472A1">
          <w:rPr>
            <w:webHidden/>
          </w:rPr>
          <w:fldChar w:fldCharType="end"/>
        </w:r>
      </w:hyperlink>
    </w:p>
    <w:p w:rsidR="00A472A1" w:rsidRDefault="00497F2E">
      <w:pPr>
        <w:pStyle w:val="TOC4"/>
        <w:rPr>
          <w:rFonts w:asciiTheme="minorHAnsi" w:eastAsiaTheme="minorEastAsia" w:hAnsiTheme="minorHAnsi" w:cstheme="minorBidi"/>
          <w:i w:val="0"/>
          <w:sz w:val="22"/>
          <w:szCs w:val="22"/>
          <w:lang w:eastAsia="en-AU"/>
        </w:rPr>
      </w:pPr>
      <w:hyperlink w:anchor="_Toc289277431" w:history="1">
        <w:r w:rsidR="00A472A1" w:rsidRPr="009E7210">
          <w:rPr>
            <w:rStyle w:val="Hyperlink"/>
          </w:rPr>
          <w:t>World outlook and risks</w:t>
        </w:r>
        <w:r w:rsidR="00A472A1">
          <w:rPr>
            <w:webHidden/>
          </w:rPr>
          <w:tab/>
        </w:r>
        <w:r w:rsidR="00A472A1">
          <w:rPr>
            <w:webHidden/>
          </w:rPr>
          <w:fldChar w:fldCharType="begin"/>
        </w:r>
        <w:r w:rsidR="00A472A1">
          <w:rPr>
            <w:webHidden/>
          </w:rPr>
          <w:instrText xml:space="preserve"> PAGEREF _Toc289277431 \h </w:instrText>
        </w:r>
        <w:r w:rsidR="00A472A1">
          <w:rPr>
            <w:webHidden/>
          </w:rPr>
        </w:r>
        <w:r w:rsidR="00A472A1">
          <w:rPr>
            <w:webHidden/>
          </w:rPr>
          <w:fldChar w:fldCharType="separate"/>
        </w:r>
        <w:r w:rsidR="002B3639">
          <w:rPr>
            <w:webHidden/>
          </w:rPr>
          <w:t>15</w:t>
        </w:r>
        <w:r w:rsidR="00A472A1">
          <w:rPr>
            <w:webHidden/>
          </w:rPr>
          <w:fldChar w:fldCharType="end"/>
        </w:r>
      </w:hyperlink>
    </w:p>
    <w:p w:rsidR="00A472A1" w:rsidRDefault="00497F2E">
      <w:pPr>
        <w:pStyle w:val="TOC4"/>
        <w:rPr>
          <w:rFonts w:asciiTheme="minorHAnsi" w:eastAsiaTheme="minorEastAsia" w:hAnsiTheme="minorHAnsi" w:cstheme="minorBidi"/>
          <w:i w:val="0"/>
          <w:sz w:val="22"/>
          <w:szCs w:val="22"/>
          <w:lang w:eastAsia="en-AU"/>
        </w:rPr>
      </w:pPr>
      <w:hyperlink w:anchor="_Toc289277432" w:history="1">
        <w:r w:rsidR="00A472A1" w:rsidRPr="009E7210">
          <w:rPr>
            <w:rStyle w:val="Hyperlink"/>
          </w:rPr>
          <w:t>Country summaries</w:t>
        </w:r>
        <w:r w:rsidR="00A472A1">
          <w:rPr>
            <w:webHidden/>
          </w:rPr>
          <w:tab/>
        </w:r>
        <w:r w:rsidR="00A472A1">
          <w:rPr>
            <w:webHidden/>
          </w:rPr>
          <w:fldChar w:fldCharType="begin"/>
        </w:r>
        <w:r w:rsidR="00A472A1">
          <w:rPr>
            <w:webHidden/>
          </w:rPr>
          <w:instrText xml:space="preserve"> PAGEREF _Toc289277432 \h </w:instrText>
        </w:r>
        <w:r w:rsidR="00A472A1">
          <w:rPr>
            <w:webHidden/>
          </w:rPr>
        </w:r>
        <w:r w:rsidR="00A472A1">
          <w:rPr>
            <w:webHidden/>
          </w:rPr>
          <w:fldChar w:fldCharType="separate"/>
        </w:r>
        <w:r w:rsidR="002B3639">
          <w:rPr>
            <w:webHidden/>
          </w:rPr>
          <w:t>16</w:t>
        </w:r>
        <w:r w:rsidR="00A472A1">
          <w:rPr>
            <w:webHidden/>
          </w:rPr>
          <w:fldChar w:fldCharType="end"/>
        </w:r>
      </w:hyperlink>
    </w:p>
    <w:p w:rsidR="00A472A1" w:rsidRDefault="00497F2E">
      <w:pPr>
        <w:pStyle w:val="TOC3"/>
        <w:rPr>
          <w:rFonts w:asciiTheme="minorHAnsi" w:eastAsiaTheme="minorEastAsia" w:hAnsiTheme="minorHAnsi" w:cstheme="minorBidi"/>
          <w:b w:val="0"/>
          <w:sz w:val="22"/>
          <w:szCs w:val="22"/>
          <w:lang w:eastAsia="en-AU"/>
        </w:rPr>
      </w:pPr>
      <w:hyperlink w:anchor="_Toc289277433" w:history="1">
        <w:r w:rsidR="00A472A1" w:rsidRPr="009E7210">
          <w:rPr>
            <w:rStyle w:val="Hyperlink"/>
          </w:rPr>
          <w:t>Attachment: Nominal GDP</w:t>
        </w:r>
        <w:r w:rsidR="00A472A1">
          <w:rPr>
            <w:webHidden/>
          </w:rPr>
          <w:tab/>
        </w:r>
        <w:r w:rsidR="00A472A1">
          <w:rPr>
            <w:webHidden/>
          </w:rPr>
          <w:fldChar w:fldCharType="begin"/>
        </w:r>
        <w:r w:rsidR="00A472A1">
          <w:rPr>
            <w:webHidden/>
          </w:rPr>
          <w:instrText xml:space="preserve"> PAGEREF _Toc289277433 \h </w:instrText>
        </w:r>
        <w:r w:rsidR="00A472A1">
          <w:rPr>
            <w:webHidden/>
          </w:rPr>
        </w:r>
        <w:r w:rsidR="00A472A1">
          <w:rPr>
            <w:webHidden/>
          </w:rPr>
          <w:fldChar w:fldCharType="separate"/>
        </w:r>
        <w:r w:rsidR="002B3639">
          <w:rPr>
            <w:webHidden/>
          </w:rPr>
          <w:t>19</w:t>
        </w:r>
        <w:r w:rsidR="00A472A1">
          <w:rPr>
            <w:webHidden/>
          </w:rPr>
          <w:fldChar w:fldCharType="end"/>
        </w:r>
      </w:hyperlink>
    </w:p>
    <w:p w:rsidR="005964C3" w:rsidRPr="003344B0" w:rsidRDefault="004D4273" w:rsidP="00A16F7F">
      <w:pPr>
        <w:pStyle w:val="Title"/>
        <w:outlineLvl w:val="0"/>
        <w:rPr>
          <w:b/>
          <w:color w:val="auto"/>
          <w:sz w:val="24"/>
          <w:szCs w:val="24"/>
          <w:highlight w:val="yellow"/>
        </w:rPr>
        <w:sectPr w:rsidR="005964C3" w:rsidRPr="003344B0" w:rsidSect="00412C66">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567" w:footer="567" w:gutter="0"/>
          <w:cols w:space="720"/>
          <w:titlePg/>
        </w:sectPr>
      </w:pPr>
      <w:r w:rsidRPr="003344B0">
        <w:rPr>
          <w:color w:val="auto"/>
          <w:highlight w:val="yellow"/>
        </w:rPr>
        <w:fldChar w:fldCharType="end"/>
      </w:r>
    </w:p>
    <w:p w:rsidR="00E9529C" w:rsidRPr="00F61A2D" w:rsidRDefault="00EF6F1B" w:rsidP="00BE6061">
      <w:pPr>
        <w:pStyle w:val="Heading3"/>
      </w:pPr>
      <w:bookmarkStart w:id="23" w:name="_Toc90977883"/>
      <w:bookmarkStart w:id="24" w:name="_Toc185498655"/>
      <w:bookmarkStart w:id="25" w:name="_Toc289277421"/>
      <w:r w:rsidRPr="00F61A2D">
        <w:lastRenderedPageBreak/>
        <w:t>Overview</w:t>
      </w:r>
      <w:bookmarkStart w:id="26" w:name="_Toc90977892"/>
      <w:bookmarkEnd w:id="23"/>
      <w:bookmarkEnd w:id="24"/>
      <w:bookmarkEnd w:id="25"/>
    </w:p>
    <w:p w:rsidR="00BB3961" w:rsidRDefault="00BB3961" w:rsidP="00BB3961">
      <w:r>
        <w:t>The recent natural disasters in Australia</w:t>
      </w:r>
      <w:r w:rsidR="00866A7D">
        <w:t>,</w:t>
      </w:r>
      <w:r>
        <w:t xml:space="preserve"> Japan </w:t>
      </w:r>
      <w:r w:rsidR="00866A7D">
        <w:t xml:space="preserve">and (to a more limited extent) New Zealand, </w:t>
      </w:r>
      <w:r>
        <w:t>will weigh on Australia’s economic growth in the first half of 2011</w:t>
      </w:r>
      <w:r w:rsidR="00987A06">
        <w:t xml:space="preserve">, but </w:t>
      </w:r>
      <w:r>
        <w:t xml:space="preserve">the </w:t>
      </w:r>
      <w:r w:rsidR="00987A06">
        <w:t xml:space="preserve">negative </w:t>
      </w:r>
      <w:r>
        <w:t xml:space="preserve">impacts are expected to be temporary. The medium-term outlook for the Australian economy has strengthened since December JEFG, driven by the resources sector. Global prices for Australia’s bulk commodity exports have risen, pushing the terms of trade to record highs, and forecast growth in resources investment and non-rural commodity exports has increased. </w:t>
      </w:r>
      <w:r w:rsidR="00866A7D">
        <w:t>S</w:t>
      </w:r>
      <w:r>
        <w:t xml:space="preserve">trength in the broader economy depends in part on the extent to which the resources boom supports growth in other sectors and </w:t>
      </w:r>
      <w:r w:rsidR="00987A06">
        <w:t>whether</w:t>
      </w:r>
      <w:r>
        <w:t xml:space="preserve"> households remain </w:t>
      </w:r>
      <w:r w:rsidR="00987A06">
        <w:t xml:space="preserve">as </w:t>
      </w:r>
      <w:r>
        <w:t xml:space="preserve">cautious in their spending </w:t>
      </w:r>
      <w:r w:rsidR="00987A06">
        <w:t>behaviour</w:t>
      </w:r>
      <w:r>
        <w:t>. With real GDP growth expected to be above</w:t>
      </w:r>
      <w:r>
        <w:noBreakHyphen/>
        <w:t>trend in 2011-12 and 2012</w:t>
      </w:r>
      <w:r>
        <w:noBreakHyphen/>
        <w:t>13, the economy is expected to reach full employment and capacity pressures are likely to emerge in</w:t>
      </w:r>
      <w:r w:rsidR="00987A06">
        <w:t xml:space="preserve"> some</w:t>
      </w:r>
      <w:r>
        <w:t xml:space="preserve"> </w:t>
      </w:r>
      <w:r w:rsidR="00B15D73">
        <w:t>sectors</w:t>
      </w:r>
      <w:r>
        <w:t xml:space="preserve">, </w:t>
      </w:r>
      <w:r w:rsidR="009F2DE4">
        <w:t>putting</w:t>
      </w:r>
      <w:r>
        <w:t xml:space="preserve"> pressure on inflation.  The key risks are international, with recent events in Japan, the Middle East and Northern Africa adding to existing fragilities.</w:t>
      </w:r>
    </w:p>
    <w:p w:rsidR="00EF0187" w:rsidRPr="007711BC" w:rsidRDefault="00EF0187" w:rsidP="00EF0187">
      <w:pPr>
        <w:pStyle w:val="Dash"/>
        <w:keepNext/>
        <w:spacing w:line="240" w:lineRule="auto"/>
        <w:ind w:left="0" w:firstLine="0"/>
        <w:jc w:val="left"/>
        <w:rPr>
          <w:rFonts w:ascii="Tahoma" w:hAnsi="Tahoma" w:cs="Tahoma"/>
          <w:b/>
        </w:rPr>
      </w:pPr>
      <w:r w:rsidRPr="007711BC">
        <w:rPr>
          <w:rFonts w:ascii="Tahoma" w:hAnsi="Tahoma" w:cs="Tahoma"/>
          <w:b/>
        </w:rPr>
        <w:t xml:space="preserve">Table 1: Key Domestic Forecasts – </w:t>
      </w:r>
      <w:r>
        <w:rPr>
          <w:rFonts w:ascii="Tahoma" w:hAnsi="Tahoma" w:cs="Tahoma"/>
          <w:b/>
        </w:rPr>
        <w:t>March compared with December</w:t>
      </w:r>
    </w:p>
    <w:p w:rsidR="0049774F" w:rsidRDefault="00497F2E" w:rsidP="0049774F">
      <w:pPr>
        <w:pStyle w:val="Dash"/>
        <w:keepNext/>
        <w:spacing w:after="0" w:line="240" w:lineRule="auto"/>
        <w:ind w:left="0" w:firstLine="0"/>
        <w:jc w:val="left"/>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pt;height:197.4pt">
            <v:imagedata r:id="rId15" o:title=""/>
          </v:shape>
        </w:pict>
      </w:r>
    </w:p>
    <w:p w:rsidR="00BB3961" w:rsidRPr="00F25ED8" w:rsidRDefault="00BB3961" w:rsidP="00BB3961">
      <w:pPr>
        <w:pStyle w:val="NormalWeb"/>
        <w:shd w:val="clear" w:color="auto" w:fill="FFFFFF"/>
        <w:spacing w:before="120" w:beforeAutospacing="0" w:after="120" w:afterAutospacing="0"/>
        <w:jc w:val="both"/>
        <w:rPr>
          <w:rFonts w:ascii="Book Antiqua" w:hAnsi="Book Antiqua"/>
          <w:sz w:val="20"/>
          <w:szCs w:val="20"/>
        </w:rPr>
      </w:pPr>
      <w:r w:rsidRPr="00F25ED8">
        <w:rPr>
          <w:rFonts w:ascii="Book Antiqua" w:hAnsi="Book Antiqua"/>
          <w:sz w:val="20"/>
          <w:szCs w:val="20"/>
        </w:rPr>
        <w:t xml:space="preserve">The global economic recovery appears to be gaining traction, but the </w:t>
      </w:r>
      <w:r w:rsidR="00101870">
        <w:rPr>
          <w:rFonts w:ascii="Book Antiqua" w:hAnsi="Book Antiqua"/>
          <w:sz w:val="20"/>
          <w:szCs w:val="20"/>
        </w:rPr>
        <w:t>balance of risks is</w:t>
      </w:r>
      <w:r w:rsidRPr="00F25ED8">
        <w:rPr>
          <w:rFonts w:ascii="Book Antiqua" w:hAnsi="Book Antiqua"/>
          <w:sz w:val="20"/>
          <w:szCs w:val="20"/>
        </w:rPr>
        <w:t xml:space="preserve"> on the downside.  The near</w:t>
      </w:r>
      <w:r w:rsidRPr="00F25ED8">
        <w:rPr>
          <w:rFonts w:ascii="Book Antiqua" w:hAnsi="Book Antiqua"/>
          <w:sz w:val="20"/>
          <w:szCs w:val="20"/>
        </w:rPr>
        <w:noBreakHyphen/>
        <w:t>term growth prospects for advanced economies, most notably the United States, are improving and emerging economies, China in particular, are continuing to provide impetus</w:t>
      </w:r>
      <w:r>
        <w:rPr>
          <w:rFonts w:ascii="Book Antiqua" w:hAnsi="Book Antiqua"/>
          <w:sz w:val="20"/>
          <w:szCs w:val="20"/>
        </w:rPr>
        <w:t xml:space="preserve"> to </w:t>
      </w:r>
      <w:r w:rsidR="00987A06">
        <w:rPr>
          <w:rFonts w:ascii="Book Antiqua" w:hAnsi="Book Antiqua"/>
          <w:sz w:val="20"/>
          <w:szCs w:val="20"/>
        </w:rPr>
        <w:t xml:space="preserve">global </w:t>
      </w:r>
      <w:r>
        <w:rPr>
          <w:rFonts w:ascii="Book Antiqua" w:hAnsi="Book Antiqua"/>
          <w:sz w:val="20"/>
          <w:szCs w:val="20"/>
        </w:rPr>
        <w:t>growth</w:t>
      </w:r>
      <w:r w:rsidRPr="00F25ED8">
        <w:rPr>
          <w:rFonts w:ascii="Book Antiqua" w:hAnsi="Book Antiqua"/>
          <w:sz w:val="20"/>
          <w:szCs w:val="20"/>
        </w:rPr>
        <w:t xml:space="preserve">. However, the nuclear crisis in Japan and unrest in the Middle East </w:t>
      </w:r>
      <w:r>
        <w:rPr>
          <w:rFonts w:ascii="Book Antiqua" w:hAnsi="Book Antiqua"/>
          <w:sz w:val="20"/>
          <w:szCs w:val="20"/>
        </w:rPr>
        <w:t xml:space="preserve">and North Africa </w:t>
      </w:r>
      <w:r w:rsidRPr="00F25ED8">
        <w:rPr>
          <w:rFonts w:ascii="Book Antiqua" w:hAnsi="Book Antiqua"/>
          <w:sz w:val="20"/>
          <w:szCs w:val="20"/>
        </w:rPr>
        <w:t xml:space="preserve">have added an additional layer of uncertainty to the outlook, compounding existing fragilities </w:t>
      </w:r>
      <w:r w:rsidR="00987A06">
        <w:rPr>
          <w:rFonts w:ascii="Book Antiqua" w:hAnsi="Book Antiqua"/>
          <w:sz w:val="20"/>
          <w:szCs w:val="20"/>
        </w:rPr>
        <w:t>arising from</w:t>
      </w:r>
      <w:r w:rsidRPr="00F25ED8">
        <w:rPr>
          <w:rFonts w:ascii="Book Antiqua" w:hAnsi="Book Antiqua"/>
          <w:sz w:val="20"/>
          <w:szCs w:val="20"/>
        </w:rPr>
        <w:t xml:space="preserve"> the sovereign debt problems in the euro area periphery and the potential for a policy misstep in emerging market economies as they act to curb inflationary pressures.  Therefore, while the central forecasts for global and major trading partner (MTP) growth have been upgraded </w:t>
      </w:r>
      <w:r w:rsidR="00987A06">
        <w:rPr>
          <w:rFonts w:ascii="Book Antiqua" w:hAnsi="Book Antiqua"/>
          <w:sz w:val="20"/>
          <w:szCs w:val="20"/>
        </w:rPr>
        <w:t xml:space="preserve">by </w:t>
      </w:r>
      <w:r w:rsidR="00E621C3">
        <w:rPr>
          <w:rFonts w:ascii="Book Antiqua" w:hAnsi="Book Antiqua"/>
          <w:sz w:val="20"/>
          <w:szCs w:val="20"/>
        </w:rPr>
        <w:t xml:space="preserve">a </w:t>
      </w:r>
      <w:r w:rsidRPr="00F25ED8">
        <w:rPr>
          <w:rFonts w:ascii="Book Antiqua" w:hAnsi="Book Antiqua"/>
          <w:sz w:val="20"/>
          <w:szCs w:val="20"/>
        </w:rPr>
        <w:t xml:space="preserve">¼ to ½ </w:t>
      </w:r>
      <w:r>
        <w:rPr>
          <w:rFonts w:ascii="Book Antiqua" w:hAnsi="Book Antiqua"/>
          <w:sz w:val="20"/>
          <w:szCs w:val="20"/>
        </w:rPr>
        <w:t xml:space="preserve">of </w:t>
      </w:r>
      <w:r w:rsidRPr="00F25ED8">
        <w:rPr>
          <w:rFonts w:ascii="Book Antiqua" w:hAnsi="Book Antiqua"/>
          <w:sz w:val="20"/>
          <w:szCs w:val="20"/>
        </w:rPr>
        <w:t xml:space="preserve">a percentage point across the forecast horizon since the December JEFG, the </w:t>
      </w:r>
      <w:r w:rsidR="00101870">
        <w:rPr>
          <w:rFonts w:ascii="Book Antiqua" w:hAnsi="Book Antiqua"/>
          <w:sz w:val="20"/>
          <w:szCs w:val="20"/>
        </w:rPr>
        <w:t xml:space="preserve">downside </w:t>
      </w:r>
      <w:r w:rsidRPr="00F25ED8">
        <w:rPr>
          <w:rFonts w:ascii="Book Antiqua" w:hAnsi="Book Antiqua"/>
          <w:sz w:val="20"/>
          <w:szCs w:val="20"/>
        </w:rPr>
        <w:t xml:space="preserve">risks </w:t>
      </w:r>
      <w:r>
        <w:rPr>
          <w:rFonts w:ascii="Book Antiqua" w:hAnsi="Book Antiqua"/>
          <w:sz w:val="20"/>
          <w:szCs w:val="20"/>
        </w:rPr>
        <w:t>remain significant</w:t>
      </w:r>
      <w:r w:rsidRPr="00F25ED8">
        <w:rPr>
          <w:rFonts w:ascii="Book Antiqua" w:hAnsi="Book Antiqua"/>
          <w:sz w:val="20"/>
          <w:szCs w:val="20"/>
        </w:rPr>
        <w:t xml:space="preserve">.  </w:t>
      </w:r>
    </w:p>
    <w:p w:rsidR="009B5B3F" w:rsidRDefault="00BB3961" w:rsidP="00BB3961">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Australia’s e</w:t>
      </w:r>
      <w:r w:rsidRPr="002A6F36">
        <w:rPr>
          <w:rFonts w:ascii="Book Antiqua" w:hAnsi="Book Antiqua"/>
          <w:sz w:val="20"/>
          <w:szCs w:val="20"/>
        </w:rPr>
        <w:t xml:space="preserve">conomic growth </w:t>
      </w:r>
      <w:r>
        <w:rPr>
          <w:rFonts w:ascii="Book Antiqua" w:hAnsi="Book Antiqua"/>
          <w:sz w:val="20"/>
          <w:szCs w:val="20"/>
        </w:rPr>
        <w:t xml:space="preserve">is forecast to strengthen from 2¼ </w:t>
      </w:r>
      <w:r w:rsidRPr="002A6F36">
        <w:rPr>
          <w:rFonts w:ascii="Book Antiqua" w:hAnsi="Book Antiqua"/>
          <w:sz w:val="20"/>
          <w:szCs w:val="20"/>
        </w:rPr>
        <w:t>per cent in 2010-11 t</w:t>
      </w:r>
      <w:r>
        <w:rPr>
          <w:rFonts w:ascii="Book Antiqua" w:hAnsi="Book Antiqua"/>
          <w:sz w:val="20"/>
          <w:szCs w:val="20"/>
        </w:rPr>
        <w:t>o above</w:t>
      </w:r>
      <w:r>
        <w:rPr>
          <w:rFonts w:ascii="Book Antiqua" w:hAnsi="Book Antiqua"/>
          <w:sz w:val="20"/>
          <w:szCs w:val="20"/>
        </w:rPr>
        <w:noBreakHyphen/>
        <w:t xml:space="preserve">trend growth of 4¼ </w:t>
      </w:r>
      <w:r w:rsidRPr="002A6F36">
        <w:rPr>
          <w:rFonts w:ascii="Book Antiqua" w:hAnsi="Book Antiqua"/>
          <w:sz w:val="20"/>
          <w:szCs w:val="20"/>
        </w:rPr>
        <w:t>per cent in 2011-12</w:t>
      </w:r>
      <w:r>
        <w:rPr>
          <w:rFonts w:ascii="Book Antiqua" w:hAnsi="Book Antiqua"/>
          <w:sz w:val="20"/>
          <w:szCs w:val="20"/>
        </w:rPr>
        <w:t xml:space="preserve"> and 3¾</w:t>
      </w:r>
      <w:r w:rsidR="00456C0F">
        <w:rPr>
          <w:rFonts w:ascii="Book Antiqua" w:hAnsi="Book Antiqua"/>
          <w:sz w:val="20"/>
          <w:szCs w:val="20"/>
        </w:rPr>
        <w:t xml:space="preserve"> per cent</w:t>
      </w:r>
      <w:r>
        <w:rPr>
          <w:rFonts w:ascii="Book Antiqua" w:hAnsi="Book Antiqua"/>
          <w:sz w:val="20"/>
          <w:szCs w:val="20"/>
        </w:rPr>
        <w:t xml:space="preserve"> in 2012-13</w:t>
      </w:r>
      <w:r w:rsidRPr="002A6F36">
        <w:rPr>
          <w:rFonts w:ascii="Book Antiqua" w:hAnsi="Book Antiqua"/>
          <w:sz w:val="20"/>
          <w:szCs w:val="20"/>
        </w:rPr>
        <w:t xml:space="preserve">.  In 2010-11, this </w:t>
      </w:r>
      <w:r>
        <w:rPr>
          <w:rFonts w:ascii="Book Antiqua" w:hAnsi="Book Antiqua"/>
          <w:sz w:val="20"/>
          <w:szCs w:val="20"/>
        </w:rPr>
        <w:t xml:space="preserve">is a downgrade of ¾ of </w:t>
      </w:r>
      <w:r w:rsidRPr="00AD1CF7">
        <w:rPr>
          <w:rFonts w:ascii="Book Antiqua" w:hAnsi="Book Antiqua"/>
          <w:sz w:val="20"/>
          <w:szCs w:val="20"/>
        </w:rPr>
        <w:t xml:space="preserve">a percentage point since the December JEFG, </w:t>
      </w:r>
      <w:r w:rsidR="00FC3FAB" w:rsidRPr="00FC3FAB">
        <w:rPr>
          <w:rFonts w:ascii="Book Antiqua" w:hAnsi="Book Antiqua"/>
          <w:sz w:val="20"/>
          <w:szCs w:val="20"/>
        </w:rPr>
        <w:t xml:space="preserve">reflecting the negative impact of the recent natural disasters in Australia and Japan on Australia’s non-rural commodity exports </w:t>
      </w:r>
      <w:r w:rsidR="00866A7D" w:rsidRPr="00866A7D">
        <w:rPr>
          <w:rFonts w:ascii="Book Antiqua" w:hAnsi="Book Antiqua"/>
          <w:sz w:val="20"/>
          <w:szCs w:val="20"/>
        </w:rPr>
        <w:t>(see Box 1)</w:t>
      </w:r>
      <w:r w:rsidR="00866A7D">
        <w:rPr>
          <w:rFonts w:ascii="Book Antiqua" w:hAnsi="Book Antiqua"/>
          <w:sz w:val="20"/>
          <w:szCs w:val="20"/>
        </w:rPr>
        <w:t>,</w:t>
      </w:r>
      <w:r w:rsidR="00866A7D" w:rsidRPr="00866A7D">
        <w:rPr>
          <w:rFonts w:ascii="Book Antiqua" w:hAnsi="Book Antiqua"/>
          <w:sz w:val="20"/>
          <w:szCs w:val="20"/>
        </w:rPr>
        <w:t xml:space="preserve"> </w:t>
      </w:r>
      <w:r w:rsidR="00FC3FAB" w:rsidRPr="00FC3FAB">
        <w:rPr>
          <w:rFonts w:ascii="Book Antiqua" w:hAnsi="Book Antiqua"/>
          <w:sz w:val="20"/>
          <w:szCs w:val="20"/>
        </w:rPr>
        <w:t>and recent weaker</w:t>
      </w:r>
      <w:r w:rsidR="00FC3FAB" w:rsidRPr="00FC3FAB">
        <w:rPr>
          <w:rFonts w:ascii="Book Antiqua" w:hAnsi="Book Antiqua"/>
          <w:sz w:val="20"/>
          <w:szCs w:val="20"/>
        </w:rPr>
        <w:noBreakHyphen/>
        <w:t>than</w:t>
      </w:r>
      <w:r w:rsidR="00FC3FAB" w:rsidRPr="00FC3FAB">
        <w:rPr>
          <w:rFonts w:ascii="Book Antiqua" w:hAnsi="Book Antiqua"/>
          <w:sz w:val="20"/>
          <w:szCs w:val="20"/>
        </w:rPr>
        <w:noBreakHyphen/>
        <w:t>anticipated household demand.</w:t>
      </w:r>
      <w:r>
        <w:rPr>
          <w:rFonts w:ascii="Book Antiqua" w:hAnsi="Book Antiqua"/>
          <w:sz w:val="20"/>
          <w:szCs w:val="20"/>
        </w:rPr>
        <w:t xml:space="preserve"> </w:t>
      </w:r>
      <w:r w:rsidRPr="00AD1CF7">
        <w:rPr>
          <w:rFonts w:ascii="Book Antiqua" w:hAnsi="Book Antiqua"/>
          <w:sz w:val="20"/>
          <w:szCs w:val="20"/>
        </w:rPr>
        <w:t>Real GDP growth</w:t>
      </w:r>
      <w:r>
        <w:rPr>
          <w:rFonts w:ascii="Book Antiqua" w:hAnsi="Book Antiqua"/>
          <w:sz w:val="20"/>
          <w:szCs w:val="20"/>
        </w:rPr>
        <w:t xml:space="preserve"> has been upgraded by ½ </w:t>
      </w:r>
      <w:r w:rsidRPr="00AD1CF7">
        <w:rPr>
          <w:rFonts w:ascii="Book Antiqua" w:hAnsi="Book Antiqua"/>
          <w:sz w:val="20"/>
          <w:szCs w:val="20"/>
        </w:rPr>
        <w:t>of a percentage point i</w:t>
      </w:r>
      <w:r>
        <w:rPr>
          <w:rFonts w:ascii="Book Antiqua" w:hAnsi="Book Antiqua"/>
          <w:sz w:val="20"/>
          <w:szCs w:val="20"/>
        </w:rPr>
        <w:t xml:space="preserve">n </w:t>
      </w:r>
      <w:r w:rsidR="00866A7D">
        <w:rPr>
          <w:rFonts w:ascii="Book Antiqua" w:hAnsi="Book Antiqua"/>
          <w:sz w:val="20"/>
          <w:szCs w:val="20"/>
        </w:rPr>
        <w:t xml:space="preserve">both </w:t>
      </w:r>
      <w:r>
        <w:rPr>
          <w:rFonts w:ascii="Book Antiqua" w:hAnsi="Book Antiqua"/>
          <w:sz w:val="20"/>
          <w:szCs w:val="20"/>
        </w:rPr>
        <w:t xml:space="preserve">2011-12 and 2012-13, driven by stronger forecast growth in </w:t>
      </w:r>
      <w:r w:rsidR="00FC3FAB">
        <w:rPr>
          <w:rFonts w:ascii="Book Antiqua" w:hAnsi="Book Antiqua"/>
          <w:sz w:val="20"/>
          <w:szCs w:val="20"/>
        </w:rPr>
        <w:t>resources</w:t>
      </w:r>
      <w:r>
        <w:rPr>
          <w:rFonts w:ascii="Book Antiqua" w:hAnsi="Book Antiqua"/>
          <w:sz w:val="20"/>
          <w:szCs w:val="20"/>
        </w:rPr>
        <w:t xml:space="preserve"> investment and non-rural commodity exports</w:t>
      </w:r>
      <w:r w:rsidR="009F2DE4">
        <w:rPr>
          <w:rFonts w:ascii="Book Antiqua" w:hAnsi="Book Antiqua"/>
          <w:sz w:val="20"/>
          <w:szCs w:val="20"/>
        </w:rPr>
        <w:t>,</w:t>
      </w:r>
      <w:r>
        <w:rPr>
          <w:rFonts w:ascii="Book Antiqua" w:hAnsi="Book Antiqua"/>
          <w:sz w:val="20"/>
          <w:szCs w:val="20"/>
        </w:rPr>
        <w:t xml:space="preserve"> and boosted by the resumption of activity and commencement of reconstruction after the floods and cyclones</w:t>
      </w:r>
      <w:r w:rsidRPr="00AD1CF7">
        <w:rPr>
          <w:rFonts w:ascii="Book Antiqua" w:hAnsi="Book Antiqua"/>
          <w:sz w:val="20"/>
          <w:szCs w:val="20"/>
        </w:rPr>
        <w:t>.</w:t>
      </w:r>
      <w:r>
        <w:rPr>
          <w:rFonts w:ascii="Book Antiqua" w:hAnsi="Book Antiqua"/>
          <w:sz w:val="20"/>
          <w:szCs w:val="20"/>
        </w:rPr>
        <w:t xml:space="preserve"> Forecast growth in n</w:t>
      </w:r>
      <w:r w:rsidR="009F2DE4">
        <w:rPr>
          <w:rFonts w:ascii="Book Antiqua" w:hAnsi="Book Antiqua"/>
          <w:sz w:val="20"/>
          <w:szCs w:val="20"/>
        </w:rPr>
        <w:t>ominal GDP is unchanged in 2010</w:t>
      </w:r>
      <w:r w:rsidR="009F2DE4">
        <w:rPr>
          <w:rFonts w:ascii="Book Antiqua" w:hAnsi="Book Antiqua"/>
          <w:sz w:val="20"/>
          <w:szCs w:val="20"/>
        </w:rPr>
        <w:noBreakHyphen/>
      </w:r>
      <w:r>
        <w:rPr>
          <w:rFonts w:ascii="Book Antiqua" w:hAnsi="Book Antiqua"/>
          <w:sz w:val="20"/>
          <w:szCs w:val="20"/>
        </w:rPr>
        <w:t xml:space="preserve">11, but higher in 2011-12 and 2012-13.  The </w:t>
      </w:r>
      <w:r w:rsidR="00987A06">
        <w:rPr>
          <w:rFonts w:ascii="Book Antiqua" w:hAnsi="Book Antiqua"/>
          <w:sz w:val="20"/>
          <w:szCs w:val="20"/>
        </w:rPr>
        <w:t xml:space="preserve">factors driving the </w:t>
      </w:r>
      <w:r>
        <w:rPr>
          <w:rFonts w:ascii="Book Antiqua" w:hAnsi="Book Antiqua"/>
          <w:sz w:val="20"/>
          <w:szCs w:val="20"/>
        </w:rPr>
        <w:t>nominal GDP growth forecasts are detailed in the Attachment.</w:t>
      </w:r>
    </w:p>
    <w:p w:rsidR="00FC3FAB" w:rsidRDefault="00BB3961" w:rsidP="00BB3961">
      <w:pPr>
        <w:pStyle w:val="NormalWeb"/>
        <w:shd w:val="clear" w:color="auto" w:fill="FFFFFF"/>
        <w:spacing w:before="120" w:beforeAutospacing="0" w:after="120" w:afterAutospacing="0"/>
        <w:jc w:val="both"/>
        <w:rPr>
          <w:rFonts w:ascii="Book Antiqua" w:hAnsi="Book Antiqua"/>
          <w:sz w:val="20"/>
          <w:szCs w:val="20"/>
        </w:rPr>
      </w:pPr>
      <w:bookmarkStart w:id="27" w:name="_Toc185498657"/>
      <w:r>
        <w:rPr>
          <w:rFonts w:ascii="Book Antiqua" w:hAnsi="Book Antiqua"/>
          <w:sz w:val="20"/>
          <w:szCs w:val="20"/>
        </w:rPr>
        <w:lastRenderedPageBreak/>
        <w:t>The pace of economic growth slowed in the second half of 2010, weighed down by a number of factors, including the withdrawal of fiscal and monetary policy stimulus, the appreciation of the Australian dollar, adverse weather conditions towards the end of the year, heightened consumer caution and a continuation of difficult credit conditions for some businesses (particularly medium</w:t>
      </w:r>
      <w:r>
        <w:rPr>
          <w:rFonts w:ascii="Book Antiqua" w:hAnsi="Book Antiqua"/>
          <w:sz w:val="20"/>
          <w:szCs w:val="20"/>
        </w:rPr>
        <w:noBreakHyphen/>
        <w:t>sized firms).  In addition to these factors, the recent natural disasters in Australia</w:t>
      </w:r>
      <w:r w:rsidR="00B60863">
        <w:rPr>
          <w:rFonts w:ascii="Book Antiqua" w:hAnsi="Book Antiqua"/>
          <w:sz w:val="20"/>
          <w:szCs w:val="20"/>
        </w:rPr>
        <w:t>,</w:t>
      </w:r>
      <w:r>
        <w:rPr>
          <w:rFonts w:ascii="Book Antiqua" w:hAnsi="Book Antiqua"/>
          <w:sz w:val="20"/>
          <w:szCs w:val="20"/>
        </w:rPr>
        <w:t xml:space="preserve"> Japan</w:t>
      </w:r>
      <w:r w:rsidR="00B60863">
        <w:rPr>
          <w:rFonts w:ascii="Book Antiqua" w:hAnsi="Book Antiqua"/>
          <w:sz w:val="20"/>
          <w:szCs w:val="20"/>
        </w:rPr>
        <w:t xml:space="preserve"> and (to a lesser extent) New Zealand</w:t>
      </w:r>
      <w:r>
        <w:rPr>
          <w:rFonts w:ascii="Book Antiqua" w:hAnsi="Book Antiqua"/>
          <w:sz w:val="20"/>
          <w:szCs w:val="20"/>
        </w:rPr>
        <w:t xml:space="preserve"> will also weigh on Australia’s economic growth in early-2011, with real GDP likely to have contracted in the March quarter. </w:t>
      </w:r>
    </w:p>
    <w:p w:rsidR="00BB3961" w:rsidRDefault="00BB3961" w:rsidP="00BB3961">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 xml:space="preserve">Notwithstanding these headwinds, Australia’s medium-term economic outlook has strengthened since the December JEFG, driven by the resources sector. Prices of Australia’s bulk commodity exports have increased since December JEFG, driven by a combination of short-term factors (such as the Queensland floods) and </w:t>
      </w:r>
      <w:r w:rsidR="00987A06">
        <w:rPr>
          <w:rFonts w:ascii="Book Antiqua" w:hAnsi="Book Antiqua"/>
          <w:sz w:val="20"/>
          <w:szCs w:val="20"/>
        </w:rPr>
        <w:t>signs</w:t>
      </w:r>
      <w:r>
        <w:rPr>
          <w:rFonts w:ascii="Book Antiqua" w:hAnsi="Book Antiqua"/>
          <w:sz w:val="20"/>
          <w:szCs w:val="20"/>
        </w:rPr>
        <w:t xml:space="preserve"> that increased global supply will come on line more gradually than previously anticipated.  The pipeline of resources investment has also increased, with the $US16 billion Gladstone LNG project receiving final investment approval in mid</w:t>
      </w:r>
      <w:r>
        <w:rPr>
          <w:rFonts w:ascii="Book Antiqua" w:hAnsi="Book Antiqua"/>
          <w:sz w:val="20"/>
          <w:szCs w:val="20"/>
        </w:rPr>
        <w:noBreakHyphen/>
        <w:t>January and Rio Tinto announcing plans to further expand iron ore operations in the Pilbara.  The strength of investment plans in the resources sector is evident in the most recen</w:t>
      </w:r>
      <w:r w:rsidR="007C3517">
        <w:rPr>
          <w:rFonts w:ascii="Book Antiqua" w:hAnsi="Book Antiqua"/>
          <w:sz w:val="20"/>
          <w:szCs w:val="20"/>
        </w:rPr>
        <w:t xml:space="preserve">t CAPEX survey, which suggests </w:t>
      </w:r>
      <w:r w:rsidR="00987A06">
        <w:rPr>
          <w:rFonts w:ascii="Book Antiqua" w:hAnsi="Book Antiqua"/>
          <w:sz w:val="20"/>
          <w:szCs w:val="20"/>
        </w:rPr>
        <w:t>around 50</w:t>
      </w:r>
      <w:r>
        <w:rPr>
          <w:rFonts w:ascii="Book Antiqua" w:hAnsi="Book Antiqua"/>
          <w:sz w:val="20"/>
          <w:szCs w:val="20"/>
        </w:rPr>
        <w:t xml:space="preserve"> per cent growth in mi</w:t>
      </w:r>
      <w:r w:rsidR="007C3517">
        <w:rPr>
          <w:rFonts w:ascii="Book Antiqua" w:hAnsi="Book Antiqua"/>
          <w:sz w:val="20"/>
          <w:szCs w:val="20"/>
        </w:rPr>
        <w:t>ni</w:t>
      </w:r>
      <w:r w:rsidR="00987A06">
        <w:rPr>
          <w:rFonts w:ascii="Book Antiqua" w:hAnsi="Book Antiqua"/>
          <w:sz w:val="20"/>
          <w:szCs w:val="20"/>
        </w:rPr>
        <w:t>ng investment in 2010</w:t>
      </w:r>
      <w:r w:rsidR="00987A06">
        <w:rPr>
          <w:rFonts w:ascii="Book Antiqua" w:hAnsi="Book Antiqua"/>
          <w:sz w:val="20"/>
          <w:szCs w:val="20"/>
        </w:rPr>
        <w:noBreakHyphen/>
        <w:t>11 and around 9</w:t>
      </w:r>
      <w:r w:rsidR="00866A7D">
        <w:rPr>
          <w:rFonts w:ascii="Book Antiqua" w:hAnsi="Book Antiqua"/>
          <w:sz w:val="20"/>
          <w:szCs w:val="20"/>
        </w:rPr>
        <w:t>0</w:t>
      </w:r>
      <w:r>
        <w:rPr>
          <w:rFonts w:ascii="Book Antiqua" w:hAnsi="Book Antiqua"/>
          <w:sz w:val="20"/>
          <w:szCs w:val="20"/>
        </w:rPr>
        <w:t xml:space="preserve"> per cent growth in 2011-12 (based on 5 year realisation ratios).  Investment in mine and transport infrastructure is driving strong growth in export capacity. </w:t>
      </w:r>
      <w:r w:rsidR="00987A06">
        <w:rPr>
          <w:rFonts w:ascii="Book Antiqua" w:hAnsi="Book Antiqua"/>
          <w:sz w:val="20"/>
          <w:szCs w:val="20"/>
        </w:rPr>
        <w:t xml:space="preserve">Therefore, </w:t>
      </w:r>
      <w:r w:rsidR="006D1E88">
        <w:rPr>
          <w:rFonts w:ascii="Book Antiqua" w:hAnsi="Book Antiqua"/>
          <w:sz w:val="20"/>
          <w:szCs w:val="20"/>
        </w:rPr>
        <w:t>abstracting from</w:t>
      </w:r>
      <w:r>
        <w:rPr>
          <w:rFonts w:ascii="Book Antiqua" w:hAnsi="Book Antiqua"/>
          <w:sz w:val="20"/>
          <w:szCs w:val="20"/>
        </w:rPr>
        <w:t xml:space="preserve"> disruptions </w:t>
      </w:r>
      <w:r w:rsidR="00B60863">
        <w:rPr>
          <w:rFonts w:ascii="Book Antiqua" w:hAnsi="Book Antiqua"/>
          <w:sz w:val="20"/>
          <w:szCs w:val="20"/>
        </w:rPr>
        <w:t>due to</w:t>
      </w:r>
      <w:r>
        <w:rPr>
          <w:rFonts w:ascii="Book Antiqua" w:hAnsi="Book Antiqua"/>
          <w:sz w:val="20"/>
          <w:szCs w:val="20"/>
        </w:rPr>
        <w:t xml:space="preserve"> the </w:t>
      </w:r>
      <w:r w:rsidR="00987A06">
        <w:rPr>
          <w:rFonts w:ascii="Book Antiqua" w:hAnsi="Book Antiqua"/>
          <w:sz w:val="20"/>
          <w:szCs w:val="20"/>
        </w:rPr>
        <w:t xml:space="preserve">recent natural disasters </w:t>
      </w:r>
      <w:r>
        <w:rPr>
          <w:rFonts w:ascii="Book Antiqua" w:hAnsi="Book Antiqua"/>
          <w:sz w:val="20"/>
          <w:szCs w:val="20"/>
        </w:rPr>
        <w:t>forecast growth in non-rural commodity exports has been revised up across the forecast horizon.</w:t>
      </w:r>
    </w:p>
    <w:p w:rsidR="00BB3961" w:rsidRDefault="00BB3961" w:rsidP="00BB3961">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 xml:space="preserve">Business surveys suggest that conditions outside of the resources sector are at around the long-run average.  However, profits growth was weak </w:t>
      </w:r>
      <w:r w:rsidR="006D1E88">
        <w:rPr>
          <w:rFonts w:ascii="Book Antiqua" w:hAnsi="Book Antiqua"/>
          <w:sz w:val="20"/>
          <w:szCs w:val="20"/>
        </w:rPr>
        <w:t xml:space="preserve">outside of the mining sector </w:t>
      </w:r>
      <w:r>
        <w:rPr>
          <w:rFonts w:ascii="Book Antiqua" w:hAnsi="Book Antiqua"/>
          <w:sz w:val="20"/>
          <w:szCs w:val="20"/>
        </w:rPr>
        <w:t>through 2010, with both survey data and liaison suggesting that the strong Australian dollar is weighing on the manufacturing and tourism industries, while subdued consumer spending is weighing on retailing.  Access to finance also remains difficult, particularly for medium-sized firms that are too large to utilise residential property as collateral, but too small to access credit markets directly. The CAPEX survey suggests that, outside the mining sector and related industries, firms remain cautious in their investment plans.</w:t>
      </w:r>
    </w:p>
    <w:p w:rsidR="00BB3961" w:rsidRDefault="00BB3961" w:rsidP="00BB3961">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Household incomes and wealth are rising, the labour market is strong and consumer confidence is at its long-run average. In the past, these conditions have been associated with solid growth in household consumption.  However, in the wake of the global financial crisis and the associated loss of financial wealth, households remain cautious in their spending decisions, instead taking advantage of solid growth in disposable incomes to increase savings and consolidate their balance sheets.  This is a positive development in the medium-term as it will improve the resilience of the household sector to shocks.  However, the implication for the near-term forecasts is that a continuation of cautious household spending behaviour and reluctance to take on new debt will weigh on both household consumption and dwelling investment. The current forecasts are for a gradual strengthening of household consumption growth over the forecast period, reaching the trend rate in 2012-13</w:t>
      </w:r>
      <w:r w:rsidR="00987A06">
        <w:rPr>
          <w:rFonts w:ascii="Book Antiqua" w:hAnsi="Book Antiqua"/>
          <w:sz w:val="20"/>
          <w:szCs w:val="20"/>
        </w:rPr>
        <w:t xml:space="preserve">.  The forecasts imply that the </w:t>
      </w:r>
      <w:r>
        <w:rPr>
          <w:rFonts w:ascii="Book Antiqua" w:hAnsi="Book Antiqua"/>
          <w:sz w:val="20"/>
          <w:szCs w:val="20"/>
        </w:rPr>
        <w:t xml:space="preserve">household saving ratio will decline </w:t>
      </w:r>
      <w:r w:rsidR="00866A7D">
        <w:rPr>
          <w:rFonts w:ascii="Book Antiqua" w:hAnsi="Book Antiqua"/>
          <w:sz w:val="20"/>
          <w:szCs w:val="20"/>
        </w:rPr>
        <w:t xml:space="preserve">only </w:t>
      </w:r>
      <w:r>
        <w:rPr>
          <w:rFonts w:ascii="Book Antiqua" w:hAnsi="Book Antiqua"/>
          <w:sz w:val="20"/>
          <w:szCs w:val="20"/>
        </w:rPr>
        <w:t>slightly</w:t>
      </w:r>
      <w:r w:rsidR="00987A06">
        <w:rPr>
          <w:rFonts w:ascii="Book Antiqua" w:hAnsi="Book Antiqua"/>
          <w:sz w:val="20"/>
          <w:szCs w:val="20"/>
        </w:rPr>
        <w:t>,</w:t>
      </w:r>
      <w:r>
        <w:rPr>
          <w:rFonts w:ascii="Book Antiqua" w:hAnsi="Book Antiqua"/>
          <w:sz w:val="20"/>
          <w:szCs w:val="20"/>
        </w:rPr>
        <w:t xml:space="preserve"> from around 10 per cent current</w:t>
      </w:r>
      <w:r w:rsidR="00987A06">
        <w:rPr>
          <w:rFonts w:ascii="Book Antiqua" w:hAnsi="Book Antiqua"/>
          <w:sz w:val="20"/>
          <w:szCs w:val="20"/>
        </w:rPr>
        <w:t>ly</w:t>
      </w:r>
      <w:r>
        <w:rPr>
          <w:rFonts w:ascii="Book Antiqua" w:hAnsi="Book Antiqua"/>
          <w:sz w:val="20"/>
          <w:szCs w:val="20"/>
        </w:rPr>
        <w:t xml:space="preserve"> to around 9 per cent in 2012-13.</w:t>
      </w:r>
    </w:p>
    <w:p w:rsidR="00BB3961" w:rsidRDefault="00BB3961" w:rsidP="00BB3961">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Housing finance and approvals data have weakened in recent months, with Victorian medium</w:t>
      </w:r>
      <w:r w:rsidR="0063165E">
        <w:rPr>
          <w:rFonts w:ascii="Book Antiqua" w:hAnsi="Book Antiqua"/>
          <w:sz w:val="20"/>
          <w:szCs w:val="20"/>
        </w:rPr>
        <w:t xml:space="preserve"> and</w:t>
      </w:r>
      <w:r w:rsidR="00B60863">
        <w:rPr>
          <w:rFonts w:ascii="Book Antiqua" w:hAnsi="Book Antiqua"/>
          <w:sz w:val="20"/>
          <w:szCs w:val="20"/>
        </w:rPr>
        <w:t xml:space="preserve"> high</w:t>
      </w:r>
      <w:r w:rsidR="0063165E">
        <w:rPr>
          <w:rFonts w:ascii="Book Antiqua" w:hAnsi="Book Antiqua"/>
          <w:sz w:val="20"/>
          <w:szCs w:val="20"/>
        </w:rPr>
        <w:t xml:space="preserve"> </w:t>
      </w:r>
      <w:r>
        <w:rPr>
          <w:rFonts w:ascii="Book Antiqua" w:hAnsi="Book Antiqua"/>
          <w:sz w:val="20"/>
          <w:szCs w:val="20"/>
        </w:rPr>
        <w:t xml:space="preserve">density </w:t>
      </w:r>
      <w:r w:rsidR="0063165E">
        <w:rPr>
          <w:rFonts w:ascii="Book Antiqua" w:hAnsi="Book Antiqua"/>
          <w:sz w:val="20"/>
          <w:szCs w:val="20"/>
        </w:rPr>
        <w:t xml:space="preserve">construction </w:t>
      </w:r>
      <w:r>
        <w:rPr>
          <w:rFonts w:ascii="Book Antiqua" w:hAnsi="Book Antiqua"/>
          <w:sz w:val="20"/>
          <w:szCs w:val="20"/>
        </w:rPr>
        <w:t xml:space="preserve">the only market showing signs of growth.  Therefore, the already weak near-term forecasts for new dwelling investment have been revised down further since the December JEFG.  Looking ahead, the forecasts are for a gradual pick up in dwelling investment over the forecast horizon, balancing a favourable labour market outlook with lower net international migration, household caution in taking on new debt and the assumption that mortgage interest rates will rise in line with </w:t>
      </w:r>
      <w:r w:rsidR="00866A7D">
        <w:rPr>
          <w:rFonts w:ascii="Book Antiqua" w:hAnsi="Book Antiqua"/>
          <w:sz w:val="20"/>
          <w:szCs w:val="20"/>
        </w:rPr>
        <w:t>the</w:t>
      </w:r>
      <w:r>
        <w:rPr>
          <w:rFonts w:ascii="Book Antiqua" w:hAnsi="Book Antiqua"/>
          <w:sz w:val="20"/>
          <w:szCs w:val="20"/>
        </w:rPr>
        <w:t xml:space="preserve"> expectations</w:t>
      </w:r>
      <w:r w:rsidR="00866A7D">
        <w:rPr>
          <w:rFonts w:ascii="Book Antiqua" w:hAnsi="Book Antiqua"/>
          <w:sz w:val="20"/>
          <w:szCs w:val="20"/>
        </w:rPr>
        <w:t xml:space="preserve"> of market economists (a 50 basis point rise over the next year)</w:t>
      </w:r>
      <w:r>
        <w:rPr>
          <w:rFonts w:ascii="Book Antiqua" w:hAnsi="Book Antiqua"/>
          <w:sz w:val="20"/>
          <w:szCs w:val="20"/>
        </w:rPr>
        <w:t xml:space="preserve">. </w:t>
      </w:r>
      <w:r w:rsidR="0063165E">
        <w:rPr>
          <w:rFonts w:ascii="Book Antiqua" w:hAnsi="Book Antiqua"/>
          <w:sz w:val="20"/>
          <w:szCs w:val="20"/>
        </w:rPr>
        <w:t>Housing affordability</w:t>
      </w:r>
      <w:r w:rsidRPr="00C6270F">
        <w:rPr>
          <w:rFonts w:ascii="Book Antiqua" w:hAnsi="Book Antiqua"/>
          <w:sz w:val="20"/>
          <w:szCs w:val="20"/>
        </w:rPr>
        <w:t xml:space="preserve"> and supply-side constraints, including skilled labour shortages, difficulties in the planning and approval process and land supply issues, are also likely to weigh on the growth of private dwelling investment.</w:t>
      </w:r>
      <w:r>
        <w:t xml:space="preserve">  </w:t>
      </w:r>
    </w:p>
    <w:p w:rsidR="00BB3961" w:rsidRDefault="00BB3961" w:rsidP="00BB3961">
      <w:pPr>
        <w:pStyle w:val="Bullet"/>
        <w:tabs>
          <w:tab w:val="num" w:pos="0"/>
        </w:tabs>
        <w:spacing w:before="120" w:after="120" w:line="240" w:lineRule="auto"/>
        <w:ind w:left="0" w:firstLine="0"/>
        <w:rPr>
          <w:szCs w:val="20"/>
        </w:rPr>
      </w:pPr>
      <w:r>
        <w:rPr>
          <w:szCs w:val="20"/>
        </w:rPr>
        <w:t xml:space="preserve">Public final demand is expected to weaken over the forecast period, reflecting the withdrawal of fiscal stimulus and the fiscal consolidation plans of the Commonwealth and State governments.  Since the December JEFG, the public final demand forecasts have been updated to reflect state mid-year budget </w:t>
      </w:r>
      <w:r>
        <w:rPr>
          <w:szCs w:val="20"/>
        </w:rPr>
        <w:lastRenderedPageBreak/>
        <w:t xml:space="preserve">reviews and </w:t>
      </w:r>
      <w:r w:rsidR="00987A06">
        <w:rPr>
          <w:szCs w:val="20"/>
        </w:rPr>
        <w:t xml:space="preserve">information available on the </w:t>
      </w:r>
      <w:r>
        <w:rPr>
          <w:szCs w:val="20"/>
        </w:rPr>
        <w:t xml:space="preserve">Commonwealth </w:t>
      </w:r>
      <w:r w:rsidR="00987A06">
        <w:rPr>
          <w:szCs w:val="20"/>
        </w:rPr>
        <w:t>budget in the lead up to ERC</w:t>
      </w:r>
      <w:r>
        <w:rPr>
          <w:szCs w:val="20"/>
        </w:rPr>
        <w:t>, suggesting higher public final demand in 2010-11 and 2011-12 and a larger decline in 2012-13.  The withdrawal of the Commonwealth Government’s fiscal stimulus package is sti</w:t>
      </w:r>
      <w:r w:rsidR="0063165E">
        <w:rPr>
          <w:szCs w:val="20"/>
        </w:rPr>
        <w:t>ll expected to detract around 1 </w:t>
      </w:r>
      <w:r>
        <w:rPr>
          <w:szCs w:val="20"/>
        </w:rPr>
        <w:t>percentage point from economic growth in 2010-11 and ½ of a percentage point in 2011-12.</w:t>
      </w:r>
    </w:p>
    <w:p w:rsidR="00987A06" w:rsidRDefault="00BB3961" w:rsidP="00BB3961">
      <w:pPr>
        <w:pStyle w:val="Bullet"/>
        <w:tabs>
          <w:tab w:val="num" w:pos="0"/>
        </w:tabs>
        <w:spacing w:before="120" w:after="120" w:line="240" w:lineRule="auto"/>
        <w:ind w:left="0" w:firstLine="0"/>
        <w:rPr>
          <w:szCs w:val="20"/>
        </w:rPr>
      </w:pPr>
      <w:r>
        <w:rPr>
          <w:szCs w:val="20"/>
        </w:rPr>
        <w:t>Net exports are expected to detract from growth across the forecast horizon; however, the outlook has improved since the December JEFG.  Imports are expected to grow strongly, driven by the high import content of resources investment (around two-thirds of resources investment is imported)</w:t>
      </w:r>
      <w:r w:rsidR="00242CEE">
        <w:rPr>
          <w:szCs w:val="20"/>
        </w:rPr>
        <w:t xml:space="preserve"> and the strong Australian dollar</w:t>
      </w:r>
      <w:r>
        <w:rPr>
          <w:szCs w:val="20"/>
        </w:rPr>
        <w:t xml:space="preserve">. In addition to the stronger forecast growth in non-rural commodity exports described above, the outlook for rural exports has improved, with the recent rains improving the availability of irrigation water and </w:t>
      </w:r>
      <w:r w:rsidR="00B60863">
        <w:rPr>
          <w:szCs w:val="20"/>
        </w:rPr>
        <w:t>sub</w:t>
      </w:r>
      <w:r>
        <w:rPr>
          <w:szCs w:val="20"/>
        </w:rPr>
        <w:t xml:space="preserve">soil moisture. However, growth in exports of manufactures and services is still expected to be weak, weighed down by the high exchange rate and increasing competition for labour and capital from the booming resources sector. </w:t>
      </w:r>
    </w:p>
    <w:p w:rsidR="00BB3961" w:rsidRDefault="00BB3961" w:rsidP="00BB3961">
      <w:pPr>
        <w:pStyle w:val="Bullet"/>
        <w:tabs>
          <w:tab w:val="num" w:pos="0"/>
        </w:tabs>
        <w:spacing w:before="120" w:after="120" w:line="240" w:lineRule="auto"/>
        <w:ind w:left="0" w:firstLine="0"/>
        <w:rPr>
          <w:szCs w:val="20"/>
        </w:rPr>
      </w:pPr>
      <w:r>
        <w:rPr>
          <w:szCs w:val="20"/>
        </w:rPr>
        <w:t>The terms of trade</w:t>
      </w:r>
      <w:r w:rsidR="00B60863">
        <w:rPr>
          <w:szCs w:val="20"/>
        </w:rPr>
        <w:t xml:space="preserve"> forecasts have been upgraded since December JEFG and</w:t>
      </w:r>
      <w:r>
        <w:rPr>
          <w:szCs w:val="20"/>
        </w:rPr>
        <w:t xml:space="preserve"> are now expected </w:t>
      </w:r>
      <w:r w:rsidR="00242CEE">
        <w:rPr>
          <w:szCs w:val="20"/>
        </w:rPr>
        <w:t xml:space="preserve">to </w:t>
      </w:r>
      <w:r>
        <w:rPr>
          <w:szCs w:val="20"/>
        </w:rPr>
        <w:t xml:space="preserve">increase by 19¾ per cent in 2010-11, before declining ½ a per cent in </w:t>
      </w:r>
      <w:r w:rsidR="00B60863">
        <w:rPr>
          <w:szCs w:val="20"/>
        </w:rPr>
        <w:t>2011-12 and 2¾ per cent in 2012</w:t>
      </w:r>
      <w:r w:rsidR="00B60863">
        <w:rPr>
          <w:szCs w:val="20"/>
        </w:rPr>
        <w:noBreakHyphen/>
      </w:r>
      <w:r>
        <w:rPr>
          <w:szCs w:val="20"/>
        </w:rPr>
        <w:t>13. Combined with stronger exports growth, this has led to an improvement in the forecast trade and current account balances, with the current account deficit now forecast to reach 3¼ per cent of GDP in 2011-12 and 4¾ per cent in 2012-13.</w:t>
      </w:r>
    </w:p>
    <w:p w:rsidR="00BB3961" w:rsidRDefault="00BB3961" w:rsidP="00BB3961">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 xml:space="preserve">While growth in activity softened towards the end of the year, the labour market remained strong, with employment growing at well above the trend rate, labour force participation increasing to record levels and the unemployment rate declining to around 5 per cent.  While employment and participation have fallen in early 2011, this can be attributed to </w:t>
      </w:r>
      <w:r w:rsidR="00242CEE">
        <w:rPr>
          <w:rFonts w:ascii="Book Antiqua" w:hAnsi="Book Antiqua"/>
          <w:sz w:val="20"/>
          <w:szCs w:val="20"/>
        </w:rPr>
        <w:t>likely</w:t>
      </w:r>
      <w:r>
        <w:rPr>
          <w:rFonts w:ascii="Book Antiqua" w:hAnsi="Book Antiqua"/>
          <w:sz w:val="20"/>
          <w:szCs w:val="20"/>
        </w:rPr>
        <w:t xml:space="preserve"> temporary declines in Queensland in the aftermath of the floods and Cyclone Yasi, with labour demand indicators (including recent job advertisements data) pointing to a rebound in the coming months. Employment growth is expected to remain solid over the forecast horizon and labour force participation is expected to increase gradually, driven by </w:t>
      </w:r>
      <w:r w:rsidR="00101870">
        <w:rPr>
          <w:rFonts w:ascii="Book Antiqua" w:hAnsi="Book Antiqua"/>
          <w:sz w:val="20"/>
          <w:szCs w:val="20"/>
        </w:rPr>
        <w:t xml:space="preserve">an expected continuation of </w:t>
      </w:r>
      <w:r>
        <w:rPr>
          <w:rFonts w:ascii="Book Antiqua" w:hAnsi="Book Antiqua"/>
          <w:sz w:val="20"/>
          <w:szCs w:val="20"/>
        </w:rPr>
        <w:t>the trend increase in participation of older age cohorts. The unemployment rate is expected to decline gradually, from 5 per cent in June 2010 to 4¾ per cent in June 2012 and 4½ per cent in 2013, consistent with full employment.</w:t>
      </w:r>
    </w:p>
    <w:p w:rsidR="00BB3961" w:rsidRDefault="00BB3961" w:rsidP="00BB3961">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 xml:space="preserve">Underlying inflation has fallen over recent quarters, consistent with the </w:t>
      </w:r>
      <w:r w:rsidR="00B15D73">
        <w:rPr>
          <w:rFonts w:ascii="Book Antiqua" w:hAnsi="Book Antiqua"/>
          <w:sz w:val="20"/>
          <w:szCs w:val="20"/>
        </w:rPr>
        <w:t xml:space="preserve">weakness of household demand and </w:t>
      </w:r>
      <w:r>
        <w:rPr>
          <w:rFonts w:ascii="Book Antiqua" w:hAnsi="Book Antiqua"/>
          <w:sz w:val="20"/>
          <w:szCs w:val="20"/>
        </w:rPr>
        <w:t xml:space="preserve">appreciation of the exchange rate.  However, wages growth has accelerated more rapidly than </w:t>
      </w:r>
      <w:r w:rsidR="00987A06">
        <w:rPr>
          <w:rFonts w:ascii="Book Antiqua" w:hAnsi="Book Antiqua"/>
          <w:sz w:val="20"/>
          <w:szCs w:val="20"/>
        </w:rPr>
        <w:t xml:space="preserve">previously </w:t>
      </w:r>
      <w:r>
        <w:rPr>
          <w:rFonts w:ascii="Book Antiqua" w:hAnsi="Book Antiqua"/>
          <w:sz w:val="20"/>
          <w:szCs w:val="20"/>
        </w:rPr>
        <w:t>anticipated, with an increase in private sect</w:t>
      </w:r>
      <w:r w:rsidR="00B60863">
        <w:rPr>
          <w:rFonts w:ascii="Book Antiqua" w:hAnsi="Book Antiqua"/>
          <w:sz w:val="20"/>
          <w:szCs w:val="20"/>
        </w:rPr>
        <w:t>or wages driving growth in the Wage Price I</w:t>
      </w:r>
      <w:r>
        <w:rPr>
          <w:rFonts w:ascii="Book Antiqua" w:hAnsi="Book Antiqua"/>
          <w:sz w:val="20"/>
          <w:szCs w:val="20"/>
        </w:rPr>
        <w:t>ndex to above its trend rate in the December quarter.  With the econo</w:t>
      </w:r>
      <w:r w:rsidR="0063165E">
        <w:rPr>
          <w:rFonts w:ascii="Book Antiqua" w:hAnsi="Book Antiqua"/>
          <w:sz w:val="20"/>
          <w:szCs w:val="20"/>
        </w:rPr>
        <w:t xml:space="preserve">my forecast to </w:t>
      </w:r>
      <w:r w:rsidR="00242CEE">
        <w:rPr>
          <w:rFonts w:ascii="Book Antiqua" w:hAnsi="Book Antiqua"/>
          <w:sz w:val="20"/>
          <w:szCs w:val="20"/>
        </w:rPr>
        <w:t xml:space="preserve">soon </w:t>
      </w:r>
      <w:r w:rsidR="0063165E">
        <w:rPr>
          <w:rFonts w:ascii="Book Antiqua" w:hAnsi="Book Antiqua"/>
          <w:sz w:val="20"/>
          <w:szCs w:val="20"/>
        </w:rPr>
        <w:t>grow at an above</w:t>
      </w:r>
      <w:r w:rsidR="0063165E">
        <w:rPr>
          <w:rFonts w:ascii="Book Antiqua" w:hAnsi="Book Antiqua"/>
          <w:sz w:val="20"/>
          <w:szCs w:val="20"/>
        </w:rPr>
        <w:noBreakHyphen/>
      </w:r>
      <w:r>
        <w:rPr>
          <w:rFonts w:ascii="Book Antiqua" w:hAnsi="Book Antiqua"/>
          <w:sz w:val="20"/>
          <w:szCs w:val="20"/>
        </w:rPr>
        <w:t xml:space="preserve">trend rate, the unemployment rate expected to decline to around the NAIRU and wages growth forecast to rise gradually over the forecast period, underlying inflation </w:t>
      </w:r>
      <w:r w:rsidR="0063165E">
        <w:rPr>
          <w:rFonts w:ascii="Book Antiqua" w:hAnsi="Book Antiqua"/>
          <w:sz w:val="20"/>
          <w:szCs w:val="20"/>
        </w:rPr>
        <w:t>is expected to increase from 2½ </w:t>
      </w:r>
      <w:r>
        <w:rPr>
          <w:rFonts w:ascii="Book Antiqua" w:hAnsi="Book Antiqua"/>
          <w:sz w:val="20"/>
          <w:szCs w:val="20"/>
        </w:rPr>
        <w:t>per cent at June 2011 to 2¾ per cent in June 2012 and 3 per cent in June 2013.  Headline inflation will be higher in the short-term due to the impact of the floods and Cyclone Yasi on fruit and vegetable prices, the recent increase in fuel prices and continued increases in utilities and other administered prices, remaining at around the top of the inflation target band across the forecast horizon.</w:t>
      </w:r>
      <w:r w:rsidR="00532952">
        <w:rPr>
          <w:rFonts w:ascii="Book Antiqua" w:hAnsi="Book Antiqua"/>
          <w:sz w:val="20"/>
          <w:szCs w:val="20"/>
        </w:rPr>
        <w:t xml:space="preserve"> With the economy e</w:t>
      </w:r>
      <w:r w:rsidR="00B60863">
        <w:rPr>
          <w:rFonts w:ascii="Book Antiqua" w:hAnsi="Book Antiqua"/>
          <w:sz w:val="20"/>
          <w:szCs w:val="20"/>
        </w:rPr>
        <w:t>xpected to</w:t>
      </w:r>
      <w:r w:rsidR="00532952">
        <w:rPr>
          <w:rFonts w:ascii="Book Antiqua" w:hAnsi="Book Antiqua"/>
          <w:sz w:val="20"/>
          <w:szCs w:val="20"/>
        </w:rPr>
        <w:t xml:space="preserve"> </w:t>
      </w:r>
      <w:r w:rsidR="00B60863">
        <w:rPr>
          <w:rFonts w:ascii="Book Antiqua" w:hAnsi="Book Antiqua"/>
          <w:sz w:val="20"/>
          <w:szCs w:val="20"/>
        </w:rPr>
        <w:t>approach</w:t>
      </w:r>
      <w:r w:rsidR="00532952">
        <w:rPr>
          <w:rFonts w:ascii="Book Antiqua" w:hAnsi="Book Antiqua"/>
          <w:sz w:val="20"/>
          <w:szCs w:val="20"/>
        </w:rPr>
        <w:t xml:space="preserve"> capacity, inflation risks remain on the upside.</w:t>
      </w:r>
    </w:p>
    <w:p w:rsidR="00FC4EEF" w:rsidRDefault="00FC3FAB" w:rsidP="00E621C3">
      <w:pPr>
        <w:pStyle w:val="Bullet"/>
        <w:tabs>
          <w:tab w:val="num" w:pos="0"/>
        </w:tabs>
        <w:spacing w:before="120" w:after="120" w:line="240" w:lineRule="auto"/>
        <w:ind w:left="0" w:firstLine="0"/>
      </w:pPr>
      <w:r w:rsidRPr="00B52D78">
        <w:t xml:space="preserve">The most prominent risks to Australia’s </w:t>
      </w:r>
      <w:r w:rsidR="00532952">
        <w:t>growth</w:t>
      </w:r>
      <w:r w:rsidRPr="00B52D78">
        <w:t xml:space="preserve"> outlook </w:t>
      </w:r>
      <w:r>
        <w:t xml:space="preserve">arise from fragilities in the </w:t>
      </w:r>
      <w:r w:rsidRPr="00B52D78">
        <w:t xml:space="preserve">global </w:t>
      </w:r>
      <w:r>
        <w:t>economy.</w:t>
      </w:r>
      <w:r w:rsidRPr="00B52D78">
        <w:t xml:space="preserve"> </w:t>
      </w:r>
      <w:r>
        <w:t>While gaining traction, t</w:t>
      </w:r>
      <w:r w:rsidRPr="00B52D78">
        <w:t xml:space="preserve">he </w:t>
      </w:r>
      <w:r>
        <w:t xml:space="preserve">global economic </w:t>
      </w:r>
      <w:r w:rsidRPr="00B52D78">
        <w:t xml:space="preserve">recovery </w:t>
      </w:r>
      <w:r>
        <w:t xml:space="preserve">is highly </w:t>
      </w:r>
      <w:r w:rsidRPr="00B52D78">
        <w:t>vu</w:t>
      </w:r>
      <w:r>
        <w:t>l</w:t>
      </w:r>
      <w:r w:rsidRPr="00B52D78">
        <w:t xml:space="preserve">nerable to </w:t>
      </w:r>
      <w:r>
        <w:t xml:space="preserve">another negative shock, with </w:t>
      </w:r>
      <w:r w:rsidRPr="00B52D78">
        <w:t xml:space="preserve">the nuclear situation in Japan </w:t>
      </w:r>
      <w:r>
        <w:t>and</w:t>
      </w:r>
      <w:r w:rsidRPr="00B52D78">
        <w:t xml:space="preserve"> civ</w:t>
      </w:r>
      <w:r>
        <w:t>i</w:t>
      </w:r>
      <w:r w:rsidRPr="00B52D78">
        <w:t>l unrest in North Africa and the Middle East</w:t>
      </w:r>
      <w:r>
        <w:t xml:space="preserve"> compounding existing fragilities</w:t>
      </w:r>
      <w:r w:rsidRPr="00B52D78">
        <w:t xml:space="preserve">. </w:t>
      </w:r>
      <w:r>
        <w:t>There are also a number of domestic risks.  The importance of the resources sector to the economic outlook and the lumpiness of mining-related investment raise the risk that economic growth could be volatile from quarter to quarter. The structural adjustment in the economy as the mining sector expands and places strains on other sectors is a source of further uncertainty in the forecasts. Australia’s high and volatile terms of trade also continues to present risks to the forecasts, with the downside risks more significant the further bulk commodity prices are away from marginal extraction costs.</w:t>
      </w:r>
    </w:p>
    <w:p w:rsidR="00FC4EEF" w:rsidRDefault="00FC4EEF" w:rsidP="00FC4EEF">
      <w:pPr>
        <w:pStyle w:val="Bullet"/>
        <w:tabs>
          <w:tab w:val="num" w:pos="0"/>
        </w:tabs>
        <w:spacing w:line="240" w:lineRule="auto"/>
        <w:ind w:left="0" w:firstLine="0"/>
      </w:pPr>
    </w:p>
    <w:p w:rsidR="00D11D57" w:rsidRPr="00016799" w:rsidRDefault="00D11D57" w:rsidP="00016799">
      <w:pPr>
        <w:pStyle w:val="Bullet"/>
        <w:tabs>
          <w:tab w:val="num" w:pos="0"/>
        </w:tabs>
        <w:spacing w:line="240" w:lineRule="auto"/>
        <w:ind w:left="0" w:firstLine="0"/>
      </w:pPr>
    </w:p>
    <w:p w:rsidR="00201ED5" w:rsidRPr="007711BC" w:rsidRDefault="009A79E9" w:rsidP="00BD6D77">
      <w:pPr>
        <w:pStyle w:val="TableGraphic"/>
        <w:widowControl w:val="0"/>
        <w:spacing w:after="120"/>
        <w:rPr>
          <w:rFonts w:cs="Tahoma"/>
        </w:rPr>
      </w:pPr>
      <w:r w:rsidRPr="007711BC">
        <w:rPr>
          <w:rFonts w:cs="Tahoma"/>
        </w:rPr>
        <w:lastRenderedPageBreak/>
        <w:t>Table 2 – Domestic economy forecasts</w:t>
      </w:r>
    </w:p>
    <w:p w:rsidR="00736A29" w:rsidRDefault="00497F2E" w:rsidP="005A7019">
      <w:pPr>
        <w:pStyle w:val="NoSpacing"/>
      </w:pPr>
      <w:r>
        <w:pict>
          <v:shape id="_x0000_i1026" type="#_x0000_t75" style="width:513.95pt;height:553.65pt">
            <v:imagedata r:id="rId16" o:title=""/>
          </v:shape>
        </w:pict>
      </w:r>
    </w:p>
    <w:p w:rsidR="00D11D57" w:rsidRPr="005257C1" w:rsidRDefault="00D11D57" w:rsidP="005A7019">
      <w:pPr>
        <w:pStyle w:val="NoSpacing"/>
        <w:sectPr w:rsidR="00D11D57" w:rsidRPr="005257C1" w:rsidSect="0013229B">
          <w:headerReference w:type="even" r:id="rId17"/>
          <w:headerReference w:type="default" r:id="rId18"/>
          <w:footerReference w:type="default" r:id="rId19"/>
          <w:pgSz w:w="11907" w:h="16840" w:code="9"/>
          <w:pgMar w:top="1418" w:right="1418" w:bottom="1418" w:left="1418" w:header="567" w:footer="567" w:gutter="0"/>
          <w:cols w:space="720"/>
        </w:sectPr>
      </w:pPr>
    </w:p>
    <w:p w:rsidR="00C825B7" w:rsidRPr="003344B0" w:rsidRDefault="000747B3" w:rsidP="00C61FA2">
      <w:pPr>
        <w:pStyle w:val="Heading3"/>
      </w:pPr>
      <w:r>
        <w:lastRenderedPageBreak/>
        <w:br w:type="page"/>
      </w:r>
      <w:bookmarkStart w:id="28" w:name="_Toc289277422"/>
      <w:r w:rsidR="002C5A92">
        <w:lastRenderedPageBreak/>
        <w:t>O</w:t>
      </w:r>
      <w:r w:rsidR="00991D21" w:rsidRPr="003344B0">
        <w:t>utlook for the domestic economy</w:t>
      </w:r>
      <w:bookmarkEnd w:id="27"/>
      <w:bookmarkEnd w:id="28"/>
    </w:p>
    <w:p w:rsidR="00BB3961" w:rsidRPr="002A6F36" w:rsidRDefault="00012A49" w:rsidP="00BB3961">
      <w:pPr>
        <w:pStyle w:val="NormalWeb"/>
        <w:shd w:val="clear" w:color="auto" w:fill="FFFFFF"/>
        <w:jc w:val="both"/>
        <w:rPr>
          <w:rFonts w:ascii="Book Antiqua" w:hAnsi="Book Antiqua"/>
          <w:sz w:val="20"/>
          <w:szCs w:val="20"/>
        </w:rPr>
      </w:pPr>
      <w:bookmarkStart w:id="29" w:name="_Toc180222111"/>
      <w:bookmarkStart w:id="30" w:name="_Toc185498660"/>
      <w:r>
        <w:rPr>
          <w:rFonts w:ascii="Book Antiqua" w:hAnsi="Book Antiqua"/>
          <w:sz w:val="20"/>
          <w:szCs w:val="20"/>
        </w:rPr>
        <w:t>Australia’s e</w:t>
      </w:r>
      <w:r w:rsidRPr="002A6F36">
        <w:rPr>
          <w:rFonts w:ascii="Book Antiqua" w:hAnsi="Book Antiqua"/>
          <w:sz w:val="20"/>
          <w:szCs w:val="20"/>
        </w:rPr>
        <w:t xml:space="preserve">conomic growth </w:t>
      </w:r>
      <w:r>
        <w:rPr>
          <w:rFonts w:ascii="Book Antiqua" w:hAnsi="Book Antiqua"/>
          <w:sz w:val="20"/>
          <w:szCs w:val="20"/>
        </w:rPr>
        <w:t xml:space="preserve">is forecast to strengthen from 2¼ </w:t>
      </w:r>
      <w:r w:rsidRPr="002A6F36">
        <w:rPr>
          <w:rFonts w:ascii="Book Antiqua" w:hAnsi="Book Antiqua"/>
          <w:sz w:val="20"/>
          <w:szCs w:val="20"/>
        </w:rPr>
        <w:t>per cent in 2010-11 t</w:t>
      </w:r>
      <w:r>
        <w:rPr>
          <w:rFonts w:ascii="Book Antiqua" w:hAnsi="Book Antiqua"/>
          <w:sz w:val="20"/>
          <w:szCs w:val="20"/>
        </w:rPr>
        <w:t>o above</w:t>
      </w:r>
      <w:r>
        <w:rPr>
          <w:rFonts w:ascii="Book Antiqua" w:hAnsi="Book Antiqua"/>
          <w:sz w:val="20"/>
          <w:szCs w:val="20"/>
        </w:rPr>
        <w:noBreakHyphen/>
        <w:t xml:space="preserve">trend growth of 4¼ </w:t>
      </w:r>
      <w:r w:rsidRPr="002A6F36">
        <w:rPr>
          <w:rFonts w:ascii="Book Antiqua" w:hAnsi="Book Antiqua"/>
          <w:sz w:val="20"/>
          <w:szCs w:val="20"/>
        </w:rPr>
        <w:t>per cent in 2011-12</w:t>
      </w:r>
      <w:r>
        <w:rPr>
          <w:rFonts w:ascii="Book Antiqua" w:hAnsi="Book Antiqua"/>
          <w:sz w:val="20"/>
          <w:szCs w:val="20"/>
        </w:rPr>
        <w:t xml:space="preserve"> and 3¾ per cent in 2012-13</w:t>
      </w:r>
      <w:r w:rsidRPr="002A6F36">
        <w:rPr>
          <w:rFonts w:ascii="Book Antiqua" w:hAnsi="Book Antiqua"/>
          <w:sz w:val="20"/>
          <w:szCs w:val="20"/>
        </w:rPr>
        <w:t>.</w:t>
      </w:r>
      <w:r w:rsidR="00BB3961">
        <w:rPr>
          <w:rFonts w:ascii="Book Antiqua" w:hAnsi="Book Antiqua"/>
          <w:sz w:val="20"/>
          <w:szCs w:val="20"/>
        </w:rPr>
        <w:t xml:space="preserve">  The forecast for 2010</w:t>
      </w:r>
      <w:r w:rsidR="00BB3961">
        <w:rPr>
          <w:rFonts w:ascii="Book Antiqua" w:hAnsi="Book Antiqua"/>
          <w:sz w:val="20"/>
          <w:szCs w:val="20"/>
        </w:rPr>
        <w:noBreakHyphen/>
        <w:t xml:space="preserve">11 has been downgraded by ¾ of </w:t>
      </w:r>
      <w:r w:rsidR="00BB3961" w:rsidRPr="002A6F36">
        <w:rPr>
          <w:rFonts w:ascii="Book Antiqua" w:hAnsi="Book Antiqua"/>
          <w:sz w:val="20"/>
          <w:szCs w:val="20"/>
        </w:rPr>
        <w:t xml:space="preserve">a percentage point </w:t>
      </w:r>
      <w:r w:rsidR="00BB3961">
        <w:rPr>
          <w:rFonts w:ascii="Book Antiqua" w:hAnsi="Book Antiqua"/>
          <w:sz w:val="20"/>
          <w:szCs w:val="20"/>
        </w:rPr>
        <w:t>since the December</w:t>
      </w:r>
      <w:r w:rsidR="00BB3961" w:rsidRPr="002A6F36">
        <w:rPr>
          <w:rFonts w:ascii="Book Antiqua" w:hAnsi="Book Antiqua"/>
          <w:sz w:val="20"/>
          <w:szCs w:val="20"/>
        </w:rPr>
        <w:t xml:space="preserve"> JEFG</w:t>
      </w:r>
      <w:r w:rsidR="00BB3961">
        <w:rPr>
          <w:rFonts w:ascii="Book Antiqua" w:hAnsi="Book Antiqua"/>
          <w:sz w:val="20"/>
          <w:szCs w:val="20"/>
        </w:rPr>
        <w:t>, reflecting the impact of the recent floods and cyclones (see Box 1) and weakness in household demand</w:t>
      </w:r>
      <w:r w:rsidR="00BB3961" w:rsidRPr="002A6F36">
        <w:rPr>
          <w:rFonts w:ascii="Book Antiqua" w:hAnsi="Book Antiqua"/>
          <w:sz w:val="20"/>
          <w:szCs w:val="20"/>
        </w:rPr>
        <w:t>.</w:t>
      </w:r>
      <w:r w:rsidR="00BB3961">
        <w:rPr>
          <w:rFonts w:ascii="Book Antiqua" w:hAnsi="Book Antiqua"/>
          <w:sz w:val="20"/>
          <w:szCs w:val="20"/>
        </w:rPr>
        <w:t xml:space="preserve"> Stronger growth in resources investment and non-rural commodity exports underpins higher forecast growth in real GDP in </w:t>
      </w:r>
      <w:r w:rsidR="00242CEE">
        <w:rPr>
          <w:rFonts w:ascii="Book Antiqua" w:hAnsi="Book Antiqua"/>
          <w:sz w:val="20"/>
          <w:szCs w:val="20"/>
        </w:rPr>
        <w:t xml:space="preserve">both </w:t>
      </w:r>
      <w:r w:rsidR="00B60863">
        <w:rPr>
          <w:rFonts w:ascii="Book Antiqua" w:hAnsi="Book Antiqua"/>
          <w:sz w:val="20"/>
          <w:szCs w:val="20"/>
        </w:rPr>
        <w:t>2011-12 and 2012</w:t>
      </w:r>
      <w:r w:rsidR="00B60863">
        <w:rPr>
          <w:rFonts w:ascii="Book Antiqua" w:hAnsi="Book Antiqua"/>
          <w:sz w:val="20"/>
          <w:szCs w:val="20"/>
        </w:rPr>
        <w:noBreakHyphen/>
      </w:r>
      <w:r w:rsidR="00BB3961">
        <w:rPr>
          <w:rFonts w:ascii="Book Antiqua" w:hAnsi="Book Antiqua"/>
          <w:sz w:val="20"/>
          <w:szCs w:val="20"/>
        </w:rPr>
        <w:t>13</w:t>
      </w:r>
      <w:r w:rsidR="00BB3961" w:rsidRPr="002A6F36">
        <w:rPr>
          <w:rFonts w:ascii="Book Antiqua" w:hAnsi="Book Antiqua"/>
          <w:sz w:val="20"/>
          <w:szCs w:val="20"/>
        </w:rPr>
        <w:t>.</w:t>
      </w:r>
    </w:p>
    <w:p w:rsidR="006B4DF6" w:rsidRPr="00253393" w:rsidRDefault="006B4DF6" w:rsidP="002940D6">
      <w:pPr>
        <w:pStyle w:val="Heading4"/>
        <w:keepNext w:val="0"/>
        <w:spacing w:before="240"/>
        <w:rPr>
          <w:sz w:val="20"/>
          <w:szCs w:val="20"/>
        </w:rPr>
      </w:pPr>
      <w:bookmarkStart w:id="31" w:name="_Toc289277423"/>
      <w:r w:rsidRPr="00253393">
        <w:rPr>
          <w:sz w:val="20"/>
          <w:szCs w:val="20"/>
        </w:rPr>
        <w:t>Household consumption</w:t>
      </w:r>
      <w:bookmarkEnd w:id="31"/>
    </w:p>
    <w:bookmarkEnd w:id="29"/>
    <w:p w:rsidR="00BB3961" w:rsidRDefault="00BB3961" w:rsidP="00BB3961">
      <w:r w:rsidRPr="007F4C05">
        <w:t xml:space="preserve">Household consumption is forecast to grow by 3 per cent in 2010-11, 3¼ per cent in 2011-12 and 3½ per cent in 2012-13. </w:t>
      </w:r>
      <w:r>
        <w:t xml:space="preserve">For 2010-11, this is a downgrade of ¼ of a percentage point since the December JEFG, reflecting a weaker than expected December quarter outcome and a continuation of </w:t>
      </w:r>
      <w:r w:rsidR="00987A06">
        <w:t>soft</w:t>
      </w:r>
      <w:r>
        <w:t xml:space="preserve"> retail trade and passenger motor vehicle sales in the March quarter.</w:t>
      </w:r>
    </w:p>
    <w:p w:rsidR="00BB3961" w:rsidRPr="007711BC" w:rsidRDefault="00BB3961" w:rsidP="00C36479">
      <w:pPr>
        <w:keepNext/>
        <w:spacing w:after="0"/>
        <w:jc w:val="center"/>
        <w:rPr>
          <w:rFonts w:ascii="Tahoma" w:hAnsi="Tahoma" w:cs="Tahoma"/>
          <w:b/>
        </w:rPr>
      </w:pPr>
      <w:r w:rsidRPr="007711BC">
        <w:rPr>
          <w:rFonts w:ascii="Tahoma" w:hAnsi="Tahoma" w:cs="Tahoma"/>
          <w:b/>
        </w:rPr>
        <w:t xml:space="preserve">Chart </w:t>
      </w:r>
      <w:r>
        <w:rPr>
          <w:rFonts w:ascii="Tahoma" w:hAnsi="Tahoma" w:cs="Tahoma"/>
          <w:b/>
        </w:rPr>
        <w:t>1</w:t>
      </w:r>
      <w:r w:rsidRPr="007711BC">
        <w:rPr>
          <w:rFonts w:ascii="Tahoma" w:hAnsi="Tahoma" w:cs="Tahoma"/>
          <w:b/>
        </w:rPr>
        <w:t xml:space="preserve">: Household </w:t>
      </w:r>
      <w:r>
        <w:rPr>
          <w:rFonts w:ascii="Tahoma" w:hAnsi="Tahoma" w:cs="Tahoma"/>
          <w:b/>
        </w:rPr>
        <w:t>consumption</w:t>
      </w:r>
    </w:p>
    <w:p w:rsidR="00BB3961" w:rsidRDefault="00204B0A" w:rsidP="00C36479">
      <w:pPr>
        <w:keepNext/>
        <w:widowControl w:val="0"/>
        <w:spacing w:after="0" w:line="240" w:lineRule="auto"/>
        <w:jc w:val="left"/>
        <w:rPr>
          <w:rFonts w:ascii="Tahoma" w:hAnsi="Tahoma" w:cs="Tahoma"/>
          <w:sz w:val="16"/>
          <w:szCs w:val="16"/>
        </w:rPr>
      </w:pPr>
      <w:r>
        <w:pict>
          <v:shape id="_x0000_i1027" type="#_x0000_t75" style="width:225.95pt;height:227.15pt">
            <v:imagedata r:id="rId20" o:title=""/>
          </v:shape>
        </w:pict>
      </w:r>
      <w:r w:rsidR="00BB3961" w:rsidRPr="00FE56C9">
        <w:rPr>
          <w:rFonts w:ascii="Tahoma" w:hAnsi="Tahoma" w:cs="Tahoma"/>
          <w:sz w:val="16"/>
          <w:szCs w:val="16"/>
        </w:rPr>
        <w:t>Source:</w:t>
      </w:r>
      <w:r w:rsidR="00BB3961">
        <w:rPr>
          <w:szCs w:val="20"/>
        </w:rPr>
        <w:t xml:space="preserve">  </w:t>
      </w:r>
      <w:r w:rsidR="00BB3961" w:rsidRPr="002877EB">
        <w:rPr>
          <w:rFonts w:ascii="Tahoma" w:hAnsi="Tahoma" w:cs="Tahoma"/>
          <w:sz w:val="16"/>
          <w:szCs w:val="16"/>
        </w:rPr>
        <w:t xml:space="preserve">ABS Catalogue Number </w:t>
      </w:r>
      <w:r w:rsidR="00BB3961">
        <w:rPr>
          <w:rFonts w:ascii="Tahoma" w:hAnsi="Tahoma" w:cs="Tahoma"/>
          <w:sz w:val="16"/>
          <w:szCs w:val="16"/>
        </w:rPr>
        <w:t>5206.0 and Treasury.</w:t>
      </w:r>
    </w:p>
    <w:p w:rsidR="003D5868" w:rsidRDefault="00BB3961" w:rsidP="00953840">
      <w:pPr>
        <w:spacing w:before="240"/>
      </w:pPr>
      <w:r>
        <w:t xml:space="preserve">Recent household consumption growth has been weak, particularly in the context of a strong labour market, solid growth in household disposable incomes and the </w:t>
      </w:r>
      <w:r>
        <w:lastRenderedPageBreak/>
        <w:t xml:space="preserve">continued (albeit gradual) recovery of net wealth following the global financial crisis.   </w:t>
      </w:r>
    </w:p>
    <w:p w:rsidR="00BB3961" w:rsidRDefault="00BB3961" w:rsidP="003D5868">
      <w:r>
        <w:t xml:space="preserve">Compared </w:t>
      </w:r>
      <w:r w:rsidR="00A61BEA">
        <w:t>with</w:t>
      </w:r>
      <w:r>
        <w:t xml:space="preserve"> the experience of the last decade, households are allocating a greater proportion of income to saving and paying down debt at an accelerated rate.  The household saving ratio, which was negative in the mid-2000s, rose to 10 per cent during the GFC and has remained broadly stable since.  The pace of household credit growth has slowed markedly</w:t>
      </w:r>
      <w:r w:rsidR="00987A06">
        <w:t>,</w:t>
      </w:r>
      <w:r>
        <w:t xml:space="preserve"> a higher proportion of households are ahead in their mortgage repayments and </w:t>
      </w:r>
      <w:r w:rsidR="00987A06">
        <w:t xml:space="preserve">more individuals are </w:t>
      </w:r>
      <w:r>
        <w:t>paying off their credit cards before the end of each month.</w:t>
      </w:r>
    </w:p>
    <w:p w:rsidR="00E621C3" w:rsidRDefault="00E621C3" w:rsidP="00E621C3">
      <w:pPr>
        <w:keepNext/>
        <w:spacing w:after="0"/>
        <w:jc w:val="center"/>
        <w:rPr>
          <w:rFonts w:ascii="Tahoma" w:hAnsi="Tahoma" w:cs="Tahoma"/>
          <w:b/>
        </w:rPr>
      </w:pPr>
      <w:r w:rsidRPr="007711BC">
        <w:rPr>
          <w:rFonts w:ascii="Tahoma" w:hAnsi="Tahoma" w:cs="Tahoma"/>
          <w:b/>
        </w:rPr>
        <w:t xml:space="preserve">Chart </w:t>
      </w:r>
      <w:r>
        <w:rPr>
          <w:rFonts w:ascii="Tahoma" w:hAnsi="Tahoma" w:cs="Tahoma"/>
          <w:b/>
        </w:rPr>
        <w:t xml:space="preserve">2: Household saving ratio </w:t>
      </w:r>
    </w:p>
    <w:p w:rsidR="00E621C3" w:rsidRDefault="00204B0A" w:rsidP="00C36479">
      <w:pPr>
        <w:keepNext/>
        <w:spacing w:after="0" w:line="240" w:lineRule="auto"/>
        <w:jc w:val="center"/>
        <w:rPr>
          <w:rFonts w:ascii="Tahoma" w:hAnsi="Tahoma" w:cs="Tahoma"/>
          <w:sz w:val="16"/>
          <w:szCs w:val="16"/>
        </w:rPr>
      </w:pPr>
      <w:r>
        <w:rPr>
          <w:rFonts w:ascii="Tahoma" w:hAnsi="Tahoma" w:cs="Tahoma"/>
          <w:b/>
        </w:rPr>
        <w:pict>
          <v:shape id="_x0000_i1028" type="#_x0000_t75" style="width:225.95pt;height:225.95pt">
            <v:imagedata r:id="rId21" o:title=""/>
          </v:shape>
        </w:pict>
      </w:r>
      <w:r w:rsidR="00E621C3" w:rsidRPr="00FE56C9">
        <w:rPr>
          <w:rFonts w:ascii="Tahoma" w:hAnsi="Tahoma" w:cs="Tahoma"/>
          <w:sz w:val="16"/>
          <w:szCs w:val="16"/>
        </w:rPr>
        <w:t>Source:</w:t>
      </w:r>
      <w:r w:rsidR="00E621C3">
        <w:rPr>
          <w:szCs w:val="20"/>
        </w:rPr>
        <w:t xml:space="preserve">  </w:t>
      </w:r>
      <w:r w:rsidR="00E621C3">
        <w:rPr>
          <w:rFonts w:ascii="Tahoma" w:hAnsi="Tahoma" w:cs="Tahoma"/>
          <w:sz w:val="16"/>
          <w:szCs w:val="16"/>
        </w:rPr>
        <w:t>ABS Catalogue Number 5206.0 and Treasury</w:t>
      </w:r>
    </w:p>
    <w:p w:rsidR="00E621C3" w:rsidRPr="00E621C3" w:rsidRDefault="00E621C3" w:rsidP="00E621C3">
      <w:pPr>
        <w:keepNext/>
        <w:spacing w:after="0" w:line="240" w:lineRule="auto"/>
        <w:jc w:val="left"/>
        <w:rPr>
          <w:rFonts w:ascii="Tahoma" w:hAnsi="Tahoma" w:cs="Tahoma"/>
          <w:sz w:val="16"/>
          <w:szCs w:val="16"/>
        </w:rPr>
      </w:pPr>
    </w:p>
    <w:p w:rsidR="00BB3961" w:rsidRDefault="00BB3961" w:rsidP="00BB3961">
      <w:r>
        <w:t xml:space="preserve">There are several possible explanations for the evident change in household behaviour, including: </w:t>
      </w:r>
      <w:r w:rsidRPr="00F16335">
        <w:t>the uncertainty created by the GFC, loss of financial wealth and increased realisation that elevated debt levels can leave consumers exposed to shocks; the need to save more from current income to compensate for expected slower growth in saving</w:t>
      </w:r>
      <w:r>
        <w:t>s</w:t>
      </w:r>
      <w:r w:rsidRPr="00F16335">
        <w:t xml:space="preserve"> through </w:t>
      </w:r>
      <w:r w:rsidR="00012A49">
        <w:t>capital gains</w:t>
      </w:r>
      <w:r w:rsidRPr="00F16335">
        <w:t xml:space="preserve">; and increases in some visible </w:t>
      </w:r>
      <w:r>
        <w:t xml:space="preserve">consumer </w:t>
      </w:r>
      <w:r w:rsidRPr="00F16335">
        <w:t xml:space="preserve">prices such as utilities and petrol.  </w:t>
      </w:r>
    </w:p>
    <w:p w:rsidR="00BB3961" w:rsidRDefault="00BB3961" w:rsidP="00BB3961">
      <w:r>
        <w:t>Household balance sheet consolidation is</w:t>
      </w:r>
      <w:r w:rsidRPr="006A2610">
        <w:t xml:space="preserve"> a pos</w:t>
      </w:r>
      <w:r>
        <w:t>itive development in the medium</w:t>
      </w:r>
      <w:r>
        <w:noBreakHyphen/>
      </w:r>
      <w:r w:rsidRPr="006A2610">
        <w:t xml:space="preserve">term as it will improve the resilience of the household sector to shocks.  However, the implication for the forecasts is that a continuation of cautious household spending behaviour and reluctance </w:t>
      </w:r>
      <w:r w:rsidRPr="006A2610">
        <w:lastRenderedPageBreak/>
        <w:t xml:space="preserve">to take on debt </w:t>
      </w:r>
      <w:r>
        <w:t>will</w:t>
      </w:r>
      <w:r w:rsidRPr="006A2610">
        <w:t xml:space="preserve"> weigh on both household consumption and dwelling investment. Therefore, a </w:t>
      </w:r>
      <w:r>
        <w:t xml:space="preserve">key question for the forecasts is whether this change in consumer behaviour will persist, or </w:t>
      </w:r>
      <w:r w:rsidR="00987A06">
        <w:t>whether</w:t>
      </w:r>
      <w:r>
        <w:t xml:space="preserve"> stronger household finances </w:t>
      </w:r>
      <w:r w:rsidR="00987A06">
        <w:t xml:space="preserve">will </w:t>
      </w:r>
      <w:r>
        <w:t xml:space="preserve">provide the basis for an acceleration of household consumption during the forecast horizon in the context of a favourable economic outlook. </w:t>
      </w:r>
    </w:p>
    <w:p w:rsidR="00162046" w:rsidRDefault="00162046" w:rsidP="00162046">
      <w:r>
        <w:t>The current forecasts chart a middle-ground, suggesting both upside and downside risks.  The forecasts are for a</w:t>
      </w:r>
      <w:r w:rsidRPr="006A2610">
        <w:t xml:space="preserve"> gradual strengthening of household consumption growth over the forecast period, reaching the trend rate in 2012-13</w:t>
      </w:r>
      <w:r>
        <w:t xml:space="preserve">. The implication is a slight decline in the </w:t>
      </w:r>
      <w:r w:rsidRPr="006A2610">
        <w:t xml:space="preserve">household saving ratio </w:t>
      </w:r>
      <w:r>
        <w:t>over the forecast period, from</w:t>
      </w:r>
      <w:r w:rsidRPr="006A2610">
        <w:t xml:space="preserve"> around 10 per cent</w:t>
      </w:r>
      <w:r>
        <w:t xml:space="preserve"> currently to around 9 per cent in 2012-13</w:t>
      </w:r>
      <w:r w:rsidRPr="006A2610">
        <w:t>.</w:t>
      </w:r>
    </w:p>
    <w:p w:rsidR="003F1470" w:rsidRDefault="003F1470" w:rsidP="002940D6">
      <w:pPr>
        <w:pStyle w:val="Heading4"/>
        <w:keepNext w:val="0"/>
      </w:pPr>
      <w:bookmarkStart w:id="32" w:name="_Toc289277424"/>
      <w:r w:rsidRPr="001B55FE">
        <w:t>Dwelling investment</w:t>
      </w:r>
      <w:bookmarkEnd w:id="32"/>
    </w:p>
    <w:p w:rsidR="00162046" w:rsidRPr="00382615" w:rsidRDefault="00162046" w:rsidP="00162046">
      <w:r w:rsidRPr="001138CE">
        <w:rPr>
          <w:szCs w:val="20"/>
        </w:rPr>
        <w:t xml:space="preserve">The near-term outlook </w:t>
      </w:r>
      <w:r>
        <w:rPr>
          <w:szCs w:val="20"/>
        </w:rPr>
        <w:t>for dwelling investment has weakened since</w:t>
      </w:r>
      <w:r w:rsidRPr="001138CE">
        <w:rPr>
          <w:szCs w:val="20"/>
        </w:rPr>
        <w:t xml:space="preserve"> December JEFG.</w:t>
      </w:r>
      <w:r>
        <w:rPr>
          <w:szCs w:val="20"/>
        </w:rPr>
        <w:t xml:space="preserve">  </w:t>
      </w:r>
      <w:r w:rsidRPr="007F4C05">
        <w:t>Dwelling investment is forecast to grow 2½ per cent in 2010</w:t>
      </w:r>
      <w:r w:rsidRPr="007F4C05">
        <w:noBreakHyphen/>
        <w:t>11</w:t>
      </w:r>
      <w:r w:rsidR="00987A06">
        <w:t xml:space="preserve"> (unchanged from December JEFG)</w:t>
      </w:r>
      <w:r w:rsidRPr="007F4C05">
        <w:t>, 1½</w:t>
      </w:r>
      <w:r w:rsidR="00987A06">
        <w:t> </w:t>
      </w:r>
      <w:r>
        <w:t>per cent</w:t>
      </w:r>
      <w:r w:rsidRPr="007F4C05">
        <w:t xml:space="preserve"> in 2011-12 (</w:t>
      </w:r>
      <w:r>
        <w:t>2 per cent at December JEFG</w:t>
      </w:r>
      <w:r w:rsidRPr="007F4C05">
        <w:t>) an</w:t>
      </w:r>
      <w:r>
        <w:t xml:space="preserve">d </w:t>
      </w:r>
      <w:r w:rsidR="00987A06">
        <w:t>3</w:t>
      </w:r>
      <w:r>
        <w:t> per cent in 2012</w:t>
      </w:r>
      <w:r>
        <w:noBreakHyphen/>
      </w:r>
      <w:r w:rsidRPr="007F4C05">
        <w:t>13 (</w:t>
      </w:r>
      <w:r w:rsidR="00987A06">
        <w:t>up from 2 per cent at December JEFG</w:t>
      </w:r>
      <w:r w:rsidRPr="007F4C05">
        <w:t>).</w:t>
      </w:r>
      <w:r w:rsidRPr="00382615">
        <w:t xml:space="preserve"> </w:t>
      </w:r>
    </w:p>
    <w:p w:rsidR="00162046" w:rsidRDefault="00162046" w:rsidP="00162046">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Dwelling investment fell in the second half of 2010, broadly in line with the forecasts at December JEFG. The only states to record higher investment in the second half of 201</w:t>
      </w:r>
      <w:r w:rsidR="00242CEE">
        <w:rPr>
          <w:rFonts w:ascii="Book Antiqua" w:hAnsi="Book Antiqua"/>
          <w:sz w:val="20"/>
          <w:szCs w:val="20"/>
        </w:rPr>
        <w:t>0</w:t>
      </w:r>
      <w:r>
        <w:rPr>
          <w:rFonts w:ascii="Book Antiqua" w:hAnsi="Book Antiqua"/>
          <w:sz w:val="20"/>
          <w:szCs w:val="20"/>
        </w:rPr>
        <w:t xml:space="preserve"> were Victoria and New South Wales, dr</w:t>
      </w:r>
      <w:r w:rsidR="0063165E">
        <w:rPr>
          <w:rFonts w:ascii="Book Antiqua" w:hAnsi="Book Antiqua"/>
          <w:sz w:val="20"/>
          <w:szCs w:val="20"/>
        </w:rPr>
        <w:t xml:space="preserve">iven by strong growth in medium and high </w:t>
      </w:r>
      <w:r>
        <w:rPr>
          <w:rFonts w:ascii="Book Antiqua" w:hAnsi="Book Antiqua"/>
          <w:sz w:val="20"/>
          <w:szCs w:val="20"/>
        </w:rPr>
        <w:t>density construction.</w:t>
      </w:r>
    </w:p>
    <w:p w:rsidR="00162046" w:rsidRPr="001138CE" w:rsidRDefault="00162046" w:rsidP="00162046">
      <w:pPr>
        <w:pStyle w:val="NormalWeb"/>
        <w:shd w:val="clear" w:color="auto" w:fill="FFFFFF"/>
        <w:spacing w:before="120" w:beforeAutospacing="0" w:after="120" w:afterAutospacing="0"/>
        <w:jc w:val="both"/>
        <w:rPr>
          <w:rFonts w:ascii="Book Antiqua" w:hAnsi="Book Antiqua"/>
          <w:color w:val="FF0000"/>
          <w:sz w:val="20"/>
          <w:szCs w:val="20"/>
        </w:rPr>
      </w:pPr>
      <w:r w:rsidRPr="00112EF1">
        <w:rPr>
          <w:rFonts w:ascii="Book Antiqua" w:eastAsia="SimSun" w:hAnsi="Book Antiqua"/>
          <w:sz w:val="20"/>
          <w:lang w:eastAsia="en-US"/>
        </w:rPr>
        <w:t>Leading indicators point to further near-term weakness in dwelling investment, with falls in the number of approvals for private houses only partly offset by continued</w:t>
      </w:r>
      <w:r>
        <w:t xml:space="preserve"> </w:t>
      </w:r>
      <w:r>
        <w:rPr>
          <w:rFonts w:ascii="Book Antiqua" w:eastAsia="SimSun" w:hAnsi="Book Antiqua"/>
          <w:sz w:val="20"/>
          <w:lang w:eastAsia="en-US"/>
        </w:rPr>
        <w:t xml:space="preserve">growth in </w:t>
      </w:r>
      <w:r w:rsidRPr="00112EF1">
        <w:rPr>
          <w:rFonts w:ascii="Book Antiqua" w:eastAsia="SimSun" w:hAnsi="Book Antiqua"/>
          <w:sz w:val="20"/>
          <w:lang w:eastAsia="en-US"/>
        </w:rPr>
        <w:t xml:space="preserve">medium-density </w:t>
      </w:r>
      <w:r>
        <w:rPr>
          <w:rFonts w:ascii="Book Antiqua" w:eastAsia="SimSun" w:hAnsi="Book Antiqua"/>
          <w:sz w:val="20"/>
          <w:lang w:eastAsia="en-US"/>
        </w:rPr>
        <w:t>approvals</w:t>
      </w:r>
      <w:r w:rsidRPr="00112EF1">
        <w:rPr>
          <w:rFonts w:ascii="Book Antiqua" w:eastAsia="SimSun" w:hAnsi="Book Antiqua"/>
          <w:sz w:val="20"/>
          <w:lang w:eastAsia="en-US"/>
        </w:rPr>
        <w:t xml:space="preserve"> in Victoria. </w:t>
      </w:r>
    </w:p>
    <w:p w:rsidR="00162046" w:rsidRDefault="00162046" w:rsidP="00162046">
      <w:pPr>
        <w:rPr>
          <w:szCs w:val="20"/>
        </w:rPr>
      </w:pPr>
      <w:r>
        <w:rPr>
          <w:szCs w:val="20"/>
        </w:rPr>
        <w:t>Looking ahead, b</w:t>
      </w:r>
      <w:r w:rsidRPr="00112EF1">
        <w:t>usine</w:t>
      </w:r>
      <w:r w:rsidR="0063165E">
        <w:t xml:space="preserve">ss liaison suggests that medium and high </w:t>
      </w:r>
      <w:r w:rsidRPr="00112EF1">
        <w:t>density construction in Victoria is expected to ease from current record levels. Reconstruction after the floods and cyclone Yasi will provide some support to an otherwise soft Queensland market, but the impact on the national-level forecasts is at the margin.</w:t>
      </w:r>
    </w:p>
    <w:p w:rsidR="00162046" w:rsidRDefault="00162046" w:rsidP="00162046">
      <w:r w:rsidRPr="00162046">
        <w:lastRenderedPageBreak/>
        <w:t>The forecasts are for a gradual pick up in dwelling investment growth, balancing a favourable labour market outlook with lower net international migration, household caution in taking on new debt and the assumption that mortgage interest rates will rise in line with market expectations.</w:t>
      </w:r>
      <w:r w:rsidRPr="00CF3B15">
        <w:t xml:space="preserve"> </w:t>
      </w:r>
      <w:r w:rsidR="0029042A">
        <w:t>Housing affordability</w:t>
      </w:r>
      <w:r>
        <w:t xml:space="preserve"> and s</w:t>
      </w:r>
      <w:r w:rsidRPr="007F4C05">
        <w:t>upply</w:t>
      </w:r>
      <w:r>
        <w:t>-side</w:t>
      </w:r>
      <w:r w:rsidRPr="007F4C05">
        <w:t xml:space="preserve"> constraints, including skilled labour shortages, difficulties </w:t>
      </w:r>
      <w:r>
        <w:t>in</w:t>
      </w:r>
      <w:r w:rsidRPr="007F4C05">
        <w:t xml:space="preserve"> the planning and approval process and land supply issues, are </w:t>
      </w:r>
      <w:r>
        <w:t xml:space="preserve">also </w:t>
      </w:r>
      <w:r w:rsidRPr="007F4C05">
        <w:t xml:space="preserve">likely to continue to </w:t>
      </w:r>
      <w:r w:rsidR="00242CEE">
        <w:t>constrain</w:t>
      </w:r>
      <w:r w:rsidRPr="007F4C05">
        <w:t xml:space="preserve"> the growth of private dwelling investment.</w:t>
      </w:r>
      <w:r>
        <w:t xml:space="preserve"> </w:t>
      </w:r>
    </w:p>
    <w:p w:rsidR="000534CA" w:rsidRPr="007711BC" w:rsidRDefault="000534CA" w:rsidP="00162046">
      <w:pPr>
        <w:keepNext/>
        <w:spacing w:after="0"/>
        <w:jc w:val="center"/>
        <w:rPr>
          <w:rFonts w:ascii="Tahoma" w:hAnsi="Tahoma" w:cs="Tahoma"/>
          <w:b/>
        </w:rPr>
      </w:pPr>
      <w:r w:rsidRPr="007711BC">
        <w:rPr>
          <w:rFonts w:ascii="Tahoma" w:hAnsi="Tahoma" w:cs="Tahoma"/>
          <w:b/>
        </w:rPr>
        <w:t xml:space="preserve">Chart </w:t>
      </w:r>
      <w:r>
        <w:rPr>
          <w:rFonts w:ascii="Tahoma" w:hAnsi="Tahoma" w:cs="Tahoma"/>
          <w:b/>
        </w:rPr>
        <w:t>3</w:t>
      </w:r>
      <w:r w:rsidRPr="007711BC">
        <w:rPr>
          <w:rFonts w:ascii="Tahoma" w:hAnsi="Tahoma" w:cs="Tahoma"/>
          <w:b/>
        </w:rPr>
        <w:t xml:space="preserve">: </w:t>
      </w:r>
      <w:r>
        <w:rPr>
          <w:rFonts w:ascii="Tahoma" w:hAnsi="Tahoma" w:cs="Tahoma"/>
          <w:b/>
        </w:rPr>
        <w:t>Dwelling investment</w:t>
      </w:r>
    </w:p>
    <w:p w:rsidR="00017F7B" w:rsidRDefault="00204B0A" w:rsidP="00C36479">
      <w:pPr>
        <w:spacing w:after="0" w:line="240" w:lineRule="auto"/>
        <w:jc w:val="center"/>
        <w:rPr>
          <w:rFonts w:ascii="Tahoma" w:hAnsi="Tahoma" w:cs="Tahoma"/>
          <w:sz w:val="16"/>
          <w:szCs w:val="16"/>
        </w:rPr>
      </w:pPr>
      <w:r>
        <w:rPr>
          <w:noProof/>
          <w:lang w:eastAsia="en-AU"/>
        </w:rPr>
        <w:pict>
          <v:shape id="_x0000_i1029" type="#_x0000_t75" style="width:225.95pt;height:225.95pt">
            <v:imagedata r:id="rId22" o:title=""/>
          </v:shape>
        </w:pict>
      </w:r>
      <w:r w:rsidR="000534CA" w:rsidRPr="00FE56C9">
        <w:rPr>
          <w:rFonts w:ascii="Tahoma" w:hAnsi="Tahoma" w:cs="Tahoma"/>
          <w:sz w:val="16"/>
          <w:szCs w:val="16"/>
        </w:rPr>
        <w:t>Source:</w:t>
      </w:r>
      <w:r w:rsidR="000534CA">
        <w:rPr>
          <w:szCs w:val="20"/>
        </w:rPr>
        <w:t xml:space="preserve">  </w:t>
      </w:r>
      <w:r w:rsidR="000534CA" w:rsidRPr="002877EB">
        <w:rPr>
          <w:rFonts w:ascii="Tahoma" w:hAnsi="Tahoma" w:cs="Tahoma"/>
          <w:sz w:val="16"/>
          <w:szCs w:val="16"/>
        </w:rPr>
        <w:t xml:space="preserve">ABS Catalogue Number </w:t>
      </w:r>
      <w:r w:rsidR="000534CA">
        <w:rPr>
          <w:rFonts w:ascii="Tahoma" w:hAnsi="Tahoma" w:cs="Tahoma"/>
          <w:sz w:val="16"/>
          <w:szCs w:val="16"/>
        </w:rPr>
        <w:t>5206.0 and Treasury</w:t>
      </w:r>
      <w:r w:rsidR="00996304">
        <w:rPr>
          <w:rFonts w:ascii="Tahoma" w:hAnsi="Tahoma" w:cs="Tahoma"/>
          <w:sz w:val="16"/>
          <w:szCs w:val="16"/>
        </w:rPr>
        <w:t>.</w:t>
      </w:r>
      <w:bookmarkStart w:id="33" w:name="_Toc187553173"/>
      <w:bookmarkEnd w:id="30"/>
    </w:p>
    <w:p w:rsidR="00162046" w:rsidRPr="00162046" w:rsidRDefault="00162046" w:rsidP="00162046">
      <w:pPr>
        <w:spacing w:after="0" w:line="240" w:lineRule="auto"/>
        <w:rPr>
          <w:rFonts w:ascii="Tahoma" w:hAnsi="Tahoma" w:cs="Tahoma"/>
          <w:sz w:val="16"/>
          <w:szCs w:val="16"/>
        </w:rPr>
      </w:pPr>
    </w:p>
    <w:p w:rsidR="00AF3475" w:rsidRPr="00B36A7B" w:rsidRDefault="00AF3475" w:rsidP="002940D6">
      <w:pPr>
        <w:pStyle w:val="Heading4"/>
        <w:keepNext w:val="0"/>
        <w:spacing w:before="240"/>
      </w:pPr>
      <w:bookmarkStart w:id="34" w:name="_Toc289277425"/>
      <w:r w:rsidRPr="00B36A7B">
        <w:t>Business investment</w:t>
      </w:r>
      <w:bookmarkEnd w:id="33"/>
      <w:bookmarkEnd w:id="34"/>
    </w:p>
    <w:p w:rsidR="00162046" w:rsidRPr="00B36A7B" w:rsidRDefault="00162046" w:rsidP="00162046">
      <w:bookmarkStart w:id="35" w:name="_Toc195517449"/>
      <w:bookmarkStart w:id="36" w:name="_Toc185498664"/>
      <w:bookmarkStart w:id="37" w:name="_Toc185498663"/>
      <w:r w:rsidRPr="00B36A7B">
        <w:t xml:space="preserve">The outlook for business investment has </w:t>
      </w:r>
      <w:r>
        <w:t>strengthened since</w:t>
      </w:r>
      <w:r w:rsidRPr="00B36A7B">
        <w:t xml:space="preserve"> the December round.  While the December quarter result was weaker than expected, </w:t>
      </w:r>
      <w:r>
        <w:t>the pipeline of resources investment has increased and the recent CAPEX survey has reaffirmed expectations of strong growth in investment through the remainder o</w:t>
      </w:r>
      <w:r w:rsidR="0063165E">
        <w:t>f</w:t>
      </w:r>
      <w:r>
        <w:t xml:space="preserve"> 2010-11 and into 2011-12. </w:t>
      </w:r>
    </w:p>
    <w:p w:rsidR="00162046" w:rsidRPr="00B36A7B" w:rsidRDefault="00162046" w:rsidP="00162046">
      <w:r w:rsidRPr="00B36A7B">
        <w:rPr>
          <w:b/>
        </w:rPr>
        <w:t>New business investment</w:t>
      </w:r>
      <w:r w:rsidRPr="00B36A7B">
        <w:t xml:space="preserve"> is forecast to grow by a slightly weaker 4½ per cent in 2010-11</w:t>
      </w:r>
      <w:r>
        <w:t>,</w:t>
      </w:r>
      <w:r w:rsidRPr="00B36A7B">
        <w:t xml:space="preserve"> reflecting the soft December quarter result. However, growth in 2011-12 and 2012-13 is expected to be stronger at 16½ per cent and 14½ per cent.  Strong growth over coming years </w:t>
      </w:r>
      <w:r w:rsidR="007372D9">
        <w:t>is underpinned</w:t>
      </w:r>
      <w:r w:rsidRPr="00B36A7B">
        <w:t xml:space="preserve"> by record capital expenditure intentions in the mining industry.  This is expected to drive business investment </w:t>
      </w:r>
      <w:r w:rsidRPr="00B36A7B">
        <w:lastRenderedPageBreak/>
        <w:t>to new highs as a proportion of GDP by the end of the forecast horizon (Chart 4).</w:t>
      </w:r>
    </w:p>
    <w:p w:rsidR="00162046" w:rsidRPr="00260371" w:rsidRDefault="00162046" w:rsidP="00162046">
      <w:pPr>
        <w:rPr>
          <w:highlight w:val="yellow"/>
        </w:rPr>
      </w:pPr>
      <w:r w:rsidRPr="00B36A7B">
        <w:t>In recent months, survey measures of business conditions and business confidence have fluctuated following natural disasters in Queensland, Victoria and parts of New South Wales.  H</w:t>
      </w:r>
      <w:r>
        <w:t>owever, they remain around long</w:t>
      </w:r>
      <w:r>
        <w:noBreakHyphen/>
      </w:r>
      <w:r w:rsidRPr="00B36A7B">
        <w:t xml:space="preserve">run averages and investment intentions </w:t>
      </w:r>
      <w:r>
        <w:t xml:space="preserve">in the resources sector </w:t>
      </w:r>
      <w:r w:rsidRPr="00B36A7B">
        <w:t xml:space="preserve">have remained strong.  </w:t>
      </w:r>
      <w:r>
        <w:t>B</w:t>
      </w:r>
      <w:r w:rsidRPr="00B36A7B">
        <w:t xml:space="preserve">usiness surveys </w:t>
      </w:r>
      <w:r>
        <w:t>continue to highlight</w:t>
      </w:r>
      <w:r w:rsidRPr="00B36A7B">
        <w:t xml:space="preserve"> stark differences in the performance of industries across the economy, with mining and related sectors strong, while exchange rate exposed industries such as tourism </w:t>
      </w:r>
      <w:r w:rsidR="0029042A">
        <w:t xml:space="preserve">and some parts of manufacturing </w:t>
      </w:r>
      <w:r w:rsidRPr="00B36A7B">
        <w:t xml:space="preserve">are much weaker. </w:t>
      </w:r>
    </w:p>
    <w:p w:rsidR="0086331D" w:rsidRPr="00B36A7B" w:rsidRDefault="0086331D" w:rsidP="0086331D">
      <w:pPr>
        <w:keepNext/>
        <w:spacing w:after="0"/>
        <w:jc w:val="center"/>
        <w:rPr>
          <w:rFonts w:ascii="Tahoma" w:hAnsi="Tahoma" w:cs="Tahoma"/>
          <w:b/>
        </w:rPr>
      </w:pPr>
      <w:r w:rsidRPr="00DE13FA">
        <w:rPr>
          <w:rFonts w:ascii="Tahoma" w:hAnsi="Tahoma" w:cs="Tahoma"/>
          <w:b/>
        </w:rPr>
        <w:t xml:space="preserve">Chart 4: </w:t>
      </w:r>
      <w:r w:rsidR="000779E7" w:rsidRPr="00DE13FA">
        <w:rPr>
          <w:rFonts w:ascii="Tahoma" w:hAnsi="Tahoma" w:cs="Tahoma"/>
          <w:b/>
        </w:rPr>
        <w:t>CAPEX</w:t>
      </w:r>
      <w:r w:rsidR="00DE13FA">
        <w:rPr>
          <w:rFonts w:ascii="Tahoma" w:hAnsi="Tahoma" w:cs="Tahoma"/>
          <w:b/>
        </w:rPr>
        <w:t xml:space="preserve"> intentions</w:t>
      </w:r>
      <w:r w:rsidR="00DE13FA">
        <w:rPr>
          <w:rFonts w:ascii="Tahoma" w:hAnsi="Tahoma" w:cs="Tahoma"/>
          <w:b/>
        </w:rPr>
        <w:br/>
      </w:r>
      <w:r w:rsidR="00DE13FA" w:rsidRPr="00DE13FA">
        <w:rPr>
          <w:rFonts w:ascii="Tahoma" w:hAnsi="Tahoma" w:cs="Tahoma"/>
          <w:b/>
          <w:sz w:val="16"/>
          <w:szCs w:val="16"/>
        </w:rPr>
        <w:t>(</w:t>
      </w:r>
      <w:r w:rsidR="00DE13FA">
        <w:rPr>
          <w:rFonts w:ascii="Tahoma" w:hAnsi="Tahoma" w:cs="Tahoma"/>
          <w:b/>
          <w:sz w:val="16"/>
          <w:szCs w:val="16"/>
        </w:rPr>
        <w:t>Based on l</w:t>
      </w:r>
      <w:r w:rsidR="00DE13FA" w:rsidRPr="00DE13FA">
        <w:rPr>
          <w:rFonts w:ascii="Tahoma" w:hAnsi="Tahoma" w:cs="Tahoma"/>
          <w:b/>
          <w:sz w:val="16"/>
          <w:szCs w:val="16"/>
        </w:rPr>
        <w:t>ong-run realisation ratios)</w:t>
      </w:r>
    </w:p>
    <w:p w:rsidR="0086331D" w:rsidRDefault="00204B0A" w:rsidP="00C36479">
      <w:pPr>
        <w:spacing w:after="0" w:line="240" w:lineRule="auto"/>
        <w:jc w:val="left"/>
        <w:rPr>
          <w:rFonts w:ascii="Tahoma" w:hAnsi="Tahoma" w:cs="Tahoma"/>
          <w:sz w:val="16"/>
          <w:szCs w:val="16"/>
        </w:rPr>
      </w:pPr>
      <w:r>
        <w:rPr>
          <w:rFonts w:cs="Tahoma"/>
        </w:rPr>
        <w:pict>
          <v:shape id="_x0000_i1030" type="#_x0000_t75" style="width:227.15pt;height:225.95pt">
            <v:imagedata r:id="rId23" o:title=""/>
          </v:shape>
        </w:pict>
      </w:r>
      <w:r w:rsidR="0086331D" w:rsidRPr="00B36A7B">
        <w:rPr>
          <w:rFonts w:ascii="Tahoma" w:hAnsi="Tahoma" w:cs="Tahoma"/>
          <w:sz w:val="16"/>
          <w:szCs w:val="16"/>
        </w:rPr>
        <w:t>Source:</w:t>
      </w:r>
      <w:r w:rsidR="0086331D" w:rsidRPr="00B36A7B">
        <w:rPr>
          <w:szCs w:val="20"/>
        </w:rPr>
        <w:t xml:space="preserve">  </w:t>
      </w:r>
      <w:r w:rsidR="000779E7">
        <w:rPr>
          <w:rFonts w:ascii="Tahoma" w:hAnsi="Tahoma" w:cs="Tahoma"/>
          <w:sz w:val="16"/>
          <w:szCs w:val="16"/>
        </w:rPr>
        <w:t>ABS Catalogue Number 5625</w:t>
      </w:r>
      <w:r w:rsidR="0086331D" w:rsidRPr="00B36A7B">
        <w:rPr>
          <w:rFonts w:ascii="Tahoma" w:hAnsi="Tahoma" w:cs="Tahoma"/>
          <w:sz w:val="16"/>
          <w:szCs w:val="16"/>
        </w:rPr>
        <w:t>.0</w:t>
      </w:r>
      <w:r w:rsidR="00DE7F21" w:rsidRPr="00B36A7B">
        <w:rPr>
          <w:rFonts w:ascii="Tahoma" w:hAnsi="Tahoma" w:cs="Tahoma"/>
          <w:sz w:val="16"/>
          <w:szCs w:val="16"/>
        </w:rPr>
        <w:t xml:space="preserve"> and Treasury</w:t>
      </w:r>
      <w:r w:rsidR="003001E5" w:rsidRPr="00B36A7B">
        <w:rPr>
          <w:rFonts w:ascii="Tahoma" w:hAnsi="Tahoma" w:cs="Tahoma"/>
          <w:sz w:val="16"/>
          <w:szCs w:val="16"/>
        </w:rPr>
        <w:t>.</w:t>
      </w:r>
    </w:p>
    <w:p w:rsidR="000779E7" w:rsidRPr="00B36A7B" w:rsidRDefault="000779E7" w:rsidP="000779E7">
      <w:pPr>
        <w:spacing w:after="0" w:line="240" w:lineRule="auto"/>
        <w:jc w:val="left"/>
        <w:rPr>
          <w:rFonts w:ascii="Tahoma" w:hAnsi="Tahoma" w:cs="Tahoma"/>
          <w:sz w:val="16"/>
          <w:szCs w:val="16"/>
        </w:rPr>
      </w:pPr>
    </w:p>
    <w:p w:rsidR="00162046" w:rsidRPr="00B36A7B" w:rsidRDefault="00162046" w:rsidP="00162046">
      <w:pPr>
        <w:autoSpaceDE w:val="0"/>
        <w:autoSpaceDN w:val="0"/>
        <w:rPr>
          <w:bCs/>
          <w:szCs w:val="20"/>
        </w:rPr>
      </w:pPr>
      <w:r w:rsidRPr="00B36A7B">
        <w:rPr>
          <w:szCs w:val="20"/>
        </w:rPr>
        <w:t xml:space="preserve">Investment in </w:t>
      </w:r>
      <w:r w:rsidRPr="00B36A7B">
        <w:rPr>
          <w:b/>
          <w:szCs w:val="20"/>
        </w:rPr>
        <w:t>new</w:t>
      </w:r>
      <w:r w:rsidRPr="00B36A7B">
        <w:rPr>
          <w:szCs w:val="20"/>
        </w:rPr>
        <w:t xml:space="preserve"> </w:t>
      </w:r>
      <w:r w:rsidRPr="00B36A7B">
        <w:rPr>
          <w:b/>
          <w:bCs/>
          <w:szCs w:val="20"/>
        </w:rPr>
        <w:t xml:space="preserve">machinery and equipment </w:t>
      </w:r>
      <w:r w:rsidRPr="00B36A7B">
        <w:rPr>
          <w:bCs/>
          <w:szCs w:val="20"/>
        </w:rPr>
        <w:t xml:space="preserve">rose </w:t>
      </w:r>
      <w:r w:rsidR="00242CEE">
        <w:rPr>
          <w:bCs/>
          <w:szCs w:val="20"/>
        </w:rPr>
        <w:t xml:space="preserve">in the December quarter </w:t>
      </w:r>
      <w:r w:rsidRPr="00B36A7B">
        <w:rPr>
          <w:bCs/>
          <w:szCs w:val="20"/>
        </w:rPr>
        <w:t xml:space="preserve">for only the second time in the past 2½ years, with underlying investment appearing to </w:t>
      </w:r>
      <w:r>
        <w:rPr>
          <w:bCs/>
          <w:szCs w:val="20"/>
        </w:rPr>
        <w:t>have found a base</w:t>
      </w:r>
      <w:r w:rsidRPr="00B36A7B">
        <w:rPr>
          <w:bCs/>
          <w:szCs w:val="20"/>
        </w:rPr>
        <w:t xml:space="preserve"> after the GFC and </w:t>
      </w:r>
      <w:r>
        <w:rPr>
          <w:bCs/>
          <w:szCs w:val="20"/>
        </w:rPr>
        <w:t xml:space="preserve">the </w:t>
      </w:r>
      <w:r w:rsidR="00987A06">
        <w:rPr>
          <w:bCs/>
          <w:szCs w:val="20"/>
        </w:rPr>
        <w:t>bring</w:t>
      </w:r>
      <w:r w:rsidR="00987A06">
        <w:rPr>
          <w:bCs/>
          <w:szCs w:val="20"/>
        </w:rPr>
        <w:noBreakHyphen/>
        <w:t>forward associated with</w:t>
      </w:r>
      <w:r>
        <w:rPr>
          <w:bCs/>
          <w:szCs w:val="20"/>
        </w:rPr>
        <w:t xml:space="preserve"> the Small Business and General Business Tax Offset</w:t>
      </w:r>
      <w:r w:rsidRPr="00B36A7B">
        <w:rPr>
          <w:bCs/>
          <w:szCs w:val="20"/>
        </w:rPr>
        <w:t>. T</w:t>
      </w:r>
      <w:r w:rsidRPr="00B36A7B">
        <w:rPr>
          <w:szCs w:val="20"/>
        </w:rPr>
        <w:t>he latest CAPEX survey estimate for 2010-11 implies a strong</w:t>
      </w:r>
      <w:r w:rsidRPr="00B36A7B">
        <w:rPr>
          <w:bCs/>
          <w:szCs w:val="20"/>
        </w:rPr>
        <w:t xml:space="preserve"> bounce back during the rest of this year as businesses seek to rebuild their capital stock. </w:t>
      </w:r>
      <w:r w:rsidRPr="00B36A7B">
        <w:rPr>
          <w:szCs w:val="20"/>
        </w:rPr>
        <w:t>Machinery and equipment investment is expected to grow by 2 per cent in 2010-11</w:t>
      </w:r>
      <w:r w:rsidR="00987A06">
        <w:rPr>
          <w:szCs w:val="20"/>
        </w:rPr>
        <w:t xml:space="preserve">, </w:t>
      </w:r>
      <w:r w:rsidR="00987A06" w:rsidRPr="00B36A7B">
        <w:t>18 per cent in 2011-12 an</w:t>
      </w:r>
      <w:r w:rsidR="00987A06">
        <w:t xml:space="preserve">d 14 per cent in </w:t>
      </w:r>
      <w:r w:rsidR="00987A06" w:rsidRPr="00B36A7B">
        <w:t>2012-13</w:t>
      </w:r>
      <w:r w:rsidR="00987A06">
        <w:t>, l</w:t>
      </w:r>
      <w:r w:rsidRPr="00B36A7B">
        <w:rPr>
          <w:szCs w:val="20"/>
        </w:rPr>
        <w:t xml:space="preserve">ed by mining related activity and </w:t>
      </w:r>
      <w:r w:rsidRPr="00B36A7B">
        <w:t>necessary maintenance and replacement spending.</w:t>
      </w:r>
    </w:p>
    <w:p w:rsidR="00162046" w:rsidRPr="00B36A7B" w:rsidRDefault="00162046" w:rsidP="00162046">
      <w:pPr>
        <w:keepLines/>
      </w:pPr>
      <w:r w:rsidRPr="00B36A7B">
        <w:lastRenderedPageBreak/>
        <w:t xml:space="preserve">Despite the weak result in the December quarter, the surge in </w:t>
      </w:r>
      <w:r w:rsidRPr="00B36A7B">
        <w:rPr>
          <w:b/>
        </w:rPr>
        <w:t xml:space="preserve">new engineering construction </w:t>
      </w:r>
      <w:r w:rsidRPr="00B36A7B">
        <w:t xml:space="preserve">investment is now well underway.  </w:t>
      </w:r>
      <w:r>
        <w:t xml:space="preserve">The 0.8 per cent decline in the December quarter followed 14 per cent growth over the preceding </w:t>
      </w:r>
      <w:r w:rsidR="00987A06">
        <w:t>two quarters</w:t>
      </w:r>
      <w:r>
        <w:t xml:space="preserve">.  </w:t>
      </w:r>
      <w:r w:rsidRPr="00B36A7B">
        <w:t>Recent CAP</w:t>
      </w:r>
      <w:r>
        <w:t>EX data demonstrate</w:t>
      </w:r>
      <w:r w:rsidRPr="00B36A7B">
        <w:t xml:space="preserve"> the strength of expected upcoming mining investment, which will be predominantly focused on engineering construction activity.  Since the December round, a couple of new projects have been added to the investment pipeline and Santos’ US$16 billion Gladstone LNG project has received a positive final investment decision. Engineering construction investment is expected to</w:t>
      </w:r>
      <w:r>
        <w:t xml:space="preserve"> grow strongly, by 16</w:t>
      </w:r>
      <w:r w:rsidRPr="00B36A7B">
        <w:t> per</w:t>
      </w:r>
      <w:r>
        <w:t> cent in 2010-11, 27½ per cent in 2011-12 and 22</w:t>
      </w:r>
      <w:r w:rsidRPr="00B36A7B">
        <w:t xml:space="preserve"> per cent in 2012-13.  </w:t>
      </w:r>
    </w:p>
    <w:p w:rsidR="00260371" w:rsidRPr="00552229" w:rsidRDefault="00162046" w:rsidP="00162046">
      <w:pPr>
        <w:autoSpaceDE w:val="0"/>
        <w:autoSpaceDN w:val="0"/>
        <w:rPr>
          <w:szCs w:val="20"/>
        </w:rPr>
      </w:pPr>
      <w:r w:rsidRPr="00B36A7B">
        <w:rPr>
          <w:szCs w:val="20"/>
        </w:rPr>
        <w:t xml:space="preserve">Investment in </w:t>
      </w:r>
      <w:r w:rsidRPr="00B36A7B">
        <w:rPr>
          <w:b/>
          <w:szCs w:val="20"/>
        </w:rPr>
        <w:t>new</w:t>
      </w:r>
      <w:r w:rsidRPr="00B36A7B">
        <w:rPr>
          <w:szCs w:val="20"/>
        </w:rPr>
        <w:t xml:space="preserve"> </w:t>
      </w:r>
      <w:r w:rsidRPr="00B36A7B">
        <w:rPr>
          <w:b/>
          <w:szCs w:val="20"/>
        </w:rPr>
        <w:t>non-residential building</w:t>
      </w:r>
      <w:r>
        <w:rPr>
          <w:szCs w:val="20"/>
        </w:rPr>
        <w:t xml:space="preserve"> declined during the second </w:t>
      </w:r>
      <w:r w:rsidRPr="00B36A7B">
        <w:rPr>
          <w:szCs w:val="20"/>
        </w:rPr>
        <w:t>half</w:t>
      </w:r>
      <w:r w:rsidR="001C2299">
        <w:rPr>
          <w:szCs w:val="20"/>
        </w:rPr>
        <w:t xml:space="preserve"> of</w:t>
      </w:r>
      <w:r w:rsidRPr="00B36A7B">
        <w:rPr>
          <w:szCs w:val="20"/>
        </w:rPr>
        <w:t xml:space="preserve"> 2010 as activity under the Building the Education Revolution wound down.  New building investmen</w:t>
      </w:r>
      <w:r>
        <w:rPr>
          <w:szCs w:val="20"/>
        </w:rPr>
        <w:t>t is now forecast to fall by 3½ </w:t>
      </w:r>
      <w:r w:rsidRPr="00B36A7B">
        <w:rPr>
          <w:szCs w:val="20"/>
        </w:rPr>
        <w:t>per</w:t>
      </w:r>
      <w:r>
        <w:rPr>
          <w:szCs w:val="20"/>
        </w:rPr>
        <w:t> </w:t>
      </w:r>
      <w:r w:rsidRPr="00B36A7B">
        <w:rPr>
          <w:szCs w:val="20"/>
        </w:rPr>
        <w:t>cent in 2010-11. However, underlying conditions in the sector appear to have stabilised</w:t>
      </w:r>
      <w:r>
        <w:rPr>
          <w:szCs w:val="20"/>
        </w:rPr>
        <w:t>,</w:t>
      </w:r>
      <w:r w:rsidRPr="00B36A7B">
        <w:rPr>
          <w:szCs w:val="20"/>
        </w:rPr>
        <w:t xml:space="preserve"> with </w:t>
      </w:r>
      <w:r>
        <w:rPr>
          <w:szCs w:val="20"/>
        </w:rPr>
        <w:t xml:space="preserve">building </w:t>
      </w:r>
      <w:r w:rsidRPr="00B36A7B">
        <w:rPr>
          <w:szCs w:val="20"/>
        </w:rPr>
        <w:t xml:space="preserve">approvals recording moderate growth over recent quarters and vacancy rates finally turning down.  </w:t>
      </w:r>
      <w:r>
        <w:rPr>
          <w:szCs w:val="20"/>
        </w:rPr>
        <w:t xml:space="preserve">Growth in new building investment is forecast to strengthen from 2½ per cent in </w:t>
      </w:r>
      <w:r w:rsidRPr="00B36A7B">
        <w:rPr>
          <w:szCs w:val="20"/>
        </w:rPr>
        <w:t>2011</w:t>
      </w:r>
      <w:r>
        <w:rPr>
          <w:szCs w:val="20"/>
        </w:rPr>
        <w:noBreakHyphen/>
      </w:r>
      <w:r w:rsidRPr="00B36A7B">
        <w:rPr>
          <w:szCs w:val="20"/>
        </w:rPr>
        <w:t xml:space="preserve">12 </w:t>
      </w:r>
      <w:r>
        <w:rPr>
          <w:szCs w:val="20"/>
        </w:rPr>
        <w:t>to 8 </w:t>
      </w:r>
      <w:r w:rsidRPr="00B36A7B">
        <w:rPr>
          <w:szCs w:val="20"/>
        </w:rPr>
        <w:t>per</w:t>
      </w:r>
      <w:r>
        <w:rPr>
          <w:szCs w:val="20"/>
        </w:rPr>
        <w:t> </w:t>
      </w:r>
      <w:r w:rsidRPr="00B36A7B">
        <w:rPr>
          <w:szCs w:val="20"/>
        </w:rPr>
        <w:t>cent in 2012-13</w:t>
      </w:r>
      <w:r>
        <w:rPr>
          <w:szCs w:val="20"/>
        </w:rPr>
        <w:t xml:space="preserve">.  Growth is expected to be driven </w:t>
      </w:r>
      <w:r w:rsidR="00242CEE">
        <w:rPr>
          <w:szCs w:val="20"/>
        </w:rPr>
        <w:t xml:space="preserve">largely </w:t>
      </w:r>
      <w:r>
        <w:rPr>
          <w:szCs w:val="20"/>
        </w:rPr>
        <w:t xml:space="preserve">by the office market, consistent with </w:t>
      </w:r>
      <w:r w:rsidR="00987A06">
        <w:rPr>
          <w:szCs w:val="20"/>
        </w:rPr>
        <w:t xml:space="preserve">forecasts for </w:t>
      </w:r>
      <w:r>
        <w:rPr>
          <w:szCs w:val="20"/>
        </w:rPr>
        <w:t>continued strong growth in employment and industry forecasts for a pickup in office supply</w:t>
      </w:r>
      <w:r w:rsidRPr="00B36A7B">
        <w:rPr>
          <w:szCs w:val="20"/>
        </w:rPr>
        <w:t>.</w:t>
      </w:r>
      <w:r w:rsidR="00260371">
        <w:rPr>
          <w:szCs w:val="20"/>
        </w:rPr>
        <w:t xml:space="preserve"> </w:t>
      </w:r>
    </w:p>
    <w:p w:rsidR="009D7882" w:rsidRDefault="006B4DF6" w:rsidP="002940D6">
      <w:pPr>
        <w:pStyle w:val="Heading4"/>
        <w:keepNext w:val="0"/>
      </w:pPr>
      <w:bookmarkStart w:id="38" w:name="_Toc289277426"/>
      <w:r w:rsidRPr="00B845F5">
        <w:t>Public final demand</w:t>
      </w:r>
      <w:bookmarkEnd w:id="35"/>
      <w:bookmarkEnd w:id="38"/>
    </w:p>
    <w:p w:rsidR="00162046" w:rsidRDefault="0029042A" w:rsidP="00162046">
      <w:r>
        <w:rPr>
          <w:szCs w:val="20"/>
        </w:rPr>
        <w:t>P</w:t>
      </w:r>
      <w:r w:rsidR="00162046">
        <w:rPr>
          <w:szCs w:val="20"/>
        </w:rPr>
        <w:t xml:space="preserve">ublic final demand is expected to weaken over the forecast period, reflecting the withdrawal of fiscal stimulus and the fiscal consolidation plans of the Commonwealth and State governments.  </w:t>
      </w:r>
      <w:r w:rsidR="00162046" w:rsidRPr="009371BB">
        <w:t xml:space="preserve">After peaking at 7 per cent </w:t>
      </w:r>
      <w:r w:rsidR="00242CEE">
        <w:t xml:space="preserve">growth </w:t>
      </w:r>
      <w:r w:rsidR="00162046" w:rsidRPr="009371BB">
        <w:t>in 2009-10, public final demand is expected to grow by 4¼ per cent in 2010-11, ¾ of a per cent in 2011-12, and fall by 1¼ per cent in 2012-13.</w:t>
      </w:r>
    </w:p>
    <w:p w:rsidR="00162046" w:rsidRDefault="00162046" w:rsidP="00162046">
      <w:pPr>
        <w:pStyle w:val="Bullet"/>
        <w:tabs>
          <w:tab w:val="num" w:pos="0"/>
        </w:tabs>
        <w:spacing w:before="120" w:after="120" w:line="240" w:lineRule="auto"/>
        <w:ind w:left="0" w:firstLine="0"/>
        <w:rPr>
          <w:szCs w:val="20"/>
        </w:rPr>
      </w:pPr>
      <w:r>
        <w:rPr>
          <w:szCs w:val="20"/>
        </w:rPr>
        <w:t xml:space="preserve">Since the December JEFG, the public final demand forecasts have been updated to reflect state government mid-year budget reviews and information on the Commonwealth </w:t>
      </w:r>
      <w:r>
        <w:rPr>
          <w:szCs w:val="20"/>
        </w:rPr>
        <w:lastRenderedPageBreak/>
        <w:t>government budget available in the lead up to ERC, suggesting higher public expenditure in 2010-11 and 2011</w:t>
      </w:r>
      <w:r>
        <w:rPr>
          <w:szCs w:val="20"/>
        </w:rPr>
        <w:noBreakHyphen/>
        <w:t>12 and a decline in 2012-13. The main driver is higher state and local expenditure in the near-term, including rebuilding infrastructure damaged by floods and cyclones, and a downward revision to forecast growth in Commonwealth consumption and investment in 2012-13.</w:t>
      </w:r>
    </w:p>
    <w:p w:rsidR="00162046" w:rsidRPr="009371BB" w:rsidRDefault="00162046" w:rsidP="00162046">
      <w:r w:rsidRPr="009371BB">
        <w:t xml:space="preserve">The withdrawal of </w:t>
      </w:r>
      <w:r>
        <w:t xml:space="preserve">the Government’s fiscal </w:t>
      </w:r>
      <w:r w:rsidRPr="009371BB">
        <w:t>stimulus continued to detract from growth in the December quarter, and further detractions a</w:t>
      </w:r>
      <w:r>
        <w:t>re expected over the remainder of 2010-11 and in 2011</w:t>
      </w:r>
      <w:r>
        <w:noBreakHyphen/>
      </w:r>
      <w:r w:rsidRPr="009371BB">
        <w:t>12. The withdrawal of the stimulus is expected to detract around 1 percentage point from GDP growth in 2010-11 and ½ of a percentage point in 2011-12.</w:t>
      </w:r>
    </w:p>
    <w:p w:rsidR="005B389D" w:rsidRDefault="005B389D" w:rsidP="003D5B58">
      <w:pPr>
        <w:pStyle w:val="Heading4"/>
        <w:keepNext w:val="0"/>
        <w:spacing w:before="0"/>
        <w:jc w:val="both"/>
      </w:pPr>
      <w:bookmarkStart w:id="39" w:name="_Toc289277427"/>
      <w:r w:rsidRPr="00B0461A">
        <w:t>Exports, imports and the current account deficit</w:t>
      </w:r>
      <w:bookmarkEnd w:id="39"/>
    </w:p>
    <w:p w:rsidR="00D26FE3" w:rsidRPr="00B8367D" w:rsidRDefault="002940D6" w:rsidP="00D26FE3">
      <w:pPr>
        <w:rPr>
          <w:rFonts w:cs="Book Antiqua"/>
          <w:b/>
          <w:szCs w:val="20"/>
        </w:rPr>
      </w:pPr>
      <w:r w:rsidRPr="003D0970">
        <w:rPr>
          <w:rFonts w:cs="Book Antiqua"/>
          <w:b/>
          <w:szCs w:val="20"/>
        </w:rPr>
        <w:t>Net exports</w:t>
      </w:r>
      <w:r w:rsidRPr="003D0970">
        <w:rPr>
          <w:rFonts w:cs="Book Antiqua"/>
          <w:szCs w:val="20"/>
        </w:rPr>
        <w:t xml:space="preserve"> are expected to detract 1 percentage point from GDP growth in 2010</w:t>
      </w:r>
      <w:r w:rsidRPr="003D0970">
        <w:rPr>
          <w:rFonts w:cs="Book Antiqua"/>
          <w:szCs w:val="20"/>
        </w:rPr>
        <w:noBreakHyphen/>
      </w:r>
      <w:r>
        <w:rPr>
          <w:rFonts w:cs="Book Antiqua"/>
          <w:szCs w:val="20"/>
        </w:rPr>
        <w:t>11. This is</w:t>
      </w:r>
      <w:r w:rsidRPr="003D0970">
        <w:rPr>
          <w:rFonts w:cs="Book Antiqua"/>
          <w:szCs w:val="20"/>
        </w:rPr>
        <w:t xml:space="preserve"> larger </w:t>
      </w:r>
      <w:r>
        <w:rPr>
          <w:rFonts w:cs="Book Antiqua"/>
          <w:szCs w:val="20"/>
        </w:rPr>
        <w:t xml:space="preserve">than the ½ a percentage point </w:t>
      </w:r>
      <w:r w:rsidRPr="003D0970">
        <w:rPr>
          <w:rFonts w:cs="Book Antiqua"/>
          <w:szCs w:val="20"/>
        </w:rPr>
        <w:t xml:space="preserve">detraction </w:t>
      </w:r>
      <w:r>
        <w:rPr>
          <w:rFonts w:cs="Book Antiqua"/>
          <w:szCs w:val="20"/>
        </w:rPr>
        <w:t>forecast at December JEFG,</w:t>
      </w:r>
      <w:r w:rsidRPr="003D0970">
        <w:rPr>
          <w:rFonts w:cs="Book Antiqua"/>
          <w:szCs w:val="20"/>
        </w:rPr>
        <w:t xml:space="preserve"> reflecting </w:t>
      </w:r>
      <w:r>
        <w:rPr>
          <w:rFonts w:cs="Book Antiqua"/>
          <w:szCs w:val="20"/>
        </w:rPr>
        <w:t>temporary weakness in bulk commodity exports and importation of replacement goods following the floods and Cyclone Yasi in early</w:t>
      </w:r>
      <w:r>
        <w:rPr>
          <w:rFonts w:cs="Book Antiqua"/>
          <w:szCs w:val="20"/>
        </w:rPr>
        <w:noBreakHyphen/>
        <w:t>2011.  I</w:t>
      </w:r>
      <w:r>
        <w:rPr>
          <w:szCs w:val="20"/>
        </w:rPr>
        <w:t xml:space="preserve">nvestment in mine and transport infrastructure is forecast to drive stronger growth in both exports and capital imports over the remainder of the forecast horizon.  </w:t>
      </w:r>
      <w:r>
        <w:rPr>
          <w:rFonts w:cs="Book Antiqua"/>
          <w:szCs w:val="20"/>
        </w:rPr>
        <w:t xml:space="preserve">Net exports are expected to detract </w:t>
      </w:r>
      <w:r w:rsidR="004D1283">
        <w:rPr>
          <w:rFonts w:cs="Book Antiqua"/>
          <w:szCs w:val="20"/>
        </w:rPr>
        <w:t xml:space="preserve">½ </w:t>
      </w:r>
      <w:r w:rsidRPr="003D0970">
        <w:rPr>
          <w:rFonts w:cs="Book Antiqua"/>
          <w:szCs w:val="20"/>
        </w:rPr>
        <w:t xml:space="preserve">of a percentage point </w:t>
      </w:r>
      <w:r>
        <w:rPr>
          <w:rFonts w:cs="Book Antiqua"/>
          <w:szCs w:val="20"/>
        </w:rPr>
        <w:t xml:space="preserve">from growth </w:t>
      </w:r>
      <w:r w:rsidR="00281466">
        <w:rPr>
          <w:rFonts w:cs="Book Antiqua"/>
          <w:szCs w:val="20"/>
        </w:rPr>
        <w:t>in</w:t>
      </w:r>
      <w:r>
        <w:rPr>
          <w:rFonts w:cs="Book Antiqua"/>
          <w:szCs w:val="20"/>
        </w:rPr>
        <w:t xml:space="preserve"> </w:t>
      </w:r>
      <w:r w:rsidRPr="003D0970">
        <w:rPr>
          <w:rFonts w:cs="Book Antiqua"/>
          <w:szCs w:val="20"/>
        </w:rPr>
        <w:t>2011</w:t>
      </w:r>
      <w:r w:rsidRPr="003D0970">
        <w:rPr>
          <w:rFonts w:cs="Book Antiqua"/>
          <w:szCs w:val="20"/>
        </w:rPr>
        <w:noBreakHyphen/>
        <w:t>12</w:t>
      </w:r>
      <w:r w:rsidR="00281466">
        <w:rPr>
          <w:rFonts w:cs="Book Antiqua"/>
          <w:szCs w:val="20"/>
        </w:rPr>
        <w:t xml:space="preserve"> (down</w:t>
      </w:r>
      <w:r>
        <w:rPr>
          <w:rFonts w:cs="Book Antiqua"/>
          <w:szCs w:val="20"/>
        </w:rPr>
        <w:t xml:space="preserve"> from</w:t>
      </w:r>
      <w:r w:rsidR="00281466">
        <w:rPr>
          <w:rFonts w:cs="Book Antiqua"/>
          <w:szCs w:val="20"/>
        </w:rPr>
        <w:t xml:space="preserve"> ¼ of a percentage point at</w:t>
      </w:r>
      <w:r>
        <w:rPr>
          <w:rFonts w:cs="Book Antiqua"/>
          <w:szCs w:val="20"/>
        </w:rPr>
        <w:t xml:space="preserve"> December JEFG) and</w:t>
      </w:r>
      <w:r w:rsidR="00281466">
        <w:rPr>
          <w:rFonts w:cs="Book Antiqua"/>
          <w:szCs w:val="20"/>
        </w:rPr>
        <w:t xml:space="preserve"> a further ¾ of a percentage point in</w:t>
      </w:r>
      <w:r>
        <w:rPr>
          <w:rFonts w:cs="Book Antiqua"/>
          <w:szCs w:val="20"/>
        </w:rPr>
        <w:t xml:space="preserve"> 2012</w:t>
      </w:r>
      <w:r>
        <w:rPr>
          <w:rFonts w:cs="Book Antiqua"/>
          <w:szCs w:val="20"/>
        </w:rPr>
        <w:noBreakHyphen/>
        <w:t>13 (down from 1¼ per cent at December JEFG).</w:t>
      </w:r>
    </w:p>
    <w:p w:rsidR="002940D6" w:rsidRPr="003D0970" w:rsidRDefault="002940D6" w:rsidP="002940D6">
      <w:pPr>
        <w:rPr>
          <w:rFonts w:cs="Book Antiqua"/>
          <w:szCs w:val="20"/>
        </w:rPr>
      </w:pPr>
      <w:r w:rsidRPr="00E27707">
        <w:rPr>
          <w:rFonts w:cs="Book Antiqua"/>
          <w:b/>
          <w:szCs w:val="20"/>
        </w:rPr>
        <w:t>Total exports</w:t>
      </w:r>
      <w:r w:rsidRPr="003D0970">
        <w:rPr>
          <w:rFonts w:cs="Book Antiqua"/>
          <w:szCs w:val="20"/>
        </w:rPr>
        <w:t xml:space="preserve"> are expected to increase by 4</w:t>
      </w:r>
      <w:r w:rsidR="00242CEE">
        <w:rPr>
          <w:rFonts w:cs="Book Antiqua"/>
          <w:szCs w:val="20"/>
        </w:rPr>
        <w:t> per </w:t>
      </w:r>
      <w:r>
        <w:rPr>
          <w:rFonts w:cs="Book Antiqua"/>
          <w:szCs w:val="20"/>
        </w:rPr>
        <w:t>cent in 2010</w:t>
      </w:r>
      <w:r>
        <w:rPr>
          <w:rFonts w:cs="Book Antiqua"/>
          <w:szCs w:val="20"/>
        </w:rPr>
        <w:noBreakHyphen/>
        <w:t>11, 7½</w:t>
      </w:r>
      <w:r w:rsidRPr="003D0970">
        <w:rPr>
          <w:rFonts w:cs="Book Antiqua"/>
          <w:szCs w:val="20"/>
        </w:rPr>
        <w:t xml:space="preserve"> </w:t>
      </w:r>
      <w:r>
        <w:rPr>
          <w:rFonts w:cs="Book Antiqua"/>
          <w:szCs w:val="20"/>
        </w:rPr>
        <w:t xml:space="preserve">per cent in 2011-12 and 5½ </w:t>
      </w:r>
      <w:r w:rsidRPr="003D0970">
        <w:rPr>
          <w:rFonts w:cs="Book Antiqua"/>
          <w:szCs w:val="20"/>
        </w:rPr>
        <w:t>per cent in 2012-13.</w:t>
      </w:r>
    </w:p>
    <w:p w:rsidR="002940D6" w:rsidRDefault="002940D6" w:rsidP="002940D6">
      <w:pPr>
        <w:autoSpaceDE w:val="0"/>
        <w:autoSpaceDN w:val="0"/>
        <w:adjustRightInd w:val="0"/>
        <w:rPr>
          <w:szCs w:val="20"/>
        </w:rPr>
      </w:pPr>
      <w:r w:rsidRPr="003D0970">
        <w:rPr>
          <w:b/>
          <w:szCs w:val="20"/>
        </w:rPr>
        <w:t>Rural exports</w:t>
      </w:r>
      <w:r w:rsidRPr="003D0970">
        <w:rPr>
          <w:szCs w:val="20"/>
        </w:rPr>
        <w:t xml:space="preserve"> are expected to </w:t>
      </w:r>
      <w:r>
        <w:rPr>
          <w:szCs w:val="20"/>
        </w:rPr>
        <w:t>increase significantly</w:t>
      </w:r>
      <w:r w:rsidRPr="003D0970">
        <w:rPr>
          <w:szCs w:val="20"/>
        </w:rPr>
        <w:t xml:space="preserve"> in 2010-11 (but weaker than </w:t>
      </w:r>
      <w:r>
        <w:rPr>
          <w:szCs w:val="20"/>
        </w:rPr>
        <w:t xml:space="preserve">expected </w:t>
      </w:r>
      <w:r w:rsidRPr="003D0970">
        <w:rPr>
          <w:szCs w:val="20"/>
        </w:rPr>
        <w:t xml:space="preserve">at December), increasing by </w:t>
      </w:r>
      <w:r w:rsidR="007372D9">
        <w:rPr>
          <w:szCs w:val="20"/>
        </w:rPr>
        <w:t>13½ per </w:t>
      </w:r>
      <w:r w:rsidRPr="003D0970">
        <w:rPr>
          <w:szCs w:val="20"/>
        </w:rPr>
        <w:t>cent, before declining by 1½ per cent in 2011-12 and increasing by 3½ per cent in 2012</w:t>
      </w:r>
      <w:r w:rsidRPr="003D0970">
        <w:rPr>
          <w:szCs w:val="20"/>
        </w:rPr>
        <w:noBreakHyphen/>
        <w:t xml:space="preserve">13. The growth in export volumes in 2010-11 reflects an </w:t>
      </w:r>
      <w:r w:rsidR="00FC3FAB">
        <w:rPr>
          <w:szCs w:val="20"/>
        </w:rPr>
        <w:t>increase in</w:t>
      </w:r>
      <w:r w:rsidRPr="003D0970">
        <w:rPr>
          <w:szCs w:val="20"/>
        </w:rPr>
        <w:t xml:space="preserve"> winter crop production </w:t>
      </w:r>
      <w:r w:rsidR="00FC3FAB">
        <w:rPr>
          <w:szCs w:val="20"/>
        </w:rPr>
        <w:t>relative to 2009-10</w:t>
      </w:r>
      <w:r w:rsidRPr="003D0970">
        <w:rPr>
          <w:szCs w:val="20"/>
        </w:rPr>
        <w:t xml:space="preserve">, </w:t>
      </w:r>
      <w:r w:rsidR="00FC3FAB">
        <w:rPr>
          <w:szCs w:val="20"/>
        </w:rPr>
        <w:t>notwithstanding</w:t>
      </w:r>
      <w:r w:rsidRPr="003D0970">
        <w:rPr>
          <w:szCs w:val="20"/>
        </w:rPr>
        <w:t xml:space="preserve"> crop losses due to recent heavy flooding across the eastern states. It is expected that the major impact of flooding will </w:t>
      </w:r>
      <w:r w:rsidRPr="003D0970">
        <w:rPr>
          <w:szCs w:val="20"/>
        </w:rPr>
        <w:lastRenderedPageBreak/>
        <w:t>be a significant downgrade of crop quality</w:t>
      </w:r>
      <w:r w:rsidR="00FC3FAB">
        <w:rPr>
          <w:szCs w:val="20"/>
        </w:rPr>
        <w:t>.  The i</w:t>
      </w:r>
      <w:r w:rsidRPr="003D0970">
        <w:rPr>
          <w:szCs w:val="20"/>
        </w:rPr>
        <w:t xml:space="preserve">ncreased availability of irrigation water and improved </w:t>
      </w:r>
      <w:r w:rsidR="0029042A">
        <w:rPr>
          <w:szCs w:val="20"/>
        </w:rPr>
        <w:t>sub</w:t>
      </w:r>
      <w:r w:rsidRPr="003D0970">
        <w:rPr>
          <w:szCs w:val="20"/>
        </w:rPr>
        <w:t>soil moisture is likely to boost summer crop production</w:t>
      </w:r>
      <w:r w:rsidR="00FC3FAB">
        <w:rPr>
          <w:szCs w:val="20"/>
        </w:rPr>
        <w:t xml:space="preserve">, raising forecast production and exports in </w:t>
      </w:r>
      <w:r w:rsidRPr="003D0970">
        <w:rPr>
          <w:szCs w:val="20"/>
        </w:rPr>
        <w:t>2011-12</w:t>
      </w:r>
      <w:r>
        <w:rPr>
          <w:szCs w:val="20"/>
        </w:rPr>
        <w:t xml:space="preserve">.  Higher production in 2011-12 is </w:t>
      </w:r>
      <w:r w:rsidRPr="003D0970">
        <w:rPr>
          <w:szCs w:val="20"/>
        </w:rPr>
        <w:t>expected to flow through to increased export volumes in 2012-13</w:t>
      </w:r>
      <w:r>
        <w:rPr>
          <w:szCs w:val="20"/>
        </w:rPr>
        <w:t>,</w:t>
      </w:r>
      <w:r w:rsidRPr="003D0970">
        <w:rPr>
          <w:szCs w:val="20"/>
        </w:rPr>
        <w:t xml:space="preserve"> despite lower </w:t>
      </w:r>
      <w:r>
        <w:rPr>
          <w:szCs w:val="20"/>
        </w:rPr>
        <w:t xml:space="preserve">expected </w:t>
      </w:r>
      <w:r w:rsidRPr="003D0970">
        <w:rPr>
          <w:szCs w:val="20"/>
        </w:rPr>
        <w:t xml:space="preserve">farm production </w:t>
      </w:r>
      <w:r>
        <w:rPr>
          <w:szCs w:val="20"/>
        </w:rPr>
        <w:t>in</w:t>
      </w:r>
      <w:r w:rsidRPr="003D0970">
        <w:rPr>
          <w:szCs w:val="20"/>
        </w:rPr>
        <w:t xml:space="preserve"> that year.</w:t>
      </w:r>
    </w:p>
    <w:p w:rsidR="00E621C3" w:rsidRPr="007711BC" w:rsidRDefault="00E621C3" w:rsidP="00E621C3">
      <w:pPr>
        <w:keepNext/>
        <w:widowControl w:val="0"/>
        <w:spacing w:after="0"/>
        <w:jc w:val="center"/>
        <w:rPr>
          <w:rFonts w:ascii="Tahoma" w:hAnsi="Tahoma" w:cs="Tahoma"/>
          <w:b/>
        </w:rPr>
      </w:pPr>
      <w:r w:rsidRPr="007711BC">
        <w:rPr>
          <w:rFonts w:ascii="Tahoma" w:hAnsi="Tahoma" w:cs="Tahoma"/>
          <w:b/>
        </w:rPr>
        <w:t xml:space="preserve">Chart </w:t>
      </w:r>
      <w:r>
        <w:rPr>
          <w:rFonts w:ascii="Tahoma" w:hAnsi="Tahoma" w:cs="Tahoma"/>
          <w:b/>
        </w:rPr>
        <w:t>5</w:t>
      </w:r>
      <w:r w:rsidRPr="007711BC">
        <w:rPr>
          <w:rFonts w:ascii="Tahoma" w:hAnsi="Tahoma" w:cs="Tahoma"/>
          <w:b/>
        </w:rPr>
        <w:t xml:space="preserve">: </w:t>
      </w:r>
      <w:r>
        <w:rPr>
          <w:rFonts w:ascii="Tahoma" w:hAnsi="Tahoma" w:cs="Tahoma"/>
          <w:b/>
        </w:rPr>
        <w:t>Net exports – contribution to GDP growth</w:t>
      </w:r>
    </w:p>
    <w:p w:rsidR="00E621C3" w:rsidRDefault="00204B0A" w:rsidP="00E621C3">
      <w:pPr>
        <w:keepNext/>
        <w:widowControl w:val="0"/>
        <w:spacing w:after="0" w:line="240" w:lineRule="auto"/>
        <w:jc w:val="center"/>
        <w:rPr>
          <w:rFonts w:ascii="Tahoma" w:hAnsi="Tahoma" w:cs="Tahoma"/>
          <w:sz w:val="16"/>
          <w:szCs w:val="16"/>
        </w:rPr>
      </w:pPr>
      <w:r>
        <w:rPr>
          <w:rFonts w:cs="Tahoma"/>
        </w:rPr>
        <w:pict>
          <v:shape id="_x0000_i1031" type="#_x0000_t75" style="width:225.95pt;height:225.95pt">
            <v:imagedata r:id="rId24" o:title=""/>
          </v:shape>
        </w:pict>
      </w:r>
      <w:r w:rsidR="00E621C3" w:rsidRPr="00FE56C9">
        <w:rPr>
          <w:rFonts w:ascii="Tahoma" w:hAnsi="Tahoma" w:cs="Tahoma"/>
          <w:sz w:val="16"/>
          <w:szCs w:val="16"/>
        </w:rPr>
        <w:t>Source:</w:t>
      </w:r>
      <w:r w:rsidR="00E621C3">
        <w:rPr>
          <w:szCs w:val="20"/>
        </w:rPr>
        <w:t xml:space="preserve">  </w:t>
      </w:r>
      <w:r w:rsidR="00E621C3" w:rsidRPr="002877EB">
        <w:rPr>
          <w:rFonts w:ascii="Tahoma" w:hAnsi="Tahoma" w:cs="Tahoma"/>
          <w:sz w:val="16"/>
          <w:szCs w:val="16"/>
        </w:rPr>
        <w:t xml:space="preserve">ABS Catalogue Number </w:t>
      </w:r>
      <w:r w:rsidR="00E621C3">
        <w:rPr>
          <w:rFonts w:ascii="Tahoma" w:hAnsi="Tahoma" w:cs="Tahoma"/>
          <w:sz w:val="16"/>
          <w:szCs w:val="16"/>
        </w:rPr>
        <w:t>5206.0 and Treasury.</w:t>
      </w:r>
    </w:p>
    <w:p w:rsidR="002940D6" w:rsidRPr="003D0970" w:rsidRDefault="00E621C3" w:rsidP="002940D6">
      <w:pPr>
        <w:rPr>
          <w:rFonts w:cs="Book Antiqua"/>
          <w:szCs w:val="20"/>
        </w:rPr>
      </w:pPr>
      <w:r>
        <w:rPr>
          <w:b/>
          <w:bCs/>
          <w:szCs w:val="20"/>
        </w:rPr>
        <w:br/>
      </w:r>
      <w:r w:rsidR="002940D6" w:rsidRPr="003D0970">
        <w:rPr>
          <w:b/>
          <w:bCs/>
          <w:szCs w:val="20"/>
        </w:rPr>
        <w:t>Non-rural commodity exports</w:t>
      </w:r>
      <w:r w:rsidR="002940D6" w:rsidRPr="003D0970">
        <w:rPr>
          <w:szCs w:val="20"/>
        </w:rPr>
        <w:t xml:space="preserve"> are expected to increase strongly over the forecast period, as ongoing expansions to mine and infrastructure capacity allow for greater export volumes. Growth is ex</w:t>
      </w:r>
      <w:r w:rsidR="002940D6">
        <w:rPr>
          <w:szCs w:val="20"/>
        </w:rPr>
        <w:t>pected to be 4½</w:t>
      </w:r>
      <w:r w:rsidR="002940D6" w:rsidRPr="003D0970">
        <w:rPr>
          <w:szCs w:val="20"/>
        </w:rPr>
        <w:t> per cent in 2010</w:t>
      </w:r>
      <w:r w:rsidR="002940D6" w:rsidRPr="003D0970">
        <w:rPr>
          <w:szCs w:val="20"/>
        </w:rPr>
        <w:noBreakHyphen/>
        <w:t>1</w:t>
      </w:r>
      <w:r w:rsidR="002940D6">
        <w:rPr>
          <w:szCs w:val="20"/>
        </w:rPr>
        <w:t>1, followed by 12½ per cent and 7</w:t>
      </w:r>
      <w:r w:rsidR="002940D6" w:rsidRPr="003D0970">
        <w:rPr>
          <w:szCs w:val="20"/>
        </w:rPr>
        <w:t xml:space="preserve"> per cent in 2011-12 and 2012-13.  </w:t>
      </w:r>
    </w:p>
    <w:p w:rsidR="00D26FE3" w:rsidRDefault="002940D6" w:rsidP="002940D6">
      <w:pPr>
        <w:rPr>
          <w:rFonts w:ascii="Tahoma" w:hAnsi="Tahoma" w:cs="Tahoma"/>
          <w:b/>
        </w:rPr>
      </w:pPr>
      <w:r w:rsidRPr="003D0970">
        <w:rPr>
          <w:szCs w:val="20"/>
        </w:rPr>
        <w:t xml:space="preserve">The forecast for </w:t>
      </w:r>
      <w:r w:rsidR="007372D9">
        <w:rPr>
          <w:szCs w:val="20"/>
        </w:rPr>
        <w:t xml:space="preserve">2010-11 is slightly higher than </w:t>
      </w:r>
      <w:r w:rsidRPr="003D0970">
        <w:rPr>
          <w:szCs w:val="20"/>
        </w:rPr>
        <w:t>at December, largely reflecting a significant increase in non-rural exports for the December quarter, specifically iron ore.  Thus far in the March quarter, the adverse weather experienced</w:t>
      </w:r>
      <w:r>
        <w:rPr>
          <w:szCs w:val="20"/>
        </w:rPr>
        <w:t xml:space="preserve"> in</w:t>
      </w:r>
      <w:r w:rsidRPr="003D0970">
        <w:rPr>
          <w:szCs w:val="20"/>
        </w:rPr>
        <w:t xml:space="preserve"> Queensland’s key coal mining regions has resul</w:t>
      </w:r>
      <w:r>
        <w:rPr>
          <w:szCs w:val="20"/>
        </w:rPr>
        <w:t>ted in a significant decrease in</w:t>
      </w:r>
      <w:r w:rsidRPr="003D0970">
        <w:rPr>
          <w:szCs w:val="20"/>
        </w:rPr>
        <w:t xml:space="preserve"> coal exports</w:t>
      </w:r>
      <w:r w:rsidR="007372D9">
        <w:rPr>
          <w:szCs w:val="20"/>
        </w:rPr>
        <w:t>.</w:t>
      </w:r>
      <w:r w:rsidRPr="003D0970">
        <w:rPr>
          <w:szCs w:val="20"/>
        </w:rPr>
        <w:t xml:space="preserve">  However, </w:t>
      </w:r>
      <w:r w:rsidR="003F3446">
        <w:rPr>
          <w:szCs w:val="20"/>
        </w:rPr>
        <w:t xml:space="preserve">the impact is expected to be temporary, with </w:t>
      </w:r>
      <w:r w:rsidRPr="003D0970">
        <w:rPr>
          <w:szCs w:val="20"/>
        </w:rPr>
        <w:t>coal production and exports are expected to re</w:t>
      </w:r>
      <w:r>
        <w:rPr>
          <w:szCs w:val="20"/>
        </w:rPr>
        <w:t>turn to level</w:t>
      </w:r>
      <w:r w:rsidR="00242CEE">
        <w:rPr>
          <w:szCs w:val="20"/>
        </w:rPr>
        <w:t>s</w:t>
      </w:r>
      <w:r>
        <w:rPr>
          <w:szCs w:val="20"/>
        </w:rPr>
        <w:t xml:space="preserve"> forecast prior to the floods in the September quarter</w:t>
      </w:r>
      <w:r w:rsidRPr="003D0970">
        <w:rPr>
          <w:szCs w:val="20"/>
        </w:rPr>
        <w:t xml:space="preserve">. </w:t>
      </w:r>
      <w:r>
        <w:rPr>
          <w:szCs w:val="20"/>
        </w:rPr>
        <w:t xml:space="preserve">The recent earthquake and tsunami will </w:t>
      </w:r>
      <w:r w:rsidR="007372D9">
        <w:rPr>
          <w:szCs w:val="20"/>
        </w:rPr>
        <w:t xml:space="preserve">also </w:t>
      </w:r>
      <w:r>
        <w:rPr>
          <w:szCs w:val="20"/>
        </w:rPr>
        <w:t xml:space="preserve">reduce Japanese demand for Australia’s non-rural commodity exports in the near-term.  </w:t>
      </w:r>
      <w:r>
        <w:rPr>
          <w:szCs w:val="20"/>
        </w:rPr>
        <w:lastRenderedPageBreak/>
        <w:t xml:space="preserve">However, the negative impact on prices and volumes is </w:t>
      </w:r>
      <w:r w:rsidR="003F3446">
        <w:rPr>
          <w:szCs w:val="20"/>
        </w:rPr>
        <w:t xml:space="preserve">again </w:t>
      </w:r>
      <w:r>
        <w:rPr>
          <w:szCs w:val="20"/>
        </w:rPr>
        <w:t xml:space="preserve">expected to be temporary, with reconstruction likely to add to demand for steel-making inputs </w:t>
      </w:r>
      <w:r w:rsidR="003F3446">
        <w:rPr>
          <w:szCs w:val="20"/>
        </w:rPr>
        <w:t xml:space="preserve">over the medium-term </w:t>
      </w:r>
      <w:r>
        <w:rPr>
          <w:szCs w:val="20"/>
        </w:rPr>
        <w:t xml:space="preserve">(e.g. iron ore and metallurgical coal) and any switching of power generation away from nuclear </w:t>
      </w:r>
      <w:r w:rsidR="007372D9">
        <w:rPr>
          <w:szCs w:val="20"/>
        </w:rPr>
        <w:t>likely to support</w:t>
      </w:r>
      <w:r>
        <w:rPr>
          <w:szCs w:val="20"/>
        </w:rPr>
        <w:t xml:space="preserve"> demand for thermal coal and LNG. More generally o</w:t>
      </w:r>
      <w:r w:rsidRPr="003D0970">
        <w:rPr>
          <w:szCs w:val="20"/>
        </w:rPr>
        <w:t>ver the forecast period</w:t>
      </w:r>
      <w:r>
        <w:rPr>
          <w:szCs w:val="20"/>
        </w:rPr>
        <w:t>,</w:t>
      </w:r>
      <w:r w:rsidRPr="003D0970">
        <w:rPr>
          <w:szCs w:val="20"/>
        </w:rPr>
        <w:t xml:space="preserve"> ongoing strong demand from India and China, as well as expansions to mine and infrastructure capacity are expected</w:t>
      </w:r>
      <w:r w:rsidR="00242CEE">
        <w:rPr>
          <w:szCs w:val="20"/>
        </w:rPr>
        <w:t xml:space="preserve"> to </w:t>
      </w:r>
      <w:r w:rsidRPr="003D0970">
        <w:rPr>
          <w:szCs w:val="20"/>
        </w:rPr>
        <w:t xml:space="preserve">underpin strong </w:t>
      </w:r>
      <w:r>
        <w:rPr>
          <w:szCs w:val="20"/>
        </w:rPr>
        <w:t xml:space="preserve">growth in </w:t>
      </w:r>
      <w:r w:rsidRPr="003D0970">
        <w:rPr>
          <w:szCs w:val="20"/>
        </w:rPr>
        <w:t>export volumes.</w:t>
      </w:r>
    </w:p>
    <w:p w:rsidR="00DE58DC" w:rsidRPr="007711BC" w:rsidRDefault="00DE58DC" w:rsidP="00380DD5">
      <w:pPr>
        <w:keepNext/>
        <w:widowControl w:val="0"/>
        <w:spacing w:after="0"/>
        <w:jc w:val="center"/>
        <w:rPr>
          <w:rFonts w:ascii="Tahoma" w:hAnsi="Tahoma" w:cs="Tahoma"/>
          <w:b/>
        </w:rPr>
      </w:pPr>
      <w:r w:rsidRPr="007711BC">
        <w:rPr>
          <w:rFonts w:ascii="Tahoma" w:hAnsi="Tahoma" w:cs="Tahoma"/>
          <w:b/>
        </w:rPr>
        <w:t xml:space="preserve">Chart </w:t>
      </w:r>
      <w:r>
        <w:rPr>
          <w:rFonts w:ascii="Tahoma" w:hAnsi="Tahoma" w:cs="Tahoma"/>
          <w:b/>
        </w:rPr>
        <w:t>6</w:t>
      </w:r>
      <w:r w:rsidRPr="007711BC">
        <w:rPr>
          <w:rFonts w:ascii="Tahoma" w:hAnsi="Tahoma" w:cs="Tahoma"/>
          <w:b/>
        </w:rPr>
        <w:t xml:space="preserve">: </w:t>
      </w:r>
      <w:r w:rsidR="00242CEE">
        <w:rPr>
          <w:rFonts w:ascii="Tahoma" w:hAnsi="Tahoma" w:cs="Tahoma"/>
          <w:b/>
        </w:rPr>
        <w:t>Non-rural commodity export volumes</w:t>
      </w:r>
    </w:p>
    <w:p w:rsidR="00315D18" w:rsidRPr="009B0B08" w:rsidRDefault="00204B0A" w:rsidP="00254ADC">
      <w:pPr>
        <w:keepNext/>
        <w:widowControl w:val="0"/>
        <w:spacing w:after="0" w:line="240" w:lineRule="auto"/>
        <w:jc w:val="center"/>
        <w:rPr>
          <w:rFonts w:cs="Tahoma"/>
        </w:rPr>
      </w:pPr>
      <w:r>
        <w:rPr>
          <w:rFonts w:cs="Tahoma"/>
        </w:rPr>
        <w:pict>
          <v:shape id="_x0000_i1032" type="#_x0000_t75" style="width:224.7pt;height:224.7pt">
            <v:imagedata r:id="rId25" o:title=""/>
          </v:shape>
        </w:pict>
      </w:r>
      <w:r w:rsidR="00315D18" w:rsidRPr="00FE56C9">
        <w:rPr>
          <w:rFonts w:ascii="Tahoma" w:hAnsi="Tahoma" w:cs="Tahoma"/>
          <w:sz w:val="16"/>
          <w:szCs w:val="16"/>
        </w:rPr>
        <w:t>Source:</w:t>
      </w:r>
      <w:r w:rsidR="00315D18">
        <w:rPr>
          <w:szCs w:val="20"/>
        </w:rPr>
        <w:t xml:space="preserve">  </w:t>
      </w:r>
      <w:r w:rsidR="00315D18" w:rsidRPr="002877EB">
        <w:rPr>
          <w:rFonts w:ascii="Tahoma" w:hAnsi="Tahoma" w:cs="Tahoma"/>
          <w:sz w:val="16"/>
          <w:szCs w:val="16"/>
        </w:rPr>
        <w:t xml:space="preserve">ABS Catalogue Number </w:t>
      </w:r>
      <w:r w:rsidR="00116F5A">
        <w:rPr>
          <w:rFonts w:ascii="Tahoma" w:hAnsi="Tahoma" w:cs="Tahoma"/>
          <w:sz w:val="16"/>
          <w:szCs w:val="16"/>
        </w:rPr>
        <w:t>5302.0</w:t>
      </w:r>
      <w:r w:rsidR="00315D18">
        <w:rPr>
          <w:rFonts w:ascii="Tahoma" w:hAnsi="Tahoma" w:cs="Tahoma"/>
          <w:sz w:val="16"/>
          <w:szCs w:val="16"/>
        </w:rPr>
        <w:t xml:space="preserve"> and Treasury</w:t>
      </w:r>
      <w:r w:rsidR="00380DD5">
        <w:rPr>
          <w:rFonts w:ascii="Tahoma" w:hAnsi="Tahoma" w:cs="Tahoma"/>
          <w:sz w:val="16"/>
          <w:szCs w:val="16"/>
        </w:rPr>
        <w:t>.</w:t>
      </w:r>
    </w:p>
    <w:p w:rsidR="00254ADC" w:rsidRDefault="00254ADC" w:rsidP="00254ADC">
      <w:pPr>
        <w:spacing w:after="120"/>
        <w:rPr>
          <w:rFonts w:cs="Book Antiqua"/>
          <w:szCs w:val="20"/>
        </w:rPr>
      </w:pPr>
    </w:p>
    <w:p w:rsidR="002940D6" w:rsidRDefault="002940D6" w:rsidP="002940D6">
      <w:pPr>
        <w:rPr>
          <w:rFonts w:cs="Book Antiqua"/>
          <w:szCs w:val="20"/>
        </w:rPr>
      </w:pPr>
      <w:r w:rsidRPr="003D0970">
        <w:rPr>
          <w:rFonts w:cs="Book Antiqua"/>
          <w:szCs w:val="20"/>
        </w:rPr>
        <w:t>The outlook for exports of</w:t>
      </w:r>
      <w:r w:rsidRPr="003D0970">
        <w:rPr>
          <w:rFonts w:cs="Book Antiqua"/>
          <w:b/>
          <w:szCs w:val="20"/>
        </w:rPr>
        <w:t xml:space="preserve"> elaborately transformed manufactures (ETMs) </w:t>
      </w:r>
      <w:r w:rsidRPr="003D0970">
        <w:rPr>
          <w:rFonts w:cs="Book Antiqua"/>
          <w:szCs w:val="20"/>
        </w:rPr>
        <w:t>is weaker than at D</w:t>
      </w:r>
      <w:r>
        <w:rPr>
          <w:rFonts w:cs="Book Antiqua"/>
          <w:szCs w:val="20"/>
        </w:rPr>
        <w:t>ecember, with volumes growth</w:t>
      </w:r>
      <w:r w:rsidRPr="003D0970">
        <w:rPr>
          <w:rFonts w:cs="Book Antiqua"/>
          <w:szCs w:val="20"/>
        </w:rPr>
        <w:t xml:space="preserve"> </w:t>
      </w:r>
      <w:r>
        <w:rPr>
          <w:rFonts w:cs="Book Antiqua"/>
          <w:szCs w:val="20"/>
        </w:rPr>
        <w:t xml:space="preserve">expected to be </w:t>
      </w:r>
      <w:r w:rsidRPr="003D0970">
        <w:rPr>
          <w:rFonts w:cs="Book Antiqua"/>
          <w:szCs w:val="20"/>
        </w:rPr>
        <w:t>adversely affected by the higher exchange rate.  ETMs exports are expected to grow by 1 per cent in 2010-11</w:t>
      </w:r>
      <w:r w:rsidR="007372D9">
        <w:rPr>
          <w:rFonts w:cs="Book Antiqua"/>
          <w:szCs w:val="20"/>
        </w:rPr>
        <w:t xml:space="preserve">, </w:t>
      </w:r>
      <w:r w:rsidR="00281466">
        <w:rPr>
          <w:rFonts w:cs="Book Antiqua"/>
          <w:szCs w:val="20"/>
        </w:rPr>
        <w:t>2</w:t>
      </w:r>
      <w:r w:rsidRPr="003D0970">
        <w:rPr>
          <w:rFonts w:cs="Book Antiqua"/>
          <w:szCs w:val="20"/>
        </w:rPr>
        <w:t>½ per</w:t>
      </w:r>
      <w:r>
        <w:rPr>
          <w:rFonts w:cs="Book Antiqua"/>
          <w:szCs w:val="20"/>
        </w:rPr>
        <w:t xml:space="preserve"> cent in 2011-12 and 4</w:t>
      </w:r>
      <w:r w:rsidRPr="003D0970">
        <w:rPr>
          <w:rFonts w:cs="Book Antiqua"/>
          <w:szCs w:val="20"/>
        </w:rPr>
        <w:t xml:space="preserve"> per cent in 2012-13.  </w:t>
      </w:r>
    </w:p>
    <w:p w:rsidR="002940D6" w:rsidRPr="003D0970" w:rsidRDefault="002940D6" w:rsidP="002940D6">
      <w:pPr>
        <w:rPr>
          <w:rFonts w:cs="Book Antiqua"/>
          <w:szCs w:val="20"/>
        </w:rPr>
      </w:pPr>
      <w:r w:rsidRPr="003D0970">
        <w:rPr>
          <w:rFonts w:cs="Book Antiqua"/>
          <w:szCs w:val="20"/>
        </w:rPr>
        <w:t xml:space="preserve">For </w:t>
      </w:r>
      <w:r w:rsidRPr="0060404E">
        <w:rPr>
          <w:rFonts w:cs="Book Antiqua"/>
          <w:b/>
          <w:szCs w:val="20"/>
        </w:rPr>
        <w:t>services</w:t>
      </w:r>
      <w:r w:rsidRPr="003D0970">
        <w:rPr>
          <w:rFonts w:cs="Book Antiqua"/>
          <w:szCs w:val="20"/>
        </w:rPr>
        <w:t xml:space="preserve">, declines in student commencements </w:t>
      </w:r>
      <w:r w:rsidR="00242CEE">
        <w:rPr>
          <w:rFonts w:cs="Book Antiqua"/>
          <w:szCs w:val="20"/>
        </w:rPr>
        <w:t>during</w:t>
      </w:r>
      <w:r w:rsidRPr="003D0970">
        <w:rPr>
          <w:rFonts w:cs="Book Antiqua"/>
          <w:szCs w:val="20"/>
        </w:rPr>
        <w:t xml:space="preserve"> 2010 forewarn of continued we</w:t>
      </w:r>
      <w:r w:rsidR="00242CEE">
        <w:rPr>
          <w:rFonts w:cs="Book Antiqua"/>
          <w:szCs w:val="20"/>
        </w:rPr>
        <w:t>akness in Australia’s education</w:t>
      </w:r>
      <w:r w:rsidR="00242CEE">
        <w:rPr>
          <w:rFonts w:cs="Book Antiqua"/>
          <w:szCs w:val="20"/>
        </w:rPr>
        <w:noBreakHyphen/>
      </w:r>
      <w:r w:rsidRPr="003D0970">
        <w:rPr>
          <w:rFonts w:cs="Book Antiqua"/>
          <w:szCs w:val="20"/>
        </w:rPr>
        <w:t xml:space="preserve">related exports.  This reflects reduced demand from key markets in </w:t>
      </w:r>
      <w:r>
        <w:rPr>
          <w:rFonts w:cs="Book Antiqua"/>
          <w:szCs w:val="20"/>
        </w:rPr>
        <w:t>China and India</w:t>
      </w:r>
      <w:r w:rsidRPr="003D0970">
        <w:rPr>
          <w:rFonts w:cs="Book Antiqua"/>
          <w:szCs w:val="20"/>
        </w:rPr>
        <w:t xml:space="preserve"> due in large part to more stringent student visa requirements</w:t>
      </w:r>
      <w:r>
        <w:rPr>
          <w:rFonts w:cs="Book Antiqua"/>
          <w:szCs w:val="20"/>
        </w:rPr>
        <w:t>.  T</w:t>
      </w:r>
      <w:r w:rsidRPr="003D0970">
        <w:rPr>
          <w:rFonts w:cs="Book Antiqua"/>
          <w:szCs w:val="20"/>
        </w:rPr>
        <w:t xml:space="preserve">ourism exports are </w:t>
      </w:r>
      <w:r>
        <w:rPr>
          <w:rFonts w:cs="Book Antiqua"/>
          <w:szCs w:val="20"/>
        </w:rPr>
        <w:t>also weak, in part, due to the</w:t>
      </w:r>
      <w:r w:rsidRPr="003D0970">
        <w:rPr>
          <w:rFonts w:cs="Book Antiqua"/>
          <w:szCs w:val="20"/>
        </w:rPr>
        <w:t xml:space="preserve"> strong dollar. Services exports are expected t</w:t>
      </w:r>
      <w:r>
        <w:rPr>
          <w:rFonts w:cs="Book Antiqua"/>
          <w:szCs w:val="20"/>
        </w:rPr>
        <w:t>o fall by ½ of a per</w:t>
      </w:r>
      <w:r w:rsidRPr="003D0970">
        <w:rPr>
          <w:rFonts w:cs="Book Antiqua"/>
          <w:szCs w:val="20"/>
        </w:rPr>
        <w:t>cent</w:t>
      </w:r>
      <w:r>
        <w:rPr>
          <w:rFonts w:cs="Book Antiqua"/>
          <w:szCs w:val="20"/>
        </w:rPr>
        <w:t>age point</w:t>
      </w:r>
      <w:r w:rsidRPr="003D0970">
        <w:rPr>
          <w:rFonts w:cs="Book Antiqua"/>
          <w:szCs w:val="20"/>
        </w:rPr>
        <w:t xml:space="preserve"> in</w:t>
      </w:r>
      <w:r w:rsidR="009F2DE4">
        <w:rPr>
          <w:rFonts w:cs="Book Antiqua"/>
          <w:szCs w:val="20"/>
        </w:rPr>
        <w:t xml:space="preserve"> both</w:t>
      </w:r>
      <w:r w:rsidRPr="003D0970">
        <w:rPr>
          <w:rFonts w:cs="Book Antiqua"/>
          <w:szCs w:val="20"/>
        </w:rPr>
        <w:t xml:space="preserve"> 2010</w:t>
      </w:r>
      <w:r w:rsidRPr="003D0970">
        <w:rPr>
          <w:rFonts w:cs="Book Antiqua"/>
          <w:szCs w:val="20"/>
        </w:rPr>
        <w:noBreakHyphen/>
        <w:t xml:space="preserve">11 and 2011-12 </w:t>
      </w:r>
      <w:r w:rsidRPr="003D0970">
        <w:rPr>
          <w:rFonts w:cs="Book Antiqua"/>
          <w:szCs w:val="20"/>
        </w:rPr>
        <w:lastRenderedPageBreak/>
        <w:t>before growin</w:t>
      </w:r>
      <w:r>
        <w:rPr>
          <w:rFonts w:cs="Book Antiqua"/>
          <w:szCs w:val="20"/>
        </w:rPr>
        <w:t>g by a weak 1½ per cent in 2012</w:t>
      </w:r>
      <w:r>
        <w:rPr>
          <w:rFonts w:cs="Book Antiqua"/>
          <w:szCs w:val="20"/>
        </w:rPr>
        <w:noBreakHyphen/>
      </w:r>
      <w:r w:rsidRPr="003D0970">
        <w:rPr>
          <w:rFonts w:cs="Book Antiqua"/>
          <w:szCs w:val="20"/>
        </w:rPr>
        <w:t>13.</w:t>
      </w:r>
    </w:p>
    <w:p w:rsidR="002940D6" w:rsidRPr="003D0970" w:rsidRDefault="002940D6" w:rsidP="002940D6">
      <w:pPr>
        <w:autoSpaceDE w:val="0"/>
        <w:autoSpaceDN w:val="0"/>
        <w:adjustRightInd w:val="0"/>
        <w:rPr>
          <w:rFonts w:cs="Book Antiqua"/>
          <w:szCs w:val="20"/>
        </w:rPr>
      </w:pPr>
      <w:r w:rsidRPr="003D0970">
        <w:rPr>
          <w:b/>
          <w:bCs/>
          <w:szCs w:val="20"/>
        </w:rPr>
        <w:t>Import</w:t>
      </w:r>
      <w:r w:rsidRPr="003D0970">
        <w:rPr>
          <w:szCs w:val="20"/>
        </w:rPr>
        <w:t xml:space="preserve"> volumes are expected to increase strongly over the forecast period, supported by the high exchange rate and driven by capital equipment imports for the resources sector — particularly, for the construction of major LNG projects. With the re-profiling of forecast investment in machinery and equipment, the forecast </w:t>
      </w:r>
      <w:r w:rsidR="007372D9">
        <w:rPr>
          <w:szCs w:val="20"/>
        </w:rPr>
        <w:t>growth in</w:t>
      </w:r>
      <w:r w:rsidRPr="003D0970">
        <w:rPr>
          <w:szCs w:val="20"/>
        </w:rPr>
        <w:t xml:space="preserve"> import volumes </w:t>
      </w:r>
      <w:r w:rsidR="007372D9">
        <w:rPr>
          <w:szCs w:val="20"/>
        </w:rPr>
        <w:t xml:space="preserve">is </w:t>
      </w:r>
      <w:r w:rsidRPr="003D0970">
        <w:rPr>
          <w:szCs w:val="20"/>
        </w:rPr>
        <w:t>stronger in 2</w:t>
      </w:r>
      <w:r>
        <w:rPr>
          <w:szCs w:val="20"/>
        </w:rPr>
        <w:t>010-11 (at 9 per cent) and</w:t>
      </w:r>
      <w:r w:rsidRPr="003D0970">
        <w:rPr>
          <w:szCs w:val="20"/>
        </w:rPr>
        <w:t xml:space="preserve"> 2011-1</w:t>
      </w:r>
      <w:r>
        <w:rPr>
          <w:szCs w:val="20"/>
        </w:rPr>
        <w:t>2 (at 9</w:t>
      </w:r>
      <w:r w:rsidR="007372D9">
        <w:rPr>
          <w:szCs w:val="20"/>
        </w:rPr>
        <w:t>½ </w:t>
      </w:r>
      <w:r w:rsidRPr="003D0970">
        <w:rPr>
          <w:szCs w:val="20"/>
        </w:rPr>
        <w:t xml:space="preserve">per cent), </w:t>
      </w:r>
      <w:r>
        <w:rPr>
          <w:szCs w:val="20"/>
        </w:rPr>
        <w:t>but slightly weaker in</w:t>
      </w:r>
      <w:r w:rsidRPr="003D0970">
        <w:rPr>
          <w:szCs w:val="20"/>
        </w:rPr>
        <w:t xml:space="preserve"> 2012-13 (at 8</w:t>
      </w:r>
      <w:r>
        <w:rPr>
          <w:szCs w:val="20"/>
        </w:rPr>
        <w:t xml:space="preserve">½ </w:t>
      </w:r>
      <w:r w:rsidRPr="003D0970">
        <w:rPr>
          <w:szCs w:val="20"/>
        </w:rPr>
        <w:t>per c</w:t>
      </w:r>
      <w:r>
        <w:rPr>
          <w:szCs w:val="20"/>
        </w:rPr>
        <w:t>ent) compared with the December</w:t>
      </w:r>
      <w:r w:rsidRPr="003D0970">
        <w:rPr>
          <w:szCs w:val="20"/>
        </w:rPr>
        <w:t xml:space="preserve"> forecasts. In level terms, the forecast</w:t>
      </w:r>
      <w:r>
        <w:rPr>
          <w:szCs w:val="20"/>
        </w:rPr>
        <w:t>s</w:t>
      </w:r>
      <w:r w:rsidRPr="003D0970">
        <w:rPr>
          <w:szCs w:val="20"/>
        </w:rPr>
        <w:t xml:space="preserve"> for import volumes </w:t>
      </w:r>
      <w:r>
        <w:rPr>
          <w:szCs w:val="20"/>
        </w:rPr>
        <w:t>are</w:t>
      </w:r>
      <w:r w:rsidRPr="003D0970">
        <w:rPr>
          <w:szCs w:val="20"/>
        </w:rPr>
        <w:t xml:space="preserve"> stronger in all years compared </w:t>
      </w:r>
      <w:r>
        <w:rPr>
          <w:szCs w:val="20"/>
        </w:rPr>
        <w:t>with</w:t>
      </w:r>
      <w:r w:rsidRPr="003D0970">
        <w:rPr>
          <w:szCs w:val="20"/>
        </w:rPr>
        <w:t xml:space="preserve"> the </w:t>
      </w:r>
      <w:r>
        <w:rPr>
          <w:szCs w:val="20"/>
        </w:rPr>
        <w:t>December</w:t>
      </w:r>
      <w:r w:rsidRPr="003D0970">
        <w:rPr>
          <w:szCs w:val="20"/>
        </w:rPr>
        <w:t xml:space="preserve"> forecasts.</w:t>
      </w:r>
    </w:p>
    <w:p w:rsidR="00E621C3" w:rsidRDefault="00E621C3" w:rsidP="00E621C3">
      <w:pPr>
        <w:keepNext/>
        <w:widowControl w:val="0"/>
        <w:spacing w:after="0"/>
        <w:jc w:val="center"/>
        <w:rPr>
          <w:rFonts w:ascii="Tahoma" w:hAnsi="Tahoma" w:cs="Tahoma"/>
          <w:b/>
        </w:rPr>
      </w:pPr>
      <w:r w:rsidRPr="00315D18">
        <w:rPr>
          <w:rFonts w:ascii="Tahoma" w:hAnsi="Tahoma" w:cs="Tahoma"/>
          <w:b/>
        </w:rPr>
        <w:t xml:space="preserve">Chart </w:t>
      </w:r>
      <w:r>
        <w:rPr>
          <w:rFonts w:ascii="Tahoma" w:hAnsi="Tahoma" w:cs="Tahoma"/>
          <w:b/>
        </w:rPr>
        <w:t>7</w:t>
      </w:r>
      <w:r w:rsidRPr="00315D18">
        <w:rPr>
          <w:rFonts w:ascii="Tahoma" w:hAnsi="Tahoma" w:cs="Tahoma"/>
          <w:b/>
        </w:rPr>
        <w:t>: Terms of Trade</w:t>
      </w:r>
      <w:r>
        <w:rPr>
          <w:rFonts w:ascii="Tahoma" w:hAnsi="Tahoma" w:cs="Tahoma"/>
          <w:b/>
        </w:rPr>
        <w:br/>
      </w:r>
      <w:r w:rsidRPr="009F2DE4">
        <w:rPr>
          <w:rFonts w:ascii="Tahoma" w:hAnsi="Tahoma" w:cs="Tahoma"/>
          <w:b/>
          <w:sz w:val="16"/>
          <w:szCs w:val="16"/>
        </w:rPr>
        <w:t>(2008-09 = 100)</w:t>
      </w:r>
    </w:p>
    <w:p w:rsidR="00E621C3" w:rsidRPr="00E621C3" w:rsidRDefault="00204B0A" w:rsidP="00E621C3">
      <w:pPr>
        <w:keepNext/>
        <w:widowControl w:val="0"/>
        <w:spacing w:after="0" w:line="240" w:lineRule="auto"/>
        <w:jc w:val="center"/>
        <w:rPr>
          <w:rFonts w:cs="Tahoma"/>
        </w:rPr>
      </w:pPr>
      <w:r>
        <w:rPr>
          <w:rFonts w:ascii="Tahoma" w:hAnsi="Tahoma" w:cs="Tahoma"/>
          <w:b/>
        </w:rPr>
        <w:pict>
          <v:shape id="_x0000_i1033" type="#_x0000_t75" style="width:224.7pt;height:224.7pt">
            <v:imagedata r:id="rId26" o:title=""/>
          </v:shape>
        </w:pict>
      </w:r>
      <w:r w:rsidR="00E621C3" w:rsidRPr="00FE56C9">
        <w:rPr>
          <w:rFonts w:ascii="Tahoma" w:hAnsi="Tahoma" w:cs="Tahoma"/>
          <w:sz w:val="16"/>
          <w:szCs w:val="16"/>
        </w:rPr>
        <w:t>Source:</w:t>
      </w:r>
      <w:r w:rsidR="00E621C3">
        <w:rPr>
          <w:szCs w:val="20"/>
        </w:rPr>
        <w:t xml:space="preserve">  </w:t>
      </w:r>
      <w:r w:rsidR="00E621C3" w:rsidRPr="002877EB">
        <w:rPr>
          <w:rFonts w:ascii="Tahoma" w:hAnsi="Tahoma" w:cs="Tahoma"/>
          <w:sz w:val="16"/>
          <w:szCs w:val="16"/>
        </w:rPr>
        <w:t xml:space="preserve">ABS Catalogue Number </w:t>
      </w:r>
      <w:r w:rsidR="00E621C3">
        <w:rPr>
          <w:rFonts w:ascii="Tahoma" w:hAnsi="Tahoma" w:cs="Tahoma"/>
          <w:sz w:val="16"/>
          <w:szCs w:val="16"/>
        </w:rPr>
        <w:t>5206.0 and Treasury.</w:t>
      </w:r>
      <w:r w:rsidR="00E621C3">
        <w:rPr>
          <w:rFonts w:cs="Tahoma"/>
        </w:rPr>
        <w:br/>
      </w:r>
    </w:p>
    <w:p w:rsidR="00F95F37" w:rsidRPr="005053CD" w:rsidRDefault="002940D6" w:rsidP="002940D6">
      <w:pPr>
        <w:rPr>
          <w:rFonts w:cs="Book Antiqua"/>
          <w:szCs w:val="20"/>
        </w:rPr>
      </w:pPr>
      <w:r w:rsidRPr="003D0970">
        <w:rPr>
          <w:rFonts w:cs="Book Antiqua"/>
          <w:szCs w:val="20"/>
        </w:rPr>
        <w:t>The forecast</w:t>
      </w:r>
      <w:r w:rsidR="007372D9">
        <w:rPr>
          <w:rFonts w:cs="Book Antiqua"/>
          <w:szCs w:val="20"/>
        </w:rPr>
        <w:t>s</w:t>
      </w:r>
      <w:r w:rsidRPr="003D0970">
        <w:rPr>
          <w:rFonts w:cs="Book Antiqua"/>
          <w:szCs w:val="20"/>
        </w:rPr>
        <w:t xml:space="preserve"> for </w:t>
      </w:r>
      <w:r w:rsidRPr="003D0970">
        <w:rPr>
          <w:rFonts w:cs="Book Antiqua"/>
          <w:b/>
          <w:szCs w:val="20"/>
        </w:rPr>
        <w:t>terms of trade</w:t>
      </w:r>
      <w:r w:rsidRPr="003D0970">
        <w:rPr>
          <w:rFonts w:cs="Book Antiqua"/>
          <w:szCs w:val="20"/>
        </w:rPr>
        <w:t xml:space="preserve"> growth </w:t>
      </w:r>
      <w:r w:rsidR="007372D9">
        <w:rPr>
          <w:rFonts w:cs="Book Antiqua"/>
          <w:szCs w:val="20"/>
        </w:rPr>
        <w:t>are</w:t>
      </w:r>
      <w:r w:rsidRPr="003D0970">
        <w:rPr>
          <w:rFonts w:cs="Book Antiqua"/>
          <w:szCs w:val="20"/>
        </w:rPr>
        <w:t xml:space="preserve"> higher than at December</w:t>
      </w:r>
      <w:r>
        <w:rPr>
          <w:rFonts w:cs="Book Antiqua"/>
          <w:szCs w:val="20"/>
        </w:rPr>
        <w:t xml:space="preserve">, reflecting increases in </w:t>
      </w:r>
      <w:r w:rsidRPr="003D0970">
        <w:rPr>
          <w:rFonts w:cs="Book Antiqua"/>
          <w:szCs w:val="20"/>
        </w:rPr>
        <w:t>bulk commodity prices. The terms of trade</w:t>
      </w:r>
      <w:r w:rsidRPr="003D0970">
        <w:rPr>
          <w:rFonts w:cs="Book Antiqua"/>
          <w:b/>
          <w:szCs w:val="20"/>
        </w:rPr>
        <w:t xml:space="preserve"> </w:t>
      </w:r>
      <w:r>
        <w:rPr>
          <w:rFonts w:cs="Book Antiqua"/>
          <w:szCs w:val="20"/>
        </w:rPr>
        <w:t>are expected to rise by 19¾</w:t>
      </w:r>
      <w:r w:rsidRPr="003D0970">
        <w:rPr>
          <w:rFonts w:cs="Book Antiqua"/>
          <w:szCs w:val="20"/>
        </w:rPr>
        <w:t xml:space="preserve"> per cent in 2010-11</w:t>
      </w:r>
      <w:r>
        <w:rPr>
          <w:rFonts w:cs="Book Antiqua"/>
          <w:szCs w:val="20"/>
        </w:rPr>
        <w:t>, reaching record levels</w:t>
      </w:r>
      <w:r w:rsidRPr="003D0970">
        <w:rPr>
          <w:rFonts w:cs="Book Antiqua"/>
          <w:szCs w:val="20"/>
        </w:rPr>
        <w:t xml:space="preserve">.  High </w:t>
      </w:r>
      <w:r>
        <w:rPr>
          <w:rFonts w:cs="Book Antiqua"/>
          <w:szCs w:val="20"/>
        </w:rPr>
        <w:t xml:space="preserve">commodity </w:t>
      </w:r>
      <w:r w:rsidRPr="003D0970">
        <w:rPr>
          <w:rFonts w:cs="Book Antiqua"/>
          <w:szCs w:val="20"/>
        </w:rPr>
        <w:t>prices are</w:t>
      </w:r>
      <w:r>
        <w:rPr>
          <w:rFonts w:cs="Book Antiqua"/>
          <w:szCs w:val="20"/>
        </w:rPr>
        <w:t xml:space="preserve"> </w:t>
      </w:r>
      <w:r w:rsidRPr="003D0970">
        <w:rPr>
          <w:rFonts w:cs="Book Antiqua"/>
          <w:szCs w:val="20"/>
        </w:rPr>
        <w:t>result</w:t>
      </w:r>
      <w:r>
        <w:rPr>
          <w:rFonts w:cs="Book Antiqua"/>
          <w:szCs w:val="20"/>
        </w:rPr>
        <w:t>ing in substantial investment in</w:t>
      </w:r>
      <w:r w:rsidRPr="003D0970">
        <w:rPr>
          <w:rFonts w:cs="Book Antiqua"/>
          <w:szCs w:val="20"/>
        </w:rPr>
        <w:t xml:space="preserve"> the resources sector</w:t>
      </w:r>
      <w:r>
        <w:rPr>
          <w:rFonts w:cs="Book Antiqua"/>
          <w:szCs w:val="20"/>
        </w:rPr>
        <w:t>,</w:t>
      </w:r>
      <w:r w:rsidRPr="003D0970">
        <w:rPr>
          <w:rFonts w:cs="Book Antiqua"/>
          <w:szCs w:val="20"/>
        </w:rPr>
        <w:t xml:space="preserve"> and as the supply comes on line, we expect the term</w:t>
      </w:r>
      <w:r>
        <w:rPr>
          <w:rFonts w:cs="Book Antiqua"/>
          <w:szCs w:val="20"/>
        </w:rPr>
        <w:t>s</w:t>
      </w:r>
      <w:r w:rsidRPr="003D0970">
        <w:rPr>
          <w:rFonts w:cs="Book Antiqua"/>
          <w:szCs w:val="20"/>
        </w:rPr>
        <w:t xml:space="preserve"> of trade to decline by</w:t>
      </w:r>
      <w:r>
        <w:rPr>
          <w:rFonts w:cs="Book Antiqua"/>
          <w:szCs w:val="20"/>
        </w:rPr>
        <w:t xml:space="preserve"> </w:t>
      </w:r>
      <w:r w:rsidRPr="003D0970">
        <w:rPr>
          <w:rFonts w:cs="Book Antiqua"/>
          <w:szCs w:val="20"/>
        </w:rPr>
        <w:t xml:space="preserve">½ </w:t>
      </w:r>
      <w:r>
        <w:rPr>
          <w:rFonts w:cs="Book Antiqua"/>
          <w:szCs w:val="20"/>
        </w:rPr>
        <w:t xml:space="preserve">a </w:t>
      </w:r>
      <w:r w:rsidRPr="003D0970">
        <w:rPr>
          <w:rFonts w:cs="Book Antiqua"/>
          <w:szCs w:val="20"/>
        </w:rPr>
        <w:t>per</w:t>
      </w:r>
      <w:r>
        <w:rPr>
          <w:rFonts w:cs="Book Antiqua"/>
          <w:szCs w:val="20"/>
        </w:rPr>
        <w:t xml:space="preserve">centage point in 2011-12 and a further 2¾ </w:t>
      </w:r>
      <w:r w:rsidRPr="003D0970">
        <w:rPr>
          <w:rFonts w:cs="Book Antiqua"/>
          <w:szCs w:val="20"/>
        </w:rPr>
        <w:t>per cent in 2012-13. However, unexpected delays to some resource projects</w:t>
      </w:r>
      <w:r>
        <w:rPr>
          <w:rFonts w:cs="Book Antiqua"/>
          <w:szCs w:val="20"/>
        </w:rPr>
        <w:t xml:space="preserve"> – largely overseas</w:t>
      </w:r>
      <w:r w:rsidRPr="003D0970">
        <w:rPr>
          <w:rFonts w:cs="Book Antiqua"/>
          <w:szCs w:val="20"/>
        </w:rPr>
        <w:t xml:space="preserve"> </w:t>
      </w:r>
      <w:r w:rsidR="007372D9">
        <w:rPr>
          <w:rFonts w:cs="Book Antiqua"/>
          <w:szCs w:val="20"/>
        </w:rPr>
        <w:t>–</w:t>
      </w:r>
      <w:r>
        <w:rPr>
          <w:rFonts w:cs="Book Antiqua"/>
          <w:szCs w:val="20"/>
        </w:rPr>
        <w:t> </w:t>
      </w:r>
      <w:r w:rsidRPr="003D0970">
        <w:rPr>
          <w:rFonts w:cs="Book Antiqua"/>
          <w:szCs w:val="20"/>
        </w:rPr>
        <w:t xml:space="preserve">have resulted in </w:t>
      </w:r>
      <w:r w:rsidR="00242CEE">
        <w:rPr>
          <w:rFonts w:cs="Book Antiqua"/>
          <w:szCs w:val="20"/>
        </w:rPr>
        <w:t xml:space="preserve">new </w:t>
      </w:r>
      <w:r w:rsidRPr="003D0970">
        <w:rPr>
          <w:rFonts w:cs="Book Antiqua"/>
          <w:szCs w:val="20"/>
        </w:rPr>
        <w:t>supply</w:t>
      </w:r>
      <w:r w:rsidR="007372D9">
        <w:rPr>
          <w:rFonts w:cs="Book Antiqua"/>
          <w:szCs w:val="20"/>
        </w:rPr>
        <w:t xml:space="preserve"> </w:t>
      </w:r>
      <w:r w:rsidRPr="003D0970">
        <w:rPr>
          <w:rFonts w:cs="Book Antiqua"/>
          <w:szCs w:val="20"/>
        </w:rPr>
        <w:t>being delayed</w:t>
      </w:r>
      <w:r>
        <w:rPr>
          <w:rFonts w:cs="Book Antiqua"/>
          <w:szCs w:val="20"/>
        </w:rPr>
        <w:t>, with</w:t>
      </w:r>
      <w:r w:rsidRPr="003D0970">
        <w:rPr>
          <w:rFonts w:cs="Book Antiqua"/>
          <w:szCs w:val="20"/>
        </w:rPr>
        <w:t xml:space="preserve"> </w:t>
      </w:r>
      <w:r>
        <w:rPr>
          <w:rFonts w:cs="Book Antiqua"/>
          <w:szCs w:val="20"/>
        </w:rPr>
        <w:t xml:space="preserve">the result that </w:t>
      </w:r>
      <w:r w:rsidRPr="003D0970">
        <w:rPr>
          <w:rFonts w:cs="Book Antiqua"/>
          <w:szCs w:val="20"/>
        </w:rPr>
        <w:t xml:space="preserve">prices </w:t>
      </w:r>
      <w:r>
        <w:rPr>
          <w:rFonts w:cs="Book Antiqua"/>
          <w:szCs w:val="20"/>
        </w:rPr>
        <w:t xml:space="preserve">are </w:t>
      </w:r>
      <w:r w:rsidRPr="003D0970">
        <w:rPr>
          <w:rFonts w:cs="Book Antiqua"/>
          <w:szCs w:val="20"/>
        </w:rPr>
        <w:t xml:space="preserve">expected to remain higher for longer. In addition, rail-related infrastructure bottlenecks </w:t>
      </w:r>
      <w:r w:rsidRPr="003D0970">
        <w:rPr>
          <w:rFonts w:cs="Book Antiqua"/>
          <w:szCs w:val="20"/>
        </w:rPr>
        <w:lastRenderedPageBreak/>
        <w:t>in Queensland and New South Wales are expected to hamper coal exports</w:t>
      </w:r>
      <w:r>
        <w:rPr>
          <w:rFonts w:cs="Book Antiqua"/>
          <w:szCs w:val="20"/>
        </w:rPr>
        <w:t>,</w:t>
      </w:r>
      <w:r w:rsidRPr="003D0970">
        <w:rPr>
          <w:rFonts w:cs="Book Antiqua"/>
          <w:szCs w:val="20"/>
        </w:rPr>
        <w:t xml:space="preserve"> even whil</w:t>
      </w:r>
      <w:r>
        <w:rPr>
          <w:rFonts w:cs="Book Antiqua"/>
          <w:szCs w:val="20"/>
        </w:rPr>
        <w:t>e</w:t>
      </w:r>
      <w:r w:rsidRPr="003D0970">
        <w:rPr>
          <w:rFonts w:cs="Book Antiqua"/>
          <w:szCs w:val="20"/>
        </w:rPr>
        <w:t xml:space="preserve"> mine and port capacity expand.  Events in Japan have s</w:t>
      </w:r>
      <w:r>
        <w:rPr>
          <w:rFonts w:cs="Book Antiqua"/>
          <w:szCs w:val="20"/>
        </w:rPr>
        <w:t xml:space="preserve">een spot prices decline, </w:t>
      </w:r>
      <w:r w:rsidRPr="003D0970">
        <w:rPr>
          <w:rFonts w:cs="Book Antiqua"/>
          <w:szCs w:val="20"/>
        </w:rPr>
        <w:t>but it is still too early to determine the</w:t>
      </w:r>
      <w:r>
        <w:rPr>
          <w:rFonts w:cs="Book Antiqua"/>
          <w:szCs w:val="20"/>
        </w:rPr>
        <w:t xml:space="preserve"> price</w:t>
      </w:r>
      <w:r w:rsidRPr="003D0970">
        <w:rPr>
          <w:rFonts w:cs="Book Antiqua"/>
          <w:szCs w:val="20"/>
        </w:rPr>
        <w:t xml:space="preserve"> impact over the medium term.</w:t>
      </w:r>
      <w:r>
        <w:rPr>
          <w:rFonts w:cs="Book Antiqua"/>
          <w:szCs w:val="20"/>
        </w:rPr>
        <w:t xml:space="preserve"> </w:t>
      </w:r>
      <w:r w:rsidR="00F95F37">
        <w:rPr>
          <w:rFonts w:cs="Book Antiqua"/>
          <w:szCs w:val="20"/>
        </w:rPr>
        <w:t xml:space="preserve"> </w:t>
      </w:r>
    </w:p>
    <w:p w:rsidR="002940D6" w:rsidRPr="004205AC" w:rsidRDefault="002940D6" w:rsidP="002940D6">
      <w:pPr>
        <w:rPr>
          <w:szCs w:val="20"/>
        </w:rPr>
      </w:pPr>
      <w:r w:rsidRPr="004205AC">
        <w:rPr>
          <w:szCs w:val="20"/>
        </w:rPr>
        <w:t xml:space="preserve">The </w:t>
      </w:r>
      <w:r w:rsidRPr="004205AC">
        <w:rPr>
          <w:b/>
          <w:bCs/>
          <w:szCs w:val="20"/>
        </w:rPr>
        <w:t>current account deficit</w:t>
      </w:r>
      <w:r w:rsidRPr="004205AC">
        <w:rPr>
          <w:szCs w:val="20"/>
        </w:rPr>
        <w:t xml:space="preserve"> is expected to narrow sharply in 2010-11 to 1¾ per cent of GDP </w:t>
      </w:r>
      <w:r w:rsidR="00731F48">
        <w:rPr>
          <w:szCs w:val="20"/>
        </w:rPr>
        <w:t xml:space="preserve">(the lowest in three decades) </w:t>
      </w:r>
      <w:r w:rsidRPr="004205AC">
        <w:rPr>
          <w:szCs w:val="20"/>
        </w:rPr>
        <w:t>— with the tr</w:t>
      </w:r>
      <w:r>
        <w:rPr>
          <w:szCs w:val="20"/>
        </w:rPr>
        <w:t>ade balance moving into surplus and only</w:t>
      </w:r>
      <w:r w:rsidRPr="004205AC">
        <w:rPr>
          <w:szCs w:val="20"/>
        </w:rPr>
        <w:t xml:space="preserve"> partly offset by a wider net income deficit.  Thereafter, the current account deficit is expected to widen to 3¼ per cent of GDP in 2011-12 and 4¾ per cent of GDP in 2012-13, reflecting a </w:t>
      </w:r>
      <w:r w:rsidR="0029042A">
        <w:rPr>
          <w:szCs w:val="20"/>
        </w:rPr>
        <w:t xml:space="preserve">narrowing of </w:t>
      </w:r>
      <w:r w:rsidRPr="004205AC">
        <w:rPr>
          <w:szCs w:val="20"/>
        </w:rPr>
        <w:t>the trade surplus and a wider net income deficit.</w:t>
      </w:r>
    </w:p>
    <w:p w:rsidR="002940D6" w:rsidRPr="004205AC" w:rsidRDefault="002940D6" w:rsidP="002940D6">
      <w:pPr>
        <w:rPr>
          <w:szCs w:val="20"/>
        </w:rPr>
      </w:pPr>
      <w:r w:rsidRPr="004205AC">
        <w:rPr>
          <w:szCs w:val="20"/>
        </w:rPr>
        <w:t xml:space="preserve">The </w:t>
      </w:r>
      <w:r w:rsidRPr="004205AC">
        <w:rPr>
          <w:b/>
          <w:bCs/>
          <w:szCs w:val="20"/>
        </w:rPr>
        <w:t>trade balance</w:t>
      </w:r>
      <w:r w:rsidRPr="004205AC">
        <w:rPr>
          <w:szCs w:val="20"/>
        </w:rPr>
        <w:t xml:space="preserve"> is expected to reach a surplus of 2½ per cent of GDP in 2010-11, driven by increased prices </w:t>
      </w:r>
      <w:r>
        <w:rPr>
          <w:szCs w:val="20"/>
        </w:rPr>
        <w:t xml:space="preserve">and volumes of </w:t>
      </w:r>
      <w:r w:rsidRPr="004205AC">
        <w:rPr>
          <w:szCs w:val="20"/>
        </w:rPr>
        <w:t>non-rural commodity exports</w:t>
      </w:r>
      <w:r w:rsidR="00731F48">
        <w:rPr>
          <w:szCs w:val="20"/>
        </w:rPr>
        <w:t xml:space="preserve">, and then </w:t>
      </w:r>
      <w:r w:rsidRPr="004205AC">
        <w:rPr>
          <w:szCs w:val="20"/>
        </w:rPr>
        <w:t xml:space="preserve">narrow to 2 per cent of GDP in 2011-12, and </w:t>
      </w:r>
      <w:r w:rsidR="00D21424">
        <w:rPr>
          <w:szCs w:val="20"/>
        </w:rPr>
        <w:t>1</w:t>
      </w:r>
      <w:r w:rsidR="00731F48">
        <w:rPr>
          <w:szCs w:val="20"/>
        </w:rPr>
        <w:t> </w:t>
      </w:r>
      <w:r>
        <w:rPr>
          <w:szCs w:val="20"/>
        </w:rPr>
        <w:t>per cent of GDP in 2012</w:t>
      </w:r>
      <w:r>
        <w:rPr>
          <w:szCs w:val="20"/>
        </w:rPr>
        <w:noBreakHyphen/>
      </w:r>
      <w:r w:rsidRPr="004205AC">
        <w:rPr>
          <w:szCs w:val="20"/>
        </w:rPr>
        <w:t>13 – with prices for non</w:t>
      </w:r>
      <w:r w:rsidRPr="004205AC">
        <w:rPr>
          <w:szCs w:val="20"/>
        </w:rPr>
        <w:noBreakHyphen/>
        <w:t>rural commodities declining slightly, and import volumes continuing to increase strong</w:t>
      </w:r>
      <w:r w:rsidR="00731F48">
        <w:rPr>
          <w:szCs w:val="20"/>
        </w:rPr>
        <w:t>ly</w:t>
      </w:r>
      <w:r w:rsidRPr="004205AC">
        <w:rPr>
          <w:szCs w:val="20"/>
        </w:rPr>
        <w:t>.</w:t>
      </w:r>
    </w:p>
    <w:p w:rsidR="002940D6" w:rsidRPr="00B8367D" w:rsidRDefault="002940D6" w:rsidP="002940D6">
      <w:pPr>
        <w:rPr>
          <w:rFonts w:cs="Book Antiqua"/>
          <w:szCs w:val="20"/>
        </w:rPr>
      </w:pPr>
      <w:r w:rsidRPr="004205AC">
        <w:rPr>
          <w:rFonts w:cs="Book Antiqua"/>
          <w:szCs w:val="20"/>
        </w:rPr>
        <w:t xml:space="preserve">The </w:t>
      </w:r>
      <w:r w:rsidRPr="004205AC">
        <w:rPr>
          <w:rFonts w:cs="Book Antiqua"/>
          <w:b/>
          <w:szCs w:val="20"/>
        </w:rPr>
        <w:t>net income</w:t>
      </w:r>
      <w:r w:rsidRPr="004205AC">
        <w:rPr>
          <w:rFonts w:cs="Book Antiqua"/>
          <w:szCs w:val="20"/>
        </w:rPr>
        <w:t xml:space="preserve"> deficit is expected to widen in 2010-11 and 2011-</w:t>
      </w:r>
      <w:r>
        <w:rPr>
          <w:rFonts w:cs="Book Antiqua"/>
          <w:szCs w:val="20"/>
        </w:rPr>
        <w:t xml:space="preserve">12, </w:t>
      </w:r>
      <w:r w:rsidRPr="004205AC">
        <w:rPr>
          <w:rFonts w:cs="Book Antiqua"/>
          <w:szCs w:val="20"/>
        </w:rPr>
        <w:t>with a considerable proportion o</w:t>
      </w:r>
      <w:r>
        <w:rPr>
          <w:rFonts w:cs="Book Antiqua"/>
          <w:szCs w:val="20"/>
        </w:rPr>
        <w:t>f the increased income from non</w:t>
      </w:r>
      <w:r>
        <w:rPr>
          <w:rFonts w:cs="Book Antiqua"/>
          <w:szCs w:val="20"/>
        </w:rPr>
        <w:noBreakHyphen/>
      </w:r>
      <w:r w:rsidRPr="004205AC">
        <w:rPr>
          <w:rFonts w:cs="Book Antiqua"/>
          <w:szCs w:val="20"/>
        </w:rPr>
        <w:t>rural commodity exports flowing to foreign investors (in Australia’s resources sector).  The net income deficit is</w:t>
      </w:r>
      <w:r w:rsidR="00D21424">
        <w:rPr>
          <w:rFonts w:cs="Book Antiqua"/>
          <w:szCs w:val="20"/>
        </w:rPr>
        <w:t xml:space="preserve"> expected to widen to 4¼ </w:t>
      </w:r>
      <w:r w:rsidRPr="004205AC">
        <w:rPr>
          <w:rFonts w:cs="Book Antiqua"/>
          <w:szCs w:val="20"/>
        </w:rPr>
        <w:t>pe</w:t>
      </w:r>
      <w:r w:rsidR="00725D34">
        <w:rPr>
          <w:rFonts w:cs="Book Antiqua"/>
          <w:szCs w:val="20"/>
        </w:rPr>
        <w:t>r cent of GDP in 2010-11</w:t>
      </w:r>
      <w:r w:rsidR="00012A49">
        <w:rPr>
          <w:rFonts w:cs="Book Antiqua"/>
          <w:szCs w:val="20"/>
        </w:rPr>
        <w:t xml:space="preserve"> and </w:t>
      </w:r>
      <w:r w:rsidR="00725D34">
        <w:rPr>
          <w:rFonts w:cs="Book Antiqua"/>
          <w:szCs w:val="20"/>
        </w:rPr>
        <w:t>5½ </w:t>
      </w:r>
      <w:r w:rsidRPr="004205AC">
        <w:rPr>
          <w:rFonts w:cs="Book Antiqua"/>
          <w:szCs w:val="20"/>
        </w:rPr>
        <w:t>per cent of GDP in</w:t>
      </w:r>
      <w:r w:rsidR="00012A49">
        <w:rPr>
          <w:rFonts w:cs="Book Antiqua"/>
          <w:szCs w:val="20"/>
        </w:rPr>
        <w:t xml:space="preserve"> both</w:t>
      </w:r>
      <w:r w:rsidRPr="004205AC">
        <w:rPr>
          <w:rFonts w:cs="Book Antiqua"/>
          <w:szCs w:val="20"/>
        </w:rPr>
        <w:t xml:space="preserve"> 2011-12</w:t>
      </w:r>
      <w:r w:rsidR="00D21424">
        <w:rPr>
          <w:rFonts w:cs="Book Antiqua"/>
          <w:szCs w:val="20"/>
        </w:rPr>
        <w:t xml:space="preserve"> and </w:t>
      </w:r>
      <w:r w:rsidR="00012A49">
        <w:rPr>
          <w:rFonts w:cs="Book Antiqua"/>
          <w:szCs w:val="20"/>
        </w:rPr>
        <w:t>2012</w:t>
      </w:r>
      <w:r w:rsidR="00012A49">
        <w:rPr>
          <w:rFonts w:cs="Book Antiqua"/>
          <w:szCs w:val="20"/>
        </w:rPr>
        <w:noBreakHyphen/>
      </w:r>
      <w:r w:rsidRPr="004205AC">
        <w:rPr>
          <w:rFonts w:cs="Book Antiqua"/>
          <w:szCs w:val="20"/>
        </w:rPr>
        <w:t>13</w:t>
      </w:r>
      <w:r w:rsidR="00D21424">
        <w:rPr>
          <w:rFonts w:cs="Book Antiqua"/>
          <w:szCs w:val="20"/>
        </w:rPr>
        <w:t>.</w:t>
      </w:r>
      <w:r w:rsidRPr="004205AC">
        <w:rPr>
          <w:rFonts w:cs="Book Antiqua"/>
          <w:szCs w:val="20"/>
        </w:rPr>
        <w:t xml:space="preserve"> </w:t>
      </w:r>
    </w:p>
    <w:p w:rsidR="005B389D" w:rsidRDefault="005B389D" w:rsidP="009D7882">
      <w:pPr>
        <w:pStyle w:val="Heading4"/>
        <w:keepNext w:val="0"/>
        <w:spacing w:before="0"/>
      </w:pPr>
      <w:bookmarkStart w:id="40" w:name="_Toc289277428"/>
      <w:r w:rsidRPr="00B0461A">
        <w:t>Employment, wages and inflation</w:t>
      </w:r>
      <w:bookmarkEnd w:id="40"/>
    </w:p>
    <w:bookmarkEnd w:id="26"/>
    <w:bookmarkEnd w:id="36"/>
    <w:bookmarkEnd w:id="37"/>
    <w:p w:rsidR="002940D6" w:rsidRDefault="002940D6" w:rsidP="002940D6">
      <w:pPr>
        <w:autoSpaceDE w:val="0"/>
        <w:autoSpaceDN w:val="0"/>
        <w:rPr>
          <w:szCs w:val="20"/>
        </w:rPr>
      </w:pPr>
      <w:r>
        <w:rPr>
          <w:szCs w:val="20"/>
        </w:rPr>
        <w:t xml:space="preserve">The labour market is expected to </w:t>
      </w:r>
      <w:r w:rsidR="003F3446">
        <w:rPr>
          <w:szCs w:val="20"/>
        </w:rPr>
        <w:t>strengthen further</w:t>
      </w:r>
      <w:r>
        <w:rPr>
          <w:szCs w:val="20"/>
        </w:rPr>
        <w:t xml:space="preserve"> over the forecast horizon. </w:t>
      </w:r>
      <w:r w:rsidR="00336F88">
        <w:rPr>
          <w:szCs w:val="20"/>
        </w:rPr>
        <w:t>With a</w:t>
      </w:r>
      <w:r>
        <w:rPr>
          <w:szCs w:val="20"/>
        </w:rPr>
        <w:t xml:space="preserve"> strong outlook for the Australian economy</w:t>
      </w:r>
      <w:r w:rsidR="00336F88">
        <w:rPr>
          <w:szCs w:val="20"/>
        </w:rPr>
        <w:t>, t</w:t>
      </w:r>
      <w:r>
        <w:rPr>
          <w:szCs w:val="20"/>
        </w:rPr>
        <w:t>he labour market is expected to return to full employment during the forecast horizon.</w:t>
      </w:r>
    </w:p>
    <w:p w:rsidR="002940D6" w:rsidRDefault="002940D6" w:rsidP="002940D6">
      <w:pPr>
        <w:autoSpaceDE w:val="0"/>
        <w:autoSpaceDN w:val="0"/>
        <w:rPr>
          <w:szCs w:val="20"/>
        </w:rPr>
      </w:pPr>
      <w:r>
        <w:rPr>
          <w:szCs w:val="20"/>
        </w:rPr>
        <w:t xml:space="preserve">Forecasts for </w:t>
      </w:r>
      <w:r>
        <w:rPr>
          <w:b/>
          <w:bCs/>
          <w:szCs w:val="20"/>
        </w:rPr>
        <w:t xml:space="preserve">employment growth </w:t>
      </w:r>
      <w:r w:rsidRPr="00460580">
        <w:rPr>
          <w:bCs/>
          <w:szCs w:val="20"/>
        </w:rPr>
        <w:t>are</w:t>
      </w:r>
      <w:r>
        <w:rPr>
          <w:b/>
          <w:bCs/>
          <w:szCs w:val="20"/>
        </w:rPr>
        <w:t xml:space="preserve"> </w:t>
      </w:r>
      <w:r w:rsidRPr="00E46CDB">
        <w:rPr>
          <w:bCs/>
          <w:szCs w:val="20"/>
        </w:rPr>
        <w:t>broadly</w:t>
      </w:r>
      <w:r>
        <w:rPr>
          <w:bCs/>
          <w:szCs w:val="20"/>
        </w:rPr>
        <w:t xml:space="preserve"> unchanged in 2010-11 and 2011-12. </w:t>
      </w:r>
      <w:r>
        <w:rPr>
          <w:szCs w:val="20"/>
        </w:rPr>
        <w:t xml:space="preserve">While employment and </w:t>
      </w:r>
      <w:r w:rsidR="009F2DE4">
        <w:rPr>
          <w:szCs w:val="20"/>
        </w:rPr>
        <w:t xml:space="preserve">the </w:t>
      </w:r>
      <w:r>
        <w:rPr>
          <w:szCs w:val="20"/>
        </w:rPr>
        <w:t xml:space="preserve">participation </w:t>
      </w:r>
      <w:r w:rsidR="009F2DE4">
        <w:rPr>
          <w:szCs w:val="20"/>
        </w:rPr>
        <w:t xml:space="preserve">rate </w:t>
      </w:r>
      <w:r>
        <w:rPr>
          <w:szCs w:val="20"/>
        </w:rPr>
        <w:t xml:space="preserve">have </w:t>
      </w:r>
      <w:r w:rsidR="00B15D73">
        <w:rPr>
          <w:szCs w:val="20"/>
        </w:rPr>
        <w:t>declined</w:t>
      </w:r>
      <w:r>
        <w:rPr>
          <w:szCs w:val="20"/>
        </w:rPr>
        <w:t xml:space="preserve"> in early 2011, this can be attributed to </w:t>
      </w:r>
      <w:r w:rsidR="00B15D73">
        <w:rPr>
          <w:szCs w:val="20"/>
        </w:rPr>
        <w:t>falls</w:t>
      </w:r>
      <w:r>
        <w:rPr>
          <w:szCs w:val="20"/>
        </w:rPr>
        <w:t xml:space="preserve"> in Queensland in the aftermath of the floods and Cyclone Yasi</w:t>
      </w:r>
      <w:r w:rsidR="00B15D73">
        <w:rPr>
          <w:szCs w:val="20"/>
        </w:rPr>
        <w:t>.  However, this is expected to be temporary</w:t>
      </w:r>
      <w:r>
        <w:rPr>
          <w:szCs w:val="20"/>
        </w:rPr>
        <w:t xml:space="preserve">, with labour demand indicators (including recent job advertisements </w:t>
      </w:r>
      <w:r>
        <w:rPr>
          <w:szCs w:val="20"/>
        </w:rPr>
        <w:lastRenderedPageBreak/>
        <w:t xml:space="preserve">data) pointing to a rebound in the coming months. </w:t>
      </w:r>
      <w:r>
        <w:rPr>
          <w:bCs/>
          <w:szCs w:val="20"/>
        </w:rPr>
        <w:t>Employment forecasts have been upgraded slightly in 2012-13 in line with higher expected economic growth.</w:t>
      </w:r>
      <w:r>
        <w:rPr>
          <w:szCs w:val="20"/>
        </w:rPr>
        <w:t xml:space="preserve"> </w:t>
      </w:r>
    </w:p>
    <w:p w:rsidR="002940D6" w:rsidRDefault="002940D6" w:rsidP="002940D6">
      <w:pPr>
        <w:autoSpaceDE w:val="0"/>
        <w:autoSpaceDN w:val="0"/>
        <w:rPr>
          <w:szCs w:val="20"/>
        </w:rPr>
      </w:pPr>
      <w:r>
        <w:rPr>
          <w:b/>
          <w:bCs/>
          <w:szCs w:val="20"/>
        </w:rPr>
        <w:t xml:space="preserve">Employment growth </w:t>
      </w:r>
      <w:r>
        <w:rPr>
          <w:szCs w:val="20"/>
        </w:rPr>
        <w:t>is forec</w:t>
      </w:r>
      <w:r w:rsidR="009F2DE4">
        <w:rPr>
          <w:szCs w:val="20"/>
        </w:rPr>
        <w:t>ast to be 2¾ per cent through</w:t>
      </w:r>
      <w:r w:rsidR="009F2DE4">
        <w:rPr>
          <w:szCs w:val="20"/>
        </w:rPr>
        <w:noBreakHyphen/>
        <w:t>the</w:t>
      </w:r>
      <w:r w:rsidR="009F2DE4">
        <w:rPr>
          <w:szCs w:val="20"/>
        </w:rPr>
        <w:noBreakHyphen/>
      </w:r>
      <w:r>
        <w:rPr>
          <w:szCs w:val="20"/>
        </w:rPr>
        <w:t>year to the June quar</w:t>
      </w:r>
      <w:r w:rsidR="009F2DE4">
        <w:rPr>
          <w:szCs w:val="20"/>
        </w:rPr>
        <w:t>ter of 2011, 2 per cent through</w:t>
      </w:r>
      <w:r w:rsidR="009F2DE4">
        <w:rPr>
          <w:szCs w:val="20"/>
        </w:rPr>
        <w:noBreakHyphen/>
        <w:t>the</w:t>
      </w:r>
      <w:r w:rsidR="009F2DE4">
        <w:rPr>
          <w:szCs w:val="20"/>
        </w:rPr>
        <w:noBreakHyphen/>
      </w:r>
      <w:r>
        <w:rPr>
          <w:szCs w:val="20"/>
        </w:rPr>
        <w:t xml:space="preserve">year to the June quarter of 2012 and 1¾ per cent </w:t>
      </w:r>
      <w:r w:rsidR="009F2DE4">
        <w:rPr>
          <w:szCs w:val="20"/>
        </w:rPr>
        <w:t xml:space="preserve">through-the-year </w:t>
      </w:r>
      <w:r>
        <w:rPr>
          <w:szCs w:val="20"/>
        </w:rPr>
        <w:t>to the June quarter of 2013.</w:t>
      </w:r>
    </w:p>
    <w:p w:rsidR="0000744F" w:rsidRDefault="002940D6" w:rsidP="002940D6">
      <w:pPr>
        <w:autoSpaceDE w:val="0"/>
        <w:autoSpaceDN w:val="0"/>
      </w:pPr>
      <w:r>
        <w:rPr>
          <w:szCs w:val="20"/>
        </w:rPr>
        <w:t xml:space="preserve">The </w:t>
      </w:r>
      <w:r w:rsidRPr="003C7F89">
        <w:rPr>
          <w:b/>
          <w:szCs w:val="20"/>
        </w:rPr>
        <w:t>unemployment rate</w:t>
      </w:r>
      <w:r>
        <w:rPr>
          <w:szCs w:val="20"/>
        </w:rPr>
        <w:t xml:space="preserve"> </w:t>
      </w:r>
      <w:r w:rsidR="007372D9">
        <w:rPr>
          <w:szCs w:val="20"/>
        </w:rPr>
        <w:t xml:space="preserve">is </w:t>
      </w:r>
      <w:r>
        <w:rPr>
          <w:szCs w:val="20"/>
        </w:rPr>
        <w:t xml:space="preserve">now expected to decline to 4¾ per cent in the June quarter of 2012, before falling to 4½ per cent in </w:t>
      </w:r>
      <w:r w:rsidR="009F2DE4">
        <w:rPr>
          <w:szCs w:val="20"/>
        </w:rPr>
        <w:t xml:space="preserve">the </w:t>
      </w:r>
      <w:r>
        <w:rPr>
          <w:szCs w:val="20"/>
        </w:rPr>
        <w:t xml:space="preserve">June quarter of 2013 – consistent with full employment. This is occurring despite a slight upward revision in the forecast </w:t>
      </w:r>
      <w:r w:rsidRPr="0001388E">
        <w:rPr>
          <w:szCs w:val="20"/>
        </w:rPr>
        <w:t>participation rate</w:t>
      </w:r>
      <w:r>
        <w:rPr>
          <w:szCs w:val="20"/>
        </w:rPr>
        <w:t xml:space="preserve">, which is expected to slowly rise to 66 per cent in the June quarter of 2013, reflecting </w:t>
      </w:r>
      <w:r w:rsidR="00101870">
        <w:rPr>
          <w:szCs w:val="20"/>
        </w:rPr>
        <w:t>the expected</w:t>
      </w:r>
      <w:r w:rsidR="007372D9">
        <w:rPr>
          <w:szCs w:val="20"/>
        </w:rPr>
        <w:t xml:space="preserve"> continuation of </w:t>
      </w:r>
      <w:r>
        <w:rPr>
          <w:szCs w:val="20"/>
        </w:rPr>
        <w:t xml:space="preserve">the </w:t>
      </w:r>
      <w:r w:rsidR="007372D9">
        <w:rPr>
          <w:szCs w:val="20"/>
        </w:rPr>
        <w:t>trend</w:t>
      </w:r>
      <w:r>
        <w:rPr>
          <w:szCs w:val="20"/>
        </w:rPr>
        <w:t xml:space="preserve"> increase in the participation rate of the 55+ age cohort.</w:t>
      </w:r>
    </w:p>
    <w:p w:rsidR="00535CED" w:rsidRPr="007945AF" w:rsidRDefault="00535CED" w:rsidP="007945AF">
      <w:pPr>
        <w:keepNext/>
        <w:spacing w:after="0"/>
        <w:jc w:val="center"/>
        <w:rPr>
          <w:rFonts w:ascii="Tahoma" w:hAnsi="Tahoma" w:cs="Tahoma"/>
          <w:b/>
        </w:rPr>
      </w:pPr>
      <w:r w:rsidRPr="007945AF">
        <w:rPr>
          <w:rFonts w:ascii="Tahoma" w:hAnsi="Tahoma" w:cs="Tahoma"/>
          <w:b/>
        </w:rPr>
        <w:t xml:space="preserve">Chart </w:t>
      </w:r>
      <w:r w:rsidR="007945AF">
        <w:rPr>
          <w:rFonts w:ascii="Tahoma" w:hAnsi="Tahoma" w:cs="Tahoma"/>
          <w:b/>
        </w:rPr>
        <w:t>8</w:t>
      </w:r>
      <w:r w:rsidRPr="007945AF">
        <w:rPr>
          <w:rFonts w:ascii="Tahoma" w:hAnsi="Tahoma" w:cs="Tahoma"/>
          <w:b/>
        </w:rPr>
        <w:t>: Unemploymen</w:t>
      </w:r>
      <w:r w:rsidR="00DF4E1B">
        <w:rPr>
          <w:rFonts w:ascii="Tahoma" w:hAnsi="Tahoma" w:cs="Tahoma"/>
          <w:b/>
        </w:rPr>
        <w:t>t and Participation r</w:t>
      </w:r>
      <w:r w:rsidR="007945AF">
        <w:rPr>
          <w:rFonts w:ascii="Tahoma" w:hAnsi="Tahoma" w:cs="Tahoma"/>
          <w:b/>
        </w:rPr>
        <w:t>ates</w:t>
      </w:r>
    </w:p>
    <w:p w:rsidR="00535CED" w:rsidRPr="005F7DAE" w:rsidRDefault="00204B0A" w:rsidP="00A17AA8">
      <w:pPr>
        <w:pStyle w:val="ChartGraphic0"/>
        <w:rPr>
          <w:rFonts w:ascii="Tahoma" w:hAnsi="Tahoma" w:cs="Tahoma"/>
          <w:sz w:val="16"/>
          <w:szCs w:val="16"/>
        </w:rPr>
      </w:pPr>
      <w:r>
        <w:rPr>
          <w:rFonts w:ascii="Book Antiqua" w:hAnsi="Book Antiqua"/>
        </w:rPr>
        <w:pict>
          <v:shape id="_x0000_i1034" type="#_x0000_t75" style="width:225.95pt;height:224.7pt">
            <v:imagedata r:id="rId27" o:title=""/>
          </v:shape>
        </w:pict>
      </w:r>
      <w:r w:rsidR="00535CED" w:rsidRPr="007945AF">
        <w:rPr>
          <w:rFonts w:ascii="Tahoma" w:hAnsi="Tahoma" w:cs="Tahoma"/>
          <w:sz w:val="16"/>
          <w:szCs w:val="16"/>
        </w:rPr>
        <w:t>Source: ABS Catalogue Number 6202.0 and Treasury.</w:t>
      </w:r>
      <w:r w:rsidR="00A17AA8">
        <w:rPr>
          <w:rFonts w:ascii="Tahoma" w:hAnsi="Tahoma" w:cs="Tahoma"/>
          <w:sz w:val="16"/>
          <w:szCs w:val="16"/>
        </w:rPr>
        <w:br/>
      </w:r>
    </w:p>
    <w:p w:rsidR="009005BC" w:rsidRDefault="002940D6" w:rsidP="009005BC">
      <w:r>
        <w:t xml:space="preserve">The </w:t>
      </w:r>
      <w:r w:rsidRPr="008D4F89">
        <w:rPr>
          <w:b/>
        </w:rPr>
        <w:t>Wage Price Index</w:t>
      </w:r>
      <w:r w:rsidR="007372D9">
        <w:t xml:space="preserve"> is expected to grow by 4 </w:t>
      </w:r>
      <w:r>
        <w:t xml:space="preserve">per cent </w:t>
      </w:r>
      <w:r w:rsidR="009F2DE4">
        <w:t>through-the-year</w:t>
      </w:r>
      <w:r>
        <w:t xml:space="preserve"> to the June quarters of 2011 and 2012, and by 4¼ per cent </w:t>
      </w:r>
      <w:r w:rsidR="009F2DE4">
        <w:t>through-the-year</w:t>
      </w:r>
      <w:r>
        <w:t xml:space="preserve"> to the June quarter of 2013. </w:t>
      </w:r>
      <w:r>
        <w:rPr>
          <w:szCs w:val="20"/>
        </w:rPr>
        <w:t xml:space="preserve">Wages growth has accelerated more rapidly than </w:t>
      </w:r>
      <w:r w:rsidR="007372D9">
        <w:rPr>
          <w:szCs w:val="20"/>
        </w:rPr>
        <w:t xml:space="preserve">previously </w:t>
      </w:r>
      <w:r>
        <w:rPr>
          <w:szCs w:val="20"/>
        </w:rPr>
        <w:t xml:space="preserve">anticipated, with an increase in private sector wages driving growth in the </w:t>
      </w:r>
      <w:r w:rsidR="007372D9">
        <w:rPr>
          <w:szCs w:val="20"/>
        </w:rPr>
        <w:t>W</w:t>
      </w:r>
      <w:r>
        <w:rPr>
          <w:szCs w:val="20"/>
        </w:rPr>
        <w:t xml:space="preserve">age </w:t>
      </w:r>
      <w:r w:rsidR="007372D9">
        <w:rPr>
          <w:szCs w:val="20"/>
        </w:rPr>
        <w:t>P</w:t>
      </w:r>
      <w:r>
        <w:rPr>
          <w:szCs w:val="20"/>
        </w:rPr>
        <w:t xml:space="preserve">rice </w:t>
      </w:r>
      <w:r w:rsidR="007372D9">
        <w:rPr>
          <w:szCs w:val="20"/>
        </w:rPr>
        <w:t>I</w:t>
      </w:r>
      <w:r>
        <w:rPr>
          <w:szCs w:val="20"/>
        </w:rPr>
        <w:t xml:space="preserve">ndex to above its trend rate in the December quarter.   </w:t>
      </w:r>
      <w:r>
        <w:t xml:space="preserve">The forecasts reflect an expectation that aggregate wages growth will </w:t>
      </w:r>
      <w:r>
        <w:lastRenderedPageBreak/>
        <w:t xml:space="preserve">increase gradually as the labour market </w:t>
      </w:r>
      <w:r w:rsidR="00731F48">
        <w:t>tightens</w:t>
      </w:r>
      <w:r>
        <w:t xml:space="preserve">.  Growth in aggregate wages is expected to mask considerable divergences between industries, with </w:t>
      </w:r>
      <w:r w:rsidRPr="003E1E05">
        <w:t>resource</w:t>
      </w:r>
      <w:r w:rsidRPr="003E1E05">
        <w:noBreakHyphen/>
        <w:t>related industries</w:t>
      </w:r>
      <w:r>
        <w:t xml:space="preserve"> likely to continue to experience much stronger wages growth than other sectors.</w:t>
      </w:r>
    </w:p>
    <w:p w:rsidR="00535CED" w:rsidRPr="00715628" w:rsidRDefault="00535CED" w:rsidP="00715628">
      <w:pPr>
        <w:keepNext/>
        <w:spacing w:after="0"/>
        <w:jc w:val="center"/>
        <w:rPr>
          <w:rFonts w:ascii="Tahoma" w:hAnsi="Tahoma" w:cs="Tahoma"/>
          <w:b/>
        </w:rPr>
      </w:pPr>
      <w:r w:rsidRPr="00715628">
        <w:rPr>
          <w:rFonts w:ascii="Tahoma" w:hAnsi="Tahoma" w:cs="Tahoma"/>
          <w:b/>
        </w:rPr>
        <w:t xml:space="preserve">Chart </w:t>
      </w:r>
      <w:r w:rsidR="007945AF" w:rsidRPr="00715628">
        <w:rPr>
          <w:rFonts w:ascii="Tahoma" w:hAnsi="Tahoma" w:cs="Tahoma"/>
          <w:b/>
        </w:rPr>
        <w:t>9</w:t>
      </w:r>
      <w:r w:rsidRPr="00715628">
        <w:rPr>
          <w:rFonts w:ascii="Tahoma" w:hAnsi="Tahoma" w:cs="Tahoma"/>
          <w:b/>
        </w:rPr>
        <w:t>: Wage Price Index growth</w:t>
      </w:r>
    </w:p>
    <w:p w:rsidR="00535CED" w:rsidRPr="005F7DAE" w:rsidRDefault="00497F2E" w:rsidP="00A06AA5">
      <w:pPr>
        <w:spacing w:after="0" w:line="240" w:lineRule="auto"/>
        <w:jc w:val="center"/>
        <w:rPr>
          <w:b/>
          <w:szCs w:val="20"/>
        </w:rPr>
      </w:pPr>
      <w:r>
        <w:rPr>
          <w:noProof/>
        </w:rPr>
        <w:pict>
          <v:shapetype id="_x0000_t202" coordsize="21600,21600" o:spt="202" path="m,l,21600r21600,l21600,xe">
            <v:stroke joinstyle="miter"/>
            <v:path gradientshapeok="t" o:connecttype="rect"/>
          </v:shapetype>
          <v:shape id="TextBox 2" o:spid="_x0000_s1042" type="#_x0000_t202" style="position:absolute;left:0;text-align:left;margin-left:66.35pt;margin-top:118.4pt;width:72.7pt;height:16.4pt;z-index:25165926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" filled="f" stroked="f">
            <v:textbox style="mso-next-textbox:#TextBox 2;mso-fit-shape-to-text:t">
              <w:txbxContent>
                <w:p w:rsidR="002B3639" w:rsidRDefault="002B3639" w:rsidP="001814C4">
                  <w:pPr>
                    <w:pStyle w:val="NormalWeb"/>
                    <w:spacing w:before="0" w:beforeAutospacing="0" w:after="0" w:afterAutospacing="0"/>
                  </w:pPr>
                  <w:r w:rsidRPr="001814C4">
                    <w:rPr>
                      <w:rFonts w:ascii="Arial" w:hAnsi="Arial" w:cs="Arial"/>
                      <w:color w:val="FF0000"/>
                      <w:sz w:val="16"/>
                      <w:szCs w:val="16"/>
                    </w:rPr>
                    <w:t>10-year average</w:t>
                  </w:r>
                </w:p>
              </w:txbxContent>
            </v:textbox>
          </v:shape>
        </w:pict>
      </w:r>
      <w:r w:rsidR="00204B0A">
        <w:rPr>
          <w:noProof/>
          <w:lang w:eastAsia="en-AU"/>
        </w:rPr>
        <w:pict>
          <v:shape id="_x0000_i1035" type="#_x0000_t75" style="width:225.95pt;height:225.95pt">
            <v:imagedata r:id="rId28" o:title=""/>
          </v:shape>
        </w:pict>
      </w:r>
      <w:r w:rsidR="00535CED" w:rsidRPr="00515E7C">
        <w:rPr>
          <w:rFonts w:ascii="Tahoma" w:hAnsi="Tahoma" w:cs="Tahoma"/>
          <w:sz w:val="16"/>
          <w:szCs w:val="16"/>
        </w:rPr>
        <w:t>So</w:t>
      </w:r>
      <w:r w:rsidR="00535CED">
        <w:rPr>
          <w:rFonts w:ascii="Tahoma" w:hAnsi="Tahoma" w:cs="Tahoma"/>
          <w:sz w:val="16"/>
          <w:szCs w:val="16"/>
        </w:rPr>
        <w:t>urce: ABS Catalogue Number 6345.0 and Treasury.</w:t>
      </w:r>
    </w:p>
    <w:p w:rsidR="003436BE" w:rsidRDefault="003436BE" w:rsidP="003436BE">
      <w:pPr>
        <w:spacing w:after="120"/>
      </w:pPr>
    </w:p>
    <w:p w:rsidR="00AC78BB" w:rsidRPr="004205AC" w:rsidRDefault="00AC78BB" w:rsidP="00AC78BB">
      <w:pPr>
        <w:rPr>
          <w:szCs w:val="20"/>
        </w:rPr>
      </w:pPr>
      <w:r w:rsidRPr="004205AC">
        <w:rPr>
          <w:b/>
          <w:szCs w:val="20"/>
        </w:rPr>
        <w:t xml:space="preserve">Headline </w:t>
      </w:r>
      <w:r w:rsidRPr="004205AC">
        <w:rPr>
          <w:szCs w:val="20"/>
        </w:rPr>
        <w:t xml:space="preserve">and </w:t>
      </w:r>
      <w:r w:rsidRPr="004205AC">
        <w:rPr>
          <w:b/>
          <w:szCs w:val="20"/>
        </w:rPr>
        <w:t xml:space="preserve">underlying </w:t>
      </w:r>
      <w:r w:rsidRPr="004205AC">
        <w:rPr>
          <w:szCs w:val="20"/>
        </w:rPr>
        <w:t xml:space="preserve">measures of inflation continued to moderate in the December quarter.  Weakness in the quarter was broad based, with over half of the items in the CPI basket declining in price. Inflation is expected to rebound sharply in the March </w:t>
      </w:r>
      <w:r w:rsidR="001C2299">
        <w:rPr>
          <w:szCs w:val="20"/>
        </w:rPr>
        <w:t>quarter</w:t>
      </w:r>
      <w:r w:rsidRPr="004205AC">
        <w:rPr>
          <w:szCs w:val="20"/>
        </w:rPr>
        <w:t>, reflecting the impact of flooding, Cyclone Yasi and high oil prices.  While this surge is expected to be shor</w:t>
      </w:r>
      <w:r>
        <w:rPr>
          <w:szCs w:val="20"/>
        </w:rPr>
        <w:t xml:space="preserve">t-lived, with the </w:t>
      </w:r>
      <w:r w:rsidR="007372D9">
        <w:rPr>
          <w:szCs w:val="20"/>
        </w:rPr>
        <w:t>unemployment rate falling within the estimated NAIRU band</w:t>
      </w:r>
      <w:r w:rsidRPr="004205AC">
        <w:rPr>
          <w:szCs w:val="20"/>
        </w:rPr>
        <w:t xml:space="preserve">, and with ongoing </w:t>
      </w:r>
      <w:r w:rsidRPr="004205AC">
        <w:rPr>
          <w:szCs w:val="20"/>
        </w:rPr>
        <w:lastRenderedPageBreak/>
        <w:t xml:space="preserve">increases in administered prices, </w:t>
      </w:r>
      <w:r>
        <w:rPr>
          <w:szCs w:val="20"/>
        </w:rPr>
        <w:t xml:space="preserve">headline </w:t>
      </w:r>
      <w:r w:rsidRPr="004205AC">
        <w:rPr>
          <w:szCs w:val="20"/>
        </w:rPr>
        <w:t xml:space="preserve">inflation is expected to </w:t>
      </w:r>
      <w:r w:rsidR="00336F88">
        <w:rPr>
          <w:szCs w:val="20"/>
        </w:rPr>
        <w:t>be</w:t>
      </w:r>
      <w:r>
        <w:rPr>
          <w:szCs w:val="20"/>
        </w:rPr>
        <w:t xml:space="preserve"> at around the top of the target band over the forecast period</w:t>
      </w:r>
      <w:r w:rsidRPr="004205AC">
        <w:rPr>
          <w:szCs w:val="20"/>
        </w:rPr>
        <w:t>.</w:t>
      </w:r>
    </w:p>
    <w:p w:rsidR="00AC78BB" w:rsidRDefault="00AC78BB" w:rsidP="00AC78BB">
      <w:pPr>
        <w:rPr>
          <w:szCs w:val="20"/>
        </w:rPr>
      </w:pPr>
      <w:r w:rsidRPr="004205AC">
        <w:rPr>
          <w:b/>
          <w:szCs w:val="20"/>
        </w:rPr>
        <w:t>Underlying inflation</w:t>
      </w:r>
      <w:r w:rsidRPr="004205AC">
        <w:rPr>
          <w:szCs w:val="20"/>
        </w:rPr>
        <w:t xml:space="preserve"> is exp</w:t>
      </w:r>
      <w:r w:rsidR="00336F88">
        <w:rPr>
          <w:szCs w:val="20"/>
        </w:rPr>
        <w:t>ected to be 2½ per cent through</w:t>
      </w:r>
      <w:r w:rsidR="00336F88">
        <w:rPr>
          <w:szCs w:val="20"/>
        </w:rPr>
        <w:noBreakHyphen/>
        <w:t>the</w:t>
      </w:r>
      <w:r w:rsidR="00336F88">
        <w:rPr>
          <w:szCs w:val="20"/>
        </w:rPr>
        <w:noBreakHyphen/>
      </w:r>
      <w:r w:rsidRPr="004205AC">
        <w:rPr>
          <w:szCs w:val="20"/>
        </w:rPr>
        <w:t>year to the June quarter of 2011 before ri</w:t>
      </w:r>
      <w:r w:rsidR="00336F88">
        <w:rPr>
          <w:szCs w:val="20"/>
        </w:rPr>
        <w:t>sing to 2¾ per cent through</w:t>
      </w:r>
      <w:r w:rsidR="00336F88">
        <w:rPr>
          <w:szCs w:val="20"/>
        </w:rPr>
        <w:noBreakHyphen/>
        <w:t>the</w:t>
      </w:r>
      <w:r w:rsidR="00336F88">
        <w:rPr>
          <w:szCs w:val="20"/>
        </w:rPr>
        <w:noBreakHyphen/>
      </w:r>
      <w:r w:rsidRPr="004205AC">
        <w:rPr>
          <w:szCs w:val="20"/>
        </w:rPr>
        <w:t xml:space="preserve">year to the June quarter of 2012, and 3 per cent </w:t>
      </w:r>
      <w:r w:rsidR="009F2DE4">
        <w:rPr>
          <w:szCs w:val="20"/>
        </w:rPr>
        <w:t>through-the-year</w:t>
      </w:r>
      <w:r w:rsidRPr="004205AC">
        <w:rPr>
          <w:szCs w:val="20"/>
        </w:rPr>
        <w:t xml:space="preserve"> to the June quarter of 2013. </w:t>
      </w:r>
      <w:r w:rsidRPr="004205AC">
        <w:rPr>
          <w:b/>
          <w:szCs w:val="20"/>
        </w:rPr>
        <w:t>Headline inflation</w:t>
      </w:r>
      <w:r w:rsidRPr="004205AC">
        <w:rPr>
          <w:szCs w:val="20"/>
        </w:rPr>
        <w:t xml:space="preserve"> is ex</w:t>
      </w:r>
      <w:r w:rsidR="00336F88">
        <w:rPr>
          <w:szCs w:val="20"/>
        </w:rPr>
        <w:t>pected to be 3 per cent through</w:t>
      </w:r>
      <w:r w:rsidR="00336F88">
        <w:rPr>
          <w:szCs w:val="20"/>
        </w:rPr>
        <w:noBreakHyphen/>
        <w:t>the</w:t>
      </w:r>
      <w:r w:rsidR="00336F88">
        <w:rPr>
          <w:szCs w:val="20"/>
        </w:rPr>
        <w:noBreakHyphen/>
      </w:r>
      <w:r w:rsidRPr="004205AC">
        <w:rPr>
          <w:szCs w:val="20"/>
        </w:rPr>
        <w:t>year to the June quart</w:t>
      </w:r>
      <w:r w:rsidR="00336F88">
        <w:rPr>
          <w:szCs w:val="20"/>
        </w:rPr>
        <w:t>er of 2011, 2¾ per cent through</w:t>
      </w:r>
      <w:r w:rsidR="00336F88">
        <w:rPr>
          <w:szCs w:val="20"/>
        </w:rPr>
        <w:noBreakHyphen/>
        <w:t>the</w:t>
      </w:r>
      <w:r w:rsidR="00336F88">
        <w:rPr>
          <w:szCs w:val="20"/>
        </w:rPr>
        <w:noBreakHyphen/>
      </w:r>
      <w:r w:rsidRPr="004205AC">
        <w:rPr>
          <w:szCs w:val="20"/>
        </w:rPr>
        <w:t>year to June quarter</w:t>
      </w:r>
      <w:r w:rsidR="00336F88">
        <w:rPr>
          <w:szCs w:val="20"/>
        </w:rPr>
        <w:t xml:space="preserve"> of 2012 and 3 per cent through</w:t>
      </w:r>
      <w:r w:rsidR="00336F88">
        <w:rPr>
          <w:szCs w:val="20"/>
        </w:rPr>
        <w:noBreakHyphen/>
        <w:t>the</w:t>
      </w:r>
      <w:r w:rsidR="00336F88">
        <w:rPr>
          <w:szCs w:val="20"/>
        </w:rPr>
        <w:noBreakHyphen/>
      </w:r>
      <w:r w:rsidRPr="004205AC">
        <w:rPr>
          <w:szCs w:val="20"/>
        </w:rPr>
        <w:t xml:space="preserve">year </w:t>
      </w:r>
      <w:r>
        <w:rPr>
          <w:szCs w:val="20"/>
        </w:rPr>
        <w:t>to June quarter of 2013 (Chart 10</w:t>
      </w:r>
      <w:r w:rsidRPr="004205AC">
        <w:rPr>
          <w:szCs w:val="20"/>
        </w:rPr>
        <w:t>).</w:t>
      </w:r>
      <w:r w:rsidR="00532952">
        <w:rPr>
          <w:szCs w:val="20"/>
        </w:rPr>
        <w:t xml:space="preserve"> With the economy expected to be operating at around capacity, inflation risks remain on the upside.</w:t>
      </w:r>
    </w:p>
    <w:p w:rsidR="00AC78BB" w:rsidRPr="00333097" w:rsidRDefault="00AC78BB" w:rsidP="00AC78BB">
      <w:pPr>
        <w:keepNext/>
        <w:spacing w:after="0"/>
        <w:jc w:val="center"/>
        <w:rPr>
          <w:rFonts w:ascii="Tahoma" w:hAnsi="Tahoma" w:cs="Tahoma"/>
          <w:b/>
        </w:rPr>
      </w:pPr>
      <w:r w:rsidRPr="00333097">
        <w:rPr>
          <w:rFonts w:ascii="Tahoma" w:hAnsi="Tahoma" w:cs="Tahoma"/>
          <w:b/>
        </w:rPr>
        <w:t xml:space="preserve">Chart </w:t>
      </w:r>
      <w:r>
        <w:rPr>
          <w:rFonts w:ascii="Tahoma" w:hAnsi="Tahoma" w:cs="Tahoma"/>
          <w:b/>
        </w:rPr>
        <w:t>10</w:t>
      </w:r>
      <w:r w:rsidRPr="00333097">
        <w:rPr>
          <w:rFonts w:ascii="Tahoma" w:hAnsi="Tahoma" w:cs="Tahoma"/>
          <w:b/>
        </w:rPr>
        <w:t>: Inflation</w:t>
      </w:r>
    </w:p>
    <w:p w:rsidR="00AC78BB" w:rsidRPr="00E467DA" w:rsidRDefault="00204B0A" w:rsidP="00252704">
      <w:pPr>
        <w:spacing w:after="0" w:line="240" w:lineRule="auto"/>
        <w:jc w:val="center"/>
        <w:rPr>
          <w:b/>
          <w:szCs w:val="20"/>
        </w:rPr>
      </w:pPr>
      <w:r>
        <w:rPr>
          <w:b/>
          <w:szCs w:val="20"/>
        </w:rPr>
        <w:pict>
          <v:shape id="_x0000_i1036" type="#_x0000_t75" style="width:225.95pt;height:225.95pt">
            <v:imagedata r:id="rId29" o:title=""/>
          </v:shape>
        </w:pict>
      </w:r>
      <w:r w:rsidR="00AC78BB" w:rsidRPr="00FE56C9">
        <w:rPr>
          <w:rFonts w:ascii="Tahoma" w:hAnsi="Tahoma" w:cs="Tahoma"/>
          <w:sz w:val="16"/>
          <w:szCs w:val="16"/>
        </w:rPr>
        <w:t>Source:</w:t>
      </w:r>
      <w:r w:rsidR="00AC78BB">
        <w:rPr>
          <w:szCs w:val="20"/>
        </w:rPr>
        <w:t xml:space="preserve">  </w:t>
      </w:r>
      <w:r w:rsidR="00AC78BB" w:rsidRPr="002877EB">
        <w:rPr>
          <w:rFonts w:ascii="Tahoma" w:hAnsi="Tahoma" w:cs="Tahoma"/>
          <w:sz w:val="16"/>
          <w:szCs w:val="16"/>
        </w:rPr>
        <w:t>A</w:t>
      </w:r>
      <w:r w:rsidR="00AC78BB">
        <w:rPr>
          <w:rFonts w:ascii="Tahoma" w:hAnsi="Tahoma" w:cs="Tahoma"/>
          <w:sz w:val="16"/>
          <w:szCs w:val="16"/>
        </w:rPr>
        <w:t xml:space="preserve">BS Catalogue Number 6401.0 </w:t>
      </w:r>
      <w:r w:rsidR="00AC78BB" w:rsidRPr="002877EB">
        <w:rPr>
          <w:rFonts w:ascii="Tahoma" w:hAnsi="Tahoma" w:cs="Tahoma"/>
          <w:sz w:val="16"/>
          <w:szCs w:val="16"/>
        </w:rPr>
        <w:t>and Treasury.</w:t>
      </w:r>
    </w:p>
    <w:p w:rsidR="00AC78BB" w:rsidRDefault="00AC78BB" w:rsidP="00AC78BB">
      <w:pPr>
        <w:rPr>
          <w:rFonts w:ascii="Tahoma" w:hAnsi="Tahoma" w:cs="Tahoma"/>
          <w:b/>
        </w:rPr>
      </w:pPr>
    </w:p>
    <w:p w:rsidR="00AC78BB" w:rsidRDefault="00AC78BB" w:rsidP="00AC78BB">
      <w:pPr>
        <w:rPr>
          <w:rFonts w:ascii="Tahoma" w:hAnsi="Tahoma" w:cs="Tahoma"/>
          <w:b/>
        </w:rPr>
      </w:pPr>
    </w:p>
    <w:p w:rsidR="00405DE2" w:rsidRDefault="00405DE2" w:rsidP="00405DE2">
      <w:pPr>
        <w:rPr>
          <w:szCs w:val="20"/>
        </w:rPr>
        <w:sectPr w:rsidR="00405DE2" w:rsidSect="00736A29">
          <w:headerReference w:type="even" r:id="rId30"/>
          <w:footerReference w:type="default" r:id="rId31"/>
          <w:type w:val="continuous"/>
          <w:pgSz w:w="11907" w:h="16840" w:code="9"/>
          <w:pgMar w:top="1418" w:right="1418" w:bottom="1418" w:left="1418" w:header="567" w:footer="567" w:gutter="0"/>
          <w:cols w:num="2" w:space="72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464"/>
      </w:tblGrid>
      <w:tr w:rsidR="00405DE2" w:rsidRPr="00E727B5" w:rsidTr="00E727B5">
        <w:trPr>
          <w:trHeight w:val="14012"/>
        </w:trPr>
        <w:tc>
          <w:tcPr>
            <w:tcW w:w="9464" w:type="dxa"/>
            <w:shd w:val="clear" w:color="auto" w:fill="DDD9C3"/>
          </w:tcPr>
          <w:p w:rsidR="00405DE2" w:rsidRDefault="00E72E0D" w:rsidP="00C61FA2">
            <w:pPr>
              <w:pStyle w:val="Heading3"/>
            </w:pPr>
            <w:bookmarkStart w:id="41" w:name="_Toc289277429"/>
            <w:r>
              <w:lastRenderedPageBreak/>
              <w:t xml:space="preserve">Box 1: </w:t>
            </w:r>
            <w:r w:rsidR="00210C3C">
              <w:t>Impact of Floods and Cyclone Yasi</w:t>
            </w:r>
            <w:bookmarkEnd w:id="41"/>
          </w:p>
          <w:p w:rsidR="007C3517" w:rsidRDefault="007C3517" w:rsidP="007C3517">
            <w:r>
              <w:t>The widespread flooding in eastern Australia and Cyclone Yasi have had a significant impact on the near-term economic forecasts, although these disasters have not materially affected the economic outlook beyond the next couple of quarters.</w:t>
            </w:r>
          </w:p>
          <w:p w:rsidR="007C3517" w:rsidRDefault="007C3517" w:rsidP="007C3517">
            <w:r>
              <w:t>It is anticipated that the direct impact of the disasters will be largely confined to the first half of 2011, with disruptions to coal production, and destruction and damage to agriculture expected to reduce real GDP growth in 2010</w:t>
            </w:r>
            <w:r>
              <w:noBreakHyphen/>
              <w:t>11 by ½ of a percentage point, and lead to temporary price rises for affected commodities. In 2011</w:t>
            </w:r>
            <w:r>
              <w:noBreakHyphen/>
              <w:t>12, reconstruction and the resumption of economic activity are expected to add around ¼ of a percentage point to GDP growth.</w:t>
            </w:r>
          </w:p>
          <w:p w:rsidR="007C3517" w:rsidRDefault="007C3517" w:rsidP="007C3517">
            <w:r>
              <w:t xml:space="preserve">The largest impact </w:t>
            </w:r>
            <w:r w:rsidR="00336F88">
              <w:t xml:space="preserve">on the real economy </w:t>
            </w:r>
            <w:r>
              <w:t xml:space="preserve">will be from reduced coal production in Queensland, with production losses </w:t>
            </w:r>
            <w:r w:rsidR="00DF4A51">
              <w:t xml:space="preserve">now </w:t>
            </w:r>
            <w:r>
              <w:t>estimated to be around 22 million tonnes (or $6 billion) — largely occurring in the March quarter. Floodwaters covered and damaged key rail lines, and filled a large number of coal pits. While much of the affected rail infrastructure is now fully operational, ongoing de</w:t>
            </w:r>
            <w:r>
              <w:noBreakHyphen/>
              <w:t xml:space="preserve">watering of coal mines will mean that mine production in the affected region is unlikely to return to full capacity for a few months. The impact on export earnings is expected to be ameliorated by higher world prices – particularly for metallurgical coal. With Queensland being the world’s largest supplier of metallurgical coal, </w:t>
            </w:r>
            <w:r w:rsidRPr="00100465">
              <w:t xml:space="preserve">the floods saw </w:t>
            </w:r>
            <w:r>
              <w:t xml:space="preserve">a very sharp increase in </w:t>
            </w:r>
            <w:r w:rsidRPr="00100465">
              <w:t>metallurgical coal spot prices amid expectations of a fall</w:t>
            </w:r>
            <w:r>
              <w:t xml:space="preserve"> in global supply in an already</w:t>
            </w:r>
            <w:r>
              <w:noBreakHyphen/>
            </w:r>
            <w:r w:rsidRPr="00100465">
              <w:t xml:space="preserve">tight global market. As a result, contract prices for metallurgical coal in the June quarter are expected to be around 50 per cent higher than for the previous quarter. </w:t>
            </w:r>
            <w:r>
              <w:t>C</w:t>
            </w:r>
            <w:r w:rsidRPr="00100465">
              <w:t xml:space="preserve">oal prices are expected to return to around pre-flood levels </w:t>
            </w:r>
            <w:r w:rsidR="00336F88">
              <w:t>after</w:t>
            </w:r>
            <w:r w:rsidRPr="00100465">
              <w:t xml:space="preserve"> the affected production capacity comes back on line</w:t>
            </w:r>
            <w:r w:rsidR="00336F88">
              <w:t>, currently expected in the September quarter</w:t>
            </w:r>
            <w:r w:rsidRPr="00100465">
              <w:t>.</w:t>
            </w:r>
          </w:p>
          <w:p w:rsidR="007C3517" w:rsidRDefault="007C3517" w:rsidP="007C3517">
            <w:r>
              <w:t>For agriculture, the floods and Cyclone Yasi led to significant losses and quality downgrades to a range of crops — with the total impact estimated to be $1.9 billion (with Queensland accounting for the majority of this). The floods affected cotton, sugar cane, fruit, vegetables and grains, while Cyclone Yasi destroyed a significant portion of the region’s (and the country’s) banana plantations and also affected other tropical fruits and sugar cane. Production losses have led to what is expected to be temporary price rises for a number of fruit and vegetable items. It is anticipated that t</w:t>
            </w:r>
            <w:r w:rsidRPr="008254BA">
              <w:t>he</w:t>
            </w:r>
            <w:r>
              <w:t>se prices rises will lead to</w:t>
            </w:r>
            <w:r w:rsidRPr="008254BA">
              <w:t xml:space="preserve"> </w:t>
            </w:r>
            <w:r>
              <w:t>an increase in</w:t>
            </w:r>
            <w:r w:rsidRPr="008254BA">
              <w:t xml:space="preserve"> March quarter</w:t>
            </w:r>
            <w:r>
              <w:t xml:space="preserve"> headline inflation of </w:t>
            </w:r>
            <w:r w:rsidRPr="008254BA">
              <w:t>between ½ and ¾</w:t>
            </w:r>
            <w:r>
              <w:t xml:space="preserve"> of</w:t>
            </w:r>
            <w:r w:rsidRPr="008254BA">
              <w:t xml:space="preserve"> a per</w:t>
            </w:r>
            <w:r>
              <w:t xml:space="preserve"> </w:t>
            </w:r>
            <w:r w:rsidRPr="008254BA">
              <w:t>cent</w:t>
            </w:r>
            <w:r>
              <w:t>, with increased banana prices being the major contributor. Around two</w:t>
            </w:r>
            <w:r>
              <w:noBreakHyphen/>
              <w:t>thirds of this increase is expected to be unwound in the June quarter — consistent with the impact of previous flood and cyclone events.</w:t>
            </w:r>
          </w:p>
          <w:p w:rsidR="00405DE2" w:rsidRPr="00E727B5" w:rsidRDefault="007C3517" w:rsidP="00DF4A51">
            <w:pPr>
              <w:rPr>
                <w:szCs w:val="20"/>
              </w:rPr>
            </w:pPr>
            <w:r>
              <w:t xml:space="preserve">The floods and Cyclone Yasi destroyed </w:t>
            </w:r>
            <w:r w:rsidR="00DF4A51">
              <w:t>or</w:t>
            </w:r>
            <w:r>
              <w:t xml:space="preserve"> damaged a substantial amount of public, business and household assets, the replacement of which will add to GDP growth — mainly in 2011</w:t>
            </w:r>
            <w:r>
              <w:noBreakHyphen/>
              <w:t xml:space="preserve">12. A key risk to the broader economy associated with the reconstruction and repair of assets is the availability of skilled labour in an economy that is expected to reach full employment over the next two years. While the Queensland economy and construction industry have some spare capacity, reconstruction will occur at a time when Queensland’s mining sector is increasing investment and the broader Australian economy is expected to face capacity constraints. Thus, capacity constraints may emerge sooner than would otherwise be the case. </w:t>
            </w:r>
          </w:p>
        </w:tc>
      </w:tr>
    </w:tbl>
    <w:p w:rsidR="00405DE2" w:rsidRDefault="00405DE2" w:rsidP="00B33EC4">
      <w:pPr>
        <w:rPr>
          <w:szCs w:val="20"/>
        </w:rPr>
        <w:sectPr w:rsidR="00405DE2" w:rsidSect="00405DE2">
          <w:type w:val="continuous"/>
          <w:pgSz w:w="11907" w:h="16840" w:code="9"/>
          <w:pgMar w:top="1418" w:right="1418" w:bottom="1418" w:left="1418" w:header="567" w:footer="567" w:gutter="0"/>
          <w:cols w:space="720"/>
        </w:sectPr>
      </w:pPr>
    </w:p>
    <w:p w:rsidR="00736A29" w:rsidRPr="00B323F7" w:rsidRDefault="00150650" w:rsidP="00B323F7">
      <w:pPr>
        <w:rPr>
          <w:szCs w:val="20"/>
        </w:rPr>
        <w:sectPr w:rsidR="00736A29" w:rsidRPr="00B323F7" w:rsidSect="00736A29">
          <w:type w:val="continuous"/>
          <w:pgSz w:w="11907" w:h="16840" w:code="9"/>
          <w:pgMar w:top="1418" w:right="1418" w:bottom="1418" w:left="1418" w:header="567" w:footer="567" w:gutter="0"/>
          <w:cols w:num="2" w:space="720"/>
        </w:sectPr>
      </w:pPr>
      <w:r>
        <w:lastRenderedPageBreak/>
        <w:br w:type="page"/>
      </w:r>
    </w:p>
    <w:p w:rsidR="000B5084" w:rsidRPr="00F355E8" w:rsidRDefault="000B5084" w:rsidP="000B5084">
      <w:pPr>
        <w:pStyle w:val="Heading3"/>
        <w:sectPr w:rsidR="000B5084" w:rsidRPr="00F355E8">
          <w:type w:val="continuous"/>
          <w:pgSz w:w="11907" w:h="16840" w:code="9"/>
          <w:pgMar w:top="1418" w:right="1418" w:bottom="1418" w:left="1418" w:header="567" w:footer="567" w:gutter="0"/>
          <w:cols w:space="720"/>
        </w:sectPr>
      </w:pPr>
      <w:bookmarkStart w:id="42" w:name="_Toc289277430"/>
      <w:r w:rsidRPr="00F355E8">
        <w:lastRenderedPageBreak/>
        <w:t>Outlook for the international economy</w:t>
      </w:r>
      <w:bookmarkStart w:id="43" w:name="_Toc90977891"/>
      <w:bookmarkEnd w:id="42"/>
      <w:r w:rsidR="00150650" w:rsidRPr="00F355E8">
        <w:t xml:space="preserve"> </w:t>
      </w:r>
    </w:p>
    <w:p w:rsidR="00370BBB" w:rsidRDefault="00370BBB" w:rsidP="00370BBB">
      <w:pPr>
        <w:pStyle w:val="TableHeadingCharChar"/>
      </w:pPr>
      <w:bookmarkStart w:id="44" w:name="OLE_LINK1"/>
      <w:bookmarkStart w:id="45" w:name="_Toc90808267"/>
      <w:bookmarkEnd w:id="43"/>
      <w:r>
        <w:lastRenderedPageBreak/>
        <w:t>Table 1: International GDP growth forecast</w:t>
      </w:r>
      <w:r w:rsidRPr="001B61B7">
        <w:t>s</w:t>
      </w:r>
      <w:r w:rsidRPr="001B61B7">
        <w:rPr>
          <w:rFonts w:cs="Tahoma"/>
          <w:bCs/>
          <w:szCs w:val="22"/>
          <w:vertAlign w:val="superscript"/>
        </w:rPr>
        <w:t>(a)</w:t>
      </w:r>
    </w:p>
    <w:p w:rsidR="00370BBB" w:rsidRPr="007C32A3" w:rsidRDefault="00204B0A" w:rsidP="00370BBB">
      <w:pPr>
        <w:pStyle w:val="ChartGraphic0"/>
      </w:pPr>
      <w:r>
        <w:pict>
          <v:shape id="_x0000_i1037" type="#_x0000_t75" style="width:479.15pt;height:198.6pt">
            <v:imagedata r:id="rId32" o:title=""/>
          </v:shape>
        </w:pict>
      </w:r>
    </w:p>
    <w:p w:rsidR="00370BBB" w:rsidRPr="000D11AA" w:rsidRDefault="00370BBB" w:rsidP="00370BBB">
      <w:pPr>
        <w:pStyle w:val="ChartGraphic0"/>
      </w:pPr>
    </w:p>
    <w:p w:rsidR="00370BBB" w:rsidRDefault="00370BBB" w:rsidP="00370BBB">
      <w:pPr>
        <w:spacing w:line="240" w:lineRule="auto"/>
        <w:ind w:right="-142"/>
        <w:jc w:val="left"/>
        <w:rPr>
          <w:rFonts w:cs="Arial"/>
          <w:sz w:val="16"/>
          <w:szCs w:val="16"/>
        </w:rPr>
        <w:sectPr w:rsidR="00370BBB">
          <w:headerReference w:type="default" r:id="rId33"/>
          <w:footerReference w:type="even" r:id="rId34"/>
          <w:footerReference w:type="default" r:id="rId35"/>
          <w:type w:val="continuous"/>
          <w:pgSz w:w="11907" w:h="16840" w:code="9"/>
          <w:pgMar w:top="1418" w:right="1418" w:bottom="1418" w:left="1418" w:header="567" w:footer="567" w:gutter="0"/>
          <w:cols w:space="709"/>
        </w:sectPr>
      </w:pPr>
    </w:p>
    <w:p w:rsidR="00370BBB" w:rsidRPr="005711C2" w:rsidRDefault="00370BBB" w:rsidP="00370BBB">
      <w:pPr>
        <w:pStyle w:val="Heading4"/>
        <w:spacing w:after="120"/>
      </w:pPr>
      <w:bookmarkStart w:id="46" w:name="_Toc289277431"/>
      <w:r>
        <w:lastRenderedPageBreak/>
        <w:t>World outlook and risks</w:t>
      </w:r>
      <w:bookmarkEnd w:id="46"/>
    </w:p>
    <w:p w:rsidR="00DF4A51" w:rsidRPr="0000744F" w:rsidRDefault="00DF4A51" w:rsidP="00DF4A51">
      <w:r w:rsidRPr="0000744F">
        <w:t xml:space="preserve">The global economic recovery appears to be gaining traction, </w:t>
      </w:r>
      <w:r>
        <w:t>although recent events in Japan and in the Middle East and North African region have added to existing risks facing the global economy</w:t>
      </w:r>
      <w:r w:rsidRPr="0000744F">
        <w:t>. The near</w:t>
      </w:r>
      <w:r w:rsidRPr="0000744F">
        <w:noBreakHyphen/>
        <w:t xml:space="preserve">term growth prospects for advanced economies, most notably the United States, are improving and emerging economies, China in particular, are continuing to provide impetus..  </w:t>
      </w:r>
    </w:p>
    <w:p w:rsidR="00DF4A51" w:rsidRPr="0000744F" w:rsidRDefault="00DF4A51" w:rsidP="00DF4A51">
      <w:r w:rsidRPr="0000744F">
        <w:t xml:space="preserve">After growing by 5 per cent in 2010, the </w:t>
      </w:r>
      <w:r w:rsidRPr="0000744F">
        <w:rPr>
          <w:b/>
        </w:rPr>
        <w:t>global growth</w:t>
      </w:r>
      <w:r w:rsidRPr="0000744F">
        <w:t xml:space="preserve"> forecast for 2011 has been revised up to 4½ per cent (Table 1 and Chart 1). This largely reflects substantial growth upgrades to the US and China. The growth forecast for Australia’s </w:t>
      </w:r>
      <w:r w:rsidRPr="0000744F">
        <w:rPr>
          <w:b/>
        </w:rPr>
        <w:t>major trading partners</w:t>
      </w:r>
      <w:r w:rsidRPr="0000744F">
        <w:t xml:space="preserve"> in 2011 has been revised up </w:t>
      </w:r>
      <w:r>
        <w:t xml:space="preserve">also </w:t>
      </w:r>
      <w:r w:rsidRPr="0000744F">
        <w:t xml:space="preserve">to 4½ per cent. This revision reflects both the stronger outlook for key major trading partners and updated export weights to include a larger share for fast growing China. </w:t>
      </w:r>
    </w:p>
    <w:p w:rsidR="00370BBB" w:rsidRPr="0000744F" w:rsidRDefault="00DF4A51" w:rsidP="00DF4A51">
      <w:r w:rsidRPr="0000744F">
        <w:t>Emerging economies are forecast to moderate and grow at more sustainable rates over the forecast period but will continue to lead the global expansion.</w:t>
      </w:r>
    </w:p>
    <w:p w:rsidR="00370BBB" w:rsidRPr="00CF7753" w:rsidRDefault="00370BBB" w:rsidP="00370BBB">
      <w:pPr>
        <w:spacing w:line="240" w:lineRule="auto"/>
        <w:jc w:val="left"/>
        <w:rPr>
          <w:rFonts w:ascii="Tahoma" w:hAnsi="Tahoma" w:cs="Tahoma"/>
          <w:color w:val="000080"/>
        </w:rPr>
      </w:pPr>
      <w:r w:rsidRPr="00CF7753">
        <w:rPr>
          <w:rFonts w:ascii="Tahoma" w:hAnsi="Tahoma"/>
          <w:b/>
        </w:rPr>
        <w:lastRenderedPageBreak/>
        <w:t>Chart 1: World GDP growth</w:t>
      </w:r>
      <w:r w:rsidRPr="0039031B">
        <w:t xml:space="preserve"> </w:t>
      </w:r>
      <w:r w:rsidR="00204B0A">
        <w:pict>
          <v:shape id="_x0000_i1038" type="#_x0000_t75" style="width:208.55pt;height:212.3pt">
            <v:imagedata r:id="rId36" o:title=""/>
          </v:shape>
        </w:pict>
      </w:r>
      <w:r w:rsidRPr="00CF7753">
        <w:rPr>
          <w:b/>
          <w:sz w:val="16"/>
          <w:szCs w:val="16"/>
        </w:rPr>
        <w:t xml:space="preserve"> </w:t>
      </w:r>
      <w:r w:rsidRPr="00CF7753">
        <w:rPr>
          <w:rFonts w:ascii="Tahoma" w:hAnsi="Tahoma" w:cs="Tahoma"/>
          <w:sz w:val="16"/>
          <w:szCs w:val="16"/>
        </w:rPr>
        <w:t>Source: IMF and Treasury.</w:t>
      </w:r>
    </w:p>
    <w:bookmarkEnd w:id="44"/>
    <w:bookmarkEnd w:id="45"/>
    <w:p w:rsidR="00DF4A51" w:rsidRPr="0000744F" w:rsidRDefault="00DF4A51" w:rsidP="00DF4A51">
      <w:r w:rsidRPr="0000744F">
        <w:t xml:space="preserve">Global growth is forecast to be 4½ per cent in 2012, </w:t>
      </w:r>
      <w:r>
        <w:t xml:space="preserve">the same </w:t>
      </w:r>
      <w:r w:rsidR="00012A49">
        <w:t xml:space="preserve">forecast </w:t>
      </w:r>
      <w:r>
        <w:t>pace as</w:t>
      </w:r>
      <w:r w:rsidRPr="0000744F">
        <w:t xml:space="preserve"> 2011, with a number of economies easing to around trend rates of growth. A notable exception is the euro area, where fiscal consolidation and structural impediments will continue to weigh on growth prospects.  </w:t>
      </w:r>
    </w:p>
    <w:p w:rsidR="00DF4A51" w:rsidRPr="0000744F" w:rsidRDefault="00DF4A51" w:rsidP="00DF4A51">
      <w:r w:rsidRPr="0000744F">
        <w:t>Despite the improvement in the global outlook,</w:t>
      </w:r>
      <w:r w:rsidR="00012A49">
        <w:t xml:space="preserve"> the balance of </w:t>
      </w:r>
      <w:r w:rsidRPr="0000744F">
        <w:t>risks remain</w:t>
      </w:r>
      <w:r w:rsidR="00012A49">
        <w:t>s</w:t>
      </w:r>
      <w:r w:rsidRPr="0000744F">
        <w:t xml:space="preserve"> </w:t>
      </w:r>
      <w:r w:rsidR="00012A49">
        <w:t>on</w:t>
      </w:r>
      <w:r w:rsidRPr="0000744F">
        <w:t xml:space="preserve"> the downside. </w:t>
      </w:r>
    </w:p>
    <w:p w:rsidR="00DF4A51" w:rsidRPr="0000744F" w:rsidRDefault="00DF4A51" w:rsidP="00DF4A51">
      <w:r w:rsidRPr="0000744F">
        <w:lastRenderedPageBreak/>
        <w:t xml:space="preserve">There is a risk that the impact of the 11 March </w:t>
      </w:r>
      <w:r>
        <w:t xml:space="preserve">Japanese </w:t>
      </w:r>
      <w:r w:rsidRPr="0000744F">
        <w:t>earthquake</w:t>
      </w:r>
      <w:r>
        <w:t>,</w:t>
      </w:r>
      <w:r w:rsidRPr="0000744F">
        <w:t xml:space="preserve"> tsunami </w:t>
      </w:r>
      <w:r>
        <w:t>and nuclear crisis</w:t>
      </w:r>
      <w:r w:rsidRPr="0000744F">
        <w:t xml:space="preserve"> will persist for longer and impact on the global recovery more than currently expected.  While Japan’s economic influence is not as significant as 20 years ago, it remains a key player in the global supply chain for manufactured goods, potentially transmitting the </w:t>
      </w:r>
      <w:r>
        <w:t>domestic</w:t>
      </w:r>
      <w:r w:rsidRPr="0000744F">
        <w:t xml:space="preserve"> economic impact globally.    </w:t>
      </w:r>
    </w:p>
    <w:p w:rsidR="00DF4A51" w:rsidRPr="0000744F" w:rsidRDefault="00DF4A51" w:rsidP="00DF4A51">
      <w:r w:rsidRPr="0000744F">
        <w:t>Another emerging risk is the unrest in the Middle East and North Africa, which has pushed oil prices to 2½</w:t>
      </w:r>
      <w:r w:rsidRPr="0000744F">
        <w:noBreakHyphen/>
        <w:t xml:space="preserve">year highs, and could escalate and spread to major oil exporters such as Saudi Arabia. If this were to occur it would cause a major disruption to global oil production, leading to an extended period of very high oil prices, with negative consequences for global growth.  </w:t>
      </w:r>
    </w:p>
    <w:p w:rsidR="00DF4A51" w:rsidRDefault="00DF4A51" w:rsidP="00DF4A51">
      <w:r>
        <w:t>The ongoing European sovereign debt crisis and the impact from Japan’s earthquake, tsunami and nuclear crisis are stretching the financial capacity of European and Japanese governments.  While in the US the fractious debate around raising the legislated debt ceiling highlights how difficult it will be to address the longer term fiscal outlook.</w:t>
      </w:r>
    </w:p>
    <w:p w:rsidR="00DF4A51" w:rsidRPr="0000744F" w:rsidRDefault="00DF4A51" w:rsidP="00DF4A51">
      <w:r>
        <w:t>T</w:t>
      </w:r>
      <w:r w:rsidRPr="0000744F">
        <w:t>he</w:t>
      </w:r>
      <w:r>
        <w:t>re</w:t>
      </w:r>
      <w:r w:rsidRPr="0000744F">
        <w:t xml:space="preserve"> </w:t>
      </w:r>
      <w:r>
        <w:t xml:space="preserve">remains the </w:t>
      </w:r>
      <w:r w:rsidRPr="0000744F">
        <w:t xml:space="preserve">potential for the sovereign debt problems in the euro area periphery to affect the broader European financial sector with the risks of contagion beyond Europe. EU authorities </w:t>
      </w:r>
      <w:r>
        <w:t xml:space="preserve">attempted to address some of this uncertainty by </w:t>
      </w:r>
      <w:r w:rsidRPr="0000744F">
        <w:t>announc</w:t>
      </w:r>
      <w:r>
        <w:t xml:space="preserve">ing </w:t>
      </w:r>
      <w:r w:rsidRPr="0000744F">
        <w:t xml:space="preserve"> reform</w:t>
      </w:r>
      <w:r>
        <w:t>s</w:t>
      </w:r>
      <w:r w:rsidRPr="0000744F">
        <w:t xml:space="preserve"> </w:t>
      </w:r>
      <w:r>
        <w:t xml:space="preserve">to </w:t>
      </w:r>
      <w:r w:rsidRPr="0000744F">
        <w:t>its crisis resolution mechanism</w:t>
      </w:r>
      <w:r>
        <w:t>s in May</w:t>
      </w:r>
      <w:r w:rsidRPr="0000744F">
        <w:t>. However, while generally well received by markets, the reforms as they stand do not address the debt problems of the euro area periphery or the underlying uncompetitiveness of peripheral economies.  As a result, the potential for escalation of the crisis persist</w:t>
      </w:r>
      <w:r>
        <w:t>s</w:t>
      </w:r>
      <w:r w:rsidRPr="0000744F">
        <w:t xml:space="preserve">. </w:t>
      </w:r>
    </w:p>
    <w:p w:rsidR="00DF4A51" w:rsidRPr="0000744F" w:rsidRDefault="00DF4A51" w:rsidP="00DF4A51">
      <w:r w:rsidRPr="0000744F">
        <w:t xml:space="preserve">Another significant risk to global growth is the inflation pressures being encountered in emerging economies. Real interest rates are either negative or only slightly positive in a number of fast growing economies in emerging East Asia. This implies that authorities in these economies are ‘behind the curve’ in their monetary policy settings. As they try to catch up, there is the risk </w:t>
      </w:r>
      <w:r>
        <w:t xml:space="preserve">of a </w:t>
      </w:r>
      <w:r w:rsidRPr="0000744F">
        <w:t xml:space="preserve">policy mis-step and a more severe slowdown than intended. </w:t>
      </w:r>
    </w:p>
    <w:p w:rsidR="00DF4A51" w:rsidRPr="0000744F" w:rsidRDefault="00DF4A51" w:rsidP="00DF4A51">
      <w:r w:rsidRPr="0000744F">
        <w:lastRenderedPageBreak/>
        <w:t>Given emerging Asia</w:t>
      </w:r>
      <w:r>
        <w:t>’s role as</w:t>
      </w:r>
      <w:r w:rsidRPr="0000744F">
        <w:t xml:space="preserve"> a major driver of the global recovery, a severe slowing in the region’s growth would have major implications for global growth prospects.  </w:t>
      </w:r>
    </w:p>
    <w:p w:rsidR="00DF4A51" w:rsidRPr="0000744F" w:rsidRDefault="00DF4A51" w:rsidP="00DF4A51">
      <w:r w:rsidRPr="0000744F">
        <w:t xml:space="preserve">While the balance of risks is still to the downside, one significant upside risk remains.  That is of a rapid improvement in sentiment and a subsequent surge in investment and activity more broadly, sourced from lending out of the substantial levels of liquidity sitting idle with banks and corporates, particularly in the US but also in Japan. </w:t>
      </w:r>
      <w:r>
        <w:t xml:space="preserve">A continuation of the recovery in equity markets will also reduce some of the need for deleveraging. </w:t>
      </w:r>
      <w:r w:rsidRPr="0000744F">
        <w:t>The recent improvement in the US outlook makes this upside risk more plausible, while the reconstruction could encourage Japanese corporates to loosen their purse</w:t>
      </w:r>
      <w:r w:rsidRPr="0000744F">
        <w:noBreakHyphen/>
        <w:t xml:space="preserve">strings. </w:t>
      </w:r>
    </w:p>
    <w:p w:rsidR="00DF4A51" w:rsidRDefault="00DF4A51" w:rsidP="00DF4A51">
      <w:pPr>
        <w:pStyle w:val="Heading4"/>
      </w:pPr>
      <w:bookmarkStart w:id="47" w:name="_Toc116366082"/>
      <w:bookmarkStart w:id="48" w:name="OLE_LINK3"/>
      <w:bookmarkStart w:id="49" w:name="_Toc289277432"/>
      <w:r w:rsidRPr="005711C2">
        <w:t>Country summaries</w:t>
      </w:r>
      <w:bookmarkEnd w:id="47"/>
      <w:bookmarkEnd w:id="48"/>
      <w:bookmarkEnd w:id="49"/>
    </w:p>
    <w:p w:rsidR="00DF4A51" w:rsidRPr="0000744F" w:rsidRDefault="00DF4A51" w:rsidP="00DF4A51">
      <w:r w:rsidRPr="0000744F">
        <w:t xml:space="preserve">The outlook for the </w:t>
      </w:r>
      <w:r w:rsidRPr="0000744F">
        <w:rPr>
          <w:b/>
        </w:rPr>
        <w:t>United States</w:t>
      </w:r>
      <w:r w:rsidRPr="0000744F">
        <w:t xml:space="preserve"> has improved significantly since December JEFG. Following improved outcomes and the announcement of further fiscal support, the US forecast for 2011 has been revised up to 3¼ per cent, from 2¼ per cent at December JEFG. As the impact of fiscal stimulus fades, growth is expected to moderate to 3 per cent in 2012, up from 2½ per cent at December JEFG. </w:t>
      </w:r>
    </w:p>
    <w:p w:rsidR="00DF4A51" w:rsidRPr="0000744F" w:rsidRDefault="00DF4A51" w:rsidP="00DF4A51">
      <w:r w:rsidRPr="0000744F">
        <w:t xml:space="preserve">The upgrades to US growth reflect expectations that both consumer spending and business investment will pick up solidly, in part as a result of announced fiscal support – a combination of a deferral of income tax rate increases, payroll tax cuts, the extension of unemployment benefits and incentives to boost business investment. In addition, monthly data outcomes have continued to demonstrate an improvement in domestic demand, with forward indicators suggesting strong rises in industrial production, corporate profits showing continued strength and consumer and small business confidence rising. The US unemployment rate has fallen nearly one percentage point in the three months to February 2011, to dip below 9 per cent for the first time since April 2009. </w:t>
      </w:r>
    </w:p>
    <w:p w:rsidR="00DF4A51" w:rsidRPr="0000744F" w:rsidRDefault="00DF4A51" w:rsidP="00DF4A51">
      <w:r w:rsidRPr="0000744F">
        <w:t xml:space="preserve">Despite this significant improvement in the US growth outlook, unemployment is expected to </w:t>
      </w:r>
      <w:r w:rsidRPr="0000744F">
        <w:lastRenderedPageBreak/>
        <w:t>remain significantly above pre</w:t>
      </w:r>
      <w:r w:rsidRPr="0000744F">
        <w:noBreakHyphen/>
        <w:t xml:space="preserve">crisis levels over the forecast period and the housing sector is expected to remain depressed. </w:t>
      </w:r>
    </w:p>
    <w:p w:rsidR="00DF4A51" w:rsidRPr="0000744F" w:rsidRDefault="00DF4A51" w:rsidP="00DF4A51">
      <w:r w:rsidRPr="0000744F">
        <w:t>Key downside risks to US growth include:  weak jobs growth resulting from discouraged worker effects (payroll employment has, thus far, been positive, but modest) and the potential for an extended period of high oil prices, which would dampen consumer demand.</w:t>
      </w:r>
    </w:p>
    <w:p w:rsidR="00DF4A51" w:rsidRPr="0000744F" w:rsidRDefault="00DF4A51" w:rsidP="00DF4A51">
      <w:r w:rsidRPr="0000744F">
        <w:rPr>
          <w:b/>
        </w:rPr>
        <w:t>China’s</w:t>
      </w:r>
      <w:r w:rsidRPr="0000744F">
        <w:t xml:space="preserve"> economy is expected to grow by 9½ per cent in 2011 (up from 8¾ per cent at December JEFG) and 9 per cent in 2012. The upward revision in 2011 reflects the stronger</w:t>
      </w:r>
      <w:r w:rsidRPr="0000744F">
        <w:noBreakHyphen/>
        <w:t xml:space="preserve">than-expected growth outcome in the December quarter 2010 and strong growth in industrial production and investment. </w:t>
      </w:r>
    </w:p>
    <w:p w:rsidR="00DF4A51" w:rsidRPr="0000744F" w:rsidRDefault="00DF4A51" w:rsidP="00DF4A51">
      <w:r w:rsidRPr="0000744F">
        <w:t>The drivers of growth for the past two years – industrial production, loan growth and investment – are expected to moderate in the second half of 2011 as the Government attempts to engineer a moderation to address accelerating inflation and excess liquidity. Efforts to move to a slower pace of growth will be the focus of policy makers in 2011. Domestic demand is expected to make a stronger contribution to growth, while net exports will make a small positive contribution in 2011 and 2012</w:t>
      </w:r>
      <w:r w:rsidR="006D1E88">
        <w:t>, as they did in 2010</w:t>
      </w:r>
      <w:r w:rsidRPr="0000744F">
        <w:t xml:space="preserve">. </w:t>
      </w:r>
    </w:p>
    <w:p w:rsidR="00DF4A51" w:rsidRPr="0000744F" w:rsidRDefault="00DF4A51" w:rsidP="00DF4A51">
      <w:pPr>
        <w:rPr>
          <w:highlight w:val="yellow"/>
        </w:rPr>
      </w:pPr>
      <w:r w:rsidRPr="0000744F">
        <w:t>Risks to growth largely depend on the effectiveness of the Government’s response to inflationary pressures, excess liquidity and the persistence of strong price growth in the property sector. Since the second half of 2010, Chinese authorities have introduced a range of measures aimed at controlling food price inflation and reducing excess liquidity. Since mid</w:t>
      </w:r>
      <w:r w:rsidRPr="0000744F">
        <w:noBreakHyphen/>
        <w:t>November 2010, the reserve requirement ratio has been raised by 300 basis points and benchmark interest rates have been increased by 75 basis points. The Government has also released stockpiles of food onto the market. Inflation is expected to remain elevated in the first half of 2011 (and is expected to exceed the annual inflation target of 4 per cent), and tightening measures are expected to continue, including further interest rate increases. A stronger</w:t>
      </w:r>
      <w:r w:rsidRPr="0000744F">
        <w:noBreakHyphen/>
        <w:t>than</w:t>
      </w:r>
      <w:r w:rsidRPr="0000744F">
        <w:noBreakHyphen/>
        <w:t>expected recovery in the US and advanced economies generally provide some upside risks to growth.</w:t>
      </w:r>
    </w:p>
    <w:p w:rsidR="00DF4A51" w:rsidRPr="0000744F" w:rsidRDefault="00DF4A51" w:rsidP="00DF4A51">
      <w:r w:rsidRPr="0000744F">
        <w:lastRenderedPageBreak/>
        <w:t>The</w:t>
      </w:r>
      <w:r w:rsidRPr="0000744F">
        <w:rPr>
          <w:b/>
        </w:rPr>
        <w:t xml:space="preserve"> Japanese</w:t>
      </w:r>
      <w:r w:rsidRPr="0000744F">
        <w:t xml:space="preserve"> economy grew 3.9 per cent in 2010 - a rate faster than any other G7 economy, but it slowed towards the end of 2010.  Prior to the 11 March earthquake and tsunami the economy was expected to return to a moderate recovery path with underlying deflationary pressures remaining entrenched.  In the absence of a deterioration of the nuclear crisis, the negative impact on the Japanese economy from the earthquake should be most keenly felt in the June quarter 2011. Rebuilding activity is likely to support a recovery in the second half of 2011</w:t>
      </w:r>
      <w:r>
        <w:t xml:space="preserve"> and into 2012</w:t>
      </w:r>
      <w:r w:rsidRPr="0000744F">
        <w:t xml:space="preserve">.  Longer term, Japan’s fiscal position will be further undermined by the costs associated with the recovery phase.  Overall, the Japanese economy is expected to grow by a </w:t>
      </w:r>
      <w:r>
        <w:t xml:space="preserve"> ¼</w:t>
      </w:r>
      <w:r w:rsidRPr="0000744F">
        <w:t xml:space="preserve"> per cent </w:t>
      </w:r>
      <w:r w:rsidR="006D1E88">
        <w:t xml:space="preserve">in 2011 </w:t>
      </w:r>
      <w:r w:rsidRPr="0000744F">
        <w:t>and 2½ per cent in 2012.</w:t>
      </w:r>
    </w:p>
    <w:p w:rsidR="00DF4A51" w:rsidRPr="0000744F" w:rsidRDefault="00DF4A51" w:rsidP="00DF4A51">
      <w:r w:rsidRPr="0000744F">
        <w:t xml:space="preserve">The </w:t>
      </w:r>
      <w:r w:rsidRPr="0000744F">
        <w:rPr>
          <w:b/>
        </w:rPr>
        <w:t>Indian</w:t>
      </w:r>
      <w:r w:rsidRPr="0000744F">
        <w:t xml:space="preserve"> economy has recently been growing above trend as it recovers from the global financial crisis.  After growing by 10.7 per cent in 2010, the Indian economy is forecast to grow by 8¾ per cent in 2011 and 8¼ per cent in 2012.  The moderation for 2011 is in part a result of </w:t>
      </w:r>
      <w:r w:rsidR="006D1E88">
        <w:t>an expected</w:t>
      </w:r>
      <w:r w:rsidRPr="0000744F">
        <w:t xml:space="preserve"> slowing of growth in industrial production in the first half of 2011.  A tightening of monetary policy is likely during 2011, generating a further moderation of growth in 2012.</w:t>
      </w:r>
    </w:p>
    <w:p w:rsidR="00DF4A51" w:rsidRPr="0000744F" w:rsidRDefault="00DF4A51" w:rsidP="00DF4A51">
      <w:r w:rsidRPr="0000744F">
        <w:t xml:space="preserve">Underlying economic momentum in the </w:t>
      </w:r>
      <w:r w:rsidRPr="0000744F">
        <w:rPr>
          <w:b/>
        </w:rPr>
        <w:t>euro area</w:t>
      </w:r>
      <w:r w:rsidRPr="0000744F">
        <w:t xml:space="preserve"> has increased since December JEFG. The multi-speed recovery is expected to continue, with increasing private sector demand in the core economies offsetting weakness in the peripheral countries. Strong business confidence is likely to sustain the recovery in domestic consumption, while the ongoing global recovery will support exports. However, the outlook remains highly uncertain due to elevated tensions in financial markets arising from the sovereign debt crisis and rising commodity prices. After recording growth of 1.7 per cent in 2010, euro area GDP is forecast to expand 1½ per cent in </w:t>
      </w:r>
      <w:r w:rsidR="006D1E88">
        <w:t xml:space="preserve">both </w:t>
      </w:r>
      <w:r w:rsidRPr="0000744F">
        <w:t>2011 and 2012.</w:t>
      </w:r>
    </w:p>
    <w:p w:rsidR="00DF4A51" w:rsidRPr="0000744F" w:rsidRDefault="00DF4A51" w:rsidP="00DF4A51">
      <w:r w:rsidRPr="0000744F">
        <w:t xml:space="preserve">The </w:t>
      </w:r>
      <w:r w:rsidRPr="0000744F">
        <w:rPr>
          <w:b/>
        </w:rPr>
        <w:t>United Kingdom</w:t>
      </w:r>
      <w:r w:rsidRPr="0000744F">
        <w:t xml:space="preserve"> economy showed signs of strong growth in the middle of 2010.  However, adverse weather conditions contributed to the economy contracting 0.</w:t>
      </w:r>
      <w:r w:rsidR="006D1E88">
        <w:t>5</w:t>
      </w:r>
      <w:r w:rsidRPr="0000744F">
        <w:t xml:space="preserve"> per cent in the December quarter. Looking forward, the recovery is expected to be </w:t>
      </w:r>
      <w:r w:rsidRPr="0000744F">
        <w:lastRenderedPageBreak/>
        <w:t xml:space="preserve">protracted, as growth is held back by the Government’s </w:t>
      </w:r>
      <w:r w:rsidR="006D1E88">
        <w:t xml:space="preserve">fiscal </w:t>
      </w:r>
      <w:r w:rsidRPr="0000744F">
        <w:t>austerity measures, high inflation and rising unemployment. After modest growth of 1.3 per cent in 2010, GDP is forecast to grow 1¾ per cent in 2011 before stronger growth of 2¼ per cent in 2012.</w:t>
      </w:r>
    </w:p>
    <w:p w:rsidR="00DF4A51" w:rsidRPr="0000744F" w:rsidRDefault="00DF4A51" w:rsidP="00DF4A51">
      <w:r w:rsidRPr="0000744F">
        <w:t xml:space="preserve">The </w:t>
      </w:r>
      <w:r w:rsidRPr="0000744F">
        <w:rPr>
          <w:b/>
        </w:rPr>
        <w:t>Newly Industrialised Economies (NIEs)</w:t>
      </w:r>
      <w:r w:rsidRPr="0000744F">
        <w:t xml:space="preserve"> have rebounded strongly from the global economic downturn and growth is projected to continue, albeit at a slower pace.  Improving global conditions and surging export growth have helped the stronger</w:t>
      </w:r>
      <w:r w:rsidRPr="0000744F">
        <w:noBreakHyphen/>
        <w:t>than</w:t>
      </w:r>
      <w:r w:rsidRPr="0000744F">
        <w:noBreakHyphen/>
        <w:t>expected recovery.  However, emerging inflationary pressures are likely to invoke contractionary monetary policy responses, slightly moderating future growth prospects.  Real GDP is expected to grow by 4½ per cent in 2011 and 4¼ per cent in 2012.</w:t>
      </w:r>
    </w:p>
    <w:p w:rsidR="00DF4A51" w:rsidRPr="0000744F" w:rsidRDefault="00DF4A51" w:rsidP="00DF4A51">
      <w:r w:rsidRPr="0000744F">
        <w:t xml:space="preserve">Economic activity in the </w:t>
      </w:r>
      <w:r w:rsidRPr="0000744F">
        <w:rPr>
          <w:b/>
          <w:bCs/>
        </w:rPr>
        <w:t>ASEAN-5</w:t>
      </w:r>
      <w:r w:rsidRPr="0000744F">
        <w:t xml:space="preserve"> rebounded strongly in 2010 with GDP growing by 6.9 per cent, supported by strong domestic demand and a rebound in exports which propelled economies such as Thailand, the Philippines and Malaysia to their strongest growth rates in recent years. However, economic activity is now returning to more </w:t>
      </w:r>
      <w:r w:rsidRPr="0000744F">
        <w:lastRenderedPageBreak/>
        <w:t xml:space="preserve">sustainable levels, with trade, industrial production and domestic demand all moderating over recent months. </w:t>
      </w:r>
    </w:p>
    <w:p w:rsidR="00DF4A51" w:rsidRPr="0000744F" w:rsidRDefault="00DF4A51" w:rsidP="00DF4A51">
      <w:r w:rsidRPr="0000744F">
        <w:t xml:space="preserve">Key risks to the region include inflation driven by high food prices and volatile capital flows, with Vietnam appearing to be the most vulnerable. Nevertheless, the policy environment remains largely accommodative and will be supported by significant investment in the region particularly in Indonesia and Malaysia. Growth in the region is forecast to moderate to 5¾ per cent in both 2011 and 2012.       </w:t>
      </w:r>
    </w:p>
    <w:p w:rsidR="00DF4A51" w:rsidRPr="0000744F" w:rsidRDefault="00DF4A51" w:rsidP="00DF4A51">
      <w:pPr>
        <w:sectPr w:rsidR="00DF4A51" w:rsidRPr="0000744F" w:rsidSect="00F355E8">
          <w:headerReference w:type="default" r:id="rId37"/>
          <w:footerReference w:type="even" r:id="rId38"/>
          <w:footerReference w:type="default" r:id="rId39"/>
          <w:type w:val="continuous"/>
          <w:pgSz w:w="11907" w:h="16840" w:code="9"/>
          <w:pgMar w:top="1418" w:right="1418" w:bottom="1418" w:left="1418" w:header="567" w:footer="567" w:gutter="0"/>
          <w:cols w:num="2" w:space="709"/>
        </w:sectPr>
      </w:pPr>
      <w:r w:rsidRPr="0000744F">
        <w:t xml:space="preserve">The </w:t>
      </w:r>
      <w:r w:rsidRPr="0000744F">
        <w:rPr>
          <w:b/>
        </w:rPr>
        <w:t>New</w:t>
      </w:r>
      <w:r w:rsidRPr="0000744F">
        <w:t xml:space="preserve"> </w:t>
      </w:r>
      <w:r w:rsidRPr="0000744F">
        <w:rPr>
          <w:b/>
        </w:rPr>
        <w:t>Zealand</w:t>
      </w:r>
      <w:r w:rsidRPr="0000744F">
        <w:t xml:space="preserve"> recovery moderated in the second half of 2010, </w:t>
      </w:r>
      <w:r w:rsidR="006D1E88">
        <w:t xml:space="preserve">with the economy </w:t>
      </w:r>
      <w:r w:rsidRPr="0000744F">
        <w:t>narrowly avoiding a technical recession.  The recovery is expected to be further hampered by the February 2011 Canterbury earthquake, which caused</w:t>
      </w:r>
      <w:r>
        <w:t xml:space="preserve"> </w:t>
      </w:r>
      <w:r w:rsidRPr="00C24FBC">
        <w:t>extensive damage in the region.  Despite rising commodity prices and strong demand for New Zealand’s main exports, private consumption has remained weak in recent quarters as households exercise restraint and rebuild their savings.  Real GDP grew 1.5 per cent in 2010 and is forecast to grow by 1¼ per cent in 2011, and 2¾ per cent in 2012.</w:t>
      </w:r>
    </w:p>
    <w:p w:rsidR="00F355E8" w:rsidRPr="00F355E8" w:rsidRDefault="00F355E8" w:rsidP="00F355E8">
      <w:pPr>
        <w:rPr>
          <w:vanish/>
        </w:rPr>
      </w:pPr>
      <w:r w:rsidRPr="00F355E8">
        <w:rPr>
          <w:vanish/>
        </w:rPr>
        <w:lastRenderedPageBreak/>
        <w:t>Source for table &amp; charts:</w:t>
      </w:r>
    </w:p>
    <w:p w:rsidR="00F355E8" w:rsidRPr="00F355E8" w:rsidRDefault="00F355E8" w:rsidP="00F355E8">
      <w:r w:rsidRPr="00F355E8">
        <w:rPr>
          <w:vanish/>
        </w:rPr>
        <w:t>H:\IED\Forecasting\1 JEFG-Budget material\DAT - World - GDP - IED - Forecasts - Dec JEFG 2009 - final (JP revision) - RS - 091214.xlsH:\IED\Forecasting\DAT - World - GDP - IED - Forecasts - Current.xls</w:t>
      </w:r>
      <w:hyperlink r:id="rId40" w:history="1">
        <w:r w:rsidRPr="00F355E8">
          <w:rPr>
            <w:rStyle w:val="Hyperlink"/>
            <w:vanish/>
            <w:color w:val="auto"/>
          </w:rPr>
          <w:t>H:\IED\Forecasting\1 JEFG-Budget material\DAT - World - GDP - IED - Forecasts - MYEFO Oct 09 final - RS - 091026.xls</w:t>
        </w:r>
      </w:hyperlink>
    </w:p>
    <w:p w:rsidR="007C3517" w:rsidRDefault="007C3517" w:rsidP="007C3517">
      <w:pPr>
        <w:pStyle w:val="Heading3"/>
      </w:pPr>
    </w:p>
    <w:p w:rsidR="007C3517" w:rsidRDefault="007C3517" w:rsidP="007C3517">
      <w:pPr>
        <w:pStyle w:val="Heading3"/>
      </w:pPr>
      <w:r>
        <w:br w:type="page"/>
      </w:r>
      <w:bookmarkStart w:id="50" w:name="_Toc289277433"/>
      <w:r>
        <w:lastRenderedPageBreak/>
        <w:t>Attachment: Nominal GDP</w:t>
      </w:r>
      <w:bookmarkEnd w:id="50"/>
      <w:r>
        <w:t xml:space="preserve"> </w:t>
      </w:r>
    </w:p>
    <w:p w:rsidR="006B0116" w:rsidRDefault="006B0116" w:rsidP="006B0116">
      <w:pPr>
        <w:rPr>
          <w:lang w:val="en-US"/>
        </w:rPr>
      </w:pPr>
      <w:r>
        <w:rPr>
          <w:lang w:val="en-US"/>
        </w:rPr>
        <w:t>Compared with the December JEFG, forecast nominal GDP growth is unchanged in 2010-11, ½</w:t>
      </w:r>
      <w:r w:rsidR="00021D40">
        <w:rPr>
          <w:lang w:val="en-US"/>
        </w:rPr>
        <w:t xml:space="preserve"> of a per</w:t>
      </w:r>
      <w:r>
        <w:rPr>
          <w:lang w:val="en-US"/>
        </w:rPr>
        <w:t xml:space="preserve"> cent stronger in 2011-12 and ¼</w:t>
      </w:r>
      <w:r w:rsidR="00021D40">
        <w:rPr>
          <w:lang w:val="en-US"/>
        </w:rPr>
        <w:t xml:space="preserve"> of a</w:t>
      </w:r>
      <w:r>
        <w:rPr>
          <w:lang w:val="en-US"/>
        </w:rPr>
        <w:t xml:space="preserve"> per cent stronger in 2012-13. In 2010-11, weaker forecast growth in real GDP is offset by higher forecast growth in the terms of trade.  From 2011-12, real GDP growth and terms of trade forecasts have both been revised up, underpinning stronger growth in nominal GDP.</w:t>
      </w:r>
    </w:p>
    <w:p w:rsidR="006B0116" w:rsidRDefault="006B0116" w:rsidP="006B0116">
      <w:pPr>
        <w:rPr>
          <w:lang w:val="en-US"/>
        </w:rPr>
      </w:pPr>
      <w:r>
        <w:rPr>
          <w:lang w:val="en-US"/>
        </w:rPr>
        <w:t>Nomin</w:t>
      </w:r>
      <w:r w:rsidR="00021D40">
        <w:rPr>
          <w:lang w:val="en-US"/>
        </w:rPr>
        <w:t>al GDP is expected to grow by 8¼ per cent in 2010-11</w:t>
      </w:r>
      <w:r>
        <w:rPr>
          <w:lang w:val="en-US"/>
        </w:rPr>
        <w:t>, unchanged from the December forecast. Expected real GDP growth in 2010-11, at 2¼ per cent, is lower by ¾</w:t>
      </w:r>
      <w:r w:rsidR="00021D40">
        <w:rPr>
          <w:lang w:val="en-US"/>
        </w:rPr>
        <w:t xml:space="preserve"> of a</w:t>
      </w:r>
      <w:r>
        <w:rPr>
          <w:lang w:val="en-US"/>
        </w:rPr>
        <w:t xml:space="preserve"> per cent than the December JEFG estimate, largely reflecting the impact of natural disasters in early 2011 on non-rural commodity exports and weaker-than-anticipated household demand. This is offset by a stronger forecast rise in the GDP deflator, with prices expected to rise 6 per cent in 2010-11, some ¾</w:t>
      </w:r>
      <w:r w:rsidR="00021D40">
        <w:rPr>
          <w:lang w:val="en-US"/>
        </w:rPr>
        <w:t xml:space="preserve"> of a</w:t>
      </w:r>
      <w:r>
        <w:rPr>
          <w:lang w:val="en-US"/>
        </w:rPr>
        <w:t xml:space="preserve"> per cent more than the December JEFG forecast. The stronger price growth is driven by a higher forecast terms of trade, with th</w:t>
      </w:r>
      <w:r w:rsidR="00021D40">
        <w:rPr>
          <w:lang w:val="en-US"/>
        </w:rPr>
        <w:t>e index now forecast to rise 19</w:t>
      </w:r>
      <w:r>
        <w:rPr>
          <w:lang w:val="en-US"/>
        </w:rPr>
        <w:t xml:space="preserve">¾ per cent, compared with 16¼ per cent at December JEFG, consistent with recent movements in bulk commodity prices. </w:t>
      </w:r>
    </w:p>
    <w:p w:rsidR="006B0116" w:rsidRDefault="006B0116" w:rsidP="006B0116">
      <w:pPr>
        <w:rPr>
          <w:lang w:val="en-US"/>
        </w:rPr>
      </w:pPr>
      <w:r>
        <w:rPr>
          <w:lang w:val="en-US"/>
        </w:rPr>
        <w:t>Nominal GDP is forecast to rise by 6½ per cent in 2011-12, higher than the December estimate of 6 per cent. Real GDP is expected to grow by 4¼ per cent in 2011-12, somewhat faster than the December forecast of 3¾ per cent, reflecting the resumption of activity following the adverse weather events in early 2011 and stronger forecast growth in resources investment and non-rural commodity exports. The GDP deflator is forecast to rise by 2¼ per cent in 2011-12, unchanged from the December JEFG, reflecting little change in the outlook for domestic prices and a lower forecast decline in the terms of trade, which are now expected to fall by ½</w:t>
      </w:r>
      <w:r w:rsidR="00021D40">
        <w:rPr>
          <w:lang w:val="en-US"/>
        </w:rPr>
        <w:t xml:space="preserve"> of a</w:t>
      </w:r>
      <w:r>
        <w:rPr>
          <w:lang w:val="en-US"/>
        </w:rPr>
        <w:t xml:space="preserve"> per cent, compared with a fall of ¾</w:t>
      </w:r>
      <w:r w:rsidR="00021D40">
        <w:rPr>
          <w:lang w:val="en-US"/>
        </w:rPr>
        <w:t xml:space="preserve"> of a per </w:t>
      </w:r>
      <w:r>
        <w:rPr>
          <w:lang w:val="en-US"/>
        </w:rPr>
        <w:t xml:space="preserve">cent at December. </w:t>
      </w:r>
    </w:p>
    <w:p w:rsidR="006B0116" w:rsidRDefault="006B0116" w:rsidP="006B0116">
      <w:pPr>
        <w:rPr>
          <w:lang w:val="en-US"/>
        </w:rPr>
      </w:pPr>
      <w:r>
        <w:rPr>
          <w:lang w:val="en-US"/>
        </w:rPr>
        <w:t>Nominal GDP growth has been revised up by ¼</w:t>
      </w:r>
      <w:r w:rsidR="00021D40">
        <w:rPr>
          <w:lang w:val="en-US"/>
        </w:rPr>
        <w:t xml:space="preserve"> of a</w:t>
      </w:r>
      <w:r>
        <w:rPr>
          <w:lang w:val="en-US"/>
        </w:rPr>
        <w:t xml:space="preserve"> per cent, to 5¾ per cent in 2012-13. Since the December JEFG, forecast real GDP growth for 2012-13 has been upgr</w:t>
      </w:r>
      <w:r w:rsidR="00021D40">
        <w:rPr>
          <w:lang w:val="en-US"/>
        </w:rPr>
        <w:t>aded to 3¾ per cent from 3¼ per </w:t>
      </w:r>
      <w:r>
        <w:rPr>
          <w:lang w:val="en-US"/>
        </w:rPr>
        <w:t>cent previously, again reflecting stronger forecast growth in resources investment and n</w:t>
      </w:r>
      <w:r w:rsidR="00021D40">
        <w:rPr>
          <w:lang w:val="en-US"/>
        </w:rPr>
        <w:t>on</w:t>
      </w:r>
      <w:r w:rsidR="00021D40">
        <w:rPr>
          <w:lang w:val="en-US"/>
        </w:rPr>
        <w:noBreakHyphen/>
      </w:r>
      <w:r>
        <w:rPr>
          <w:lang w:val="en-US"/>
        </w:rPr>
        <w:t xml:space="preserve">rural commodity exports. However, </w:t>
      </w:r>
      <w:r w:rsidR="0063165E">
        <w:rPr>
          <w:lang w:val="en-US"/>
        </w:rPr>
        <w:t xml:space="preserve">growth in </w:t>
      </w:r>
      <w:r>
        <w:rPr>
          <w:lang w:val="en-US"/>
        </w:rPr>
        <w:t xml:space="preserve">the GDP deflator is forecast to </w:t>
      </w:r>
      <w:r w:rsidR="0063165E">
        <w:rPr>
          <w:lang w:val="en-US"/>
        </w:rPr>
        <w:t>be weaker,</w:t>
      </w:r>
      <w:r>
        <w:rPr>
          <w:lang w:val="en-US"/>
        </w:rPr>
        <w:t xml:space="preserve"> at 2</w:t>
      </w:r>
      <w:r w:rsidR="00021D40">
        <w:rPr>
          <w:lang w:val="en-US"/>
        </w:rPr>
        <w:t> </w:t>
      </w:r>
      <w:r w:rsidR="0063165E">
        <w:rPr>
          <w:lang w:val="en-US"/>
        </w:rPr>
        <w:t>per </w:t>
      </w:r>
      <w:r>
        <w:rPr>
          <w:lang w:val="en-US"/>
        </w:rPr>
        <w:t xml:space="preserve">cent compared with 2¼ per cent in December. The reduction in forecast price growth is due to weaker domestic price growth, with the terms of trade still expected to fall by 2¾ per cent. </w:t>
      </w:r>
    </w:p>
    <w:p w:rsidR="006B0116" w:rsidRDefault="006B0116" w:rsidP="006B0116">
      <w:pPr>
        <w:rPr>
          <w:lang w:val="en-US"/>
        </w:rPr>
      </w:pPr>
      <w:r>
        <w:rPr>
          <w:lang w:val="en-US"/>
        </w:rPr>
        <w:t>Overall, the revisions to forecast nominal GDP growth add around $8 billion to the level of nominal GDP over the first three years of the estimates, and $24 billion over the five years of the forward estimates. These revisions have also added around $12 billion to GDP at factor cost over the first three years and $29 billion over the five year period.</w:t>
      </w:r>
    </w:p>
    <w:p w:rsidR="006B0116" w:rsidRDefault="006B0116" w:rsidP="006B0116">
      <w:pPr>
        <w:rPr>
          <w:lang w:val="en-US"/>
        </w:rPr>
      </w:pPr>
      <w:r>
        <w:rPr>
          <w:lang w:val="en-US"/>
        </w:rPr>
        <w:t xml:space="preserve">The share of income going to profits has increased since the December JEFG at the expense of the wages share, primarily due to the most recent outcome. </w:t>
      </w:r>
    </w:p>
    <w:p w:rsidR="006B0116" w:rsidRDefault="006B0116" w:rsidP="006B0116">
      <w:pPr>
        <w:rPr>
          <w:lang w:val="en-US"/>
        </w:rPr>
      </w:pPr>
      <w:r>
        <w:rPr>
          <w:lang w:val="en-US"/>
        </w:rPr>
        <w:t xml:space="preserve">Growth in compensation of employees in 2010-11 is now 7½ per cent, down from 8¼ per cent at December following weak wages growth in the December quarter national accounts, while in 2011-12 growth is now expected to be 7¼ per cent, down from 7½ per cent. In 2012-13, growth in compensation of employees is expected to be higher than the December round at 6½ per cent, up from 6¼ per cent. </w:t>
      </w:r>
    </w:p>
    <w:p w:rsidR="007C3517" w:rsidRPr="007C3517" w:rsidRDefault="006B0116" w:rsidP="007C3517">
      <w:r>
        <w:rPr>
          <w:lang w:val="en-US"/>
        </w:rPr>
        <w:t xml:space="preserve">Growth in corporate Gross Operating Surplus (GOS) has been revised up in each of the three forecast years. Corporate GOS is expected to grow by 12 per cent in 2010-11, up from the December forecast of 10 per cent, due to a stronger-than-anticipated December quarter outcome and strong expected growth in mining profits, consistent with the strength in commodity prices. In 2011-12, corporate GOS is expected to grow 5¾ per cent, up from 4 per cent at December, driven by the faster growth of real GDP. </w:t>
      </w:r>
      <w:r w:rsidR="007C3517">
        <w:t>In 2012-13, corpo</w:t>
      </w:r>
      <w:r w:rsidR="007372D9">
        <w:t>rate GOS is expected to grow 4¼ </w:t>
      </w:r>
      <w:r w:rsidR="007C3517">
        <w:t xml:space="preserve">per cent, more strongly than the 3½ per cent at the December round. </w:t>
      </w:r>
    </w:p>
    <w:sectPr w:rsidR="007C3517" w:rsidRPr="007C3517" w:rsidSect="00F355E8">
      <w:headerReference w:type="default" r:id="rId41"/>
      <w:footerReference w:type="even" r:id="rId42"/>
      <w:footerReference w:type="default" r:id="rId43"/>
      <w:type w:val="continuous"/>
      <w:pgSz w:w="11907" w:h="16840" w:code="9"/>
      <w:pgMar w:top="1418" w:right="1418" w:bottom="1418" w:left="1418"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39" w:rsidRDefault="002B3639">
      <w:r>
        <w:separator/>
      </w:r>
    </w:p>
  </w:endnote>
  <w:endnote w:type="continuationSeparator" w:id="0">
    <w:p w:rsidR="002B3639" w:rsidRDefault="002B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2B3639"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2B3639" w:rsidRDefault="00497F2E" w:rsidP="009C2C49">
    <w:pPr>
      <w:pStyle w:val="SecurityClassificationFooter"/>
    </w:pPr>
    <w:r>
      <w:fldChar w:fldCharType="begin"/>
    </w:r>
    <w:r>
      <w:instrText xml:space="preserve"> DOCPROPERTY SecurityClassification \* MERGEFORMAT </w:instrText>
    </w:r>
    <w:r>
      <w:fldChar w:fldCharType="separate"/>
    </w:r>
    <w:r w:rsidR="002B3639">
      <w:t>In Confidence</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2B3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B3639" w:rsidRDefault="00497F2E" w:rsidP="009C2C49">
    <w:pPr>
      <w:pStyle w:val="SecurityClassificationFooter"/>
    </w:pPr>
    <w:r>
      <w:fldChar w:fldCharType="begin"/>
    </w:r>
    <w:r>
      <w:instrText xml:space="preserve"> DOCPROPERTY SecurityClassification \* MERGEFORMAT </w:instrText>
    </w:r>
    <w:r>
      <w:fldChar w:fldCharType="separate"/>
    </w:r>
    <w:r w:rsidR="002B3639">
      <w:t>In Confidence</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2B3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F2E">
      <w:rPr>
        <w:rStyle w:val="PageNumber"/>
        <w:noProof/>
      </w:rPr>
      <w:t>19</w:t>
    </w:r>
    <w:r>
      <w:rPr>
        <w:rStyle w:val="PageNumber"/>
      </w:rPr>
      <w:fldChar w:fldCharType="end"/>
    </w:r>
  </w:p>
  <w:p w:rsidR="002B3639" w:rsidRDefault="002B3639" w:rsidP="00204B0A">
    <w:pPr>
      <w:pStyle w:val="SecurityClassification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2B3639"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F2E">
      <w:rPr>
        <w:rStyle w:val="PageNumber"/>
        <w:noProof/>
      </w:rPr>
      <w:t>2</w:t>
    </w:r>
    <w:r>
      <w:rPr>
        <w:rStyle w:val="PageNumber"/>
      </w:rPr>
      <w:fldChar w:fldCharType="end"/>
    </w:r>
  </w:p>
  <w:p w:rsidR="002B3639" w:rsidRPr="00704E0D" w:rsidRDefault="002B3639" w:rsidP="00204B0A">
    <w:pPr>
      <w:pStyle w:val="SecurityClassification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2E" w:rsidRDefault="00497F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2B3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F2E">
      <w:rPr>
        <w:rStyle w:val="PageNumber"/>
        <w:noProof/>
      </w:rPr>
      <w:t>6</w:t>
    </w:r>
    <w:r>
      <w:rPr>
        <w:rStyle w:val="PageNumber"/>
      </w:rPr>
      <w:fldChar w:fldCharType="end"/>
    </w:r>
  </w:p>
  <w:p w:rsidR="002B3639" w:rsidRDefault="002B3639" w:rsidP="00204B0A">
    <w:pPr>
      <w:pStyle w:val="SecurityClassification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2B3639">
    <w:pPr>
      <w:pStyle w:val="Footer"/>
      <w:jc w:val="right"/>
      <w:rPr>
        <w:noProof/>
      </w:rPr>
    </w:pPr>
    <w:r>
      <w:fldChar w:fldCharType="begin"/>
    </w:r>
    <w:r>
      <w:instrText xml:space="preserve"> PAGE   \* MERGEFORMAT </w:instrText>
    </w:r>
    <w:r>
      <w:fldChar w:fldCharType="separate"/>
    </w:r>
    <w:r w:rsidR="00497F2E">
      <w:rPr>
        <w:noProof/>
      </w:rPr>
      <w:t>15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2B3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2B3639" w:rsidRDefault="00497F2E" w:rsidP="009C2C49">
    <w:pPr>
      <w:pStyle w:val="SecurityClassificationFooter"/>
    </w:pPr>
    <w:r>
      <w:fldChar w:fldCharType="begin"/>
    </w:r>
    <w:r>
      <w:instrText xml:space="preserve"> DOCPROPERTY SecurityClassification \* MERGEFORMAT </w:instrText>
    </w:r>
    <w:r>
      <w:fldChar w:fldCharType="separate"/>
    </w:r>
    <w:r w:rsidR="002B3639">
      <w:t>In Confidence</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2B3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2B3639" w:rsidRDefault="00497F2E" w:rsidP="009C2C49">
    <w:pPr>
      <w:pStyle w:val="SecurityClassificationFooter"/>
    </w:pPr>
    <w:r>
      <w:fldChar w:fldCharType="begin"/>
    </w:r>
    <w:r>
      <w:instrText xml:space="preserve"> DOCPROPERTY SecurityClassification \* MERGEFORMAT </w:instrText>
    </w:r>
    <w:r>
      <w:fldChar w:fldCharType="separate"/>
    </w:r>
    <w:r w:rsidR="002B3639">
      <w:t>In Confidence</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2B3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2B3639" w:rsidRDefault="00497F2E" w:rsidP="009C2C49">
    <w:pPr>
      <w:pStyle w:val="SecurityClassificationFooter"/>
    </w:pPr>
    <w:r>
      <w:fldChar w:fldCharType="begin"/>
    </w:r>
    <w:r>
      <w:instrText xml:space="preserve"> DOCPROPERTY SecurityClassification \* MERGEFORMAT </w:instrText>
    </w:r>
    <w:r>
      <w:fldChar w:fldCharType="separate"/>
    </w:r>
    <w:r w:rsidR="002B3639">
      <w:t>In Confidence</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2B3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F2E">
      <w:rPr>
        <w:rStyle w:val="PageNumber"/>
        <w:noProof/>
      </w:rPr>
      <w:t>18</w:t>
    </w:r>
    <w:r>
      <w:rPr>
        <w:rStyle w:val="PageNumber"/>
      </w:rPr>
      <w:fldChar w:fldCharType="end"/>
    </w:r>
  </w:p>
  <w:p w:rsidR="002B3639" w:rsidRDefault="002B3639" w:rsidP="00204B0A">
    <w:pPr>
      <w:pStyle w:val="SecurityClassification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39" w:rsidRDefault="002B3639">
      <w:pPr>
        <w:pStyle w:val="TableBodyText"/>
        <w:spacing w:before="120" w:after="120"/>
      </w:pPr>
      <w:r>
        <w:separator/>
      </w:r>
    </w:p>
  </w:footnote>
  <w:footnote w:type="continuationSeparator" w:id="0">
    <w:p w:rsidR="002B3639" w:rsidRDefault="002B3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497F2E" w:rsidP="009C2C49">
    <w:pPr>
      <w:pStyle w:val="SecurityClassificationHeader"/>
    </w:pPr>
    <w:r>
      <w:fldChar w:fldCharType="begin"/>
    </w:r>
    <w:r>
      <w:instrText xml:space="preserve"> DOCPROPERTY SecurityClassification \* MERGEFORMAT </w:instrText>
    </w:r>
    <w:r>
      <w:fldChar w:fldCharType="separate"/>
    </w:r>
    <w:r w:rsidR="002B3639">
      <w:t>In Confidence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2E" w:rsidRDefault="00497F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2E" w:rsidRDefault="00497F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Pr="009C2C49" w:rsidRDefault="00497F2E" w:rsidP="009C2C49">
    <w:pPr>
      <w:pStyle w:val="SecurityClassificationHeader"/>
    </w:pPr>
    <w:r>
      <w:fldChar w:fldCharType="begin"/>
    </w:r>
    <w:r>
      <w:instrText xml:space="preserve"> DOCPROPERTY SecurityClassification \* MERGEFORMAT </w:instrText>
    </w:r>
    <w:r>
      <w:fldChar w:fldCharType="separate"/>
    </w:r>
    <w:r w:rsidR="002B3639">
      <w:t>In Confidence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Pr="00204B0A" w:rsidRDefault="002B3639" w:rsidP="00204B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Pr="009C2C49" w:rsidRDefault="00497F2E" w:rsidP="009C2C49">
    <w:pPr>
      <w:pStyle w:val="SecurityClassificationHeader"/>
    </w:pPr>
    <w:r>
      <w:fldChar w:fldCharType="begin"/>
    </w:r>
    <w:r>
      <w:instrText xml:space="preserve"> DOCPROPERTY SecurityClassification \* MERGEFORMAT </w:instrText>
    </w:r>
    <w:r>
      <w:fldChar w:fldCharType="separate"/>
    </w:r>
    <w:r w:rsidR="002B3639">
      <w:t>In Confidence</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497F2E" w:rsidP="009C2C49">
    <w:pPr>
      <w:pStyle w:val="SecurityClassificationHeader"/>
    </w:pPr>
    <w:r>
      <w:fldChar w:fldCharType="begin"/>
    </w:r>
    <w:r>
      <w:instrText xml:space="preserve"> DOCPROPERTY SecurityClassification \* MERGEFORMAT </w:instrText>
    </w:r>
    <w:r>
      <w:fldChar w:fldCharType="separate"/>
    </w:r>
    <w:r w:rsidR="002B3639">
      <w:t>In Confidence</w:t>
    </w:r>
    <w:r>
      <w:fldChar w:fldCharType="end"/>
    </w:r>
  </w:p>
  <w:p w:rsidR="002B3639" w:rsidRDefault="00497F2E">
    <w:pPr>
      <w:framePr w:wrap="around" w:vAnchor="page" w:hAnchor="margin" w:x="14460" w:y="7939" w:anchorLock="1"/>
      <w:rPr>
        <w:rStyle w:val="FramedHeader"/>
      </w:rPr>
    </w:pPr>
    <w:r>
      <w:fldChar w:fldCharType="begin"/>
    </w:r>
    <w:r>
      <w:instrText xml:space="preserve"> TITLE  \* MERGEFORMAT </w:instrText>
    </w:r>
    <w:r>
      <w:fldChar w:fldCharType="separate"/>
    </w:r>
    <w:r w:rsidR="002B3639" w:rsidRPr="002B3639">
      <w:rPr>
        <w:rStyle w:val="FramedHeader"/>
      </w:rPr>
      <w:t>March 06 Forecasting Report</w:t>
    </w:r>
    <w:r>
      <w:rPr>
        <w:rStyle w:val="FramedHeader"/>
      </w:rPr>
      <w:fldChar w:fldCharType="end"/>
    </w:r>
  </w:p>
  <w:p w:rsidR="002B3639" w:rsidRDefault="002B3639">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497F2E">
    <w:pPr>
      <w:framePr w:wrap="around" w:vAnchor="page" w:hAnchor="margin" w:x="14460" w:y="7939" w:anchorLock="1"/>
      <w:rPr>
        <w:rStyle w:val="FramedHeader"/>
      </w:rPr>
    </w:pPr>
    <w:r>
      <w:fldChar w:fldCharType="begin"/>
    </w:r>
    <w:r>
      <w:instrText xml:space="preserve"> TITLE  \* MERGEFORMAT </w:instrText>
    </w:r>
    <w:r>
      <w:fldChar w:fldCharType="separate"/>
    </w:r>
    <w:r w:rsidR="002B3639" w:rsidRPr="002B3639">
      <w:rPr>
        <w:rStyle w:val="FramedHeader"/>
      </w:rPr>
      <w:t>March 06 Forecasting Report</w:t>
    </w:r>
    <w:r>
      <w:rPr>
        <w:rStyle w:val="FramedHeader"/>
      </w:rPr>
      <w:fldChar w:fldCharType="end"/>
    </w:r>
  </w:p>
  <w:p w:rsidR="002B3639" w:rsidRDefault="002B3639" w:rsidP="009C2C49">
    <w:pPr>
      <w:pStyle w:val="Header"/>
      <w:jc w:val="center"/>
      <w:rPr>
        <w:b/>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39" w:rsidRDefault="00497F2E">
    <w:pPr>
      <w:framePr w:wrap="around" w:vAnchor="page" w:hAnchor="margin" w:x="14460" w:y="7939" w:anchorLock="1"/>
      <w:rPr>
        <w:rStyle w:val="FramedHeader"/>
      </w:rPr>
    </w:pPr>
    <w:r>
      <w:fldChar w:fldCharType="begin"/>
    </w:r>
    <w:r>
      <w:instrText xml:space="preserve"> TITLE  \* MERGEFOR</w:instrText>
    </w:r>
    <w:r>
      <w:instrText xml:space="preserve">MAT </w:instrText>
    </w:r>
    <w:r>
      <w:fldChar w:fldCharType="separate"/>
    </w:r>
    <w:r w:rsidR="002B3639" w:rsidRPr="002B3639">
      <w:rPr>
        <w:rStyle w:val="FramedHeader"/>
      </w:rPr>
      <w:t>March 06 Forecasting Report</w:t>
    </w:r>
    <w:r>
      <w:rPr>
        <w:rStyle w:val="FramedHeader"/>
      </w:rPr>
      <w:fldChar w:fldCharType="end"/>
    </w:r>
  </w:p>
  <w:p w:rsidR="002B3639" w:rsidRDefault="002B3639" w:rsidP="009C2C49">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DCE4D020"/>
    <w:lvl w:ilvl="0">
      <w:start w:val="1"/>
      <w:numFmt w:val="bullet"/>
      <w:lvlText w:val=""/>
      <w:lvlJc w:val="left"/>
      <w:pPr>
        <w:tabs>
          <w:tab w:val="num" w:pos="646"/>
        </w:tabs>
        <w:ind w:left="283" w:firstLine="0"/>
      </w:pPr>
      <w:rPr>
        <w:rFonts w:ascii="Symbol" w:hAnsi="Symbol" w:hint="default"/>
        <w:b w:val="0"/>
        <w:i w:val="0"/>
        <w:caps w:val="0"/>
        <w:smallCaps w:val="0"/>
        <w:strike w:val="0"/>
        <w:dstrike w:val="0"/>
        <w:outline w:val="0"/>
        <w:shadow w:val="0"/>
        <w:emboss w:val="0"/>
        <w:imprint w:val="0"/>
        <w:vanish w:val="0"/>
        <w:sz w:val="20"/>
        <w:u w:val="none"/>
        <w:vertAlign w:val="baseline"/>
      </w:rPr>
    </w:lvl>
  </w:abstractNum>
  <w:abstractNum w:abstractNumId="1">
    <w:nsid w:val="06AE7C12"/>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
    <w:nsid w:val="08A9749B"/>
    <w:multiLevelType w:val="singleLevel"/>
    <w:tmpl w:val="1AFCA92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
    <w:nsid w:val="0EDA661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4">
    <w:nsid w:val="0F223A74"/>
    <w:multiLevelType w:val="singleLevel"/>
    <w:tmpl w:val="6DDCFA48"/>
    <w:lvl w:ilvl="0">
      <w:start w:val="1"/>
      <w:numFmt w:val="bullet"/>
      <w:lvlText w:val=""/>
      <w:lvlJc w:val="left"/>
      <w:pPr>
        <w:tabs>
          <w:tab w:val="num" w:pos="646"/>
        </w:tabs>
        <w:ind w:left="283" w:firstLine="0"/>
      </w:pPr>
      <w:rPr>
        <w:rFonts w:ascii="Symbol" w:hAnsi="Symbol" w:hint="default"/>
        <w:caps w:val="0"/>
        <w:strike w:val="0"/>
        <w:dstrike w:val="0"/>
        <w:outline w:val="0"/>
        <w:shadow w:val="0"/>
        <w:emboss w:val="0"/>
        <w:imprint w:val="0"/>
        <w:vanish w:val="0"/>
        <w:sz w:val="20"/>
        <w:vertAlign w:val="baseline"/>
      </w:rPr>
    </w:lvl>
  </w:abstractNum>
  <w:abstractNum w:abstractNumId="5">
    <w:nsid w:val="176D5FE2"/>
    <w:multiLevelType w:val="singleLevel"/>
    <w:tmpl w:val="34E6B6C8"/>
    <w:lvl w:ilvl="0">
      <w:start w:val="1"/>
      <w:numFmt w:val="bullet"/>
      <w:lvlText w:val=""/>
      <w:lvlJc w:val="left"/>
      <w:pPr>
        <w:tabs>
          <w:tab w:val="num" w:pos="357"/>
        </w:tabs>
        <w:ind w:left="283" w:hanging="283"/>
      </w:pPr>
      <w:rPr>
        <w:rFonts w:ascii="Symbol" w:hAnsi="Symbol" w:hint="default"/>
        <w:b w:val="0"/>
        <w:i w:val="0"/>
        <w:caps w:val="0"/>
        <w:smallCaps w:val="0"/>
        <w:strike w:val="0"/>
        <w:dstrike w:val="0"/>
        <w:outline w:val="0"/>
        <w:shadow w:val="0"/>
        <w:emboss w:val="0"/>
        <w:imprint w:val="0"/>
        <w:vanish w:val="0"/>
        <w:sz w:val="16"/>
        <w:u w:val="none"/>
        <w:vertAlign w:val="baseline"/>
      </w:rPr>
    </w:lvl>
  </w:abstractNum>
  <w:abstractNum w:abstractNumId="6">
    <w:nsid w:val="18437A7E"/>
    <w:multiLevelType w:val="singleLevel"/>
    <w:tmpl w:val="5C7ECCA4"/>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7">
    <w:nsid w:val="1D544A88"/>
    <w:multiLevelType w:val="singleLevel"/>
    <w:tmpl w:val="82520A5E"/>
    <w:lvl w:ilvl="0">
      <w:start w:val="1"/>
      <w:numFmt w:val="bullet"/>
      <w:lvlText w:val=":"/>
      <w:lvlJc w:val="left"/>
      <w:pPr>
        <w:tabs>
          <w:tab w:val="num" w:pos="357"/>
        </w:tabs>
        <w:ind w:left="283" w:hanging="283"/>
      </w:pPr>
      <w:rPr>
        <w:rFonts w:ascii="Times New Roman" w:hAnsi="Times New Roman" w:hint="default"/>
      </w:rPr>
    </w:lvl>
  </w:abstractNum>
  <w:abstractNum w:abstractNumId="8">
    <w:nsid w:val="1DDC458A"/>
    <w:multiLevelType w:val="singleLevel"/>
    <w:tmpl w:val="CEE49C2E"/>
    <w:lvl w:ilvl="0">
      <w:start w:val="1"/>
      <w:numFmt w:val="bullet"/>
      <w:lvlText w:val=""/>
      <w:lvlJc w:val="left"/>
      <w:pPr>
        <w:tabs>
          <w:tab w:val="num" w:pos="646"/>
        </w:tabs>
        <w:ind w:left="283" w:firstLine="0"/>
      </w:pPr>
      <w:rPr>
        <w:rFonts w:ascii="Symbol" w:hAnsi="Symbol" w:hint="default"/>
      </w:rPr>
    </w:lvl>
  </w:abstractNum>
  <w:abstractNum w:abstractNumId="9">
    <w:nsid w:val="1FE37260"/>
    <w:multiLevelType w:val="singleLevel"/>
    <w:tmpl w:val="67BCF81E"/>
    <w:lvl w:ilvl="0">
      <w:start w:val="1"/>
      <w:numFmt w:val="bullet"/>
      <w:lvlText w:val=":"/>
      <w:lvlJc w:val="left"/>
      <w:pPr>
        <w:tabs>
          <w:tab w:val="num" w:pos="357"/>
        </w:tabs>
        <w:ind w:left="283" w:hanging="283"/>
      </w:pPr>
      <w:rPr>
        <w:rFonts w:ascii="Times New Roman" w:hAnsi="Times New Roman" w:hint="default"/>
        <w:b/>
        <w:caps w:val="0"/>
        <w:smallCaps w:val="0"/>
        <w:strike w:val="0"/>
        <w:dstrike w:val="0"/>
        <w:outline w:val="0"/>
        <w:shadow w:val="0"/>
        <w:emboss w:val="0"/>
        <w:imprint w:val="0"/>
        <w:vanish w:val="0"/>
        <w:sz w:val="24"/>
        <w:vertAlign w:val="baseline"/>
      </w:rPr>
    </w:lvl>
  </w:abstractNum>
  <w:abstractNum w:abstractNumId="10">
    <w:nsid w:val="22A1312D"/>
    <w:multiLevelType w:val="singleLevel"/>
    <w:tmpl w:val="8A7C2128"/>
    <w:lvl w:ilvl="0">
      <w:start w:val="1"/>
      <w:numFmt w:val="bullet"/>
      <w:lvlText w:val=""/>
      <w:lvlJc w:val="left"/>
      <w:pPr>
        <w:tabs>
          <w:tab w:val="num" w:pos="357"/>
        </w:tabs>
        <w:ind w:left="283" w:hanging="283"/>
      </w:pPr>
      <w:rPr>
        <w:rFonts w:ascii="Symbol" w:hAnsi="Symbol" w:hint="default"/>
        <w:b/>
        <w:caps w:val="0"/>
        <w:smallCaps w:val="0"/>
        <w:strike w:val="0"/>
        <w:dstrike w:val="0"/>
        <w:outline w:val="0"/>
        <w:shadow w:val="0"/>
        <w:emboss w:val="0"/>
        <w:imprint w:val="0"/>
        <w:vanish w:val="0"/>
        <w:sz w:val="16"/>
        <w:vertAlign w:val="baseline"/>
      </w:rPr>
    </w:lvl>
  </w:abstractNum>
  <w:abstractNum w:abstractNumId="11">
    <w:nsid w:val="24B57EF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2">
    <w:nsid w:val="24CF4120"/>
    <w:multiLevelType w:val="singleLevel"/>
    <w:tmpl w:val="5492F112"/>
    <w:lvl w:ilvl="0">
      <w:start w:val="1"/>
      <w:numFmt w:val="bullet"/>
      <w:lvlText w:val=":"/>
      <w:lvlJc w:val="left"/>
      <w:pPr>
        <w:tabs>
          <w:tab w:val="num" w:pos="357"/>
        </w:tabs>
        <w:ind w:left="283" w:hanging="283"/>
      </w:pPr>
      <w:rPr>
        <w:rFonts w:ascii="Times New Roman" w:hAnsi="Times New Roman" w:hint="default"/>
        <w:b/>
        <w:i w:val="0"/>
        <w:caps w:val="0"/>
        <w:strike w:val="0"/>
        <w:dstrike w:val="0"/>
        <w:outline w:val="0"/>
        <w:shadow w:val="0"/>
        <w:emboss w:val="0"/>
        <w:imprint w:val="0"/>
        <w:vanish w:val="0"/>
        <w:sz w:val="24"/>
        <w:vertAlign w:val="baseline"/>
      </w:rPr>
    </w:lvl>
  </w:abstractNum>
  <w:abstractNum w:abstractNumId="13">
    <w:nsid w:val="25C11C65"/>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4">
    <w:nsid w:val="2D0E35FC"/>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5">
    <w:nsid w:val="2D7063CC"/>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16">
    <w:nsid w:val="2E5C45A1"/>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17">
    <w:nsid w:val="2F562DFF"/>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outline w:val="0"/>
        <w:shadow w:val="0"/>
        <w:emboss w:val="0"/>
        <w:imprint w:val="0"/>
        <w:vanish w:val="0"/>
        <w:sz w:val="20"/>
        <w:vertAlign w:val="baseline"/>
      </w:rPr>
    </w:lvl>
  </w:abstractNum>
  <w:abstractNum w:abstractNumId="18">
    <w:nsid w:val="342115B6"/>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9">
    <w:nsid w:val="34821DA8"/>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20">
    <w:nsid w:val="35107270"/>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1">
    <w:nsid w:val="370A3197"/>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22">
    <w:nsid w:val="3A564359"/>
    <w:multiLevelType w:val="singleLevel"/>
    <w:tmpl w:val="89B44092"/>
    <w:lvl w:ilvl="0">
      <w:start w:val="1"/>
      <w:numFmt w:val="bullet"/>
      <w:lvlText w:val=":"/>
      <w:lvlJc w:val="left"/>
      <w:pPr>
        <w:tabs>
          <w:tab w:val="num" w:pos="357"/>
        </w:tabs>
        <w:ind w:left="283" w:hanging="283"/>
      </w:pPr>
      <w:rPr>
        <w:rFonts w:ascii="Times New Roman" w:hAnsi="Times New Roman" w:hint="default"/>
        <w:caps w:val="0"/>
        <w:strike w:val="0"/>
        <w:dstrike w:val="0"/>
        <w:outline w:val="0"/>
        <w:shadow w:val="0"/>
        <w:emboss w:val="0"/>
        <w:imprint w:val="0"/>
        <w:vanish w:val="0"/>
        <w:sz w:val="20"/>
        <w:vertAlign w:val="baseline"/>
      </w:rPr>
    </w:lvl>
  </w:abstractNum>
  <w:abstractNum w:abstractNumId="23">
    <w:nsid w:val="3B8B757B"/>
    <w:multiLevelType w:val="singleLevel"/>
    <w:tmpl w:val="3D8230E8"/>
    <w:lvl w:ilvl="0">
      <w:start w:val="2"/>
      <w:numFmt w:val="decimal"/>
      <w:lvlText w:val="%1."/>
      <w:lvlJc w:val="left"/>
      <w:pPr>
        <w:tabs>
          <w:tab w:val="num" w:pos="567"/>
        </w:tabs>
        <w:ind w:left="0" w:firstLine="0"/>
      </w:pPr>
    </w:lvl>
  </w:abstractNum>
  <w:abstractNum w:abstractNumId="24">
    <w:nsid w:val="3D14750E"/>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outline w:val="0"/>
        <w:shadow w:val="0"/>
        <w:emboss w:val="0"/>
        <w:imprint w:val="0"/>
        <w:vanish w:val="0"/>
        <w:sz w:val="20"/>
        <w:vertAlign w:val="baseline"/>
      </w:rPr>
    </w:lvl>
  </w:abstractNum>
  <w:abstractNum w:abstractNumId="25">
    <w:nsid w:val="45BD1CE8"/>
    <w:multiLevelType w:val="singleLevel"/>
    <w:tmpl w:val="3A66CC42"/>
    <w:lvl w:ilvl="0">
      <w:start w:val="1"/>
      <w:numFmt w:val="bullet"/>
      <w:lvlText w:val=":"/>
      <w:lvlJc w:val="left"/>
      <w:pPr>
        <w:tabs>
          <w:tab w:val="num" w:pos="357"/>
        </w:tabs>
        <w:ind w:left="283" w:hanging="283"/>
      </w:pPr>
      <w:rPr>
        <w:rFonts w:ascii="Times New Roman" w:hAnsi="Times New Roman" w:hint="default"/>
        <w:caps w:val="0"/>
        <w:smallCaps w:val="0"/>
        <w:strike w:val="0"/>
        <w:dstrike w:val="0"/>
        <w:outline w:val="0"/>
        <w:shadow w:val="0"/>
        <w:emboss w:val="0"/>
        <w:imprint w:val="0"/>
        <w:vanish w:val="0"/>
        <w:sz w:val="20"/>
        <w:vertAlign w:val="baseline"/>
      </w:rPr>
    </w:lvl>
  </w:abstractNum>
  <w:abstractNum w:abstractNumId="26">
    <w:nsid w:val="4EC400C9"/>
    <w:multiLevelType w:val="singleLevel"/>
    <w:tmpl w:val="98F43534"/>
    <w:lvl w:ilvl="0">
      <w:start w:val="1"/>
      <w:numFmt w:val="bullet"/>
      <w:lvlText w:val=""/>
      <w:lvlJc w:val="left"/>
      <w:pPr>
        <w:tabs>
          <w:tab w:val="num" w:pos="644"/>
        </w:tabs>
        <w:ind w:left="284" w:firstLine="0"/>
      </w:pPr>
      <w:rPr>
        <w:rFonts w:ascii="Symbol" w:hAnsi="Symbol" w:hint="default"/>
      </w:rPr>
    </w:lvl>
  </w:abstractNum>
  <w:abstractNum w:abstractNumId="27">
    <w:nsid w:val="5193406B"/>
    <w:multiLevelType w:val="singleLevel"/>
    <w:tmpl w:val="F1CA772E"/>
    <w:lvl w:ilvl="0">
      <w:start w:val="1"/>
      <w:numFmt w:val="decimal"/>
      <w:lvlText w:val="(%1)"/>
      <w:lvlJc w:val="left"/>
      <w:pPr>
        <w:tabs>
          <w:tab w:val="num" w:pos="360"/>
        </w:tabs>
        <w:ind w:left="360" w:hanging="360"/>
      </w:pPr>
      <w:rPr>
        <w:rFonts w:hint="default"/>
      </w:rPr>
    </w:lvl>
  </w:abstractNum>
  <w:abstractNum w:abstractNumId="28">
    <w:nsid w:val="547E38A7"/>
    <w:multiLevelType w:val="singleLevel"/>
    <w:tmpl w:val="84F6721A"/>
    <w:lvl w:ilvl="0">
      <w:start w:val="1"/>
      <w:numFmt w:val="bullet"/>
      <w:lvlText w:val=""/>
      <w:lvlJc w:val="left"/>
      <w:pPr>
        <w:tabs>
          <w:tab w:val="num" w:pos="646"/>
        </w:tabs>
        <w:ind w:left="283" w:firstLine="0"/>
      </w:pPr>
      <w:rPr>
        <w:rFonts w:ascii="Symbol" w:hAnsi="Symbol" w:hint="default"/>
        <w:sz w:val="16"/>
      </w:rPr>
    </w:lvl>
  </w:abstractNum>
  <w:abstractNum w:abstractNumId="29">
    <w:nsid w:val="5B33048F"/>
    <w:multiLevelType w:val="singleLevel"/>
    <w:tmpl w:val="C9986A86"/>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0">
    <w:nsid w:val="60A30A93"/>
    <w:multiLevelType w:val="singleLevel"/>
    <w:tmpl w:val="5A7493FC"/>
    <w:lvl w:ilvl="0">
      <w:start w:val="1"/>
      <w:numFmt w:val="bullet"/>
      <w:lvlText w:val=""/>
      <w:lvlJc w:val="left"/>
      <w:pPr>
        <w:tabs>
          <w:tab w:val="num" w:pos="360"/>
        </w:tabs>
        <w:ind w:left="284" w:hanging="284"/>
      </w:pPr>
      <w:rPr>
        <w:rFonts w:ascii="Symbol" w:hAnsi="Symbol" w:hint="default"/>
        <w:caps w:val="0"/>
        <w:strike w:val="0"/>
        <w:dstrike w:val="0"/>
        <w:outline w:val="0"/>
        <w:shadow w:val="0"/>
        <w:emboss w:val="0"/>
        <w:imprint w:val="0"/>
        <w:vanish w:val="0"/>
        <w:sz w:val="20"/>
        <w:vertAlign w:val="baseline"/>
      </w:rPr>
    </w:lvl>
  </w:abstractNum>
  <w:abstractNum w:abstractNumId="31">
    <w:nsid w:val="61AA731F"/>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2">
    <w:nsid w:val="621C1811"/>
    <w:multiLevelType w:val="singleLevel"/>
    <w:tmpl w:val="3E603EAC"/>
    <w:lvl w:ilvl="0">
      <w:start w:val="1"/>
      <w:numFmt w:val="bullet"/>
      <w:lvlText w:val=""/>
      <w:lvlJc w:val="left"/>
      <w:pPr>
        <w:tabs>
          <w:tab w:val="num" w:pos="644"/>
        </w:tabs>
        <w:ind w:left="284" w:firstLine="0"/>
      </w:pPr>
      <w:rPr>
        <w:rFonts w:ascii="Symbol" w:hAnsi="Symbol" w:hint="default"/>
      </w:rPr>
    </w:lvl>
  </w:abstractNum>
  <w:abstractNum w:abstractNumId="33">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4">
    <w:nsid w:val="688B65E3"/>
    <w:multiLevelType w:val="singleLevel"/>
    <w:tmpl w:val="17D6EA24"/>
    <w:lvl w:ilvl="0">
      <w:start w:val="1"/>
      <w:numFmt w:val="bullet"/>
      <w:lvlText w:val=""/>
      <w:lvlJc w:val="left"/>
      <w:pPr>
        <w:tabs>
          <w:tab w:val="num" w:pos="357"/>
        </w:tabs>
        <w:ind w:left="283" w:hanging="283"/>
      </w:pPr>
      <w:rPr>
        <w:rFonts w:ascii="Symbol" w:hAnsi="Symbol" w:hint="default"/>
        <w:b w:val="0"/>
        <w:i w:val="0"/>
        <w:caps w:val="0"/>
        <w:smallCaps w:val="0"/>
        <w:strike w:val="0"/>
        <w:dstrike w:val="0"/>
        <w:outline w:val="0"/>
        <w:shadow w:val="0"/>
        <w:emboss w:val="0"/>
        <w:imprint w:val="0"/>
        <w:vanish w:val="0"/>
        <w:sz w:val="16"/>
        <w:u w:val="none"/>
        <w:vertAlign w:val="baseline"/>
      </w:rPr>
    </w:lvl>
  </w:abstractNum>
  <w:abstractNum w:abstractNumId="35">
    <w:nsid w:val="70A0748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6">
    <w:nsid w:val="73E439CC"/>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37">
    <w:nsid w:val="7401214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38">
    <w:nsid w:val="7B9B3620"/>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39">
    <w:nsid w:val="7F2501AC"/>
    <w:multiLevelType w:val="singleLevel"/>
    <w:tmpl w:val="E11C7A36"/>
    <w:lvl w:ilvl="0">
      <w:start w:val="1"/>
      <w:numFmt w:val="bullet"/>
      <w:lvlText w:val=""/>
      <w:lvlJc w:val="left"/>
      <w:pPr>
        <w:tabs>
          <w:tab w:val="num" w:pos="360"/>
        </w:tabs>
        <w:ind w:left="284" w:hanging="284"/>
      </w:pPr>
      <w:rPr>
        <w:rFonts w:ascii="Symbol" w:hAnsi="Symbol" w:hint="default"/>
        <w:caps w:val="0"/>
        <w:strike w:val="0"/>
        <w:dstrike w:val="0"/>
        <w:outline w:val="0"/>
        <w:shadow w:val="0"/>
        <w:emboss w:val="0"/>
        <w:imprint w:val="0"/>
        <w:vanish w:val="0"/>
        <w:sz w:val="20"/>
        <w:vertAlign w:val="baseline"/>
      </w:rPr>
    </w:lvl>
  </w:abstractNum>
  <w:abstractNum w:abstractNumId="40">
    <w:nsid w:val="7F9E35A3"/>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30"/>
  </w:num>
  <w:num w:numId="2">
    <w:abstractNumId w:val="26"/>
  </w:num>
  <w:num w:numId="3">
    <w:abstractNumId w:val="19"/>
  </w:num>
  <w:num w:numId="4">
    <w:abstractNumId w:val="39"/>
  </w:num>
  <w:num w:numId="5">
    <w:abstractNumId w:val="11"/>
  </w:num>
  <w:num w:numId="6">
    <w:abstractNumId w:val="14"/>
  </w:num>
  <w:num w:numId="7">
    <w:abstractNumId w:val="18"/>
  </w:num>
  <w:num w:numId="8">
    <w:abstractNumId w:val="32"/>
  </w:num>
  <w:num w:numId="9">
    <w:abstractNumId w:val="35"/>
  </w:num>
  <w:num w:numId="10">
    <w:abstractNumId w:val="15"/>
  </w:num>
  <w:num w:numId="11">
    <w:abstractNumId w:val="31"/>
  </w:num>
  <w:num w:numId="12">
    <w:abstractNumId w:val="20"/>
  </w:num>
  <w:num w:numId="13">
    <w:abstractNumId w:val="38"/>
  </w:num>
  <w:num w:numId="14">
    <w:abstractNumId w:val="13"/>
  </w:num>
  <w:num w:numId="15">
    <w:abstractNumId w:val="1"/>
  </w:num>
  <w:num w:numId="16">
    <w:abstractNumId w:val="7"/>
  </w:num>
  <w:num w:numId="17">
    <w:abstractNumId w:val="29"/>
  </w:num>
  <w:num w:numId="18">
    <w:abstractNumId w:val="4"/>
  </w:num>
  <w:num w:numId="19">
    <w:abstractNumId w:val="25"/>
  </w:num>
  <w:num w:numId="20">
    <w:abstractNumId w:val="2"/>
  </w:num>
  <w:num w:numId="21">
    <w:abstractNumId w:val="6"/>
  </w:num>
  <w:num w:numId="22">
    <w:abstractNumId w:val="8"/>
  </w:num>
  <w:num w:numId="23">
    <w:abstractNumId w:val="22"/>
  </w:num>
  <w:num w:numId="24">
    <w:abstractNumId w:val="40"/>
  </w:num>
  <w:num w:numId="25">
    <w:abstractNumId w:val="16"/>
  </w:num>
  <w:num w:numId="26">
    <w:abstractNumId w:val="36"/>
  </w:num>
  <w:num w:numId="27">
    <w:abstractNumId w:val="3"/>
  </w:num>
  <w:num w:numId="28">
    <w:abstractNumId w:val="21"/>
  </w:num>
  <w:num w:numId="29">
    <w:abstractNumId w:val="17"/>
  </w:num>
  <w:num w:numId="30">
    <w:abstractNumId w:val="24"/>
  </w:num>
  <w:num w:numId="31">
    <w:abstractNumId w:val="37"/>
  </w:num>
  <w:num w:numId="32">
    <w:abstractNumId w:val="10"/>
  </w:num>
  <w:num w:numId="33">
    <w:abstractNumId w:val="28"/>
  </w:num>
  <w:num w:numId="34">
    <w:abstractNumId w:val="9"/>
  </w:num>
  <w:num w:numId="35">
    <w:abstractNumId w:val="5"/>
  </w:num>
  <w:num w:numId="36">
    <w:abstractNumId w:val="0"/>
  </w:num>
  <w:num w:numId="37">
    <w:abstractNumId w:val="12"/>
  </w:num>
  <w:num w:numId="38">
    <w:abstractNumId w:val="34"/>
  </w:num>
  <w:num w:numId="39">
    <w:abstractNumId w:val="33"/>
  </w:num>
  <w:num w:numId="40">
    <w:abstractNumId w:val="2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ecurityClassificationInHeader" w:val="True"/>
  </w:docVars>
  <w:rsids>
    <w:rsidRoot w:val="00981EE6"/>
    <w:rsid w:val="00000E3B"/>
    <w:rsid w:val="00000F89"/>
    <w:rsid w:val="0000168C"/>
    <w:rsid w:val="00001847"/>
    <w:rsid w:val="00001ECA"/>
    <w:rsid w:val="00001ED7"/>
    <w:rsid w:val="00001F20"/>
    <w:rsid w:val="00002B6E"/>
    <w:rsid w:val="000032D9"/>
    <w:rsid w:val="0000336A"/>
    <w:rsid w:val="00003654"/>
    <w:rsid w:val="0000396B"/>
    <w:rsid w:val="00003AB4"/>
    <w:rsid w:val="00003D87"/>
    <w:rsid w:val="0000421E"/>
    <w:rsid w:val="000044D9"/>
    <w:rsid w:val="000048F1"/>
    <w:rsid w:val="00004D90"/>
    <w:rsid w:val="00004F72"/>
    <w:rsid w:val="000051F3"/>
    <w:rsid w:val="0000520C"/>
    <w:rsid w:val="00005608"/>
    <w:rsid w:val="000058E4"/>
    <w:rsid w:val="00005A9F"/>
    <w:rsid w:val="00005D3C"/>
    <w:rsid w:val="00006587"/>
    <w:rsid w:val="00006910"/>
    <w:rsid w:val="00006A6A"/>
    <w:rsid w:val="00006E4D"/>
    <w:rsid w:val="00007037"/>
    <w:rsid w:val="00007138"/>
    <w:rsid w:val="0000744F"/>
    <w:rsid w:val="00007475"/>
    <w:rsid w:val="0000776A"/>
    <w:rsid w:val="00007813"/>
    <w:rsid w:val="0000785F"/>
    <w:rsid w:val="00007DA9"/>
    <w:rsid w:val="0001006B"/>
    <w:rsid w:val="00010FD8"/>
    <w:rsid w:val="00011C71"/>
    <w:rsid w:val="00012704"/>
    <w:rsid w:val="00012A49"/>
    <w:rsid w:val="00012B6C"/>
    <w:rsid w:val="00012B77"/>
    <w:rsid w:val="00012D40"/>
    <w:rsid w:val="000133E2"/>
    <w:rsid w:val="000144FD"/>
    <w:rsid w:val="0001469E"/>
    <w:rsid w:val="00014D9D"/>
    <w:rsid w:val="00014F14"/>
    <w:rsid w:val="00015306"/>
    <w:rsid w:val="000154D0"/>
    <w:rsid w:val="0001590F"/>
    <w:rsid w:val="00015E50"/>
    <w:rsid w:val="000164DE"/>
    <w:rsid w:val="00016578"/>
    <w:rsid w:val="0001662D"/>
    <w:rsid w:val="00016694"/>
    <w:rsid w:val="00016799"/>
    <w:rsid w:val="000168A0"/>
    <w:rsid w:val="00017156"/>
    <w:rsid w:val="0001742B"/>
    <w:rsid w:val="00017A31"/>
    <w:rsid w:val="00017BF6"/>
    <w:rsid w:val="00017C34"/>
    <w:rsid w:val="00017F7B"/>
    <w:rsid w:val="00020529"/>
    <w:rsid w:val="000209D4"/>
    <w:rsid w:val="00020A12"/>
    <w:rsid w:val="00020BE0"/>
    <w:rsid w:val="00020C26"/>
    <w:rsid w:val="00020EF0"/>
    <w:rsid w:val="000215D4"/>
    <w:rsid w:val="00021D40"/>
    <w:rsid w:val="00021FD2"/>
    <w:rsid w:val="00022821"/>
    <w:rsid w:val="00022ABD"/>
    <w:rsid w:val="00022BBD"/>
    <w:rsid w:val="00022DE1"/>
    <w:rsid w:val="00023203"/>
    <w:rsid w:val="00023403"/>
    <w:rsid w:val="0002345B"/>
    <w:rsid w:val="000237FC"/>
    <w:rsid w:val="00025281"/>
    <w:rsid w:val="000258BF"/>
    <w:rsid w:val="000258CC"/>
    <w:rsid w:val="00025946"/>
    <w:rsid w:val="00025AF2"/>
    <w:rsid w:val="00026305"/>
    <w:rsid w:val="0002670C"/>
    <w:rsid w:val="000268F1"/>
    <w:rsid w:val="00026F4A"/>
    <w:rsid w:val="0003024F"/>
    <w:rsid w:val="00030895"/>
    <w:rsid w:val="00030A75"/>
    <w:rsid w:val="00030FEC"/>
    <w:rsid w:val="000312DD"/>
    <w:rsid w:val="000313E0"/>
    <w:rsid w:val="00031628"/>
    <w:rsid w:val="00031965"/>
    <w:rsid w:val="00031BB7"/>
    <w:rsid w:val="00031BF9"/>
    <w:rsid w:val="00032191"/>
    <w:rsid w:val="00032A80"/>
    <w:rsid w:val="000339CA"/>
    <w:rsid w:val="00033B05"/>
    <w:rsid w:val="00033D2A"/>
    <w:rsid w:val="00033DDD"/>
    <w:rsid w:val="0003423D"/>
    <w:rsid w:val="00034450"/>
    <w:rsid w:val="00034B13"/>
    <w:rsid w:val="00034D5E"/>
    <w:rsid w:val="000353BA"/>
    <w:rsid w:val="00035C48"/>
    <w:rsid w:val="00035D8E"/>
    <w:rsid w:val="00035EA0"/>
    <w:rsid w:val="00035F8B"/>
    <w:rsid w:val="00035FCB"/>
    <w:rsid w:val="000360C1"/>
    <w:rsid w:val="000364AD"/>
    <w:rsid w:val="0003672D"/>
    <w:rsid w:val="00036879"/>
    <w:rsid w:val="00036EEC"/>
    <w:rsid w:val="000373FA"/>
    <w:rsid w:val="0003768F"/>
    <w:rsid w:val="0003784F"/>
    <w:rsid w:val="00037DDD"/>
    <w:rsid w:val="000401DE"/>
    <w:rsid w:val="000403CD"/>
    <w:rsid w:val="000405C7"/>
    <w:rsid w:val="0004081C"/>
    <w:rsid w:val="0004100A"/>
    <w:rsid w:val="000410EF"/>
    <w:rsid w:val="000419A9"/>
    <w:rsid w:val="00041AA5"/>
    <w:rsid w:val="000426EA"/>
    <w:rsid w:val="00042D41"/>
    <w:rsid w:val="00042E8C"/>
    <w:rsid w:val="000430A2"/>
    <w:rsid w:val="00043EBF"/>
    <w:rsid w:val="00044569"/>
    <w:rsid w:val="00044A73"/>
    <w:rsid w:val="0004510F"/>
    <w:rsid w:val="0004566C"/>
    <w:rsid w:val="000458F6"/>
    <w:rsid w:val="00045976"/>
    <w:rsid w:val="000459F5"/>
    <w:rsid w:val="00046D2C"/>
    <w:rsid w:val="00047449"/>
    <w:rsid w:val="00047F8E"/>
    <w:rsid w:val="0005012C"/>
    <w:rsid w:val="000501DE"/>
    <w:rsid w:val="0005100D"/>
    <w:rsid w:val="000510A0"/>
    <w:rsid w:val="00051203"/>
    <w:rsid w:val="000516B9"/>
    <w:rsid w:val="00051A70"/>
    <w:rsid w:val="00052210"/>
    <w:rsid w:val="000523D3"/>
    <w:rsid w:val="00052D8C"/>
    <w:rsid w:val="00052EAF"/>
    <w:rsid w:val="0005334E"/>
    <w:rsid w:val="000534CA"/>
    <w:rsid w:val="000537A7"/>
    <w:rsid w:val="000537E4"/>
    <w:rsid w:val="0005389A"/>
    <w:rsid w:val="00053DC6"/>
    <w:rsid w:val="00053E4E"/>
    <w:rsid w:val="000544A2"/>
    <w:rsid w:val="00054888"/>
    <w:rsid w:val="000549BC"/>
    <w:rsid w:val="00054D0B"/>
    <w:rsid w:val="00055305"/>
    <w:rsid w:val="00055377"/>
    <w:rsid w:val="00055F8E"/>
    <w:rsid w:val="000561D9"/>
    <w:rsid w:val="0005639B"/>
    <w:rsid w:val="000566BD"/>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A9F"/>
    <w:rsid w:val="00063FE2"/>
    <w:rsid w:val="00064071"/>
    <w:rsid w:val="00064179"/>
    <w:rsid w:val="00064748"/>
    <w:rsid w:val="00064AB4"/>
    <w:rsid w:val="000656FF"/>
    <w:rsid w:val="000657E9"/>
    <w:rsid w:val="00065811"/>
    <w:rsid w:val="00065CCB"/>
    <w:rsid w:val="00065D28"/>
    <w:rsid w:val="000660EC"/>
    <w:rsid w:val="000664B6"/>
    <w:rsid w:val="00066565"/>
    <w:rsid w:val="00066F39"/>
    <w:rsid w:val="00067383"/>
    <w:rsid w:val="000679BF"/>
    <w:rsid w:val="00067CA6"/>
    <w:rsid w:val="000707BB"/>
    <w:rsid w:val="00070B41"/>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53F5"/>
    <w:rsid w:val="00075889"/>
    <w:rsid w:val="000763A2"/>
    <w:rsid w:val="00076B12"/>
    <w:rsid w:val="00076B2B"/>
    <w:rsid w:val="00076EF4"/>
    <w:rsid w:val="000773F4"/>
    <w:rsid w:val="000779E7"/>
    <w:rsid w:val="0008026B"/>
    <w:rsid w:val="00080673"/>
    <w:rsid w:val="0008103D"/>
    <w:rsid w:val="00081333"/>
    <w:rsid w:val="0008183C"/>
    <w:rsid w:val="00081C5A"/>
    <w:rsid w:val="00082638"/>
    <w:rsid w:val="00082E6A"/>
    <w:rsid w:val="00083320"/>
    <w:rsid w:val="000839C7"/>
    <w:rsid w:val="00083DC9"/>
    <w:rsid w:val="00083EC2"/>
    <w:rsid w:val="00084887"/>
    <w:rsid w:val="00084AA3"/>
    <w:rsid w:val="00085741"/>
    <w:rsid w:val="00085D16"/>
    <w:rsid w:val="00085FEA"/>
    <w:rsid w:val="0008641A"/>
    <w:rsid w:val="000868D7"/>
    <w:rsid w:val="00086BDC"/>
    <w:rsid w:val="00086D25"/>
    <w:rsid w:val="00086D69"/>
    <w:rsid w:val="00087675"/>
    <w:rsid w:val="00090E63"/>
    <w:rsid w:val="0009108E"/>
    <w:rsid w:val="000911BE"/>
    <w:rsid w:val="000912DF"/>
    <w:rsid w:val="0009171F"/>
    <w:rsid w:val="000919AA"/>
    <w:rsid w:val="00091E39"/>
    <w:rsid w:val="00092818"/>
    <w:rsid w:val="00092E11"/>
    <w:rsid w:val="00092EFD"/>
    <w:rsid w:val="00093064"/>
    <w:rsid w:val="0009345A"/>
    <w:rsid w:val="000935EE"/>
    <w:rsid w:val="00093778"/>
    <w:rsid w:val="00093BC7"/>
    <w:rsid w:val="00094375"/>
    <w:rsid w:val="00094ABB"/>
    <w:rsid w:val="00095781"/>
    <w:rsid w:val="00095F2B"/>
    <w:rsid w:val="000962B5"/>
    <w:rsid w:val="000967A8"/>
    <w:rsid w:val="00096846"/>
    <w:rsid w:val="00096D8E"/>
    <w:rsid w:val="0009720F"/>
    <w:rsid w:val="00097478"/>
    <w:rsid w:val="0009771A"/>
    <w:rsid w:val="00097B8F"/>
    <w:rsid w:val="000A00EB"/>
    <w:rsid w:val="000A0B46"/>
    <w:rsid w:val="000A1CA8"/>
    <w:rsid w:val="000A1E38"/>
    <w:rsid w:val="000A2F3B"/>
    <w:rsid w:val="000A3014"/>
    <w:rsid w:val="000A341E"/>
    <w:rsid w:val="000A351A"/>
    <w:rsid w:val="000A35C5"/>
    <w:rsid w:val="000A3E05"/>
    <w:rsid w:val="000A4079"/>
    <w:rsid w:val="000A4C88"/>
    <w:rsid w:val="000A52FF"/>
    <w:rsid w:val="000A53A4"/>
    <w:rsid w:val="000A541C"/>
    <w:rsid w:val="000A5514"/>
    <w:rsid w:val="000A5E00"/>
    <w:rsid w:val="000A5F56"/>
    <w:rsid w:val="000A620D"/>
    <w:rsid w:val="000A6C7C"/>
    <w:rsid w:val="000A6E3C"/>
    <w:rsid w:val="000A7696"/>
    <w:rsid w:val="000A77F9"/>
    <w:rsid w:val="000A79FB"/>
    <w:rsid w:val="000B00A1"/>
    <w:rsid w:val="000B1DBB"/>
    <w:rsid w:val="000B1DEF"/>
    <w:rsid w:val="000B1FEF"/>
    <w:rsid w:val="000B2079"/>
    <w:rsid w:val="000B2636"/>
    <w:rsid w:val="000B2788"/>
    <w:rsid w:val="000B286A"/>
    <w:rsid w:val="000B2CCF"/>
    <w:rsid w:val="000B3011"/>
    <w:rsid w:val="000B3C04"/>
    <w:rsid w:val="000B3ED5"/>
    <w:rsid w:val="000B413C"/>
    <w:rsid w:val="000B4418"/>
    <w:rsid w:val="000B5084"/>
    <w:rsid w:val="000B5C5B"/>
    <w:rsid w:val="000B5ED5"/>
    <w:rsid w:val="000B62E0"/>
    <w:rsid w:val="000B679B"/>
    <w:rsid w:val="000B67AB"/>
    <w:rsid w:val="000B6D16"/>
    <w:rsid w:val="000B6E9D"/>
    <w:rsid w:val="000B74B0"/>
    <w:rsid w:val="000C05BC"/>
    <w:rsid w:val="000C0C48"/>
    <w:rsid w:val="000C13C7"/>
    <w:rsid w:val="000C191E"/>
    <w:rsid w:val="000C1AF1"/>
    <w:rsid w:val="000C1EE1"/>
    <w:rsid w:val="000C212D"/>
    <w:rsid w:val="000C2181"/>
    <w:rsid w:val="000C218E"/>
    <w:rsid w:val="000C29AB"/>
    <w:rsid w:val="000C2E96"/>
    <w:rsid w:val="000C3083"/>
    <w:rsid w:val="000C3B3D"/>
    <w:rsid w:val="000C3CCF"/>
    <w:rsid w:val="000C3E1D"/>
    <w:rsid w:val="000C3F0A"/>
    <w:rsid w:val="000C4B88"/>
    <w:rsid w:val="000C4E37"/>
    <w:rsid w:val="000C4FF9"/>
    <w:rsid w:val="000C5211"/>
    <w:rsid w:val="000C54DC"/>
    <w:rsid w:val="000C596E"/>
    <w:rsid w:val="000C5A7B"/>
    <w:rsid w:val="000C61DD"/>
    <w:rsid w:val="000C6D74"/>
    <w:rsid w:val="000C740B"/>
    <w:rsid w:val="000C78F1"/>
    <w:rsid w:val="000C7B2E"/>
    <w:rsid w:val="000C7B94"/>
    <w:rsid w:val="000C7E81"/>
    <w:rsid w:val="000C7FCE"/>
    <w:rsid w:val="000D01E9"/>
    <w:rsid w:val="000D12E7"/>
    <w:rsid w:val="000D2038"/>
    <w:rsid w:val="000D21D4"/>
    <w:rsid w:val="000D27F6"/>
    <w:rsid w:val="000D2A4B"/>
    <w:rsid w:val="000D335F"/>
    <w:rsid w:val="000D3F3F"/>
    <w:rsid w:val="000D48F2"/>
    <w:rsid w:val="000D4A23"/>
    <w:rsid w:val="000D59D3"/>
    <w:rsid w:val="000D5CA0"/>
    <w:rsid w:val="000D5F9F"/>
    <w:rsid w:val="000D63AD"/>
    <w:rsid w:val="000D63DA"/>
    <w:rsid w:val="000D6430"/>
    <w:rsid w:val="000D66DB"/>
    <w:rsid w:val="000D6AA5"/>
    <w:rsid w:val="000D6D5A"/>
    <w:rsid w:val="000D6F29"/>
    <w:rsid w:val="000D73E5"/>
    <w:rsid w:val="000D79EB"/>
    <w:rsid w:val="000D7D91"/>
    <w:rsid w:val="000E0420"/>
    <w:rsid w:val="000E06FF"/>
    <w:rsid w:val="000E08F9"/>
    <w:rsid w:val="000E1586"/>
    <w:rsid w:val="000E1758"/>
    <w:rsid w:val="000E1BEF"/>
    <w:rsid w:val="000E20D7"/>
    <w:rsid w:val="000E23B5"/>
    <w:rsid w:val="000E24C2"/>
    <w:rsid w:val="000E3149"/>
    <w:rsid w:val="000E32E7"/>
    <w:rsid w:val="000E39CB"/>
    <w:rsid w:val="000E446B"/>
    <w:rsid w:val="000E4560"/>
    <w:rsid w:val="000E457E"/>
    <w:rsid w:val="000E4649"/>
    <w:rsid w:val="000E4655"/>
    <w:rsid w:val="000E4ECF"/>
    <w:rsid w:val="000E5DD8"/>
    <w:rsid w:val="000E60BD"/>
    <w:rsid w:val="000E6802"/>
    <w:rsid w:val="000E6E1A"/>
    <w:rsid w:val="000E6EE6"/>
    <w:rsid w:val="000E7334"/>
    <w:rsid w:val="000E7D54"/>
    <w:rsid w:val="000F024D"/>
    <w:rsid w:val="000F0522"/>
    <w:rsid w:val="000F18A2"/>
    <w:rsid w:val="000F1C6E"/>
    <w:rsid w:val="000F212F"/>
    <w:rsid w:val="000F2232"/>
    <w:rsid w:val="000F246A"/>
    <w:rsid w:val="000F2749"/>
    <w:rsid w:val="000F2994"/>
    <w:rsid w:val="000F303D"/>
    <w:rsid w:val="000F30C2"/>
    <w:rsid w:val="000F3549"/>
    <w:rsid w:val="000F369B"/>
    <w:rsid w:val="000F3B9E"/>
    <w:rsid w:val="000F40BE"/>
    <w:rsid w:val="000F4480"/>
    <w:rsid w:val="000F4AC6"/>
    <w:rsid w:val="000F4C12"/>
    <w:rsid w:val="000F5299"/>
    <w:rsid w:val="000F5600"/>
    <w:rsid w:val="000F59C1"/>
    <w:rsid w:val="000F59DC"/>
    <w:rsid w:val="000F5C54"/>
    <w:rsid w:val="000F5DFE"/>
    <w:rsid w:val="000F608E"/>
    <w:rsid w:val="000F7767"/>
    <w:rsid w:val="000F7B6B"/>
    <w:rsid w:val="001002BA"/>
    <w:rsid w:val="00100C13"/>
    <w:rsid w:val="00100C44"/>
    <w:rsid w:val="00100CC8"/>
    <w:rsid w:val="0010113D"/>
    <w:rsid w:val="00101870"/>
    <w:rsid w:val="00101A29"/>
    <w:rsid w:val="00101C87"/>
    <w:rsid w:val="00101DE7"/>
    <w:rsid w:val="00101FBE"/>
    <w:rsid w:val="001020BD"/>
    <w:rsid w:val="001022EC"/>
    <w:rsid w:val="001028D9"/>
    <w:rsid w:val="00102AC8"/>
    <w:rsid w:val="00102F40"/>
    <w:rsid w:val="0010366A"/>
    <w:rsid w:val="00103CE5"/>
    <w:rsid w:val="001040A3"/>
    <w:rsid w:val="001043FB"/>
    <w:rsid w:val="0010446B"/>
    <w:rsid w:val="0010447D"/>
    <w:rsid w:val="0010466C"/>
    <w:rsid w:val="0010476D"/>
    <w:rsid w:val="001047B5"/>
    <w:rsid w:val="00104C74"/>
    <w:rsid w:val="00104F45"/>
    <w:rsid w:val="00104FD0"/>
    <w:rsid w:val="00105300"/>
    <w:rsid w:val="00105306"/>
    <w:rsid w:val="001058A9"/>
    <w:rsid w:val="00107297"/>
    <w:rsid w:val="00107593"/>
    <w:rsid w:val="00107901"/>
    <w:rsid w:val="00107C65"/>
    <w:rsid w:val="00110E11"/>
    <w:rsid w:val="00110E60"/>
    <w:rsid w:val="00110F33"/>
    <w:rsid w:val="00111018"/>
    <w:rsid w:val="0011147D"/>
    <w:rsid w:val="001116C7"/>
    <w:rsid w:val="00111721"/>
    <w:rsid w:val="00111C85"/>
    <w:rsid w:val="00111EBC"/>
    <w:rsid w:val="0011200D"/>
    <w:rsid w:val="001121DD"/>
    <w:rsid w:val="001121E2"/>
    <w:rsid w:val="00112274"/>
    <w:rsid w:val="00112576"/>
    <w:rsid w:val="00112D4D"/>
    <w:rsid w:val="00113519"/>
    <w:rsid w:val="00113590"/>
    <w:rsid w:val="001138AE"/>
    <w:rsid w:val="00114BBB"/>
    <w:rsid w:val="00115129"/>
    <w:rsid w:val="0011517C"/>
    <w:rsid w:val="001156FC"/>
    <w:rsid w:val="001157E3"/>
    <w:rsid w:val="00115AD5"/>
    <w:rsid w:val="00115F68"/>
    <w:rsid w:val="00116561"/>
    <w:rsid w:val="00116D4D"/>
    <w:rsid w:val="00116F5A"/>
    <w:rsid w:val="00116F8E"/>
    <w:rsid w:val="00117382"/>
    <w:rsid w:val="00117D6D"/>
    <w:rsid w:val="00117EFB"/>
    <w:rsid w:val="00120E68"/>
    <w:rsid w:val="001216D7"/>
    <w:rsid w:val="00121AC6"/>
    <w:rsid w:val="00122236"/>
    <w:rsid w:val="00122747"/>
    <w:rsid w:val="00122CFE"/>
    <w:rsid w:val="00122EFA"/>
    <w:rsid w:val="00123AF5"/>
    <w:rsid w:val="00123C56"/>
    <w:rsid w:val="00123F25"/>
    <w:rsid w:val="00124243"/>
    <w:rsid w:val="001255A6"/>
    <w:rsid w:val="0012560B"/>
    <w:rsid w:val="00125CC7"/>
    <w:rsid w:val="00125E26"/>
    <w:rsid w:val="001260CC"/>
    <w:rsid w:val="00126C9C"/>
    <w:rsid w:val="00126EEE"/>
    <w:rsid w:val="001270BC"/>
    <w:rsid w:val="0012767B"/>
    <w:rsid w:val="00130221"/>
    <w:rsid w:val="00131171"/>
    <w:rsid w:val="001311BF"/>
    <w:rsid w:val="00131818"/>
    <w:rsid w:val="00132233"/>
    <w:rsid w:val="0013229B"/>
    <w:rsid w:val="00132C59"/>
    <w:rsid w:val="001334AE"/>
    <w:rsid w:val="001338A1"/>
    <w:rsid w:val="00133985"/>
    <w:rsid w:val="001339AC"/>
    <w:rsid w:val="00133E4A"/>
    <w:rsid w:val="00133FE3"/>
    <w:rsid w:val="00134230"/>
    <w:rsid w:val="0013465B"/>
    <w:rsid w:val="00134663"/>
    <w:rsid w:val="00134AEA"/>
    <w:rsid w:val="0013558E"/>
    <w:rsid w:val="001355E1"/>
    <w:rsid w:val="00135FBC"/>
    <w:rsid w:val="00136BFF"/>
    <w:rsid w:val="001370DE"/>
    <w:rsid w:val="001373BC"/>
    <w:rsid w:val="001376F7"/>
    <w:rsid w:val="00137B03"/>
    <w:rsid w:val="00137DB7"/>
    <w:rsid w:val="00137E4E"/>
    <w:rsid w:val="00137FBF"/>
    <w:rsid w:val="00140023"/>
    <w:rsid w:val="00140C94"/>
    <w:rsid w:val="00141DEC"/>
    <w:rsid w:val="00142CB5"/>
    <w:rsid w:val="00142CCD"/>
    <w:rsid w:val="00142CE6"/>
    <w:rsid w:val="001440B4"/>
    <w:rsid w:val="00144455"/>
    <w:rsid w:val="00144866"/>
    <w:rsid w:val="0014491F"/>
    <w:rsid w:val="00145115"/>
    <w:rsid w:val="001459BF"/>
    <w:rsid w:val="00145ACD"/>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3069"/>
    <w:rsid w:val="00153940"/>
    <w:rsid w:val="00154110"/>
    <w:rsid w:val="00154807"/>
    <w:rsid w:val="0015540F"/>
    <w:rsid w:val="00155C0E"/>
    <w:rsid w:val="001561EB"/>
    <w:rsid w:val="001571E2"/>
    <w:rsid w:val="001577EB"/>
    <w:rsid w:val="001578A8"/>
    <w:rsid w:val="00157F35"/>
    <w:rsid w:val="00160830"/>
    <w:rsid w:val="00160EFE"/>
    <w:rsid w:val="00161069"/>
    <w:rsid w:val="00161A99"/>
    <w:rsid w:val="00162046"/>
    <w:rsid w:val="00162649"/>
    <w:rsid w:val="0016298D"/>
    <w:rsid w:val="00162B76"/>
    <w:rsid w:val="0016342F"/>
    <w:rsid w:val="00163ABD"/>
    <w:rsid w:val="00163E47"/>
    <w:rsid w:val="00164316"/>
    <w:rsid w:val="001647A1"/>
    <w:rsid w:val="001648FE"/>
    <w:rsid w:val="00164AE8"/>
    <w:rsid w:val="00164C98"/>
    <w:rsid w:val="001652F2"/>
    <w:rsid w:val="001654A9"/>
    <w:rsid w:val="00165860"/>
    <w:rsid w:val="00165CDE"/>
    <w:rsid w:val="00166576"/>
    <w:rsid w:val="001672F6"/>
    <w:rsid w:val="00167EA5"/>
    <w:rsid w:val="0017044D"/>
    <w:rsid w:val="00170868"/>
    <w:rsid w:val="0017192A"/>
    <w:rsid w:val="00171930"/>
    <w:rsid w:val="00171A03"/>
    <w:rsid w:val="001720C8"/>
    <w:rsid w:val="001724FC"/>
    <w:rsid w:val="00172A53"/>
    <w:rsid w:val="00172A57"/>
    <w:rsid w:val="001734AE"/>
    <w:rsid w:val="00173AFD"/>
    <w:rsid w:val="001740DF"/>
    <w:rsid w:val="00174351"/>
    <w:rsid w:val="00174563"/>
    <w:rsid w:val="00174D62"/>
    <w:rsid w:val="00175934"/>
    <w:rsid w:val="00175C6B"/>
    <w:rsid w:val="001763B9"/>
    <w:rsid w:val="00176700"/>
    <w:rsid w:val="001769D4"/>
    <w:rsid w:val="001771F7"/>
    <w:rsid w:val="00177899"/>
    <w:rsid w:val="00177A89"/>
    <w:rsid w:val="00180213"/>
    <w:rsid w:val="00180BC5"/>
    <w:rsid w:val="001814C4"/>
    <w:rsid w:val="0018175C"/>
    <w:rsid w:val="0018269D"/>
    <w:rsid w:val="00182BE5"/>
    <w:rsid w:val="00182FEC"/>
    <w:rsid w:val="00183791"/>
    <w:rsid w:val="001839A5"/>
    <w:rsid w:val="00183BE1"/>
    <w:rsid w:val="00184161"/>
    <w:rsid w:val="0018431A"/>
    <w:rsid w:val="001844AA"/>
    <w:rsid w:val="00184C5F"/>
    <w:rsid w:val="00184E3D"/>
    <w:rsid w:val="00184FBD"/>
    <w:rsid w:val="00184FF7"/>
    <w:rsid w:val="001850CB"/>
    <w:rsid w:val="001850FF"/>
    <w:rsid w:val="00185794"/>
    <w:rsid w:val="00185DA7"/>
    <w:rsid w:val="00185FEA"/>
    <w:rsid w:val="00186A5A"/>
    <w:rsid w:val="001902A1"/>
    <w:rsid w:val="00190428"/>
    <w:rsid w:val="0019086F"/>
    <w:rsid w:val="001908CC"/>
    <w:rsid w:val="00190BEC"/>
    <w:rsid w:val="00190C8D"/>
    <w:rsid w:val="00190D6F"/>
    <w:rsid w:val="0019163C"/>
    <w:rsid w:val="00191D10"/>
    <w:rsid w:val="00191E76"/>
    <w:rsid w:val="001928FD"/>
    <w:rsid w:val="00192B96"/>
    <w:rsid w:val="00192EC8"/>
    <w:rsid w:val="00192F45"/>
    <w:rsid w:val="001937D4"/>
    <w:rsid w:val="001937F9"/>
    <w:rsid w:val="00193846"/>
    <w:rsid w:val="00193BA0"/>
    <w:rsid w:val="00194364"/>
    <w:rsid w:val="0019482D"/>
    <w:rsid w:val="00194A9B"/>
    <w:rsid w:val="00194B60"/>
    <w:rsid w:val="00195060"/>
    <w:rsid w:val="00195218"/>
    <w:rsid w:val="001954D2"/>
    <w:rsid w:val="0019582D"/>
    <w:rsid w:val="00195D78"/>
    <w:rsid w:val="001963AD"/>
    <w:rsid w:val="00196498"/>
    <w:rsid w:val="001966BE"/>
    <w:rsid w:val="00197163"/>
    <w:rsid w:val="001971D5"/>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6537"/>
    <w:rsid w:val="001A6734"/>
    <w:rsid w:val="001A68C2"/>
    <w:rsid w:val="001A6DA3"/>
    <w:rsid w:val="001A71B5"/>
    <w:rsid w:val="001A7540"/>
    <w:rsid w:val="001A7754"/>
    <w:rsid w:val="001A7EE0"/>
    <w:rsid w:val="001B0055"/>
    <w:rsid w:val="001B0169"/>
    <w:rsid w:val="001B046D"/>
    <w:rsid w:val="001B08FF"/>
    <w:rsid w:val="001B0E64"/>
    <w:rsid w:val="001B0FCC"/>
    <w:rsid w:val="001B127E"/>
    <w:rsid w:val="001B175E"/>
    <w:rsid w:val="001B22DE"/>
    <w:rsid w:val="001B29DC"/>
    <w:rsid w:val="001B2C06"/>
    <w:rsid w:val="001B353B"/>
    <w:rsid w:val="001B372F"/>
    <w:rsid w:val="001B3FE1"/>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DBD"/>
    <w:rsid w:val="001B70D9"/>
    <w:rsid w:val="001B7970"/>
    <w:rsid w:val="001B7B5E"/>
    <w:rsid w:val="001C0875"/>
    <w:rsid w:val="001C0A89"/>
    <w:rsid w:val="001C0C34"/>
    <w:rsid w:val="001C0EEA"/>
    <w:rsid w:val="001C13C2"/>
    <w:rsid w:val="001C16A0"/>
    <w:rsid w:val="001C1AF3"/>
    <w:rsid w:val="001C1B89"/>
    <w:rsid w:val="001C1DD8"/>
    <w:rsid w:val="001C2299"/>
    <w:rsid w:val="001C2A96"/>
    <w:rsid w:val="001C3896"/>
    <w:rsid w:val="001C3D6E"/>
    <w:rsid w:val="001C3E87"/>
    <w:rsid w:val="001C4277"/>
    <w:rsid w:val="001C43DD"/>
    <w:rsid w:val="001C4BB4"/>
    <w:rsid w:val="001C4CF6"/>
    <w:rsid w:val="001C4D67"/>
    <w:rsid w:val="001C4F40"/>
    <w:rsid w:val="001C520E"/>
    <w:rsid w:val="001C5CC5"/>
    <w:rsid w:val="001C64DA"/>
    <w:rsid w:val="001C6DA8"/>
    <w:rsid w:val="001C7606"/>
    <w:rsid w:val="001C79F3"/>
    <w:rsid w:val="001D034C"/>
    <w:rsid w:val="001D0350"/>
    <w:rsid w:val="001D052C"/>
    <w:rsid w:val="001D06F2"/>
    <w:rsid w:val="001D0BC0"/>
    <w:rsid w:val="001D1223"/>
    <w:rsid w:val="001D122E"/>
    <w:rsid w:val="001D15C4"/>
    <w:rsid w:val="001D170A"/>
    <w:rsid w:val="001D1D4F"/>
    <w:rsid w:val="001D1DAA"/>
    <w:rsid w:val="001D1EC1"/>
    <w:rsid w:val="001D3124"/>
    <w:rsid w:val="001D318D"/>
    <w:rsid w:val="001D35AA"/>
    <w:rsid w:val="001D372E"/>
    <w:rsid w:val="001D3CC0"/>
    <w:rsid w:val="001D4E61"/>
    <w:rsid w:val="001D4E67"/>
    <w:rsid w:val="001D505A"/>
    <w:rsid w:val="001D56BF"/>
    <w:rsid w:val="001D5775"/>
    <w:rsid w:val="001D5A2A"/>
    <w:rsid w:val="001D5ADC"/>
    <w:rsid w:val="001D5C7B"/>
    <w:rsid w:val="001D5EA6"/>
    <w:rsid w:val="001D6453"/>
    <w:rsid w:val="001D749E"/>
    <w:rsid w:val="001D7A21"/>
    <w:rsid w:val="001E01BD"/>
    <w:rsid w:val="001E02C4"/>
    <w:rsid w:val="001E02EC"/>
    <w:rsid w:val="001E06F7"/>
    <w:rsid w:val="001E098E"/>
    <w:rsid w:val="001E1202"/>
    <w:rsid w:val="001E12A8"/>
    <w:rsid w:val="001E16CF"/>
    <w:rsid w:val="001E1860"/>
    <w:rsid w:val="001E1A5B"/>
    <w:rsid w:val="001E1D32"/>
    <w:rsid w:val="001E21DB"/>
    <w:rsid w:val="001E234F"/>
    <w:rsid w:val="001E2971"/>
    <w:rsid w:val="001E2DFD"/>
    <w:rsid w:val="001E31BA"/>
    <w:rsid w:val="001E3D6E"/>
    <w:rsid w:val="001E41D6"/>
    <w:rsid w:val="001E47F3"/>
    <w:rsid w:val="001E4D11"/>
    <w:rsid w:val="001E4EF3"/>
    <w:rsid w:val="001E5878"/>
    <w:rsid w:val="001E6493"/>
    <w:rsid w:val="001E6967"/>
    <w:rsid w:val="001E6E6B"/>
    <w:rsid w:val="001E723F"/>
    <w:rsid w:val="001E79AA"/>
    <w:rsid w:val="001E7E88"/>
    <w:rsid w:val="001F0384"/>
    <w:rsid w:val="001F099D"/>
    <w:rsid w:val="001F0AF0"/>
    <w:rsid w:val="001F0B75"/>
    <w:rsid w:val="001F100E"/>
    <w:rsid w:val="001F1298"/>
    <w:rsid w:val="001F133A"/>
    <w:rsid w:val="001F1719"/>
    <w:rsid w:val="001F18CE"/>
    <w:rsid w:val="001F1C53"/>
    <w:rsid w:val="001F23AE"/>
    <w:rsid w:val="001F4E9F"/>
    <w:rsid w:val="001F5F51"/>
    <w:rsid w:val="001F64A6"/>
    <w:rsid w:val="001F6A86"/>
    <w:rsid w:val="001F6B2C"/>
    <w:rsid w:val="001F6BC4"/>
    <w:rsid w:val="001F7193"/>
    <w:rsid w:val="001F72DE"/>
    <w:rsid w:val="001F783E"/>
    <w:rsid w:val="001F79AC"/>
    <w:rsid w:val="00201146"/>
    <w:rsid w:val="00201224"/>
    <w:rsid w:val="00201370"/>
    <w:rsid w:val="002019E6"/>
    <w:rsid w:val="00201C89"/>
    <w:rsid w:val="00201ED5"/>
    <w:rsid w:val="002020D5"/>
    <w:rsid w:val="0020347C"/>
    <w:rsid w:val="00203901"/>
    <w:rsid w:val="00203AF4"/>
    <w:rsid w:val="00203B13"/>
    <w:rsid w:val="0020425D"/>
    <w:rsid w:val="00204936"/>
    <w:rsid w:val="00204B0A"/>
    <w:rsid w:val="00204DD1"/>
    <w:rsid w:val="00205469"/>
    <w:rsid w:val="002057EB"/>
    <w:rsid w:val="00205831"/>
    <w:rsid w:val="002059DC"/>
    <w:rsid w:val="00206663"/>
    <w:rsid w:val="00206876"/>
    <w:rsid w:val="00206D9B"/>
    <w:rsid w:val="00207323"/>
    <w:rsid w:val="00207765"/>
    <w:rsid w:val="00207AE5"/>
    <w:rsid w:val="00207D99"/>
    <w:rsid w:val="00210019"/>
    <w:rsid w:val="00210627"/>
    <w:rsid w:val="00210C3C"/>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603A"/>
    <w:rsid w:val="00216767"/>
    <w:rsid w:val="002169C5"/>
    <w:rsid w:val="00216C30"/>
    <w:rsid w:val="00217722"/>
    <w:rsid w:val="002179EA"/>
    <w:rsid w:val="00217B46"/>
    <w:rsid w:val="00220229"/>
    <w:rsid w:val="002203F0"/>
    <w:rsid w:val="00220690"/>
    <w:rsid w:val="0022086A"/>
    <w:rsid w:val="0022108D"/>
    <w:rsid w:val="00221519"/>
    <w:rsid w:val="0022163F"/>
    <w:rsid w:val="00221CCD"/>
    <w:rsid w:val="00221DD8"/>
    <w:rsid w:val="00222746"/>
    <w:rsid w:val="0022289A"/>
    <w:rsid w:val="002234D3"/>
    <w:rsid w:val="002237FE"/>
    <w:rsid w:val="002238A2"/>
    <w:rsid w:val="0022412C"/>
    <w:rsid w:val="002241D9"/>
    <w:rsid w:val="00224407"/>
    <w:rsid w:val="0022440C"/>
    <w:rsid w:val="00224D22"/>
    <w:rsid w:val="00225149"/>
    <w:rsid w:val="002256E7"/>
    <w:rsid w:val="002259EA"/>
    <w:rsid w:val="00226397"/>
    <w:rsid w:val="002267E4"/>
    <w:rsid w:val="00226CB5"/>
    <w:rsid w:val="00226EBA"/>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78D"/>
    <w:rsid w:val="002344D1"/>
    <w:rsid w:val="00234998"/>
    <w:rsid w:val="00234D4B"/>
    <w:rsid w:val="0023557E"/>
    <w:rsid w:val="00235759"/>
    <w:rsid w:val="00235DC0"/>
    <w:rsid w:val="002366BD"/>
    <w:rsid w:val="00236852"/>
    <w:rsid w:val="002369A3"/>
    <w:rsid w:val="00236B0C"/>
    <w:rsid w:val="00237635"/>
    <w:rsid w:val="00237A1E"/>
    <w:rsid w:val="00237B5E"/>
    <w:rsid w:val="00237BA9"/>
    <w:rsid w:val="00240A1D"/>
    <w:rsid w:val="00241B19"/>
    <w:rsid w:val="00241BB5"/>
    <w:rsid w:val="00242470"/>
    <w:rsid w:val="002425BE"/>
    <w:rsid w:val="002426CB"/>
    <w:rsid w:val="0024287D"/>
    <w:rsid w:val="00242CEE"/>
    <w:rsid w:val="00243506"/>
    <w:rsid w:val="00243964"/>
    <w:rsid w:val="00243B7C"/>
    <w:rsid w:val="00243C9D"/>
    <w:rsid w:val="002446F9"/>
    <w:rsid w:val="00244FF9"/>
    <w:rsid w:val="00245046"/>
    <w:rsid w:val="002451FA"/>
    <w:rsid w:val="00245339"/>
    <w:rsid w:val="00245C33"/>
    <w:rsid w:val="002460DD"/>
    <w:rsid w:val="002462F1"/>
    <w:rsid w:val="00246F35"/>
    <w:rsid w:val="002471EC"/>
    <w:rsid w:val="002478FF"/>
    <w:rsid w:val="002501F1"/>
    <w:rsid w:val="002502F9"/>
    <w:rsid w:val="00250634"/>
    <w:rsid w:val="0025082F"/>
    <w:rsid w:val="00250ADF"/>
    <w:rsid w:val="0025101E"/>
    <w:rsid w:val="002516B1"/>
    <w:rsid w:val="00251CAC"/>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E"/>
    <w:rsid w:val="00254E89"/>
    <w:rsid w:val="002550A9"/>
    <w:rsid w:val="002556B2"/>
    <w:rsid w:val="00255A0A"/>
    <w:rsid w:val="00256279"/>
    <w:rsid w:val="00256983"/>
    <w:rsid w:val="002571F3"/>
    <w:rsid w:val="0025799B"/>
    <w:rsid w:val="00257A2D"/>
    <w:rsid w:val="00257B0C"/>
    <w:rsid w:val="00257C51"/>
    <w:rsid w:val="00257E74"/>
    <w:rsid w:val="002602DC"/>
    <w:rsid w:val="00260371"/>
    <w:rsid w:val="00260428"/>
    <w:rsid w:val="002608C9"/>
    <w:rsid w:val="00260AFE"/>
    <w:rsid w:val="00261200"/>
    <w:rsid w:val="00261478"/>
    <w:rsid w:val="0026167C"/>
    <w:rsid w:val="00261CC1"/>
    <w:rsid w:val="0026247A"/>
    <w:rsid w:val="00263767"/>
    <w:rsid w:val="00263B3E"/>
    <w:rsid w:val="00263DF0"/>
    <w:rsid w:val="002643BE"/>
    <w:rsid w:val="00264992"/>
    <w:rsid w:val="00264BF5"/>
    <w:rsid w:val="00264F69"/>
    <w:rsid w:val="00265379"/>
    <w:rsid w:val="00265494"/>
    <w:rsid w:val="00265C5F"/>
    <w:rsid w:val="0026606D"/>
    <w:rsid w:val="002660ED"/>
    <w:rsid w:val="0026620E"/>
    <w:rsid w:val="0026661D"/>
    <w:rsid w:val="002670A4"/>
    <w:rsid w:val="00267168"/>
    <w:rsid w:val="0027087A"/>
    <w:rsid w:val="00270F5E"/>
    <w:rsid w:val="00271494"/>
    <w:rsid w:val="002714BA"/>
    <w:rsid w:val="0027160A"/>
    <w:rsid w:val="00271C65"/>
    <w:rsid w:val="00272246"/>
    <w:rsid w:val="00272443"/>
    <w:rsid w:val="002726FA"/>
    <w:rsid w:val="002728E7"/>
    <w:rsid w:val="00272A1D"/>
    <w:rsid w:val="00272A51"/>
    <w:rsid w:val="00272F28"/>
    <w:rsid w:val="0027352A"/>
    <w:rsid w:val="002739C4"/>
    <w:rsid w:val="00273A21"/>
    <w:rsid w:val="002741C2"/>
    <w:rsid w:val="0027461D"/>
    <w:rsid w:val="0027465D"/>
    <w:rsid w:val="00274997"/>
    <w:rsid w:val="002749BA"/>
    <w:rsid w:val="00274A9B"/>
    <w:rsid w:val="00274BA3"/>
    <w:rsid w:val="002750F9"/>
    <w:rsid w:val="00275740"/>
    <w:rsid w:val="002766ED"/>
    <w:rsid w:val="00276BD4"/>
    <w:rsid w:val="00276D87"/>
    <w:rsid w:val="002775DA"/>
    <w:rsid w:val="002779E9"/>
    <w:rsid w:val="00280408"/>
    <w:rsid w:val="002807E3"/>
    <w:rsid w:val="00280EEC"/>
    <w:rsid w:val="0028117F"/>
    <w:rsid w:val="00281343"/>
    <w:rsid w:val="00281466"/>
    <w:rsid w:val="00281543"/>
    <w:rsid w:val="00281BDD"/>
    <w:rsid w:val="00281D69"/>
    <w:rsid w:val="0028263C"/>
    <w:rsid w:val="002827A1"/>
    <w:rsid w:val="00282DF2"/>
    <w:rsid w:val="00282F6A"/>
    <w:rsid w:val="002831FB"/>
    <w:rsid w:val="00283701"/>
    <w:rsid w:val="00283C45"/>
    <w:rsid w:val="00284338"/>
    <w:rsid w:val="00284409"/>
    <w:rsid w:val="00284707"/>
    <w:rsid w:val="00284812"/>
    <w:rsid w:val="00284FA5"/>
    <w:rsid w:val="00285FDE"/>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2048"/>
    <w:rsid w:val="0029279F"/>
    <w:rsid w:val="00293562"/>
    <w:rsid w:val="002936DE"/>
    <w:rsid w:val="002940D6"/>
    <w:rsid w:val="00294889"/>
    <w:rsid w:val="00294BBD"/>
    <w:rsid w:val="00295181"/>
    <w:rsid w:val="0029529A"/>
    <w:rsid w:val="00295641"/>
    <w:rsid w:val="00295A99"/>
    <w:rsid w:val="002964B0"/>
    <w:rsid w:val="002965DF"/>
    <w:rsid w:val="00296DCF"/>
    <w:rsid w:val="002975BA"/>
    <w:rsid w:val="002978F0"/>
    <w:rsid w:val="00297A54"/>
    <w:rsid w:val="00297ED0"/>
    <w:rsid w:val="002A01CB"/>
    <w:rsid w:val="002A04A4"/>
    <w:rsid w:val="002A07FB"/>
    <w:rsid w:val="002A158B"/>
    <w:rsid w:val="002A1687"/>
    <w:rsid w:val="002A18E4"/>
    <w:rsid w:val="002A1C98"/>
    <w:rsid w:val="002A264C"/>
    <w:rsid w:val="002A2950"/>
    <w:rsid w:val="002A30C2"/>
    <w:rsid w:val="002A3483"/>
    <w:rsid w:val="002A3AF2"/>
    <w:rsid w:val="002A45F6"/>
    <w:rsid w:val="002A4E24"/>
    <w:rsid w:val="002A5297"/>
    <w:rsid w:val="002A5A73"/>
    <w:rsid w:val="002A629C"/>
    <w:rsid w:val="002A649C"/>
    <w:rsid w:val="002A6AAC"/>
    <w:rsid w:val="002A6B09"/>
    <w:rsid w:val="002A6DC4"/>
    <w:rsid w:val="002A6EC6"/>
    <w:rsid w:val="002A7173"/>
    <w:rsid w:val="002A71FE"/>
    <w:rsid w:val="002A7345"/>
    <w:rsid w:val="002B0236"/>
    <w:rsid w:val="002B0374"/>
    <w:rsid w:val="002B06F6"/>
    <w:rsid w:val="002B0946"/>
    <w:rsid w:val="002B0D0E"/>
    <w:rsid w:val="002B0D75"/>
    <w:rsid w:val="002B0E50"/>
    <w:rsid w:val="002B12C4"/>
    <w:rsid w:val="002B12F4"/>
    <w:rsid w:val="002B1FBB"/>
    <w:rsid w:val="002B21B1"/>
    <w:rsid w:val="002B22C7"/>
    <w:rsid w:val="002B2422"/>
    <w:rsid w:val="002B24D2"/>
    <w:rsid w:val="002B270C"/>
    <w:rsid w:val="002B28E2"/>
    <w:rsid w:val="002B2951"/>
    <w:rsid w:val="002B2A67"/>
    <w:rsid w:val="002B2CC6"/>
    <w:rsid w:val="002B2D9B"/>
    <w:rsid w:val="002B2E82"/>
    <w:rsid w:val="002B3249"/>
    <w:rsid w:val="002B336A"/>
    <w:rsid w:val="002B3639"/>
    <w:rsid w:val="002B3882"/>
    <w:rsid w:val="002B4975"/>
    <w:rsid w:val="002B50D3"/>
    <w:rsid w:val="002B5111"/>
    <w:rsid w:val="002B512A"/>
    <w:rsid w:val="002B521A"/>
    <w:rsid w:val="002B56D5"/>
    <w:rsid w:val="002B5AAE"/>
    <w:rsid w:val="002B6C55"/>
    <w:rsid w:val="002B79DF"/>
    <w:rsid w:val="002C001B"/>
    <w:rsid w:val="002C065E"/>
    <w:rsid w:val="002C0705"/>
    <w:rsid w:val="002C0B45"/>
    <w:rsid w:val="002C1B0D"/>
    <w:rsid w:val="002C207D"/>
    <w:rsid w:val="002C24C8"/>
    <w:rsid w:val="002C3123"/>
    <w:rsid w:val="002C3A5A"/>
    <w:rsid w:val="002C4092"/>
    <w:rsid w:val="002C4620"/>
    <w:rsid w:val="002C4771"/>
    <w:rsid w:val="002C4E32"/>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29C"/>
    <w:rsid w:val="002D164F"/>
    <w:rsid w:val="002D2788"/>
    <w:rsid w:val="002D283B"/>
    <w:rsid w:val="002D2A0A"/>
    <w:rsid w:val="002D3066"/>
    <w:rsid w:val="002D3BED"/>
    <w:rsid w:val="002D3D0F"/>
    <w:rsid w:val="002D4433"/>
    <w:rsid w:val="002D4E04"/>
    <w:rsid w:val="002D4F40"/>
    <w:rsid w:val="002D5269"/>
    <w:rsid w:val="002D54A5"/>
    <w:rsid w:val="002D5EBC"/>
    <w:rsid w:val="002D5ED8"/>
    <w:rsid w:val="002D666E"/>
    <w:rsid w:val="002D6C2C"/>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DE1"/>
    <w:rsid w:val="002E2E14"/>
    <w:rsid w:val="002E315F"/>
    <w:rsid w:val="002E31A0"/>
    <w:rsid w:val="002E39F6"/>
    <w:rsid w:val="002E4119"/>
    <w:rsid w:val="002E446C"/>
    <w:rsid w:val="002E465C"/>
    <w:rsid w:val="002E4735"/>
    <w:rsid w:val="002E4D36"/>
    <w:rsid w:val="002E4D3D"/>
    <w:rsid w:val="002E4E77"/>
    <w:rsid w:val="002E5132"/>
    <w:rsid w:val="002E5742"/>
    <w:rsid w:val="002E5A20"/>
    <w:rsid w:val="002E5AC5"/>
    <w:rsid w:val="002E6D48"/>
    <w:rsid w:val="002E6E9B"/>
    <w:rsid w:val="002E6FB8"/>
    <w:rsid w:val="002E73FB"/>
    <w:rsid w:val="002E757D"/>
    <w:rsid w:val="002E77F4"/>
    <w:rsid w:val="002E7D04"/>
    <w:rsid w:val="002E7D46"/>
    <w:rsid w:val="002F004C"/>
    <w:rsid w:val="002F0A49"/>
    <w:rsid w:val="002F0AC7"/>
    <w:rsid w:val="002F1275"/>
    <w:rsid w:val="002F1396"/>
    <w:rsid w:val="002F1742"/>
    <w:rsid w:val="002F1D6E"/>
    <w:rsid w:val="002F271E"/>
    <w:rsid w:val="002F27FE"/>
    <w:rsid w:val="002F2837"/>
    <w:rsid w:val="002F28A7"/>
    <w:rsid w:val="002F3952"/>
    <w:rsid w:val="002F4544"/>
    <w:rsid w:val="002F49DE"/>
    <w:rsid w:val="002F5249"/>
    <w:rsid w:val="002F5A20"/>
    <w:rsid w:val="002F629B"/>
    <w:rsid w:val="002F6550"/>
    <w:rsid w:val="002F65C6"/>
    <w:rsid w:val="002F6658"/>
    <w:rsid w:val="002F66E9"/>
    <w:rsid w:val="002F67DC"/>
    <w:rsid w:val="002F6AD9"/>
    <w:rsid w:val="002F6C56"/>
    <w:rsid w:val="002F70A3"/>
    <w:rsid w:val="002F77A3"/>
    <w:rsid w:val="002F7DE5"/>
    <w:rsid w:val="002F7F30"/>
    <w:rsid w:val="002F7F34"/>
    <w:rsid w:val="002F7F4A"/>
    <w:rsid w:val="003001E5"/>
    <w:rsid w:val="00300EA9"/>
    <w:rsid w:val="00301020"/>
    <w:rsid w:val="00301274"/>
    <w:rsid w:val="00301560"/>
    <w:rsid w:val="00301670"/>
    <w:rsid w:val="00301EE2"/>
    <w:rsid w:val="003022B5"/>
    <w:rsid w:val="00302435"/>
    <w:rsid w:val="00302446"/>
    <w:rsid w:val="00302831"/>
    <w:rsid w:val="0030287E"/>
    <w:rsid w:val="0030297A"/>
    <w:rsid w:val="0030305C"/>
    <w:rsid w:val="00303B2D"/>
    <w:rsid w:val="00304B0A"/>
    <w:rsid w:val="00305E5E"/>
    <w:rsid w:val="0030604E"/>
    <w:rsid w:val="00306292"/>
    <w:rsid w:val="00306357"/>
    <w:rsid w:val="003069D5"/>
    <w:rsid w:val="00306D87"/>
    <w:rsid w:val="003075E9"/>
    <w:rsid w:val="003103E6"/>
    <w:rsid w:val="003107CF"/>
    <w:rsid w:val="003108EE"/>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39E"/>
    <w:rsid w:val="003133B8"/>
    <w:rsid w:val="00314453"/>
    <w:rsid w:val="003144ED"/>
    <w:rsid w:val="00314A22"/>
    <w:rsid w:val="00314C61"/>
    <w:rsid w:val="003150C0"/>
    <w:rsid w:val="0031510F"/>
    <w:rsid w:val="00315490"/>
    <w:rsid w:val="003156B1"/>
    <w:rsid w:val="00315B07"/>
    <w:rsid w:val="00315D18"/>
    <w:rsid w:val="00315D88"/>
    <w:rsid w:val="00316A38"/>
    <w:rsid w:val="00316BCA"/>
    <w:rsid w:val="00316CFC"/>
    <w:rsid w:val="00316EEF"/>
    <w:rsid w:val="00316FB5"/>
    <w:rsid w:val="00317596"/>
    <w:rsid w:val="003175C3"/>
    <w:rsid w:val="0031793F"/>
    <w:rsid w:val="0031794F"/>
    <w:rsid w:val="00317D8F"/>
    <w:rsid w:val="003208D8"/>
    <w:rsid w:val="00320C0F"/>
    <w:rsid w:val="0032157D"/>
    <w:rsid w:val="003219D3"/>
    <w:rsid w:val="00321A1C"/>
    <w:rsid w:val="00321B44"/>
    <w:rsid w:val="00321DD4"/>
    <w:rsid w:val="00322523"/>
    <w:rsid w:val="0032271A"/>
    <w:rsid w:val="00322BB5"/>
    <w:rsid w:val="0032410C"/>
    <w:rsid w:val="00324679"/>
    <w:rsid w:val="00324795"/>
    <w:rsid w:val="00324923"/>
    <w:rsid w:val="00324B7A"/>
    <w:rsid w:val="003252CD"/>
    <w:rsid w:val="00325B0C"/>
    <w:rsid w:val="003265A8"/>
    <w:rsid w:val="00326804"/>
    <w:rsid w:val="00327789"/>
    <w:rsid w:val="003304CE"/>
    <w:rsid w:val="00330763"/>
    <w:rsid w:val="00330A71"/>
    <w:rsid w:val="00330BA2"/>
    <w:rsid w:val="00330D37"/>
    <w:rsid w:val="00330F6D"/>
    <w:rsid w:val="00331197"/>
    <w:rsid w:val="003312EF"/>
    <w:rsid w:val="0033148A"/>
    <w:rsid w:val="0033153C"/>
    <w:rsid w:val="003319C1"/>
    <w:rsid w:val="0033205D"/>
    <w:rsid w:val="00332066"/>
    <w:rsid w:val="0033223F"/>
    <w:rsid w:val="003326A1"/>
    <w:rsid w:val="00332921"/>
    <w:rsid w:val="00333097"/>
    <w:rsid w:val="003335F0"/>
    <w:rsid w:val="00333926"/>
    <w:rsid w:val="00333DE4"/>
    <w:rsid w:val="00334401"/>
    <w:rsid w:val="003344B0"/>
    <w:rsid w:val="00335539"/>
    <w:rsid w:val="00336AF3"/>
    <w:rsid w:val="00336E1C"/>
    <w:rsid w:val="00336F88"/>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EF7"/>
    <w:rsid w:val="003468EB"/>
    <w:rsid w:val="003469B5"/>
    <w:rsid w:val="00346B70"/>
    <w:rsid w:val="00347078"/>
    <w:rsid w:val="003472B7"/>
    <w:rsid w:val="00347564"/>
    <w:rsid w:val="003477B2"/>
    <w:rsid w:val="003477EB"/>
    <w:rsid w:val="0035048A"/>
    <w:rsid w:val="00350802"/>
    <w:rsid w:val="00350955"/>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5740"/>
    <w:rsid w:val="00355CC0"/>
    <w:rsid w:val="00355DA5"/>
    <w:rsid w:val="003563C2"/>
    <w:rsid w:val="003565DD"/>
    <w:rsid w:val="00356850"/>
    <w:rsid w:val="00356CFF"/>
    <w:rsid w:val="003573C9"/>
    <w:rsid w:val="00357630"/>
    <w:rsid w:val="00357D5B"/>
    <w:rsid w:val="00360468"/>
    <w:rsid w:val="003604B1"/>
    <w:rsid w:val="00360B06"/>
    <w:rsid w:val="003611E0"/>
    <w:rsid w:val="003614B0"/>
    <w:rsid w:val="0036156F"/>
    <w:rsid w:val="003628AD"/>
    <w:rsid w:val="00362988"/>
    <w:rsid w:val="003629D7"/>
    <w:rsid w:val="00362B16"/>
    <w:rsid w:val="00362D9D"/>
    <w:rsid w:val="00362F86"/>
    <w:rsid w:val="0036388B"/>
    <w:rsid w:val="00363A4F"/>
    <w:rsid w:val="00364425"/>
    <w:rsid w:val="00364472"/>
    <w:rsid w:val="0036504F"/>
    <w:rsid w:val="0036522A"/>
    <w:rsid w:val="0036528D"/>
    <w:rsid w:val="00365836"/>
    <w:rsid w:val="00365A93"/>
    <w:rsid w:val="00365C11"/>
    <w:rsid w:val="0036635A"/>
    <w:rsid w:val="00366661"/>
    <w:rsid w:val="00366A80"/>
    <w:rsid w:val="00366C32"/>
    <w:rsid w:val="00366C38"/>
    <w:rsid w:val="00367621"/>
    <w:rsid w:val="00367A7C"/>
    <w:rsid w:val="00367E97"/>
    <w:rsid w:val="00370116"/>
    <w:rsid w:val="003707EF"/>
    <w:rsid w:val="00370BBB"/>
    <w:rsid w:val="00370C02"/>
    <w:rsid w:val="00370C21"/>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700A"/>
    <w:rsid w:val="00377BB7"/>
    <w:rsid w:val="00377F0B"/>
    <w:rsid w:val="00377F1E"/>
    <w:rsid w:val="003803A1"/>
    <w:rsid w:val="003806BA"/>
    <w:rsid w:val="00380DD5"/>
    <w:rsid w:val="003810FE"/>
    <w:rsid w:val="0038125C"/>
    <w:rsid w:val="003818CA"/>
    <w:rsid w:val="00382174"/>
    <w:rsid w:val="0038252A"/>
    <w:rsid w:val="003826D3"/>
    <w:rsid w:val="003829A8"/>
    <w:rsid w:val="00382CEE"/>
    <w:rsid w:val="0038366F"/>
    <w:rsid w:val="00383989"/>
    <w:rsid w:val="00383BF7"/>
    <w:rsid w:val="0038449A"/>
    <w:rsid w:val="00384808"/>
    <w:rsid w:val="003848FB"/>
    <w:rsid w:val="00384A79"/>
    <w:rsid w:val="00384A87"/>
    <w:rsid w:val="00385048"/>
    <w:rsid w:val="00385FB7"/>
    <w:rsid w:val="00386615"/>
    <w:rsid w:val="0038758E"/>
    <w:rsid w:val="003876AF"/>
    <w:rsid w:val="00387D5A"/>
    <w:rsid w:val="003907CE"/>
    <w:rsid w:val="0039093B"/>
    <w:rsid w:val="00390AE8"/>
    <w:rsid w:val="00391792"/>
    <w:rsid w:val="00391ADB"/>
    <w:rsid w:val="00391E08"/>
    <w:rsid w:val="00391FBF"/>
    <w:rsid w:val="0039211C"/>
    <w:rsid w:val="003921C7"/>
    <w:rsid w:val="003923F4"/>
    <w:rsid w:val="003927A5"/>
    <w:rsid w:val="003927EA"/>
    <w:rsid w:val="00392891"/>
    <w:rsid w:val="00393618"/>
    <w:rsid w:val="00393992"/>
    <w:rsid w:val="00393C5F"/>
    <w:rsid w:val="003940DF"/>
    <w:rsid w:val="0039486B"/>
    <w:rsid w:val="003948F1"/>
    <w:rsid w:val="00394A52"/>
    <w:rsid w:val="00394E9A"/>
    <w:rsid w:val="00395164"/>
    <w:rsid w:val="00395AAA"/>
    <w:rsid w:val="0039627A"/>
    <w:rsid w:val="003963B6"/>
    <w:rsid w:val="003963E9"/>
    <w:rsid w:val="003965D3"/>
    <w:rsid w:val="00397423"/>
    <w:rsid w:val="00397653"/>
    <w:rsid w:val="0039780D"/>
    <w:rsid w:val="003979E8"/>
    <w:rsid w:val="00397AEC"/>
    <w:rsid w:val="003A08E5"/>
    <w:rsid w:val="003A1956"/>
    <w:rsid w:val="003A1F2E"/>
    <w:rsid w:val="003A1F4D"/>
    <w:rsid w:val="003A1FAE"/>
    <w:rsid w:val="003A2A86"/>
    <w:rsid w:val="003A3887"/>
    <w:rsid w:val="003A3AFB"/>
    <w:rsid w:val="003A4C6E"/>
    <w:rsid w:val="003A5505"/>
    <w:rsid w:val="003A5D91"/>
    <w:rsid w:val="003A6C18"/>
    <w:rsid w:val="003A7C56"/>
    <w:rsid w:val="003A7DBE"/>
    <w:rsid w:val="003B03C9"/>
    <w:rsid w:val="003B04DE"/>
    <w:rsid w:val="003B0A76"/>
    <w:rsid w:val="003B0BB8"/>
    <w:rsid w:val="003B0C33"/>
    <w:rsid w:val="003B0D8F"/>
    <w:rsid w:val="003B0EA4"/>
    <w:rsid w:val="003B0FC8"/>
    <w:rsid w:val="003B1759"/>
    <w:rsid w:val="003B1B69"/>
    <w:rsid w:val="003B1EB3"/>
    <w:rsid w:val="003B22FE"/>
    <w:rsid w:val="003B2480"/>
    <w:rsid w:val="003B2AA1"/>
    <w:rsid w:val="003B2DDE"/>
    <w:rsid w:val="003B2F1F"/>
    <w:rsid w:val="003B34AF"/>
    <w:rsid w:val="003B4052"/>
    <w:rsid w:val="003B437B"/>
    <w:rsid w:val="003B4AD0"/>
    <w:rsid w:val="003B5183"/>
    <w:rsid w:val="003B535D"/>
    <w:rsid w:val="003B536B"/>
    <w:rsid w:val="003B5489"/>
    <w:rsid w:val="003B550E"/>
    <w:rsid w:val="003B5867"/>
    <w:rsid w:val="003B5B3C"/>
    <w:rsid w:val="003B645E"/>
    <w:rsid w:val="003B6E79"/>
    <w:rsid w:val="003B6F0F"/>
    <w:rsid w:val="003B6FC1"/>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8D4"/>
    <w:rsid w:val="003C3930"/>
    <w:rsid w:val="003C3BE7"/>
    <w:rsid w:val="003C4110"/>
    <w:rsid w:val="003C4408"/>
    <w:rsid w:val="003C4D13"/>
    <w:rsid w:val="003C519E"/>
    <w:rsid w:val="003C5528"/>
    <w:rsid w:val="003C55E4"/>
    <w:rsid w:val="003C57C0"/>
    <w:rsid w:val="003C6A94"/>
    <w:rsid w:val="003C6E0B"/>
    <w:rsid w:val="003C7224"/>
    <w:rsid w:val="003C73B6"/>
    <w:rsid w:val="003D0970"/>
    <w:rsid w:val="003D0A09"/>
    <w:rsid w:val="003D0B0A"/>
    <w:rsid w:val="003D16F6"/>
    <w:rsid w:val="003D188D"/>
    <w:rsid w:val="003D18BA"/>
    <w:rsid w:val="003D1A27"/>
    <w:rsid w:val="003D1C26"/>
    <w:rsid w:val="003D2633"/>
    <w:rsid w:val="003D26D2"/>
    <w:rsid w:val="003D2E26"/>
    <w:rsid w:val="003D3648"/>
    <w:rsid w:val="003D397E"/>
    <w:rsid w:val="003D5200"/>
    <w:rsid w:val="003D5868"/>
    <w:rsid w:val="003D59D1"/>
    <w:rsid w:val="003D5A65"/>
    <w:rsid w:val="003D5B58"/>
    <w:rsid w:val="003D5BA0"/>
    <w:rsid w:val="003D622E"/>
    <w:rsid w:val="003D7409"/>
    <w:rsid w:val="003D7CAA"/>
    <w:rsid w:val="003D7E44"/>
    <w:rsid w:val="003E02A0"/>
    <w:rsid w:val="003E0308"/>
    <w:rsid w:val="003E0833"/>
    <w:rsid w:val="003E0C86"/>
    <w:rsid w:val="003E10EE"/>
    <w:rsid w:val="003E1459"/>
    <w:rsid w:val="003E176F"/>
    <w:rsid w:val="003E1E5F"/>
    <w:rsid w:val="003E1F3A"/>
    <w:rsid w:val="003E20D0"/>
    <w:rsid w:val="003E21CE"/>
    <w:rsid w:val="003E2554"/>
    <w:rsid w:val="003E297C"/>
    <w:rsid w:val="003E3686"/>
    <w:rsid w:val="003E3EDE"/>
    <w:rsid w:val="003E46AF"/>
    <w:rsid w:val="003E4AC5"/>
    <w:rsid w:val="003E528C"/>
    <w:rsid w:val="003E5766"/>
    <w:rsid w:val="003E57A6"/>
    <w:rsid w:val="003E6258"/>
    <w:rsid w:val="003E663C"/>
    <w:rsid w:val="003E6B2F"/>
    <w:rsid w:val="003E6C4F"/>
    <w:rsid w:val="003E785E"/>
    <w:rsid w:val="003F00CC"/>
    <w:rsid w:val="003F0187"/>
    <w:rsid w:val="003F069D"/>
    <w:rsid w:val="003F129A"/>
    <w:rsid w:val="003F1470"/>
    <w:rsid w:val="003F168F"/>
    <w:rsid w:val="003F18A5"/>
    <w:rsid w:val="003F18A9"/>
    <w:rsid w:val="003F31C9"/>
    <w:rsid w:val="003F3315"/>
    <w:rsid w:val="003F33A5"/>
    <w:rsid w:val="003F3446"/>
    <w:rsid w:val="003F35ED"/>
    <w:rsid w:val="003F36D3"/>
    <w:rsid w:val="003F37D5"/>
    <w:rsid w:val="003F3B46"/>
    <w:rsid w:val="003F3C5E"/>
    <w:rsid w:val="003F40AC"/>
    <w:rsid w:val="003F44F2"/>
    <w:rsid w:val="003F45E1"/>
    <w:rsid w:val="003F45F3"/>
    <w:rsid w:val="003F473B"/>
    <w:rsid w:val="003F4F81"/>
    <w:rsid w:val="003F4FA1"/>
    <w:rsid w:val="003F59D4"/>
    <w:rsid w:val="003F6407"/>
    <w:rsid w:val="003F70B4"/>
    <w:rsid w:val="003F7143"/>
    <w:rsid w:val="003F76AF"/>
    <w:rsid w:val="0040020E"/>
    <w:rsid w:val="004003F0"/>
    <w:rsid w:val="0040085F"/>
    <w:rsid w:val="00400984"/>
    <w:rsid w:val="004012A4"/>
    <w:rsid w:val="0040136A"/>
    <w:rsid w:val="0040156C"/>
    <w:rsid w:val="00401602"/>
    <w:rsid w:val="004017FB"/>
    <w:rsid w:val="00401F86"/>
    <w:rsid w:val="0040267F"/>
    <w:rsid w:val="00402C7B"/>
    <w:rsid w:val="004036D1"/>
    <w:rsid w:val="00404D4F"/>
    <w:rsid w:val="00404F12"/>
    <w:rsid w:val="004050AA"/>
    <w:rsid w:val="004052B3"/>
    <w:rsid w:val="00405AAA"/>
    <w:rsid w:val="00405DE2"/>
    <w:rsid w:val="004070DA"/>
    <w:rsid w:val="004073B6"/>
    <w:rsid w:val="00407C5C"/>
    <w:rsid w:val="00407ECB"/>
    <w:rsid w:val="00410070"/>
    <w:rsid w:val="0041062E"/>
    <w:rsid w:val="0041089F"/>
    <w:rsid w:val="00410A22"/>
    <w:rsid w:val="00410B5D"/>
    <w:rsid w:val="0041121B"/>
    <w:rsid w:val="004112CA"/>
    <w:rsid w:val="00411B10"/>
    <w:rsid w:val="00412563"/>
    <w:rsid w:val="00412877"/>
    <w:rsid w:val="00412A18"/>
    <w:rsid w:val="00412C66"/>
    <w:rsid w:val="00413524"/>
    <w:rsid w:val="004135D0"/>
    <w:rsid w:val="00413668"/>
    <w:rsid w:val="00413E01"/>
    <w:rsid w:val="00414D56"/>
    <w:rsid w:val="00414E38"/>
    <w:rsid w:val="00415DB9"/>
    <w:rsid w:val="00415F7C"/>
    <w:rsid w:val="00416762"/>
    <w:rsid w:val="00416A70"/>
    <w:rsid w:val="00416E67"/>
    <w:rsid w:val="0041715A"/>
    <w:rsid w:val="004202E7"/>
    <w:rsid w:val="0042030F"/>
    <w:rsid w:val="004205AC"/>
    <w:rsid w:val="004214C0"/>
    <w:rsid w:val="004216FE"/>
    <w:rsid w:val="00421D33"/>
    <w:rsid w:val="0042264F"/>
    <w:rsid w:val="004235B8"/>
    <w:rsid w:val="00423837"/>
    <w:rsid w:val="004239E1"/>
    <w:rsid w:val="00423A2A"/>
    <w:rsid w:val="00423ADE"/>
    <w:rsid w:val="0042408A"/>
    <w:rsid w:val="00424E37"/>
    <w:rsid w:val="00425A64"/>
    <w:rsid w:val="00425BCC"/>
    <w:rsid w:val="00425F0B"/>
    <w:rsid w:val="004262C0"/>
    <w:rsid w:val="00426D77"/>
    <w:rsid w:val="0042763F"/>
    <w:rsid w:val="00427697"/>
    <w:rsid w:val="004278A8"/>
    <w:rsid w:val="00427A33"/>
    <w:rsid w:val="00427AB7"/>
    <w:rsid w:val="00427B6A"/>
    <w:rsid w:val="0043045A"/>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AC8"/>
    <w:rsid w:val="00436DF4"/>
    <w:rsid w:val="00437518"/>
    <w:rsid w:val="004376CA"/>
    <w:rsid w:val="004378D9"/>
    <w:rsid w:val="00440B6C"/>
    <w:rsid w:val="00440B9E"/>
    <w:rsid w:val="00440E10"/>
    <w:rsid w:val="00440E81"/>
    <w:rsid w:val="00440EDC"/>
    <w:rsid w:val="00441337"/>
    <w:rsid w:val="004421A7"/>
    <w:rsid w:val="0044237F"/>
    <w:rsid w:val="00442483"/>
    <w:rsid w:val="00442C6E"/>
    <w:rsid w:val="00442CDB"/>
    <w:rsid w:val="0044312A"/>
    <w:rsid w:val="004432ED"/>
    <w:rsid w:val="00443443"/>
    <w:rsid w:val="004440EE"/>
    <w:rsid w:val="004444E7"/>
    <w:rsid w:val="004445C7"/>
    <w:rsid w:val="004445CF"/>
    <w:rsid w:val="004445D3"/>
    <w:rsid w:val="00444631"/>
    <w:rsid w:val="00445033"/>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D5B"/>
    <w:rsid w:val="00447F2D"/>
    <w:rsid w:val="00450099"/>
    <w:rsid w:val="004504D4"/>
    <w:rsid w:val="004505F1"/>
    <w:rsid w:val="00450714"/>
    <w:rsid w:val="00450D66"/>
    <w:rsid w:val="0045113B"/>
    <w:rsid w:val="004517D3"/>
    <w:rsid w:val="00451C82"/>
    <w:rsid w:val="0045274A"/>
    <w:rsid w:val="00453A46"/>
    <w:rsid w:val="0045438E"/>
    <w:rsid w:val="00454685"/>
    <w:rsid w:val="00454788"/>
    <w:rsid w:val="00455280"/>
    <w:rsid w:val="004554D6"/>
    <w:rsid w:val="00455C1C"/>
    <w:rsid w:val="00455C6C"/>
    <w:rsid w:val="00455CB8"/>
    <w:rsid w:val="004562DB"/>
    <w:rsid w:val="00456C0F"/>
    <w:rsid w:val="00457167"/>
    <w:rsid w:val="004573FB"/>
    <w:rsid w:val="00457654"/>
    <w:rsid w:val="00460EF3"/>
    <w:rsid w:val="00460F96"/>
    <w:rsid w:val="00461095"/>
    <w:rsid w:val="004618A5"/>
    <w:rsid w:val="00462729"/>
    <w:rsid w:val="00462FB7"/>
    <w:rsid w:val="00463219"/>
    <w:rsid w:val="0046322E"/>
    <w:rsid w:val="0046333F"/>
    <w:rsid w:val="00463EF9"/>
    <w:rsid w:val="00464400"/>
    <w:rsid w:val="004646EB"/>
    <w:rsid w:val="00464833"/>
    <w:rsid w:val="00464B24"/>
    <w:rsid w:val="00465098"/>
    <w:rsid w:val="00465134"/>
    <w:rsid w:val="00465DD7"/>
    <w:rsid w:val="00465E01"/>
    <w:rsid w:val="00465FDE"/>
    <w:rsid w:val="004660F8"/>
    <w:rsid w:val="004662DC"/>
    <w:rsid w:val="004664F1"/>
    <w:rsid w:val="00466741"/>
    <w:rsid w:val="00466956"/>
    <w:rsid w:val="00466DAD"/>
    <w:rsid w:val="00466EC0"/>
    <w:rsid w:val="0046707B"/>
    <w:rsid w:val="004671AB"/>
    <w:rsid w:val="00467C6B"/>
    <w:rsid w:val="00467FCF"/>
    <w:rsid w:val="004700D7"/>
    <w:rsid w:val="0047026A"/>
    <w:rsid w:val="004706A5"/>
    <w:rsid w:val="00471471"/>
    <w:rsid w:val="00471750"/>
    <w:rsid w:val="00471B0A"/>
    <w:rsid w:val="00471CF3"/>
    <w:rsid w:val="0047218A"/>
    <w:rsid w:val="004722D4"/>
    <w:rsid w:val="0047255E"/>
    <w:rsid w:val="004726BB"/>
    <w:rsid w:val="0047271B"/>
    <w:rsid w:val="00472D97"/>
    <w:rsid w:val="00472FA0"/>
    <w:rsid w:val="00472FAA"/>
    <w:rsid w:val="004739BF"/>
    <w:rsid w:val="004740D8"/>
    <w:rsid w:val="004746B5"/>
    <w:rsid w:val="004748BE"/>
    <w:rsid w:val="004748DA"/>
    <w:rsid w:val="00474D83"/>
    <w:rsid w:val="004755DC"/>
    <w:rsid w:val="00475A90"/>
    <w:rsid w:val="0047686B"/>
    <w:rsid w:val="00476903"/>
    <w:rsid w:val="00477D09"/>
    <w:rsid w:val="00477D6E"/>
    <w:rsid w:val="00477F08"/>
    <w:rsid w:val="004801B1"/>
    <w:rsid w:val="00480AF7"/>
    <w:rsid w:val="00480D56"/>
    <w:rsid w:val="0048121F"/>
    <w:rsid w:val="00481452"/>
    <w:rsid w:val="0048178D"/>
    <w:rsid w:val="00481947"/>
    <w:rsid w:val="00481B00"/>
    <w:rsid w:val="00481E7A"/>
    <w:rsid w:val="00481F3B"/>
    <w:rsid w:val="004828C9"/>
    <w:rsid w:val="004832E5"/>
    <w:rsid w:val="004838EC"/>
    <w:rsid w:val="00483D71"/>
    <w:rsid w:val="00484377"/>
    <w:rsid w:val="0048443B"/>
    <w:rsid w:val="00484CAF"/>
    <w:rsid w:val="00484FA7"/>
    <w:rsid w:val="00485970"/>
    <w:rsid w:val="00485B66"/>
    <w:rsid w:val="00485BE6"/>
    <w:rsid w:val="004864EF"/>
    <w:rsid w:val="00487131"/>
    <w:rsid w:val="0048743C"/>
    <w:rsid w:val="0048755A"/>
    <w:rsid w:val="00487C12"/>
    <w:rsid w:val="00487CA0"/>
    <w:rsid w:val="00487EBA"/>
    <w:rsid w:val="004902A5"/>
    <w:rsid w:val="00490304"/>
    <w:rsid w:val="00490E20"/>
    <w:rsid w:val="00491189"/>
    <w:rsid w:val="0049140D"/>
    <w:rsid w:val="004917AA"/>
    <w:rsid w:val="00491D57"/>
    <w:rsid w:val="004922CC"/>
    <w:rsid w:val="004923D6"/>
    <w:rsid w:val="00492A91"/>
    <w:rsid w:val="00492C22"/>
    <w:rsid w:val="00493D49"/>
    <w:rsid w:val="00493E85"/>
    <w:rsid w:val="00493FAF"/>
    <w:rsid w:val="004947C5"/>
    <w:rsid w:val="004956B4"/>
    <w:rsid w:val="004956FB"/>
    <w:rsid w:val="00495B8D"/>
    <w:rsid w:val="00495C42"/>
    <w:rsid w:val="00496377"/>
    <w:rsid w:val="00496AA1"/>
    <w:rsid w:val="00496BCA"/>
    <w:rsid w:val="00496FEF"/>
    <w:rsid w:val="00497693"/>
    <w:rsid w:val="0049774F"/>
    <w:rsid w:val="00497786"/>
    <w:rsid w:val="004978A0"/>
    <w:rsid w:val="00497A7E"/>
    <w:rsid w:val="00497D67"/>
    <w:rsid w:val="00497F2E"/>
    <w:rsid w:val="004A03F3"/>
    <w:rsid w:val="004A0513"/>
    <w:rsid w:val="004A0E5D"/>
    <w:rsid w:val="004A1047"/>
    <w:rsid w:val="004A11E2"/>
    <w:rsid w:val="004A16E1"/>
    <w:rsid w:val="004A1DC2"/>
    <w:rsid w:val="004A1F17"/>
    <w:rsid w:val="004A1FCF"/>
    <w:rsid w:val="004A247B"/>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885"/>
    <w:rsid w:val="004A6DED"/>
    <w:rsid w:val="004A6E71"/>
    <w:rsid w:val="004A71BC"/>
    <w:rsid w:val="004A72CC"/>
    <w:rsid w:val="004A739C"/>
    <w:rsid w:val="004A73ED"/>
    <w:rsid w:val="004A758A"/>
    <w:rsid w:val="004A76A0"/>
    <w:rsid w:val="004A76E4"/>
    <w:rsid w:val="004A7946"/>
    <w:rsid w:val="004B0755"/>
    <w:rsid w:val="004B0896"/>
    <w:rsid w:val="004B1686"/>
    <w:rsid w:val="004B1BB0"/>
    <w:rsid w:val="004B1E25"/>
    <w:rsid w:val="004B1F38"/>
    <w:rsid w:val="004B2217"/>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21"/>
    <w:rsid w:val="004B4FE1"/>
    <w:rsid w:val="004B530F"/>
    <w:rsid w:val="004B5B04"/>
    <w:rsid w:val="004B607D"/>
    <w:rsid w:val="004B662F"/>
    <w:rsid w:val="004B6712"/>
    <w:rsid w:val="004B7149"/>
    <w:rsid w:val="004B76F0"/>
    <w:rsid w:val="004B779F"/>
    <w:rsid w:val="004B78DC"/>
    <w:rsid w:val="004B797E"/>
    <w:rsid w:val="004B7A52"/>
    <w:rsid w:val="004C03E7"/>
    <w:rsid w:val="004C0813"/>
    <w:rsid w:val="004C0C0B"/>
    <w:rsid w:val="004C10C5"/>
    <w:rsid w:val="004C1430"/>
    <w:rsid w:val="004C17DF"/>
    <w:rsid w:val="004C1BFA"/>
    <w:rsid w:val="004C238D"/>
    <w:rsid w:val="004C308B"/>
    <w:rsid w:val="004C30A9"/>
    <w:rsid w:val="004C351F"/>
    <w:rsid w:val="004C353D"/>
    <w:rsid w:val="004C354D"/>
    <w:rsid w:val="004C38D7"/>
    <w:rsid w:val="004C39EA"/>
    <w:rsid w:val="004C3A81"/>
    <w:rsid w:val="004C3EEC"/>
    <w:rsid w:val="004C3F1E"/>
    <w:rsid w:val="004C43D4"/>
    <w:rsid w:val="004C457E"/>
    <w:rsid w:val="004C4AE1"/>
    <w:rsid w:val="004C537F"/>
    <w:rsid w:val="004C5875"/>
    <w:rsid w:val="004C5CA3"/>
    <w:rsid w:val="004C6155"/>
    <w:rsid w:val="004C644C"/>
    <w:rsid w:val="004C7A05"/>
    <w:rsid w:val="004C7A39"/>
    <w:rsid w:val="004C7E07"/>
    <w:rsid w:val="004C7E8D"/>
    <w:rsid w:val="004C7F01"/>
    <w:rsid w:val="004C7F6D"/>
    <w:rsid w:val="004D0F00"/>
    <w:rsid w:val="004D101E"/>
    <w:rsid w:val="004D115F"/>
    <w:rsid w:val="004D1283"/>
    <w:rsid w:val="004D1463"/>
    <w:rsid w:val="004D1CB3"/>
    <w:rsid w:val="004D1DE2"/>
    <w:rsid w:val="004D1DF2"/>
    <w:rsid w:val="004D1E24"/>
    <w:rsid w:val="004D20D9"/>
    <w:rsid w:val="004D2159"/>
    <w:rsid w:val="004D21FE"/>
    <w:rsid w:val="004D2950"/>
    <w:rsid w:val="004D2D1D"/>
    <w:rsid w:val="004D2D76"/>
    <w:rsid w:val="004D3379"/>
    <w:rsid w:val="004D3612"/>
    <w:rsid w:val="004D3864"/>
    <w:rsid w:val="004D3A87"/>
    <w:rsid w:val="004D3D53"/>
    <w:rsid w:val="004D4246"/>
    <w:rsid w:val="004D4273"/>
    <w:rsid w:val="004D44A8"/>
    <w:rsid w:val="004D45F6"/>
    <w:rsid w:val="004D47F2"/>
    <w:rsid w:val="004D5757"/>
    <w:rsid w:val="004D5819"/>
    <w:rsid w:val="004D5A97"/>
    <w:rsid w:val="004D6046"/>
    <w:rsid w:val="004D61FA"/>
    <w:rsid w:val="004D6EC1"/>
    <w:rsid w:val="004D6F04"/>
    <w:rsid w:val="004D739B"/>
    <w:rsid w:val="004E094D"/>
    <w:rsid w:val="004E0BA0"/>
    <w:rsid w:val="004E0CA7"/>
    <w:rsid w:val="004E1021"/>
    <w:rsid w:val="004E112B"/>
    <w:rsid w:val="004E14B0"/>
    <w:rsid w:val="004E1562"/>
    <w:rsid w:val="004E15C9"/>
    <w:rsid w:val="004E1829"/>
    <w:rsid w:val="004E19C9"/>
    <w:rsid w:val="004E1F3A"/>
    <w:rsid w:val="004E2153"/>
    <w:rsid w:val="004E43A0"/>
    <w:rsid w:val="004E4558"/>
    <w:rsid w:val="004E4846"/>
    <w:rsid w:val="004E4C4F"/>
    <w:rsid w:val="004E5002"/>
    <w:rsid w:val="004E51C8"/>
    <w:rsid w:val="004E5830"/>
    <w:rsid w:val="004E5C50"/>
    <w:rsid w:val="004E5D60"/>
    <w:rsid w:val="004E5E7A"/>
    <w:rsid w:val="004E66ED"/>
    <w:rsid w:val="004E67ED"/>
    <w:rsid w:val="004E6815"/>
    <w:rsid w:val="004E6B4D"/>
    <w:rsid w:val="004E7007"/>
    <w:rsid w:val="004E70AA"/>
    <w:rsid w:val="004E7386"/>
    <w:rsid w:val="004E7516"/>
    <w:rsid w:val="004E7EB0"/>
    <w:rsid w:val="004F07D9"/>
    <w:rsid w:val="004F0AC5"/>
    <w:rsid w:val="004F0D23"/>
    <w:rsid w:val="004F103C"/>
    <w:rsid w:val="004F10E7"/>
    <w:rsid w:val="004F184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EE4"/>
    <w:rsid w:val="004F713A"/>
    <w:rsid w:val="004F79CB"/>
    <w:rsid w:val="004F7A2F"/>
    <w:rsid w:val="004F7E84"/>
    <w:rsid w:val="00500002"/>
    <w:rsid w:val="00500463"/>
    <w:rsid w:val="00500817"/>
    <w:rsid w:val="0050197A"/>
    <w:rsid w:val="00501DBB"/>
    <w:rsid w:val="00501F6F"/>
    <w:rsid w:val="005023B0"/>
    <w:rsid w:val="005023E8"/>
    <w:rsid w:val="0050250C"/>
    <w:rsid w:val="00502686"/>
    <w:rsid w:val="00502F45"/>
    <w:rsid w:val="005033C2"/>
    <w:rsid w:val="0050344B"/>
    <w:rsid w:val="005038F6"/>
    <w:rsid w:val="00503B5F"/>
    <w:rsid w:val="00504156"/>
    <w:rsid w:val="0050460A"/>
    <w:rsid w:val="005047E1"/>
    <w:rsid w:val="00504882"/>
    <w:rsid w:val="00505551"/>
    <w:rsid w:val="0050566D"/>
    <w:rsid w:val="00505A53"/>
    <w:rsid w:val="00505F4C"/>
    <w:rsid w:val="0050609C"/>
    <w:rsid w:val="005060CB"/>
    <w:rsid w:val="00506307"/>
    <w:rsid w:val="005063B9"/>
    <w:rsid w:val="00506AC0"/>
    <w:rsid w:val="00506D31"/>
    <w:rsid w:val="0050711A"/>
    <w:rsid w:val="005072C9"/>
    <w:rsid w:val="00507D19"/>
    <w:rsid w:val="00510395"/>
    <w:rsid w:val="00510C1E"/>
    <w:rsid w:val="00510D01"/>
    <w:rsid w:val="00510DF0"/>
    <w:rsid w:val="00511321"/>
    <w:rsid w:val="00511600"/>
    <w:rsid w:val="005116EB"/>
    <w:rsid w:val="00511787"/>
    <w:rsid w:val="005119AD"/>
    <w:rsid w:val="00511BA0"/>
    <w:rsid w:val="00511D11"/>
    <w:rsid w:val="00511D31"/>
    <w:rsid w:val="00511E7E"/>
    <w:rsid w:val="00512224"/>
    <w:rsid w:val="00512653"/>
    <w:rsid w:val="005129AB"/>
    <w:rsid w:val="00512BD9"/>
    <w:rsid w:val="00512E29"/>
    <w:rsid w:val="0051322E"/>
    <w:rsid w:val="005134D6"/>
    <w:rsid w:val="005137A4"/>
    <w:rsid w:val="00513822"/>
    <w:rsid w:val="00513E16"/>
    <w:rsid w:val="00513F68"/>
    <w:rsid w:val="005142DD"/>
    <w:rsid w:val="00515AA5"/>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463C"/>
    <w:rsid w:val="00524DE0"/>
    <w:rsid w:val="00524F2B"/>
    <w:rsid w:val="0052501C"/>
    <w:rsid w:val="005257C1"/>
    <w:rsid w:val="00525808"/>
    <w:rsid w:val="00525E77"/>
    <w:rsid w:val="00525F10"/>
    <w:rsid w:val="005263BC"/>
    <w:rsid w:val="0052658B"/>
    <w:rsid w:val="005265EA"/>
    <w:rsid w:val="005266AE"/>
    <w:rsid w:val="00526791"/>
    <w:rsid w:val="00527048"/>
    <w:rsid w:val="0052762C"/>
    <w:rsid w:val="00527D14"/>
    <w:rsid w:val="00527DCF"/>
    <w:rsid w:val="00527EB8"/>
    <w:rsid w:val="005303A3"/>
    <w:rsid w:val="0053091D"/>
    <w:rsid w:val="00530E7C"/>
    <w:rsid w:val="00531176"/>
    <w:rsid w:val="00531311"/>
    <w:rsid w:val="00531533"/>
    <w:rsid w:val="00531694"/>
    <w:rsid w:val="00531CD8"/>
    <w:rsid w:val="00531E0C"/>
    <w:rsid w:val="00532043"/>
    <w:rsid w:val="0053251E"/>
    <w:rsid w:val="0053293F"/>
    <w:rsid w:val="00532952"/>
    <w:rsid w:val="00532D4A"/>
    <w:rsid w:val="00532E3F"/>
    <w:rsid w:val="00532E69"/>
    <w:rsid w:val="00533A87"/>
    <w:rsid w:val="005343AC"/>
    <w:rsid w:val="00534B65"/>
    <w:rsid w:val="00534D9A"/>
    <w:rsid w:val="00534DA0"/>
    <w:rsid w:val="00534E63"/>
    <w:rsid w:val="00535588"/>
    <w:rsid w:val="00535CED"/>
    <w:rsid w:val="00535D79"/>
    <w:rsid w:val="0053617A"/>
    <w:rsid w:val="005364CB"/>
    <w:rsid w:val="00537566"/>
    <w:rsid w:val="00537AF3"/>
    <w:rsid w:val="00537D58"/>
    <w:rsid w:val="00540013"/>
    <w:rsid w:val="00540D48"/>
    <w:rsid w:val="00540FE4"/>
    <w:rsid w:val="0054165D"/>
    <w:rsid w:val="005420BC"/>
    <w:rsid w:val="0054262E"/>
    <w:rsid w:val="0054289F"/>
    <w:rsid w:val="00542912"/>
    <w:rsid w:val="0054293C"/>
    <w:rsid w:val="00542C20"/>
    <w:rsid w:val="00543267"/>
    <w:rsid w:val="0054345C"/>
    <w:rsid w:val="005438A2"/>
    <w:rsid w:val="005441D8"/>
    <w:rsid w:val="0054427E"/>
    <w:rsid w:val="00544BE5"/>
    <w:rsid w:val="00545045"/>
    <w:rsid w:val="0054523E"/>
    <w:rsid w:val="00545EA4"/>
    <w:rsid w:val="00546EDE"/>
    <w:rsid w:val="00547782"/>
    <w:rsid w:val="005479CA"/>
    <w:rsid w:val="00547A76"/>
    <w:rsid w:val="00547B58"/>
    <w:rsid w:val="00547B8B"/>
    <w:rsid w:val="00547E4A"/>
    <w:rsid w:val="00547F9D"/>
    <w:rsid w:val="005504DA"/>
    <w:rsid w:val="0055068A"/>
    <w:rsid w:val="0055079F"/>
    <w:rsid w:val="00551813"/>
    <w:rsid w:val="00551945"/>
    <w:rsid w:val="005522E4"/>
    <w:rsid w:val="00552407"/>
    <w:rsid w:val="00552827"/>
    <w:rsid w:val="00552CBF"/>
    <w:rsid w:val="00553773"/>
    <w:rsid w:val="005539BF"/>
    <w:rsid w:val="00553A2F"/>
    <w:rsid w:val="005543CC"/>
    <w:rsid w:val="00554541"/>
    <w:rsid w:val="00554CA0"/>
    <w:rsid w:val="00555471"/>
    <w:rsid w:val="00556835"/>
    <w:rsid w:val="005568EC"/>
    <w:rsid w:val="00556C93"/>
    <w:rsid w:val="005571CA"/>
    <w:rsid w:val="005571F3"/>
    <w:rsid w:val="0055723B"/>
    <w:rsid w:val="0055771B"/>
    <w:rsid w:val="00557A13"/>
    <w:rsid w:val="00557A8B"/>
    <w:rsid w:val="00557F2F"/>
    <w:rsid w:val="00557FE0"/>
    <w:rsid w:val="005601EF"/>
    <w:rsid w:val="0056036E"/>
    <w:rsid w:val="00560866"/>
    <w:rsid w:val="00561599"/>
    <w:rsid w:val="0056194B"/>
    <w:rsid w:val="00561A73"/>
    <w:rsid w:val="005628FA"/>
    <w:rsid w:val="0056297B"/>
    <w:rsid w:val="00562A3F"/>
    <w:rsid w:val="005633A7"/>
    <w:rsid w:val="00563825"/>
    <w:rsid w:val="00563DC0"/>
    <w:rsid w:val="00563FEC"/>
    <w:rsid w:val="00564419"/>
    <w:rsid w:val="00564A71"/>
    <w:rsid w:val="00565027"/>
    <w:rsid w:val="005650C9"/>
    <w:rsid w:val="00565336"/>
    <w:rsid w:val="005658D4"/>
    <w:rsid w:val="005662B2"/>
    <w:rsid w:val="005664AD"/>
    <w:rsid w:val="005668E0"/>
    <w:rsid w:val="00566A8E"/>
    <w:rsid w:val="00566D89"/>
    <w:rsid w:val="00566EDA"/>
    <w:rsid w:val="005674C3"/>
    <w:rsid w:val="00567C72"/>
    <w:rsid w:val="00567DA3"/>
    <w:rsid w:val="0057083F"/>
    <w:rsid w:val="005709A3"/>
    <w:rsid w:val="00570F1F"/>
    <w:rsid w:val="00571772"/>
    <w:rsid w:val="005719AE"/>
    <w:rsid w:val="00572362"/>
    <w:rsid w:val="005726F8"/>
    <w:rsid w:val="00573493"/>
    <w:rsid w:val="0057368F"/>
    <w:rsid w:val="0057393F"/>
    <w:rsid w:val="00573AC2"/>
    <w:rsid w:val="00573BA3"/>
    <w:rsid w:val="00574246"/>
    <w:rsid w:val="005745F1"/>
    <w:rsid w:val="0057469C"/>
    <w:rsid w:val="005748A0"/>
    <w:rsid w:val="00574AF2"/>
    <w:rsid w:val="00574BF1"/>
    <w:rsid w:val="00575164"/>
    <w:rsid w:val="00576310"/>
    <w:rsid w:val="005768C1"/>
    <w:rsid w:val="0057732F"/>
    <w:rsid w:val="00577F9F"/>
    <w:rsid w:val="005801BF"/>
    <w:rsid w:val="0058028B"/>
    <w:rsid w:val="005803F7"/>
    <w:rsid w:val="00580E78"/>
    <w:rsid w:val="00581002"/>
    <w:rsid w:val="00581081"/>
    <w:rsid w:val="00581084"/>
    <w:rsid w:val="00581295"/>
    <w:rsid w:val="00581BEB"/>
    <w:rsid w:val="00582B4B"/>
    <w:rsid w:val="005836E4"/>
    <w:rsid w:val="00584084"/>
    <w:rsid w:val="005843AD"/>
    <w:rsid w:val="0058486B"/>
    <w:rsid w:val="00584997"/>
    <w:rsid w:val="00584BE7"/>
    <w:rsid w:val="00584CC2"/>
    <w:rsid w:val="00584DEA"/>
    <w:rsid w:val="00585195"/>
    <w:rsid w:val="0058526A"/>
    <w:rsid w:val="00585865"/>
    <w:rsid w:val="00585F10"/>
    <w:rsid w:val="00586097"/>
    <w:rsid w:val="005868C6"/>
    <w:rsid w:val="00586D76"/>
    <w:rsid w:val="005875B2"/>
    <w:rsid w:val="00587EC3"/>
    <w:rsid w:val="00587FEB"/>
    <w:rsid w:val="005903D6"/>
    <w:rsid w:val="005909A9"/>
    <w:rsid w:val="00590E7E"/>
    <w:rsid w:val="005914E3"/>
    <w:rsid w:val="00591CDB"/>
    <w:rsid w:val="00591D26"/>
    <w:rsid w:val="00591D8F"/>
    <w:rsid w:val="005924B9"/>
    <w:rsid w:val="005924CF"/>
    <w:rsid w:val="00592BE3"/>
    <w:rsid w:val="00592C4F"/>
    <w:rsid w:val="0059309A"/>
    <w:rsid w:val="00593C31"/>
    <w:rsid w:val="00593D49"/>
    <w:rsid w:val="00594077"/>
    <w:rsid w:val="005944C9"/>
    <w:rsid w:val="0059455A"/>
    <w:rsid w:val="00594727"/>
    <w:rsid w:val="00594BAD"/>
    <w:rsid w:val="00594C8A"/>
    <w:rsid w:val="00594E64"/>
    <w:rsid w:val="00594FF6"/>
    <w:rsid w:val="005952AB"/>
    <w:rsid w:val="0059533B"/>
    <w:rsid w:val="005953FC"/>
    <w:rsid w:val="00595402"/>
    <w:rsid w:val="005955AB"/>
    <w:rsid w:val="00595613"/>
    <w:rsid w:val="00595D66"/>
    <w:rsid w:val="00596063"/>
    <w:rsid w:val="005964C3"/>
    <w:rsid w:val="00596551"/>
    <w:rsid w:val="00596948"/>
    <w:rsid w:val="00597060"/>
    <w:rsid w:val="005972D0"/>
    <w:rsid w:val="00597309"/>
    <w:rsid w:val="00597516"/>
    <w:rsid w:val="00597915"/>
    <w:rsid w:val="00597D52"/>
    <w:rsid w:val="00597DC0"/>
    <w:rsid w:val="005A024A"/>
    <w:rsid w:val="005A08DF"/>
    <w:rsid w:val="005A1086"/>
    <w:rsid w:val="005A1E0F"/>
    <w:rsid w:val="005A2798"/>
    <w:rsid w:val="005A2D06"/>
    <w:rsid w:val="005A2D4A"/>
    <w:rsid w:val="005A2D9F"/>
    <w:rsid w:val="005A3F69"/>
    <w:rsid w:val="005A4467"/>
    <w:rsid w:val="005A44FB"/>
    <w:rsid w:val="005A4725"/>
    <w:rsid w:val="005A56F0"/>
    <w:rsid w:val="005A5713"/>
    <w:rsid w:val="005A5977"/>
    <w:rsid w:val="005A643D"/>
    <w:rsid w:val="005A6538"/>
    <w:rsid w:val="005A68F9"/>
    <w:rsid w:val="005A6D61"/>
    <w:rsid w:val="005A7019"/>
    <w:rsid w:val="005A7134"/>
    <w:rsid w:val="005A71D0"/>
    <w:rsid w:val="005A7276"/>
    <w:rsid w:val="005A76BA"/>
    <w:rsid w:val="005A7EAA"/>
    <w:rsid w:val="005B0603"/>
    <w:rsid w:val="005B103B"/>
    <w:rsid w:val="005B10F6"/>
    <w:rsid w:val="005B130B"/>
    <w:rsid w:val="005B1562"/>
    <w:rsid w:val="005B18EA"/>
    <w:rsid w:val="005B1BB7"/>
    <w:rsid w:val="005B26D6"/>
    <w:rsid w:val="005B29B5"/>
    <w:rsid w:val="005B2A90"/>
    <w:rsid w:val="005B2E64"/>
    <w:rsid w:val="005B354C"/>
    <w:rsid w:val="005B376B"/>
    <w:rsid w:val="005B389D"/>
    <w:rsid w:val="005B3C03"/>
    <w:rsid w:val="005B3CD5"/>
    <w:rsid w:val="005B442B"/>
    <w:rsid w:val="005B4DE2"/>
    <w:rsid w:val="005B4F59"/>
    <w:rsid w:val="005B5027"/>
    <w:rsid w:val="005B5440"/>
    <w:rsid w:val="005B5522"/>
    <w:rsid w:val="005B5B49"/>
    <w:rsid w:val="005B5F38"/>
    <w:rsid w:val="005B6B9C"/>
    <w:rsid w:val="005B6FC4"/>
    <w:rsid w:val="005B7625"/>
    <w:rsid w:val="005B79E3"/>
    <w:rsid w:val="005C06B5"/>
    <w:rsid w:val="005C11B4"/>
    <w:rsid w:val="005C143D"/>
    <w:rsid w:val="005C1756"/>
    <w:rsid w:val="005C1BCF"/>
    <w:rsid w:val="005C2127"/>
    <w:rsid w:val="005C2309"/>
    <w:rsid w:val="005C23CF"/>
    <w:rsid w:val="005C257E"/>
    <w:rsid w:val="005C2F7E"/>
    <w:rsid w:val="005C3B77"/>
    <w:rsid w:val="005C4306"/>
    <w:rsid w:val="005C46B1"/>
    <w:rsid w:val="005C5586"/>
    <w:rsid w:val="005C56DE"/>
    <w:rsid w:val="005C5761"/>
    <w:rsid w:val="005C667B"/>
    <w:rsid w:val="005C6885"/>
    <w:rsid w:val="005C6C33"/>
    <w:rsid w:val="005C708F"/>
    <w:rsid w:val="005D007D"/>
    <w:rsid w:val="005D0198"/>
    <w:rsid w:val="005D0CEC"/>
    <w:rsid w:val="005D0CFF"/>
    <w:rsid w:val="005D148D"/>
    <w:rsid w:val="005D206F"/>
    <w:rsid w:val="005D2233"/>
    <w:rsid w:val="005D225C"/>
    <w:rsid w:val="005D2266"/>
    <w:rsid w:val="005D24E7"/>
    <w:rsid w:val="005D2DDE"/>
    <w:rsid w:val="005D323A"/>
    <w:rsid w:val="005D34E7"/>
    <w:rsid w:val="005D3EAB"/>
    <w:rsid w:val="005D452F"/>
    <w:rsid w:val="005D47E7"/>
    <w:rsid w:val="005D4CB8"/>
    <w:rsid w:val="005D4D47"/>
    <w:rsid w:val="005D52B3"/>
    <w:rsid w:val="005D5A8D"/>
    <w:rsid w:val="005D5D7D"/>
    <w:rsid w:val="005D6798"/>
    <w:rsid w:val="005D6990"/>
    <w:rsid w:val="005D6CD1"/>
    <w:rsid w:val="005E045B"/>
    <w:rsid w:val="005E0FBD"/>
    <w:rsid w:val="005E1672"/>
    <w:rsid w:val="005E2079"/>
    <w:rsid w:val="005E2957"/>
    <w:rsid w:val="005E2CA6"/>
    <w:rsid w:val="005E2D6F"/>
    <w:rsid w:val="005E2D77"/>
    <w:rsid w:val="005E3137"/>
    <w:rsid w:val="005E316F"/>
    <w:rsid w:val="005E3181"/>
    <w:rsid w:val="005E346F"/>
    <w:rsid w:val="005E355F"/>
    <w:rsid w:val="005E3724"/>
    <w:rsid w:val="005E37D8"/>
    <w:rsid w:val="005E4518"/>
    <w:rsid w:val="005E4A87"/>
    <w:rsid w:val="005E4ABB"/>
    <w:rsid w:val="005E4F69"/>
    <w:rsid w:val="005E4FFB"/>
    <w:rsid w:val="005E520B"/>
    <w:rsid w:val="005E6551"/>
    <w:rsid w:val="005E7AAA"/>
    <w:rsid w:val="005F0650"/>
    <w:rsid w:val="005F0982"/>
    <w:rsid w:val="005F0A88"/>
    <w:rsid w:val="005F0F33"/>
    <w:rsid w:val="005F15B6"/>
    <w:rsid w:val="005F2026"/>
    <w:rsid w:val="005F2D7D"/>
    <w:rsid w:val="005F2DCE"/>
    <w:rsid w:val="005F3364"/>
    <w:rsid w:val="005F371B"/>
    <w:rsid w:val="005F3AB5"/>
    <w:rsid w:val="005F3D56"/>
    <w:rsid w:val="005F3F59"/>
    <w:rsid w:val="005F4450"/>
    <w:rsid w:val="005F467C"/>
    <w:rsid w:val="005F471E"/>
    <w:rsid w:val="005F48F3"/>
    <w:rsid w:val="005F4CA7"/>
    <w:rsid w:val="005F503B"/>
    <w:rsid w:val="005F5688"/>
    <w:rsid w:val="005F591B"/>
    <w:rsid w:val="005F59AE"/>
    <w:rsid w:val="005F60DC"/>
    <w:rsid w:val="005F669E"/>
    <w:rsid w:val="005F66A1"/>
    <w:rsid w:val="005F7AA0"/>
    <w:rsid w:val="005F7BC0"/>
    <w:rsid w:val="005F7DAE"/>
    <w:rsid w:val="0060045C"/>
    <w:rsid w:val="00600570"/>
    <w:rsid w:val="006005BC"/>
    <w:rsid w:val="006008E4"/>
    <w:rsid w:val="00600CD3"/>
    <w:rsid w:val="006013C6"/>
    <w:rsid w:val="006013E9"/>
    <w:rsid w:val="00601FC5"/>
    <w:rsid w:val="00602445"/>
    <w:rsid w:val="006028EF"/>
    <w:rsid w:val="00603003"/>
    <w:rsid w:val="0060341F"/>
    <w:rsid w:val="006039C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A15"/>
    <w:rsid w:val="00606CBD"/>
    <w:rsid w:val="0060744E"/>
    <w:rsid w:val="00607D7F"/>
    <w:rsid w:val="006100D1"/>
    <w:rsid w:val="006101FD"/>
    <w:rsid w:val="006104E4"/>
    <w:rsid w:val="00610580"/>
    <w:rsid w:val="00610E0C"/>
    <w:rsid w:val="00611300"/>
    <w:rsid w:val="006118E9"/>
    <w:rsid w:val="00611971"/>
    <w:rsid w:val="006119D4"/>
    <w:rsid w:val="00611AEA"/>
    <w:rsid w:val="00611D49"/>
    <w:rsid w:val="00611DD7"/>
    <w:rsid w:val="0061214C"/>
    <w:rsid w:val="00612DED"/>
    <w:rsid w:val="00613622"/>
    <w:rsid w:val="00614081"/>
    <w:rsid w:val="00614863"/>
    <w:rsid w:val="00614BD9"/>
    <w:rsid w:val="00614D36"/>
    <w:rsid w:val="00614D6C"/>
    <w:rsid w:val="0061517A"/>
    <w:rsid w:val="00615344"/>
    <w:rsid w:val="00615527"/>
    <w:rsid w:val="00615CFE"/>
    <w:rsid w:val="00615DB2"/>
    <w:rsid w:val="00616838"/>
    <w:rsid w:val="00616864"/>
    <w:rsid w:val="0061719F"/>
    <w:rsid w:val="006171D1"/>
    <w:rsid w:val="006175B3"/>
    <w:rsid w:val="00617869"/>
    <w:rsid w:val="0061789D"/>
    <w:rsid w:val="006179AC"/>
    <w:rsid w:val="006179D7"/>
    <w:rsid w:val="006204B7"/>
    <w:rsid w:val="00620D25"/>
    <w:rsid w:val="0062116B"/>
    <w:rsid w:val="0062124A"/>
    <w:rsid w:val="006213E6"/>
    <w:rsid w:val="006218B8"/>
    <w:rsid w:val="00621A66"/>
    <w:rsid w:val="00621E9F"/>
    <w:rsid w:val="00622908"/>
    <w:rsid w:val="00622FF3"/>
    <w:rsid w:val="00623133"/>
    <w:rsid w:val="00623B3A"/>
    <w:rsid w:val="00623BB0"/>
    <w:rsid w:val="00623CBD"/>
    <w:rsid w:val="00623E53"/>
    <w:rsid w:val="00623F5F"/>
    <w:rsid w:val="0062404D"/>
    <w:rsid w:val="00624180"/>
    <w:rsid w:val="006246D5"/>
    <w:rsid w:val="00624827"/>
    <w:rsid w:val="00625123"/>
    <w:rsid w:val="00625553"/>
    <w:rsid w:val="00625953"/>
    <w:rsid w:val="00625A27"/>
    <w:rsid w:val="00625DE8"/>
    <w:rsid w:val="00625E4D"/>
    <w:rsid w:val="00625F55"/>
    <w:rsid w:val="00626031"/>
    <w:rsid w:val="00626681"/>
    <w:rsid w:val="0062704E"/>
    <w:rsid w:val="0062774D"/>
    <w:rsid w:val="00627DE2"/>
    <w:rsid w:val="00630839"/>
    <w:rsid w:val="00630BCC"/>
    <w:rsid w:val="00630E44"/>
    <w:rsid w:val="0063165E"/>
    <w:rsid w:val="00631766"/>
    <w:rsid w:val="00631E91"/>
    <w:rsid w:val="006322DA"/>
    <w:rsid w:val="0063266B"/>
    <w:rsid w:val="00632A99"/>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CBE"/>
    <w:rsid w:val="00637E2D"/>
    <w:rsid w:val="006404AC"/>
    <w:rsid w:val="00640D70"/>
    <w:rsid w:val="00640E6B"/>
    <w:rsid w:val="006414B8"/>
    <w:rsid w:val="0064163F"/>
    <w:rsid w:val="00641705"/>
    <w:rsid w:val="00641A39"/>
    <w:rsid w:val="00641FD7"/>
    <w:rsid w:val="0064248A"/>
    <w:rsid w:val="00642B65"/>
    <w:rsid w:val="006436AA"/>
    <w:rsid w:val="00643889"/>
    <w:rsid w:val="00643DB1"/>
    <w:rsid w:val="00643F65"/>
    <w:rsid w:val="00644083"/>
    <w:rsid w:val="00644708"/>
    <w:rsid w:val="00644EE6"/>
    <w:rsid w:val="0064528D"/>
    <w:rsid w:val="0064580D"/>
    <w:rsid w:val="006458CB"/>
    <w:rsid w:val="00645983"/>
    <w:rsid w:val="00645A33"/>
    <w:rsid w:val="00645BC1"/>
    <w:rsid w:val="00646367"/>
    <w:rsid w:val="00646383"/>
    <w:rsid w:val="00646545"/>
    <w:rsid w:val="00646851"/>
    <w:rsid w:val="00646E33"/>
    <w:rsid w:val="00647574"/>
    <w:rsid w:val="00647BDC"/>
    <w:rsid w:val="00647CD7"/>
    <w:rsid w:val="00647F60"/>
    <w:rsid w:val="00650112"/>
    <w:rsid w:val="0065012A"/>
    <w:rsid w:val="006506F8"/>
    <w:rsid w:val="006509F2"/>
    <w:rsid w:val="00650B2D"/>
    <w:rsid w:val="00650EFC"/>
    <w:rsid w:val="00651256"/>
    <w:rsid w:val="006519EA"/>
    <w:rsid w:val="00651C88"/>
    <w:rsid w:val="00651D3C"/>
    <w:rsid w:val="00651DF1"/>
    <w:rsid w:val="0065279F"/>
    <w:rsid w:val="00652CF3"/>
    <w:rsid w:val="00653424"/>
    <w:rsid w:val="006535F8"/>
    <w:rsid w:val="00653748"/>
    <w:rsid w:val="00653762"/>
    <w:rsid w:val="006538C5"/>
    <w:rsid w:val="00653AF8"/>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5B"/>
    <w:rsid w:val="00657A4A"/>
    <w:rsid w:val="00660084"/>
    <w:rsid w:val="00660166"/>
    <w:rsid w:val="00660B84"/>
    <w:rsid w:val="006615DF"/>
    <w:rsid w:val="00661CC7"/>
    <w:rsid w:val="00661F1E"/>
    <w:rsid w:val="00662458"/>
    <w:rsid w:val="006624E3"/>
    <w:rsid w:val="00662DC3"/>
    <w:rsid w:val="00663457"/>
    <w:rsid w:val="006636A4"/>
    <w:rsid w:val="00663A6F"/>
    <w:rsid w:val="00663C54"/>
    <w:rsid w:val="00663F8B"/>
    <w:rsid w:val="006640CF"/>
    <w:rsid w:val="006640EA"/>
    <w:rsid w:val="0066423F"/>
    <w:rsid w:val="00664545"/>
    <w:rsid w:val="00664AB1"/>
    <w:rsid w:val="00664ADF"/>
    <w:rsid w:val="00664C44"/>
    <w:rsid w:val="00664D95"/>
    <w:rsid w:val="006650E5"/>
    <w:rsid w:val="006653DD"/>
    <w:rsid w:val="00665730"/>
    <w:rsid w:val="00666C2A"/>
    <w:rsid w:val="00666D89"/>
    <w:rsid w:val="0066769C"/>
    <w:rsid w:val="006679B2"/>
    <w:rsid w:val="006704B4"/>
    <w:rsid w:val="006710AC"/>
    <w:rsid w:val="006710CC"/>
    <w:rsid w:val="00671334"/>
    <w:rsid w:val="0067148E"/>
    <w:rsid w:val="0067193F"/>
    <w:rsid w:val="00671977"/>
    <w:rsid w:val="00671B86"/>
    <w:rsid w:val="00671CB2"/>
    <w:rsid w:val="00671ED7"/>
    <w:rsid w:val="006723D7"/>
    <w:rsid w:val="00672479"/>
    <w:rsid w:val="006726B6"/>
    <w:rsid w:val="00672D4C"/>
    <w:rsid w:val="00672FBB"/>
    <w:rsid w:val="006732C2"/>
    <w:rsid w:val="006734B0"/>
    <w:rsid w:val="006734B3"/>
    <w:rsid w:val="00673C3C"/>
    <w:rsid w:val="006740BF"/>
    <w:rsid w:val="006742EE"/>
    <w:rsid w:val="00674F90"/>
    <w:rsid w:val="00675B28"/>
    <w:rsid w:val="006761A5"/>
    <w:rsid w:val="006766EA"/>
    <w:rsid w:val="006775AB"/>
    <w:rsid w:val="006777F6"/>
    <w:rsid w:val="00677B1C"/>
    <w:rsid w:val="00680205"/>
    <w:rsid w:val="00680273"/>
    <w:rsid w:val="00680747"/>
    <w:rsid w:val="00680DA1"/>
    <w:rsid w:val="00680E41"/>
    <w:rsid w:val="00681653"/>
    <w:rsid w:val="0068166A"/>
    <w:rsid w:val="00681751"/>
    <w:rsid w:val="00681EE3"/>
    <w:rsid w:val="0068202D"/>
    <w:rsid w:val="006831C1"/>
    <w:rsid w:val="0068368A"/>
    <w:rsid w:val="00684167"/>
    <w:rsid w:val="006842E5"/>
    <w:rsid w:val="00684734"/>
    <w:rsid w:val="0068481F"/>
    <w:rsid w:val="0068494F"/>
    <w:rsid w:val="00684D55"/>
    <w:rsid w:val="00685973"/>
    <w:rsid w:val="00685A4B"/>
    <w:rsid w:val="00685C43"/>
    <w:rsid w:val="00685D7D"/>
    <w:rsid w:val="0068635D"/>
    <w:rsid w:val="00686E57"/>
    <w:rsid w:val="00686F13"/>
    <w:rsid w:val="0068755D"/>
    <w:rsid w:val="00687596"/>
    <w:rsid w:val="00687947"/>
    <w:rsid w:val="006879C4"/>
    <w:rsid w:val="0069048A"/>
    <w:rsid w:val="00690DF0"/>
    <w:rsid w:val="00690F8C"/>
    <w:rsid w:val="006915CB"/>
    <w:rsid w:val="00691B50"/>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5FB"/>
    <w:rsid w:val="006956D5"/>
    <w:rsid w:val="006957D5"/>
    <w:rsid w:val="006958C2"/>
    <w:rsid w:val="00695EFF"/>
    <w:rsid w:val="00695F3B"/>
    <w:rsid w:val="00696298"/>
    <w:rsid w:val="006965BA"/>
    <w:rsid w:val="0069694D"/>
    <w:rsid w:val="00697273"/>
    <w:rsid w:val="00697483"/>
    <w:rsid w:val="006978ED"/>
    <w:rsid w:val="006979D2"/>
    <w:rsid w:val="00697B8D"/>
    <w:rsid w:val="00697C21"/>
    <w:rsid w:val="00697FE0"/>
    <w:rsid w:val="006A0055"/>
    <w:rsid w:val="006A0B7F"/>
    <w:rsid w:val="006A1C19"/>
    <w:rsid w:val="006A22FA"/>
    <w:rsid w:val="006A230B"/>
    <w:rsid w:val="006A34E1"/>
    <w:rsid w:val="006A3D49"/>
    <w:rsid w:val="006A3D51"/>
    <w:rsid w:val="006A41DB"/>
    <w:rsid w:val="006A429C"/>
    <w:rsid w:val="006A4377"/>
    <w:rsid w:val="006A4626"/>
    <w:rsid w:val="006A46E0"/>
    <w:rsid w:val="006A5252"/>
    <w:rsid w:val="006A53D4"/>
    <w:rsid w:val="006A5631"/>
    <w:rsid w:val="006A611E"/>
    <w:rsid w:val="006A69F8"/>
    <w:rsid w:val="006A6C5C"/>
    <w:rsid w:val="006A6F7B"/>
    <w:rsid w:val="006A7BA1"/>
    <w:rsid w:val="006A7E8D"/>
    <w:rsid w:val="006B0116"/>
    <w:rsid w:val="006B0689"/>
    <w:rsid w:val="006B0FB4"/>
    <w:rsid w:val="006B1665"/>
    <w:rsid w:val="006B19B5"/>
    <w:rsid w:val="006B22E8"/>
    <w:rsid w:val="006B2B19"/>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5E4"/>
    <w:rsid w:val="006C0075"/>
    <w:rsid w:val="006C061C"/>
    <w:rsid w:val="006C0AF8"/>
    <w:rsid w:val="006C1303"/>
    <w:rsid w:val="006C1B20"/>
    <w:rsid w:val="006C1CDF"/>
    <w:rsid w:val="006C1E52"/>
    <w:rsid w:val="006C1EB3"/>
    <w:rsid w:val="006C2561"/>
    <w:rsid w:val="006C257B"/>
    <w:rsid w:val="006C2BD6"/>
    <w:rsid w:val="006C2C3D"/>
    <w:rsid w:val="006C39DA"/>
    <w:rsid w:val="006C4089"/>
    <w:rsid w:val="006C4813"/>
    <w:rsid w:val="006C4B0B"/>
    <w:rsid w:val="006C4EE4"/>
    <w:rsid w:val="006C4F23"/>
    <w:rsid w:val="006C56F7"/>
    <w:rsid w:val="006C597C"/>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321F"/>
    <w:rsid w:val="006D38F1"/>
    <w:rsid w:val="006D420C"/>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BD8"/>
    <w:rsid w:val="006E0252"/>
    <w:rsid w:val="006E0B5E"/>
    <w:rsid w:val="006E1007"/>
    <w:rsid w:val="006E12F7"/>
    <w:rsid w:val="006E1862"/>
    <w:rsid w:val="006E1ECF"/>
    <w:rsid w:val="006E1FF6"/>
    <w:rsid w:val="006E2B7D"/>
    <w:rsid w:val="006E3ACE"/>
    <w:rsid w:val="006E3B0B"/>
    <w:rsid w:val="006E4296"/>
    <w:rsid w:val="006E530F"/>
    <w:rsid w:val="006E57CB"/>
    <w:rsid w:val="006E5A32"/>
    <w:rsid w:val="006E5A96"/>
    <w:rsid w:val="006E5D53"/>
    <w:rsid w:val="006E5EF9"/>
    <w:rsid w:val="006E6019"/>
    <w:rsid w:val="006E6152"/>
    <w:rsid w:val="006E6242"/>
    <w:rsid w:val="006E6CF2"/>
    <w:rsid w:val="006E70AF"/>
    <w:rsid w:val="006E72E7"/>
    <w:rsid w:val="006E7640"/>
    <w:rsid w:val="006E7D53"/>
    <w:rsid w:val="006F020B"/>
    <w:rsid w:val="006F09D0"/>
    <w:rsid w:val="006F0FAA"/>
    <w:rsid w:val="006F1649"/>
    <w:rsid w:val="006F1982"/>
    <w:rsid w:val="006F1FB9"/>
    <w:rsid w:val="006F2237"/>
    <w:rsid w:val="006F2292"/>
    <w:rsid w:val="006F23A2"/>
    <w:rsid w:val="006F23AC"/>
    <w:rsid w:val="006F2870"/>
    <w:rsid w:val="006F3770"/>
    <w:rsid w:val="006F3849"/>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45E"/>
    <w:rsid w:val="007008C8"/>
    <w:rsid w:val="00700D19"/>
    <w:rsid w:val="00700FB0"/>
    <w:rsid w:val="00701309"/>
    <w:rsid w:val="007019D3"/>
    <w:rsid w:val="00701C64"/>
    <w:rsid w:val="00701E44"/>
    <w:rsid w:val="007021E8"/>
    <w:rsid w:val="00703043"/>
    <w:rsid w:val="00703B5C"/>
    <w:rsid w:val="007040D1"/>
    <w:rsid w:val="0070418D"/>
    <w:rsid w:val="0070497B"/>
    <w:rsid w:val="00704E0D"/>
    <w:rsid w:val="00705400"/>
    <w:rsid w:val="00705F1D"/>
    <w:rsid w:val="007060B5"/>
    <w:rsid w:val="0070611B"/>
    <w:rsid w:val="00706203"/>
    <w:rsid w:val="007066CB"/>
    <w:rsid w:val="00707129"/>
    <w:rsid w:val="00707591"/>
    <w:rsid w:val="00707D7B"/>
    <w:rsid w:val="00707FED"/>
    <w:rsid w:val="00710095"/>
    <w:rsid w:val="00710201"/>
    <w:rsid w:val="00711548"/>
    <w:rsid w:val="007116A7"/>
    <w:rsid w:val="00711F96"/>
    <w:rsid w:val="00712524"/>
    <w:rsid w:val="00712D7A"/>
    <w:rsid w:val="007131AB"/>
    <w:rsid w:val="00713328"/>
    <w:rsid w:val="00713578"/>
    <w:rsid w:val="0071371E"/>
    <w:rsid w:val="007137B3"/>
    <w:rsid w:val="00713B01"/>
    <w:rsid w:val="00713E7C"/>
    <w:rsid w:val="00714AB3"/>
    <w:rsid w:val="00714C81"/>
    <w:rsid w:val="00714D0C"/>
    <w:rsid w:val="00715628"/>
    <w:rsid w:val="00715F8C"/>
    <w:rsid w:val="007163BB"/>
    <w:rsid w:val="00716BA0"/>
    <w:rsid w:val="00716C92"/>
    <w:rsid w:val="007170E0"/>
    <w:rsid w:val="00717710"/>
    <w:rsid w:val="00717F58"/>
    <w:rsid w:val="00720A9A"/>
    <w:rsid w:val="00720AD9"/>
    <w:rsid w:val="00720D39"/>
    <w:rsid w:val="00721085"/>
    <w:rsid w:val="0072111B"/>
    <w:rsid w:val="0072121B"/>
    <w:rsid w:val="00721988"/>
    <w:rsid w:val="00722142"/>
    <w:rsid w:val="0072289D"/>
    <w:rsid w:val="00722D31"/>
    <w:rsid w:val="00722E09"/>
    <w:rsid w:val="0072338D"/>
    <w:rsid w:val="007235DD"/>
    <w:rsid w:val="00724109"/>
    <w:rsid w:val="00724112"/>
    <w:rsid w:val="00724409"/>
    <w:rsid w:val="00724440"/>
    <w:rsid w:val="0072453A"/>
    <w:rsid w:val="0072485A"/>
    <w:rsid w:val="00724A08"/>
    <w:rsid w:val="0072540A"/>
    <w:rsid w:val="00725423"/>
    <w:rsid w:val="0072590B"/>
    <w:rsid w:val="00725A3D"/>
    <w:rsid w:val="00725D34"/>
    <w:rsid w:val="0072625C"/>
    <w:rsid w:val="00726682"/>
    <w:rsid w:val="007267C5"/>
    <w:rsid w:val="00726B4C"/>
    <w:rsid w:val="00727767"/>
    <w:rsid w:val="007300EA"/>
    <w:rsid w:val="0073046A"/>
    <w:rsid w:val="00730546"/>
    <w:rsid w:val="007308CA"/>
    <w:rsid w:val="00730E45"/>
    <w:rsid w:val="007310C3"/>
    <w:rsid w:val="00731111"/>
    <w:rsid w:val="007313C9"/>
    <w:rsid w:val="00731B84"/>
    <w:rsid w:val="00731D7F"/>
    <w:rsid w:val="00731F48"/>
    <w:rsid w:val="0073246D"/>
    <w:rsid w:val="007324A9"/>
    <w:rsid w:val="0073293E"/>
    <w:rsid w:val="007331A9"/>
    <w:rsid w:val="00733423"/>
    <w:rsid w:val="00733810"/>
    <w:rsid w:val="007340C7"/>
    <w:rsid w:val="00734A59"/>
    <w:rsid w:val="0073584B"/>
    <w:rsid w:val="007359BF"/>
    <w:rsid w:val="00735DED"/>
    <w:rsid w:val="00735F82"/>
    <w:rsid w:val="007363DD"/>
    <w:rsid w:val="00736A29"/>
    <w:rsid w:val="00736BAC"/>
    <w:rsid w:val="00736EB3"/>
    <w:rsid w:val="00737151"/>
    <w:rsid w:val="00737238"/>
    <w:rsid w:val="007372D9"/>
    <w:rsid w:val="00737704"/>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83"/>
    <w:rsid w:val="007456E8"/>
    <w:rsid w:val="00745939"/>
    <w:rsid w:val="007459B2"/>
    <w:rsid w:val="00745F71"/>
    <w:rsid w:val="00745FB1"/>
    <w:rsid w:val="00746D8B"/>
    <w:rsid w:val="0074740E"/>
    <w:rsid w:val="00747CDD"/>
    <w:rsid w:val="00747FC8"/>
    <w:rsid w:val="00750A72"/>
    <w:rsid w:val="00750F54"/>
    <w:rsid w:val="00751528"/>
    <w:rsid w:val="00751618"/>
    <w:rsid w:val="007519CB"/>
    <w:rsid w:val="00752394"/>
    <w:rsid w:val="007525CC"/>
    <w:rsid w:val="00752EA4"/>
    <w:rsid w:val="0075342F"/>
    <w:rsid w:val="00754983"/>
    <w:rsid w:val="00754A69"/>
    <w:rsid w:val="00754D6C"/>
    <w:rsid w:val="00755198"/>
    <w:rsid w:val="007552A7"/>
    <w:rsid w:val="007559C2"/>
    <w:rsid w:val="00755A00"/>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D1D"/>
    <w:rsid w:val="007622AE"/>
    <w:rsid w:val="007632B2"/>
    <w:rsid w:val="007634B2"/>
    <w:rsid w:val="007637DF"/>
    <w:rsid w:val="00764154"/>
    <w:rsid w:val="0076448E"/>
    <w:rsid w:val="00764907"/>
    <w:rsid w:val="00764CB7"/>
    <w:rsid w:val="00764F43"/>
    <w:rsid w:val="0076515E"/>
    <w:rsid w:val="007652E9"/>
    <w:rsid w:val="007653FA"/>
    <w:rsid w:val="00765437"/>
    <w:rsid w:val="00765909"/>
    <w:rsid w:val="00765E2C"/>
    <w:rsid w:val="007663C8"/>
    <w:rsid w:val="00766762"/>
    <w:rsid w:val="00766B7A"/>
    <w:rsid w:val="00766F6D"/>
    <w:rsid w:val="00767494"/>
    <w:rsid w:val="007675D5"/>
    <w:rsid w:val="00767B52"/>
    <w:rsid w:val="00767C30"/>
    <w:rsid w:val="00770B5F"/>
    <w:rsid w:val="007710EE"/>
    <w:rsid w:val="0077119D"/>
    <w:rsid w:val="007711BC"/>
    <w:rsid w:val="007712E3"/>
    <w:rsid w:val="00771375"/>
    <w:rsid w:val="007717B1"/>
    <w:rsid w:val="00771E01"/>
    <w:rsid w:val="00771F47"/>
    <w:rsid w:val="00772759"/>
    <w:rsid w:val="007728F1"/>
    <w:rsid w:val="00772B18"/>
    <w:rsid w:val="00773413"/>
    <w:rsid w:val="00773537"/>
    <w:rsid w:val="007736B4"/>
    <w:rsid w:val="007737E8"/>
    <w:rsid w:val="0077458C"/>
    <w:rsid w:val="0077488B"/>
    <w:rsid w:val="00774A16"/>
    <w:rsid w:val="00775014"/>
    <w:rsid w:val="007755BF"/>
    <w:rsid w:val="007757C8"/>
    <w:rsid w:val="007759D9"/>
    <w:rsid w:val="007759E5"/>
    <w:rsid w:val="00775F35"/>
    <w:rsid w:val="007760EF"/>
    <w:rsid w:val="00776264"/>
    <w:rsid w:val="007764FF"/>
    <w:rsid w:val="007766EB"/>
    <w:rsid w:val="007768BC"/>
    <w:rsid w:val="007772AC"/>
    <w:rsid w:val="007776F0"/>
    <w:rsid w:val="00777A28"/>
    <w:rsid w:val="00777E59"/>
    <w:rsid w:val="00777F11"/>
    <w:rsid w:val="00780223"/>
    <w:rsid w:val="0078028D"/>
    <w:rsid w:val="007802AC"/>
    <w:rsid w:val="007811D0"/>
    <w:rsid w:val="00781F92"/>
    <w:rsid w:val="00782680"/>
    <w:rsid w:val="007830E5"/>
    <w:rsid w:val="0078387D"/>
    <w:rsid w:val="007839AD"/>
    <w:rsid w:val="00783C6C"/>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9057E"/>
    <w:rsid w:val="007905BF"/>
    <w:rsid w:val="00791727"/>
    <w:rsid w:val="0079173A"/>
    <w:rsid w:val="0079197F"/>
    <w:rsid w:val="00791F1C"/>
    <w:rsid w:val="00792505"/>
    <w:rsid w:val="00792527"/>
    <w:rsid w:val="007926F9"/>
    <w:rsid w:val="00792A26"/>
    <w:rsid w:val="00792B1A"/>
    <w:rsid w:val="00792C0A"/>
    <w:rsid w:val="0079304A"/>
    <w:rsid w:val="0079375A"/>
    <w:rsid w:val="00793953"/>
    <w:rsid w:val="007939C9"/>
    <w:rsid w:val="00793A3C"/>
    <w:rsid w:val="00793EB3"/>
    <w:rsid w:val="00793FD4"/>
    <w:rsid w:val="007945AF"/>
    <w:rsid w:val="00795310"/>
    <w:rsid w:val="00795586"/>
    <w:rsid w:val="00795660"/>
    <w:rsid w:val="00795770"/>
    <w:rsid w:val="0079594B"/>
    <w:rsid w:val="00795C5D"/>
    <w:rsid w:val="007965DA"/>
    <w:rsid w:val="00796708"/>
    <w:rsid w:val="007970E4"/>
    <w:rsid w:val="00797D4B"/>
    <w:rsid w:val="007A0A4D"/>
    <w:rsid w:val="007A0CFD"/>
    <w:rsid w:val="007A0D65"/>
    <w:rsid w:val="007A0EC1"/>
    <w:rsid w:val="007A1ACC"/>
    <w:rsid w:val="007A1E35"/>
    <w:rsid w:val="007A2225"/>
    <w:rsid w:val="007A2354"/>
    <w:rsid w:val="007A26BA"/>
    <w:rsid w:val="007A2B2A"/>
    <w:rsid w:val="007A2D52"/>
    <w:rsid w:val="007A2F3D"/>
    <w:rsid w:val="007A3714"/>
    <w:rsid w:val="007A3D29"/>
    <w:rsid w:val="007A40AD"/>
    <w:rsid w:val="007A40E3"/>
    <w:rsid w:val="007A4456"/>
    <w:rsid w:val="007A4EF1"/>
    <w:rsid w:val="007A5017"/>
    <w:rsid w:val="007A507A"/>
    <w:rsid w:val="007A513F"/>
    <w:rsid w:val="007A5548"/>
    <w:rsid w:val="007A5C5E"/>
    <w:rsid w:val="007A5D63"/>
    <w:rsid w:val="007A6553"/>
    <w:rsid w:val="007A6C8A"/>
    <w:rsid w:val="007A6D9A"/>
    <w:rsid w:val="007A729E"/>
    <w:rsid w:val="007A79F1"/>
    <w:rsid w:val="007A7A7B"/>
    <w:rsid w:val="007A7CD8"/>
    <w:rsid w:val="007B00CD"/>
    <w:rsid w:val="007B0439"/>
    <w:rsid w:val="007B0881"/>
    <w:rsid w:val="007B08B5"/>
    <w:rsid w:val="007B13E7"/>
    <w:rsid w:val="007B15B0"/>
    <w:rsid w:val="007B15C9"/>
    <w:rsid w:val="007B1647"/>
    <w:rsid w:val="007B1E26"/>
    <w:rsid w:val="007B1E93"/>
    <w:rsid w:val="007B2134"/>
    <w:rsid w:val="007B3074"/>
    <w:rsid w:val="007B3B76"/>
    <w:rsid w:val="007B3DB4"/>
    <w:rsid w:val="007B41DD"/>
    <w:rsid w:val="007B47D5"/>
    <w:rsid w:val="007B4CDA"/>
    <w:rsid w:val="007B4F8F"/>
    <w:rsid w:val="007B52C3"/>
    <w:rsid w:val="007B57B7"/>
    <w:rsid w:val="007B5A5F"/>
    <w:rsid w:val="007B68CB"/>
    <w:rsid w:val="007B6ACA"/>
    <w:rsid w:val="007B6DF8"/>
    <w:rsid w:val="007B6E0D"/>
    <w:rsid w:val="007B7096"/>
    <w:rsid w:val="007B7DC8"/>
    <w:rsid w:val="007C01C2"/>
    <w:rsid w:val="007C0655"/>
    <w:rsid w:val="007C0784"/>
    <w:rsid w:val="007C09B4"/>
    <w:rsid w:val="007C0D8D"/>
    <w:rsid w:val="007C0E3C"/>
    <w:rsid w:val="007C1042"/>
    <w:rsid w:val="007C1562"/>
    <w:rsid w:val="007C1B81"/>
    <w:rsid w:val="007C1DA8"/>
    <w:rsid w:val="007C230B"/>
    <w:rsid w:val="007C3220"/>
    <w:rsid w:val="007C322F"/>
    <w:rsid w:val="007C3298"/>
    <w:rsid w:val="007C3517"/>
    <w:rsid w:val="007C3D9A"/>
    <w:rsid w:val="007C3E8A"/>
    <w:rsid w:val="007C412E"/>
    <w:rsid w:val="007C47C7"/>
    <w:rsid w:val="007C4FDD"/>
    <w:rsid w:val="007C55E2"/>
    <w:rsid w:val="007C5781"/>
    <w:rsid w:val="007C5B34"/>
    <w:rsid w:val="007C5D3D"/>
    <w:rsid w:val="007C5F5B"/>
    <w:rsid w:val="007C6010"/>
    <w:rsid w:val="007C65A0"/>
    <w:rsid w:val="007C6EA0"/>
    <w:rsid w:val="007C6EA5"/>
    <w:rsid w:val="007C7058"/>
    <w:rsid w:val="007C77E8"/>
    <w:rsid w:val="007C7830"/>
    <w:rsid w:val="007C7F3F"/>
    <w:rsid w:val="007D0590"/>
    <w:rsid w:val="007D05E3"/>
    <w:rsid w:val="007D1255"/>
    <w:rsid w:val="007D1A9F"/>
    <w:rsid w:val="007D2A1D"/>
    <w:rsid w:val="007D2A53"/>
    <w:rsid w:val="007D3697"/>
    <w:rsid w:val="007D443E"/>
    <w:rsid w:val="007D44FA"/>
    <w:rsid w:val="007D48CA"/>
    <w:rsid w:val="007D4ABB"/>
    <w:rsid w:val="007D4B10"/>
    <w:rsid w:val="007D4D0B"/>
    <w:rsid w:val="007D5AC1"/>
    <w:rsid w:val="007D5DE9"/>
    <w:rsid w:val="007D6192"/>
    <w:rsid w:val="007D68D1"/>
    <w:rsid w:val="007D6B49"/>
    <w:rsid w:val="007D7561"/>
    <w:rsid w:val="007D75BA"/>
    <w:rsid w:val="007D789B"/>
    <w:rsid w:val="007D7B43"/>
    <w:rsid w:val="007D7B53"/>
    <w:rsid w:val="007D7BFD"/>
    <w:rsid w:val="007D7E0B"/>
    <w:rsid w:val="007E00B4"/>
    <w:rsid w:val="007E02F6"/>
    <w:rsid w:val="007E08BA"/>
    <w:rsid w:val="007E08DE"/>
    <w:rsid w:val="007E168A"/>
    <w:rsid w:val="007E1A9A"/>
    <w:rsid w:val="007E1D51"/>
    <w:rsid w:val="007E1F32"/>
    <w:rsid w:val="007E2719"/>
    <w:rsid w:val="007E2724"/>
    <w:rsid w:val="007E2AA2"/>
    <w:rsid w:val="007E3599"/>
    <w:rsid w:val="007E382D"/>
    <w:rsid w:val="007E3C76"/>
    <w:rsid w:val="007E3CAB"/>
    <w:rsid w:val="007E4053"/>
    <w:rsid w:val="007E4954"/>
    <w:rsid w:val="007E4A5D"/>
    <w:rsid w:val="007E4BEE"/>
    <w:rsid w:val="007E4E69"/>
    <w:rsid w:val="007E56DF"/>
    <w:rsid w:val="007E5865"/>
    <w:rsid w:val="007E59B2"/>
    <w:rsid w:val="007E5B25"/>
    <w:rsid w:val="007E6CE6"/>
    <w:rsid w:val="007E74F8"/>
    <w:rsid w:val="007E7AE5"/>
    <w:rsid w:val="007E7D9E"/>
    <w:rsid w:val="007F055B"/>
    <w:rsid w:val="007F10D6"/>
    <w:rsid w:val="007F10EC"/>
    <w:rsid w:val="007F1275"/>
    <w:rsid w:val="007F1E59"/>
    <w:rsid w:val="007F1FF2"/>
    <w:rsid w:val="007F2197"/>
    <w:rsid w:val="007F288B"/>
    <w:rsid w:val="007F2D99"/>
    <w:rsid w:val="007F379B"/>
    <w:rsid w:val="007F3EC4"/>
    <w:rsid w:val="007F3F7E"/>
    <w:rsid w:val="007F4456"/>
    <w:rsid w:val="007F4B36"/>
    <w:rsid w:val="007F4C05"/>
    <w:rsid w:val="007F4C2E"/>
    <w:rsid w:val="007F4F9B"/>
    <w:rsid w:val="007F53EE"/>
    <w:rsid w:val="007F548A"/>
    <w:rsid w:val="007F588D"/>
    <w:rsid w:val="007F58AA"/>
    <w:rsid w:val="007F5A4C"/>
    <w:rsid w:val="007F5B11"/>
    <w:rsid w:val="007F5C32"/>
    <w:rsid w:val="007F63A6"/>
    <w:rsid w:val="007F67A6"/>
    <w:rsid w:val="007F6D2C"/>
    <w:rsid w:val="007F6E29"/>
    <w:rsid w:val="007F7324"/>
    <w:rsid w:val="007F7B19"/>
    <w:rsid w:val="007F7BC2"/>
    <w:rsid w:val="00800627"/>
    <w:rsid w:val="00800AB0"/>
    <w:rsid w:val="008011B9"/>
    <w:rsid w:val="008011E0"/>
    <w:rsid w:val="008012FF"/>
    <w:rsid w:val="008014A4"/>
    <w:rsid w:val="00801601"/>
    <w:rsid w:val="00801A02"/>
    <w:rsid w:val="00801D67"/>
    <w:rsid w:val="00801D89"/>
    <w:rsid w:val="0080252F"/>
    <w:rsid w:val="008028B6"/>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AEA"/>
    <w:rsid w:val="00810EB3"/>
    <w:rsid w:val="00810FE7"/>
    <w:rsid w:val="008110D9"/>
    <w:rsid w:val="0081119C"/>
    <w:rsid w:val="008120DF"/>
    <w:rsid w:val="008124CA"/>
    <w:rsid w:val="00812C0B"/>
    <w:rsid w:val="00812E15"/>
    <w:rsid w:val="00813083"/>
    <w:rsid w:val="00813288"/>
    <w:rsid w:val="008132D0"/>
    <w:rsid w:val="0081366E"/>
    <w:rsid w:val="008138B6"/>
    <w:rsid w:val="00813DF8"/>
    <w:rsid w:val="0081446E"/>
    <w:rsid w:val="00814983"/>
    <w:rsid w:val="00815018"/>
    <w:rsid w:val="008155F2"/>
    <w:rsid w:val="0081576E"/>
    <w:rsid w:val="00816124"/>
    <w:rsid w:val="008162B3"/>
    <w:rsid w:val="008165D5"/>
    <w:rsid w:val="00816710"/>
    <w:rsid w:val="008169C0"/>
    <w:rsid w:val="00816B1A"/>
    <w:rsid w:val="0081739D"/>
    <w:rsid w:val="008176F4"/>
    <w:rsid w:val="008177D1"/>
    <w:rsid w:val="00817940"/>
    <w:rsid w:val="00817F63"/>
    <w:rsid w:val="008207ED"/>
    <w:rsid w:val="00821326"/>
    <w:rsid w:val="00821560"/>
    <w:rsid w:val="00821BC3"/>
    <w:rsid w:val="00822B06"/>
    <w:rsid w:val="00823198"/>
    <w:rsid w:val="00823868"/>
    <w:rsid w:val="00823F1E"/>
    <w:rsid w:val="0082426E"/>
    <w:rsid w:val="00824412"/>
    <w:rsid w:val="0082443B"/>
    <w:rsid w:val="0082456C"/>
    <w:rsid w:val="0082480C"/>
    <w:rsid w:val="00825476"/>
    <w:rsid w:val="008257D2"/>
    <w:rsid w:val="0082592D"/>
    <w:rsid w:val="00825B08"/>
    <w:rsid w:val="00825DB1"/>
    <w:rsid w:val="00826650"/>
    <w:rsid w:val="00826DE5"/>
    <w:rsid w:val="008272BB"/>
    <w:rsid w:val="00827742"/>
    <w:rsid w:val="008279A9"/>
    <w:rsid w:val="00830600"/>
    <w:rsid w:val="008311C4"/>
    <w:rsid w:val="00831A49"/>
    <w:rsid w:val="00831D5C"/>
    <w:rsid w:val="00831E7A"/>
    <w:rsid w:val="008337B5"/>
    <w:rsid w:val="008339F3"/>
    <w:rsid w:val="00833A5D"/>
    <w:rsid w:val="00834236"/>
    <w:rsid w:val="008359F2"/>
    <w:rsid w:val="00835BC5"/>
    <w:rsid w:val="00835C0E"/>
    <w:rsid w:val="008364C3"/>
    <w:rsid w:val="00836C79"/>
    <w:rsid w:val="00837204"/>
    <w:rsid w:val="00837930"/>
    <w:rsid w:val="00837AE6"/>
    <w:rsid w:val="00837AF8"/>
    <w:rsid w:val="00840805"/>
    <w:rsid w:val="00840908"/>
    <w:rsid w:val="008409C0"/>
    <w:rsid w:val="008409E5"/>
    <w:rsid w:val="00840D65"/>
    <w:rsid w:val="00841198"/>
    <w:rsid w:val="0084125B"/>
    <w:rsid w:val="00841780"/>
    <w:rsid w:val="0084243D"/>
    <w:rsid w:val="00842500"/>
    <w:rsid w:val="00842DE7"/>
    <w:rsid w:val="00842DF2"/>
    <w:rsid w:val="00842E14"/>
    <w:rsid w:val="008436BA"/>
    <w:rsid w:val="00843993"/>
    <w:rsid w:val="008439C9"/>
    <w:rsid w:val="0084405D"/>
    <w:rsid w:val="008441C7"/>
    <w:rsid w:val="008450A8"/>
    <w:rsid w:val="008454C4"/>
    <w:rsid w:val="00845F1E"/>
    <w:rsid w:val="008461CF"/>
    <w:rsid w:val="00846481"/>
    <w:rsid w:val="00846862"/>
    <w:rsid w:val="00846C16"/>
    <w:rsid w:val="0084741D"/>
    <w:rsid w:val="00847467"/>
    <w:rsid w:val="00847AC0"/>
    <w:rsid w:val="00847EB8"/>
    <w:rsid w:val="00850138"/>
    <w:rsid w:val="00850B25"/>
    <w:rsid w:val="00850C98"/>
    <w:rsid w:val="00850D65"/>
    <w:rsid w:val="00850F2D"/>
    <w:rsid w:val="00851132"/>
    <w:rsid w:val="00851D4D"/>
    <w:rsid w:val="00852137"/>
    <w:rsid w:val="0085214D"/>
    <w:rsid w:val="008528CD"/>
    <w:rsid w:val="00852904"/>
    <w:rsid w:val="008533B7"/>
    <w:rsid w:val="00853485"/>
    <w:rsid w:val="00853666"/>
    <w:rsid w:val="00853CFB"/>
    <w:rsid w:val="008547A1"/>
    <w:rsid w:val="0085534B"/>
    <w:rsid w:val="0085537A"/>
    <w:rsid w:val="008555A9"/>
    <w:rsid w:val="00855F82"/>
    <w:rsid w:val="0085605A"/>
    <w:rsid w:val="008565BC"/>
    <w:rsid w:val="00856909"/>
    <w:rsid w:val="00856EF6"/>
    <w:rsid w:val="008570BC"/>
    <w:rsid w:val="008570E1"/>
    <w:rsid w:val="00857813"/>
    <w:rsid w:val="00857873"/>
    <w:rsid w:val="00857980"/>
    <w:rsid w:val="00860568"/>
    <w:rsid w:val="0086089A"/>
    <w:rsid w:val="00860CD2"/>
    <w:rsid w:val="00860E30"/>
    <w:rsid w:val="008616B1"/>
    <w:rsid w:val="008617CE"/>
    <w:rsid w:val="008619F0"/>
    <w:rsid w:val="0086264D"/>
    <w:rsid w:val="00862784"/>
    <w:rsid w:val="00862F48"/>
    <w:rsid w:val="0086331D"/>
    <w:rsid w:val="00863AC1"/>
    <w:rsid w:val="00864A42"/>
    <w:rsid w:val="00865007"/>
    <w:rsid w:val="0086506E"/>
    <w:rsid w:val="0086526F"/>
    <w:rsid w:val="008653BB"/>
    <w:rsid w:val="00865B6E"/>
    <w:rsid w:val="008662BA"/>
    <w:rsid w:val="008665D6"/>
    <w:rsid w:val="00866981"/>
    <w:rsid w:val="00866A7D"/>
    <w:rsid w:val="00866FB2"/>
    <w:rsid w:val="00867010"/>
    <w:rsid w:val="00867369"/>
    <w:rsid w:val="008676CD"/>
    <w:rsid w:val="00867889"/>
    <w:rsid w:val="00867B5F"/>
    <w:rsid w:val="00867E3F"/>
    <w:rsid w:val="00867F5F"/>
    <w:rsid w:val="00870A8B"/>
    <w:rsid w:val="00871073"/>
    <w:rsid w:val="00871ED9"/>
    <w:rsid w:val="00872443"/>
    <w:rsid w:val="008724F8"/>
    <w:rsid w:val="00872811"/>
    <w:rsid w:val="008728F2"/>
    <w:rsid w:val="00872BB3"/>
    <w:rsid w:val="0087345A"/>
    <w:rsid w:val="0087351F"/>
    <w:rsid w:val="0087363C"/>
    <w:rsid w:val="008738E4"/>
    <w:rsid w:val="00873EF2"/>
    <w:rsid w:val="00874096"/>
    <w:rsid w:val="008746E8"/>
    <w:rsid w:val="008748DD"/>
    <w:rsid w:val="00874C95"/>
    <w:rsid w:val="00874DFD"/>
    <w:rsid w:val="0087592C"/>
    <w:rsid w:val="00875991"/>
    <w:rsid w:val="00876030"/>
    <w:rsid w:val="0087639C"/>
    <w:rsid w:val="008763EE"/>
    <w:rsid w:val="00876A1F"/>
    <w:rsid w:val="00876BC1"/>
    <w:rsid w:val="00877090"/>
    <w:rsid w:val="008775AD"/>
    <w:rsid w:val="00877784"/>
    <w:rsid w:val="008778AE"/>
    <w:rsid w:val="00877948"/>
    <w:rsid w:val="00877A05"/>
    <w:rsid w:val="008805DB"/>
    <w:rsid w:val="008807FE"/>
    <w:rsid w:val="00880D51"/>
    <w:rsid w:val="00880D71"/>
    <w:rsid w:val="00881418"/>
    <w:rsid w:val="008814EC"/>
    <w:rsid w:val="0088177D"/>
    <w:rsid w:val="008825D3"/>
    <w:rsid w:val="00882BF0"/>
    <w:rsid w:val="008833DF"/>
    <w:rsid w:val="00883A05"/>
    <w:rsid w:val="0088426B"/>
    <w:rsid w:val="00885129"/>
    <w:rsid w:val="00885161"/>
    <w:rsid w:val="00885305"/>
    <w:rsid w:val="008853EA"/>
    <w:rsid w:val="00885764"/>
    <w:rsid w:val="00885784"/>
    <w:rsid w:val="008857CF"/>
    <w:rsid w:val="00885807"/>
    <w:rsid w:val="00885987"/>
    <w:rsid w:val="00885DAA"/>
    <w:rsid w:val="00885DE9"/>
    <w:rsid w:val="00886002"/>
    <w:rsid w:val="008860CF"/>
    <w:rsid w:val="0088611C"/>
    <w:rsid w:val="008864C4"/>
    <w:rsid w:val="008864ED"/>
    <w:rsid w:val="0088653D"/>
    <w:rsid w:val="00886971"/>
    <w:rsid w:val="00886A4E"/>
    <w:rsid w:val="00886C57"/>
    <w:rsid w:val="008871E3"/>
    <w:rsid w:val="008873A7"/>
    <w:rsid w:val="00887A37"/>
    <w:rsid w:val="00887CCD"/>
    <w:rsid w:val="00887EEB"/>
    <w:rsid w:val="0089003C"/>
    <w:rsid w:val="00890681"/>
    <w:rsid w:val="008909E4"/>
    <w:rsid w:val="00891215"/>
    <w:rsid w:val="00891360"/>
    <w:rsid w:val="00891807"/>
    <w:rsid w:val="00891992"/>
    <w:rsid w:val="00892D54"/>
    <w:rsid w:val="008930B9"/>
    <w:rsid w:val="00893AC9"/>
    <w:rsid w:val="008941DE"/>
    <w:rsid w:val="00894524"/>
    <w:rsid w:val="0089481C"/>
    <w:rsid w:val="00894C98"/>
    <w:rsid w:val="00894D2F"/>
    <w:rsid w:val="00895691"/>
    <w:rsid w:val="00895807"/>
    <w:rsid w:val="00895DF3"/>
    <w:rsid w:val="008964EA"/>
    <w:rsid w:val="008967D1"/>
    <w:rsid w:val="00896907"/>
    <w:rsid w:val="00896E2D"/>
    <w:rsid w:val="008971F8"/>
    <w:rsid w:val="00897852"/>
    <w:rsid w:val="00897E6E"/>
    <w:rsid w:val="008A03BC"/>
    <w:rsid w:val="008A08F5"/>
    <w:rsid w:val="008A1964"/>
    <w:rsid w:val="008A1D76"/>
    <w:rsid w:val="008A23D6"/>
    <w:rsid w:val="008A2780"/>
    <w:rsid w:val="008A2917"/>
    <w:rsid w:val="008A2C46"/>
    <w:rsid w:val="008A39F8"/>
    <w:rsid w:val="008A4533"/>
    <w:rsid w:val="008A4A43"/>
    <w:rsid w:val="008A4B01"/>
    <w:rsid w:val="008A4CB9"/>
    <w:rsid w:val="008A534D"/>
    <w:rsid w:val="008A69FA"/>
    <w:rsid w:val="008A6C7B"/>
    <w:rsid w:val="008A6D25"/>
    <w:rsid w:val="008A6DC6"/>
    <w:rsid w:val="008A70C6"/>
    <w:rsid w:val="008A71CC"/>
    <w:rsid w:val="008A7371"/>
    <w:rsid w:val="008A7848"/>
    <w:rsid w:val="008B0C13"/>
    <w:rsid w:val="008B123E"/>
    <w:rsid w:val="008B14F2"/>
    <w:rsid w:val="008B218E"/>
    <w:rsid w:val="008B27AF"/>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8AF"/>
    <w:rsid w:val="008B7729"/>
    <w:rsid w:val="008B78B7"/>
    <w:rsid w:val="008B7D99"/>
    <w:rsid w:val="008C06EF"/>
    <w:rsid w:val="008C09DD"/>
    <w:rsid w:val="008C1229"/>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8DA"/>
    <w:rsid w:val="008C5E13"/>
    <w:rsid w:val="008C5E68"/>
    <w:rsid w:val="008C6146"/>
    <w:rsid w:val="008C6251"/>
    <w:rsid w:val="008C637A"/>
    <w:rsid w:val="008C6601"/>
    <w:rsid w:val="008C6D8F"/>
    <w:rsid w:val="008C74AA"/>
    <w:rsid w:val="008C7533"/>
    <w:rsid w:val="008C7731"/>
    <w:rsid w:val="008C7DBC"/>
    <w:rsid w:val="008C7E21"/>
    <w:rsid w:val="008C7FE2"/>
    <w:rsid w:val="008D03EB"/>
    <w:rsid w:val="008D12D5"/>
    <w:rsid w:val="008D196A"/>
    <w:rsid w:val="008D1970"/>
    <w:rsid w:val="008D1D09"/>
    <w:rsid w:val="008D1F6F"/>
    <w:rsid w:val="008D27DE"/>
    <w:rsid w:val="008D3179"/>
    <w:rsid w:val="008D3D2C"/>
    <w:rsid w:val="008D3D4B"/>
    <w:rsid w:val="008D3DF2"/>
    <w:rsid w:val="008D40F6"/>
    <w:rsid w:val="008D4B8E"/>
    <w:rsid w:val="008D55A3"/>
    <w:rsid w:val="008D5DEC"/>
    <w:rsid w:val="008D5FD4"/>
    <w:rsid w:val="008D61B6"/>
    <w:rsid w:val="008D61EB"/>
    <w:rsid w:val="008D64FA"/>
    <w:rsid w:val="008D6501"/>
    <w:rsid w:val="008D6788"/>
    <w:rsid w:val="008D6BBA"/>
    <w:rsid w:val="008D7386"/>
    <w:rsid w:val="008D76C0"/>
    <w:rsid w:val="008E0000"/>
    <w:rsid w:val="008E063A"/>
    <w:rsid w:val="008E1385"/>
    <w:rsid w:val="008E15E4"/>
    <w:rsid w:val="008E1744"/>
    <w:rsid w:val="008E183D"/>
    <w:rsid w:val="008E1C53"/>
    <w:rsid w:val="008E23C7"/>
    <w:rsid w:val="008E264E"/>
    <w:rsid w:val="008E28DB"/>
    <w:rsid w:val="008E2947"/>
    <w:rsid w:val="008E2A47"/>
    <w:rsid w:val="008E3A8E"/>
    <w:rsid w:val="008E441F"/>
    <w:rsid w:val="008E4646"/>
    <w:rsid w:val="008E4870"/>
    <w:rsid w:val="008E4BBA"/>
    <w:rsid w:val="008E4D7E"/>
    <w:rsid w:val="008E519E"/>
    <w:rsid w:val="008E58F1"/>
    <w:rsid w:val="008E5ADF"/>
    <w:rsid w:val="008E5DFF"/>
    <w:rsid w:val="008E65A1"/>
    <w:rsid w:val="008E6A40"/>
    <w:rsid w:val="008E6FBD"/>
    <w:rsid w:val="008E7284"/>
    <w:rsid w:val="008E7348"/>
    <w:rsid w:val="008E74BF"/>
    <w:rsid w:val="008E7948"/>
    <w:rsid w:val="008E7FD6"/>
    <w:rsid w:val="008F0229"/>
    <w:rsid w:val="008F025D"/>
    <w:rsid w:val="008F02A1"/>
    <w:rsid w:val="008F043B"/>
    <w:rsid w:val="008F07C0"/>
    <w:rsid w:val="008F1225"/>
    <w:rsid w:val="008F13CC"/>
    <w:rsid w:val="008F1425"/>
    <w:rsid w:val="008F16B2"/>
    <w:rsid w:val="008F1A28"/>
    <w:rsid w:val="008F20F1"/>
    <w:rsid w:val="008F280C"/>
    <w:rsid w:val="008F2B23"/>
    <w:rsid w:val="008F2DE8"/>
    <w:rsid w:val="008F307F"/>
    <w:rsid w:val="008F3B21"/>
    <w:rsid w:val="008F3F92"/>
    <w:rsid w:val="008F424A"/>
    <w:rsid w:val="008F4947"/>
    <w:rsid w:val="008F4BC6"/>
    <w:rsid w:val="008F526E"/>
    <w:rsid w:val="008F52AD"/>
    <w:rsid w:val="008F5D23"/>
    <w:rsid w:val="008F6555"/>
    <w:rsid w:val="008F686F"/>
    <w:rsid w:val="008F6973"/>
    <w:rsid w:val="008F72BF"/>
    <w:rsid w:val="008F77AD"/>
    <w:rsid w:val="008F7C5A"/>
    <w:rsid w:val="009001C6"/>
    <w:rsid w:val="009001DE"/>
    <w:rsid w:val="009005BC"/>
    <w:rsid w:val="0090076E"/>
    <w:rsid w:val="009008DD"/>
    <w:rsid w:val="00900E60"/>
    <w:rsid w:val="00900FA9"/>
    <w:rsid w:val="0090101C"/>
    <w:rsid w:val="0090175B"/>
    <w:rsid w:val="00901803"/>
    <w:rsid w:val="00901EDD"/>
    <w:rsid w:val="00902509"/>
    <w:rsid w:val="009026B8"/>
    <w:rsid w:val="0090274D"/>
    <w:rsid w:val="00902805"/>
    <w:rsid w:val="00902FD7"/>
    <w:rsid w:val="00903157"/>
    <w:rsid w:val="009034BF"/>
    <w:rsid w:val="00903692"/>
    <w:rsid w:val="00903A01"/>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1023F"/>
    <w:rsid w:val="0091081E"/>
    <w:rsid w:val="009116C4"/>
    <w:rsid w:val="0091223F"/>
    <w:rsid w:val="00912F2F"/>
    <w:rsid w:val="009137A4"/>
    <w:rsid w:val="009137EE"/>
    <w:rsid w:val="00913C45"/>
    <w:rsid w:val="009146FE"/>
    <w:rsid w:val="00914853"/>
    <w:rsid w:val="00914D5F"/>
    <w:rsid w:val="00915036"/>
    <w:rsid w:val="00915064"/>
    <w:rsid w:val="009150BD"/>
    <w:rsid w:val="009150F0"/>
    <w:rsid w:val="00915DCF"/>
    <w:rsid w:val="00916B39"/>
    <w:rsid w:val="00920588"/>
    <w:rsid w:val="009206EA"/>
    <w:rsid w:val="00920DC4"/>
    <w:rsid w:val="00920E50"/>
    <w:rsid w:val="009211FB"/>
    <w:rsid w:val="009213B9"/>
    <w:rsid w:val="00921430"/>
    <w:rsid w:val="00921445"/>
    <w:rsid w:val="00921CA1"/>
    <w:rsid w:val="00921FBE"/>
    <w:rsid w:val="00922022"/>
    <w:rsid w:val="00922ECF"/>
    <w:rsid w:val="00923519"/>
    <w:rsid w:val="009242E9"/>
    <w:rsid w:val="0092433C"/>
    <w:rsid w:val="009245B4"/>
    <w:rsid w:val="009245EB"/>
    <w:rsid w:val="00924981"/>
    <w:rsid w:val="00924A32"/>
    <w:rsid w:val="00924F92"/>
    <w:rsid w:val="00925222"/>
    <w:rsid w:val="00925619"/>
    <w:rsid w:val="00926132"/>
    <w:rsid w:val="0092613B"/>
    <w:rsid w:val="00927110"/>
    <w:rsid w:val="009273C7"/>
    <w:rsid w:val="00927749"/>
    <w:rsid w:val="00927C01"/>
    <w:rsid w:val="00927DE2"/>
    <w:rsid w:val="00930260"/>
    <w:rsid w:val="0093074A"/>
    <w:rsid w:val="00930A1F"/>
    <w:rsid w:val="00930CF7"/>
    <w:rsid w:val="009313A9"/>
    <w:rsid w:val="009313D7"/>
    <w:rsid w:val="00931653"/>
    <w:rsid w:val="00931F50"/>
    <w:rsid w:val="00932098"/>
    <w:rsid w:val="00932767"/>
    <w:rsid w:val="00932818"/>
    <w:rsid w:val="009328D0"/>
    <w:rsid w:val="00932985"/>
    <w:rsid w:val="00932E57"/>
    <w:rsid w:val="0093351D"/>
    <w:rsid w:val="00933B5A"/>
    <w:rsid w:val="00933CAD"/>
    <w:rsid w:val="0093479D"/>
    <w:rsid w:val="00934829"/>
    <w:rsid w:val="00934A2E"/>
    <w:rsid w:val="00935840"/>
    <w:rsid w:val="00935896"/>
    <w:rsid w:val="00935897"/>
    <w:rsid w:val="00936095"/>
    <w:rsid w:val="00936B35"/>
    <w:rsid w:val="0093709D"/>
    <w:rsid w:val="009371BB"/>
    <w:rsid w:val="00937399"/>
    <w:rsid w:val="00937935"/>
    <w:rsid w:val="009379AF"/>
    <w:rsid w:val="009379F4"/>
    <w:rsid w:val="009401DE"/>
    <w:rsid w:val="009401ED"/>
    <w:rsid w:val="00940453"/>
    <w:rsid w:val="009404DA"/>
    <w:rsid w:val="00940523"/>
    <w:rsid w:val="009407F9"/>
    <w:rsid w:val="00942543"/>
    <w:rsid w:val="00942730"/>
    <w:rsid w:val="0094291F"/>
    <w:rsid w:val="00942BB9"/>
    <w:rsid w:val="00942BBE"/>
    <w:rsid w:val="0094363D"/>
    <w:rsid w:val="00943A2E"/>
    <w:rsid w:val="00944110"/>
    <w:rsid w:val="009442D0"/>
    <w:rsid w:val="009447A6"/>
    <w:rsid w:val="00944FC2"/>
    <w:rsid w:val="0094529B"/>
    <w:rsid w:val="009452DF"/>
    <w:rsid w:val="00945330"/>
    <w:rsid w:val="00945365"/>
    <w:rsid w:val="0094580E"/>
    <w:rsid w:val="00946027"/>
    <w:rsid w:val="009462D4"/>
    <w:rsid w:val="00946A41"/>
    <w:rsid w:val="00946B9D"/>
    <w:rsid w:val="0094725A"/>
    <w:rsid w:val="00950096"/>
    <w:rsid w:val="00950433"/>
    <w:rsid w:val="009508B3"/>
    <w:rsid w:val="00950C97"/>
    <w:rsid w:val="00950E17"/>
    <w:rsid w:val="00950FDD"/>
    <w:rsid w:val="009513B7"/>
    <w:rsid w:val="009514F5"/>
    <w:rsid w:val="0095154B"/>
    <w:rsid w:val="00951BD0"/>
    <w:rsid w:val="009522F5"/>
    <w:rsid w:val="00952B16"/>
    <w:rsid w:val="009531B9"/>
    <w:rsid w:val="00953840"/>
    <w:rsid w:val="00953B74"/>
    <w:rsid w:val="009549CC"/>
    <w:rsid w:val="00954D0A"/>
    <w:rsid w:val="00955465"/>
    <w:rsid w:val="009557F2"/>
    <w:rsid w:val="00955E59"/>
    <w:rsid w:val="00956577"/>
    <w:rsid w:val="0095677B"/>
    <w:rsid w:val="009567CF"/>
    <w:rsid w:val="00956E7A"/>
    <w:rsid w:val="0095727F"/>
    <w:rsid w:val="00960064"/>
    <w:rsid w:val="009606C6"/>
    <w:rsid w:val="00960AC0"/>
    <w:rsid w:val="009617BD"/>
    <w:rsid w:val="00961831"/>
    <w:rsid w:val="0096202B"/>
    <w:rsid w:val="009626DB"/>
    <w:rsid w:val="009627EF"/>
    <w:rsid w:val="0096294B"/>
    <w:rsid w:val="00963177"/>
    <w:rsid w:val="0096351E"/>
    <w:rsid w:val="00964A51"/>
    <w:rsid w:val="00964EF8"/>
    <w:rsid w:val="0096530D"/>
    <w:rsid w:val="009654B1"/>
    <w:rsid w:val="009655E8"/>
    <w:rsid w:val="00965735"/>
    <w:rsid w:val="00965FA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AD"/>
    <w:rsid w:val="00971B20"/>
    <w:rsid w:val="00971EC9"/>
    <w:rsid w:val="00971F61"/>
    <w:rsid w:val="0097202B"/>
    <w:rsid w:val="0097216D"/>
    <w:rsid w:val="00972467"/>
    <w:rsid w:val="0097292A"/>
    <w:rsid w:val="00972BF5"/>
    <w:rsid w:val="00972E3F"/>
    <w:rsid w:val="00973D63"/>
    <w:rsid w:val="00974531"/>
    <w:rsid w:val="00974623"/>
    <w:rsid w:val="009747AA"/>
    <w:rsid w:val="00974E04"/>
    <w:rsid w:val="009752BD"/>
    <w:rsid w:val="00975560"/>
    <w:rsid w:val="0097558A"/>
    <w:rsid w:val="009759FF"/>
    <w:rsid w:val="00975A03"/>
    <w:rsid w:val="00975A8C"/>
    <w:rsid w:val="00975AAD"/>
    <w:rsid w:val="00976272"/>
    <w:rsid w:val="009769B3"/>
    <w:rsid w:val="00976C29"/>
    <w:rsid w:val="009806A3"/>
    <w:rsid w:val="00980DD9"/>
    <w:rsid w:val="00981253"/>
    <w:rsid w:val="009816FD"/>
    <w:rsid w:val="00981EE6"/>
    <w:rsid w:val="009828EA"/>
    <w:rsid w:val="00982950"/>
    <w:rsid w:val="00982C6B"/>
    <w:rsid w:val="00982EF8"/>
    <w:rsid w:val="0098300A"/>
    <w:rsid w:val="00983354"/>
    <w:rsid w:val="00983B3E"/>
    <w:rsid w:val="00983B5A"/>
    <w:rsid w:val="00983E2C"/>
    <w:rsid w:val="00984065"/>
    <w:rsid w:val="00984256"/>
    <w:rsid w:val="00984D4C"/>
    <w:rsid w:val="00986019"/>
    <w:rsid w:val="00986514"/>
    <w:rsid w:val="00987172"/>
    <w:rsid w:val="0098734C"/>
    <w:rsid w:val="00987543"/>
    <w:rsid w:val="00987A06"/>
    <w:rsid w:val="00990C1B"/>
    <w:rsid w:val="00990F4F"/>
    <w:rsid w:val="00991A15"/>
    <w:rsid w:val="00991D21"/>
    <w:rsid w:val="00991E93"/>
    <w:rsid w:val="00992158"/>
    <w:rsid w:val="00992499"/>
    <w:rsid w:val="00992CA8"/>
    <w:rsid w:val="00992F50"/>
    <w:rsid w:val="009935AB"/>
    <w:rsid w:val="00993A64"/>
    <w:rsid w:val="00993ADA"/>
    <w:rsid w:val="00994547"/>
    <w:rsid w:val="00994654"/>
    <w:rsid w:val="009949A7"/>
    <w:rsid w:val="0099500B"/>
    <w:rsid w:val="00995893"/>
    <w:rsid w:val="00995CE3"/>
    <w:rsid w:val="009961E4"/>
    <w:rsid w:val="00996304"/>
    <w:rsid w:val="0099716C"/>
    <w:rsid w:val="00997561"/>
    <w:rsid w:val="009975DC"/>
    <w:rsid w:val="00997D2B"/>
    <w:rsid w:val="00997DD1"/>
    <w:rsid w:val="009A05A3"/>
    <w:rsid w:val="009A0AC1"/>
    <w:rsid w:val="009A0DAB"/>
    <w:rsid w:val="009A210D"/>
    <w:rsid w:val="009A2385"/>
    <w:rsid w:val="009A23CD"/>
    <w:rsid w:val="009A28FA"/>
    <w:rsid w:val="009A2BA4"/>
    <w:rsid w:val="009A2E43"/>
    <w:rsid w:val="009A394C"/>
    <w:rsid w:val="009A3B1E"/>
    <w:rsid w:val="009A3D37"/>
    <w:rsid w:val="009A3D4E"/>
    <w:rsid w:val="009A44D2"/>
    <w:rsid w:val="009A4A9A"/>
    <w:rsid w:val="009A4AAD"/>
    <w:rsid w:val="009A4B3A"/>
    <w:rsid w:val="009A50FF"/>
    <w:rsid w:val="009A657E"/>
    <w:rsid w:val="009A6676"/>
    <w:rsid w:val="009A6DB4"/>
    <w:rsid w:val="009A79E9"/>
    <w:rsid w:val="009B0933"/>
    <w:rsid w:val="009B0B08"/>
    <w:rsid w:val="009B0C53"/>
    <w:rsid w:val="009B0F02"/>
    <w:rsid w:val="009B10AA"/>
    <w:rsid w:val="009B12EB"/>
    <w:rsid w:val="009B173F"/>
    <w:rsid w:val="009B26CA"/>
    <w:rsid w:val="009B29B5"/>
    <w:rsid w:val="009B2D98"/>
    <w:rsid w:val="009B2E69"/>
    <w:rsid w:val="009B2FF4"/>
    <w:rsid w:val="009B3306"/>
    <w:rsid w:val="009B39D1"/>
    <w:rsid w:val="009B3AA1"/>
    <w:rsid w:val="009B43D0"/>
    <w:rsid w:val="009B4B61"/>
    <w:rsid w:val="009B5ADE"/>
    <w:rsid w:val="009B5B3F"/>
    <w:rsid w:val="009B6736"/>
    <w:rsid w:val="009B695C"/>
    <w:rsid w:val="009B6BD3"/>
    <w:rsid w:val="009B714D"/>
    <w:rsid w:val="009B756A"/>
    <w:rsid w:val="009B7591"/>
    <w:rsid w:val="009B77F2"/>
    <w:rsid w:val="009B7ABF"/>
    <w:rsid w:val="009C08BD"/>
    <w:rsid w:val="009C0BAB"/>
    <w:rsid w:val="009C0BBE"/>
    <w:rsid w:val="009C0F2C"/>
    <w:rsid w:val="009C0F43"/>
    <w:rsid w:val="009C1D69"/>
    <w:rsid w:val="009C1EAD"/>
    <w:rsid w:val="009C223D"/>
    <w:rsid w:val="009C246A"/>
    <w:rsid w:val="009C2625"/>
    <w:rsid w:val="009C281D"/>
    <w:rsid w:val="009C2837"/>
    <w:rsid w:val="009C2C49"/>
    <w:rsid w:val="009C2FF5"/>
    <w:rsid w:val="009C30E9"/>
    <w:rsid w:val="009C34DD"/>
    <w:rsid w:val="009C3590"/>
    <w:rsid w:val="009C399F"/>
    <w:rsid w:val="009C3B3D"/>
    <w:rsid w:val="009C3DF9"/>
    <w:rsid w:val="009C49BA"/>
    <w:rsid w:val="009C4B28"/>
    <w:rsid w:val="009C514D"/>
    <w:rsid w:val="009C5C87"/>
    <w:rsid w:val="009C5ED3"/>
    <w:rsid w:val="009C692C"/>
    <w:rsid w:val="009C71E4"/>
    <w:rsid w:val="009C7650"/>
    <w:rsid w:val="009C76C8"/>
    <w:rsid w:val="009C7809"/>
    <w:rsid w:val="009C7C5C"/>
    <w:rsid w:val="009C7C9A"/>
    <w:rsid w:val="009D0732"/>
    <w:rsid w:val="009D0D33"/>
    <w:rsid w:val="009D1366"/>
    <w:rsid w:val="009D1912"/>
    <w:rsid w:val="009D19ED"/>
    <w:rsid w:val="009D21E6"/>
    <w:rsid w:val="009D2BE8"/>
    <w:rsid w:val="009D321F"/>
    <w:rsid w:val="009D35BC"/>
    <w:rsid w:val="009D3669"/>
    <w:rsid w:val="009D378C"/>
    <w:rsid w:val="009D3926"/>
    <w:rsid w:val="009D4D7B"/>
    <w:rsid w:val="009D5719"/>
    <w:rsid w:val="009D64B3"/>
    <w:rsid w:val="009D6610"/>
    <w:rsid w:val="009D6A07"/>
    <w:rsid w:val="009D6A3A"/>
    <w:rsid w:val="009D6AA8"/>
    <w:rsid w:val="009D6BB3"/>
    <w:rsid w:val="009D7552"/>
    <w:rsid w:val="009D75AE"/>
    <w:rsid w:val="009D7882"/>
    <w:rsid w:val="009D78C7"/>
    <w:rsid w:val="009D78FA"/>
    <w:rsid w:val="009D7C02"/>
    <w:rsid w:val="009D7DF9"/>
    <w:rsid w:val="009D7E94"/>
    <w:rsid w:val="009E03C0"/>
    <w:rsid w:val="009E0963"/>
    <w:rsid w:val="009E0C31"/>
    <w:rsid w:val="009E0D19"/>
    <w:rsid w:val="009E0D2B"/>
    <w:rsid w:val="009E0EC3"/>
    <w:rsid w:val="009E0F24"/>
    <w:rsid w:val="009E118C"/>
    <w:rsid w:val="009E1263"/>
    <w:rsid w:val="009E1B89"/>
    <w:rsid w:val="009E24BB"/>
    <w:rsid w:val="009E2B57"/>
    <w:rsid w:val="009E31A2"/>
    <w:rsid w:val="009E32BE"/>
    <w:rsid w:val="009E3373"/>
    <w:rsid w:val="009E348B"/>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315"/>
    <w:rsid w:val="009E6E4D"/>
    <w:rsid w:val="009E7271"/>
    <w:rsid w:val="009E72ED"/>
    <w:rsid w:val="009E77E1"/>
    <w:rsid w:val="009E7F55"/>
    <w:rsid w:val="009F011A"/>
    <w:rsid w:val="009F0286"/>
    <w:rsid w:val="009F036F"/>
    <w:rsid w:val="009F040F"/>
    <w:rsid w:val="009F12CC"/>
    <w:rsid w:val="009F1931"/>
    <w:rsid w:val="009F1BE6"/>
    <w:rsid w:val="009F1CE1"/>
    <w:rsid w:val="009F2A72"/>
    <w:rsid w:val="009F2DE4"/>
    <w:rsid w:val="009F30FB"/>
    <w:rsid w:val="009F312E"/>
    <w:rsid w:val="009F33C3"/>
    <w:rsid w:val="009F366F"/>
    <w:rsid w:val="009F3AE5"/>
    <w:rsid w:val="009F455B"/>
    <w:rsid w:val="009F4BB0"/>
    <w:rsid w:val="009F4E0D"/>
    <w:rsid w:val="009F4E89"/>
    <w:rsid w:val="009F53E8"/>
    <w:rsid w:val="009F55AD"/>
    <w:rsid w:val="009F5D43"/>
    <w:rsid w:val="009F705E"/>
    <w:rsid w:val="009F70A8"/>
    <w:rsid w:val="009F7390"/>
    <w:rsid w:val="009F749F"/>
    <w:rsid w:val="009F75D5"/>
    <w:rsid w:val="009F7676"/>
    <w:rsid w:val="009F7CAC"/>
    <w:rsid w:val="00A00C3F"/>
    <w:rsid w:val="00A00DC8"/>
    <w:rsid w:val="00A0128F"/>
    <w:rsid w:val="00A012F4"/>
    <w:rsid w:val="00A02038"/>
    <w:rsid w:val="00A023DE"/>
    <w:rsid w:val="00A02996"/>
    <w:rsid w:val="00A02C1A"/>
    <w:rsid w:val="00A031C0"/>
    <w:rsid w:val="00A033D4"/>
    <w:rsid w:val="00A03CF2"/>
    <w:rsid w:val="00A043AB"/>
    <w:rsid w:val="00A043FD"/>
    <w:rsid w:val="00A04402"/>
    <w:rsid w:val="00A049AE"/>
    <w:rsid w:val="00A04AB5"/>
    <w:rsid w:val="00A05A87"/>
    <w:rsid w:val="00A06086"/>
    <w:rsid w:val="00A060ED"/>
    <w:rsid w:val="00A064D8"/>
    <w:rsid w:val="00A064D9"/>
    <w:rsid w:val="00A06546"/>
    <w:rsid w:val="00A06AA5"/>
    <w:rsid w:val="00A06F58"/>
    <w:rsid w:val="00A075BA"/>
    <w:rsid w:val="00A07715"/>
    <w:rsid w:val="00A079AA"/>
    <w:rsid w:val="00A07ABC"/>
    <w:rsid w:val="00A07CD2"/>
    <w:rsid w:val="00A10445"/>
    <w:rsid w:val="00A10847"/>
    <w:rsid w:val="00A1193E"/>
    <w:rsid w:val="00A11A8C"/>
    <w:rsid w:val="00A11F96"/>
    <w:rsid w:val="00A123DC"/>
    <w:rsid w:val="00A1246A"/>
    <w:rsid w:val="00A12637"/>
    <w:rsid w:val="00A12CAC"/>
    <w:rsid w:val="00A12EA4"/>
    <w:rsid w:val="00A138CF"/>
    <w:rsid w:val="00A139AE"/>
    <w:rsid w:val="00A14166"/>
    <w:rsid w:val="00A1421B"/>
    <w:rsid w:val="00A144C0"/>
    <w:rsid w:val="00A14660"/>
    <w:rsid w:val="00A14797"/>
    <w:rsid w:val="00A14C9C"/>
    <w:rsid w:val="00A15942"/>
    <w:rsid w:val="00A165A3"/>
    <w:rsid w:val="00A16CF7"/>
    <w:rsid w:val="00A16D2B"/>
    <w:rsid w:val="00A16F7F"/>
    <w:rsid w:val="00A17241"/>
    <w:rsid w:val="00A17378"/>
    <w:rsid w:val="00A178D4"/>
    <w:rsid w:val="00A17908"/>
    <w:rsid w:val="00A17919"/>
    <w:rsid w:val="00A17AA8"/>
    <w:rsid w:val="00A20204"/>
    <w:rsid w:val="00A2040F"/>
    <w:rsid w:val="00A20F9A"/>
    <w:rsid w:val="00A21102"/>
    <w:rsid w:val="00A216F0"/>
    <w:rsid w:val="00A219EB"/>
    <w:rsid w:val="00A22190"/>
    <w:rsid w:val="00A22430"/>
    <w:rsid w:val="00A231C6"/>
    <w:rsid w:val="00A2358E"/>
    <w:rsid w:val="00A247ED"/>
    <w:rsid w:val="00A2490D"/>
    <w:rsid w:val="00A24931"/>
    <w:rsid w:val="00A24FC3"/>
    <w:rsid w:val="00A25300"/>
    <w:rsid w:val="00A2543E"/>
    <w:rsid w:val="00A25BD9"/>
    <w:rsid w:val="00A262F2"/>
    <w:rsid w:val="00A263DF"/>
    <w:rsid w:val="00A26793"/>
    <w:rsid w:val="00A267F3"/>
    <w:rsid w:val="00A26A5B"/>
    <w:rsid w:val="00A26B95"/>
    <w:rsid w:val="00A274F7"/>
    <w:rsid w:val="00A2770B"/>
    <w:rsid w:val="00A27F33"/>
    <w:rsid w:val="00A30063"/>
    <w:rsid w:val="00A301FE"/>
    <w:rsid w:val="00A310A7"/>
    <w:rsid w:val="00A310F0"/>
    <w:rsid w:val="00A31704"/>
    <w:rsid w:val="00A31718"/>
    <w:rsid w:val="00A32042"/>
    <w:rsid w:val="00A32173"/>
    <w:rsid w:val="00A323E3"/>
    <w:rsid w:val="00A324E2"/>
    <w:rsid w:val="00A32672"/>
    <w:rsid w:val="00A33AE0"/>
    <w:rsid w:val="00A347FA"/>
    <w:rsid w:val="00A34D96"/>
    <w:rsid w:val="00A35963"/>
    <w:rsid w:val="00A36315"/>
    <w:rsid w:val="00A363B0"/>
    <w:rsid w:val="00A36572"/>
    <w:rsid w:val="00A365D9"/>
    <w:rsid w:val="00A36DC1"/>
    <w:rsid w:val="00A370C5"/>
    <w:rsid w:val="00A372E8"/>
    <w:rsid w:val="00A37539"/>
    <w:rsid w:val="00A37748"/>
    <w:rsid w:val="00A37CCD"/>
    <w:rsid w:val="00A40C4F"/>
    <w:rsid w:val="00A4143E"/>
    <w:rsid w:val="00A4187E"/>
    <w:rsid w:val="00A41A89"/>
    <w:rsid w:val="00A428D1"/>
    <w:rsid w:val="00A42956"/>
    <w:rsid w:val="00A42FEC"/>
    <w:rsid w:val="00A4368F"/>
    <w:rsid w:val="00A4391A"/>
    <w:rsid w:val="00A43CB7"/>
    <w:rsid w:val="00A43DCA"/>
    <w:rsid w:val="00A440BE"/>
    <w:rsid w:val="00A448E1"/>
    <w:rsid w:val="00A44E7B"/>
    <w:rsid w:val="00A452B3"/>
    <w:rsid w:val="00A45DD8"/>
    <w:rsid w:val="00A46223"/>
    <w:rsid w:val="00A463DF"/>
    <w:rsid w:val="00A4643E"/>
    <w:rsid w:val="00A46683"/>
    <w:rsid w:val="00A46CC6"/>
    <w:rsid w:val="00A46EC5"/>
    <w:rsid w:val="00A4721E"/>
    <w:rsid w:val="00A472A1"/>
    <w:rsid w:val="00A473F8"/>
    <w:rsid w:val="00A475F5"/>
    <w:rsid w:val="00A478E8"/>
    <w:rsid w:val="00A500C0"/>
    <w:rsid w:val="00A5076D"/>
    <w:rsid w:val="00A507C2"/>
    <w:rsid w:val="00A5082C"/>
    <w:rsid w:val="00A50B2D"/>
    <w:rsid w:val="00A50C94"/>
    <w:rsid w:val="00A5146B"/>
    <w:rsid w:val="00A514F4"/>
    <w:rsid w:val="00A51CFB"/>
    <w:rsid w:val="00A51E3C"/>
    <w:rsid w:val="00A52155"/>
    <w:rsid w:val="00A52401"/>
    <w:rsid w:val="00A52A7B"/>
    <w:rsid w:val="00A52EB3"/>
    <w:rsid w:val="00A53012"/>
    <w:rsid w:val="00A5313B"/>
    <w:rsid w:val="00A533A3"/>
    <w:rsid w:val="00A5396B"/>
    <w:rsid w:val="00A53993"/>
    <w:rsid w:val="00A5411F"/>
    <w:rsid w:val="00A542A2"/>
    <w:rsid w:val="00A54663"/>
    <w:rsid w:val="00A54766"/>
    <w:rsid w:val="00A5492D"/>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748"/>
    <w:rsid w:val="00A647D5"/>
    <w:rsid w:val="00A65160"/>
    <w:rsid w:val="00A652C0"/>
    <w:rsid w:val="00A65490"/>
    <w:rsid w:val="00A65F2E"/>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215C"/>
    <w:rsid w:val="00A72807"/>
    <w:rsid w:val="00A72B0D"/>
    <w:rsid w:val="00A730F7"/>
    <w:rsid w:val="00A731FC"/>
    <w:rsid w:val="00A740B8"/>
    <w:rsid w:val="00A74256"/>
    <w:rsid w:val="00A74974"/>
    <w:rsid w:val="00A74B2F"/>
    <w:rsid w:val="00A74FDF"/>
    <w:rsid w:val="00A75396"/>
    <w:rsid w:val="00A7539B"/>
    <w:rsid w:val="00A755C1"/>
    <w:rsid w:val="00A75DE8"/>
    <w:rsid w:val="00A75EF3"/>
    <w:rsid w:val="00A7629F"/>
    <w:rsid w:val="00A7646D"/>
    <w:rsid w:val="00A76851"/>
    <w:rsid w:val="00A775E9"/>
    <w:rsid w:val="00A776BC"/>
    <w:rsid w:val="00A77A1E"/>
    <w:rsid w:val="00A77EB2"/>
    <w:rsid w:val="00A8031F"/>
    <w:rsid w:val="00A804DA"/>
    <w:rsid w:val="00A819C2"/>
    <w:rsid w:val="00A81CA0"/>
    <w:rsid w:val="00A81DF5"/>
    <w:rsid w:val="00A82404"/>
    <w:rsid w:val="00A827BB"/>
    <w:rsid w:val="00A829C4"/>
    <w:rsid w:val="00A8311A"/>
    <w:rsid w:val="00A832B0"/>
    <w:rsid w:val="00A8334E"/>
    <w:rsid w:val="00A8359A"/>
    <w:rsid w:val="00A83DAF"/>
    <w:rsid w:val="00A83E41"/>
    <w:rsid w:val="00A83EF4"/>
    <w:rsid w:val="00A8403D"/>
    <w:rsid w:val="00A84205"/>
    <w:rsid w:val="00A842C6"/>
    <w:rsid w:val="00A8436F"/>
    <w:rsid w:val="00A84FCC"/>
    <w:rsid w:val="00A85FD5"/>
    <w:rsid w:val="00A86221"/>
    <w:rsid w:val="00A864CE"/>
    <w:rsid w:val="00A8671C"/>
    <w:rsid w:val="00A86EC7"/>
    <w:rsid w:val="00A87003"/>
    <w:rsid w:val="00A87EDA"/>
    <w:rsid w:val="00A90753"/>
    <w:rsid w:val="00A90A45"/>
    <w:rsid w:val="00A91507"/>
    <w:rsid w:val="00A91C99"/>
    <w:rsid w:val="00A921C8"/>
    <w:rsid w:val="00A92885"/>
    <w:rsid w:val="00A92AE2"/>
    <w:rsid w:val="00A92F66"/>
    <w:rsid w:val="00A932CE"/>
    <w:rsid w:val="00A937B9"/>
    <w:rsid w:val="00A93CFA"/>
    <w:rsid w:val="00A93FF2"/>
    <w:rsid w:val="00A9438C"/>
    <w:rsid w:val="00A94C6C"/>
    <w:rsid w:val="00A94DFB"/>
    <w:rsid w:val="00A94FF6"/>
    <w:rsid w:val="00A951DB"/>
    <w:rsid w:val="00A95B4D"/>
    <w:rsid w:val="00A96474"/>
    <w:rsid w:val="00A964ED"/>
    <w:rsid w:val="00A969D1"/>
    <w:rsid w:val="00A9792F"/>
    <w:rsid w:val="00A97AB6"/>
    <w:rsid w:val="00A97BE3"/>
    <w:rsid w:val="00AA03BC"/>
    <w:rsid w:val="00AA28E8"/>
    <w:rsid w:val="00AA2958"/>
    <w:rsid w:val="00AA393E"/>
    <w:rsid w:val="00AA39B5"/>
    <w:rsid w:val="00AA430F"/>
    <w:rsid w:val="00AA4571"/>
    <w:rsid w:val="00AA462B"/>
    <w:rsid w:val="00AA4B8D"/>
    <w:rsid w:val="00AA4CBA"/>
    <w:rsid w:val="00AA4DD2"/>
    <w:rsid w:val="00AA5053"/>
    <w:rsid w:val="00AA506F"/>
    <w:rsid w:val="00AA6C60"/>
    <w:rsid w:val="00AA6EF2"/>
    <w:rsid w:val="00AA78B9"/>
    <w:rsid w:val="00AA7A07"/>
    <w:rsid w:val="00AA7C6D"/>
    <w:rsid w:val="00AB0583"/>
    <w:rsid w:val="00AB0E2B"/>
    <w:rsid w:val="00AB0EA3"/>
    <w:rsid w:val="00AB104A"/>
    <w:rsid w:val="00AB18D9"/>
    <w:rsid w:val="00AB1C6B"/>
    <w:rsid w:val="00AB1E50"/>
    <w:rsid w:val="00AB20DE"/>
    <w:rsid w:val="00AB2666"/>
    <w:rsid w:val="00AB2D5F"/>
    <w:rsid w:val="00AB316A"/>
    <w:rsid w:val="00AB31E8"/>
    <w:rsid w:val="00AB344F"/>
    <w:rsid w:val="00AB3527"/>
    <w:rsid w:val="00AB38F0"/>
    <w:rsid w:val="00AB38FB"/>
    <w:rsid w:val="00AB3966"/>
    <w:rsid w:val="00AB3C22"/>
    <w:rsid w:val="00AB3DA2"/>
    <w:rsid w:val="00AB3F3B"/>
    <w:rsid w:val="00AB4A4B"/>
    <w:rsid w:val="00AB4B55"/>
    <w:rsid w:val="00AB50CF"/>
    <w:rsid w:val="00AB5193"/>
    <w:rsid w:val="00AB5FB8"/>
    <w:rsid w:val="00AB60E5"/>
    <w:rsid w:val="00AB617F"/>
    <w:rsid w:val="00AB64FC"/>
    <w:rsid w:val="00AB6592"/>
    <w:rsid w:val="00AB67CA"/>
    <w:rsid w:val="00AB6918"/>
    <w:rsid w:val="00AB6D92"/>
    <w:rsid w:val="00AB75CA"/>
    <w:rsid w:val="00AB767F"/>
    <w:rsid w:val="00AB76CC"/>
    <w:rsid w:val="00AB79A2"/>
    <w:rsid w:val="00AC02EA"/>
    <w:rsid w:val="00AC047B"/>
    <w:rsid w:val="00AC09F0"/>
    <w:rsid w:val="00AC0EAB"/>
    <w:rsid w:val="00AC1616"/>
    <w:rsid w:val="00AC19B3"/>
    <w:rsid w:val="00AC26A6"/>
    <w:rsid w:val="00AC2AD6"/>
    <w:rsid w:val="00AC2F3B"/>
    <w:rsid w:val="00AC3241"/>
    <w:rsid w:val="00AC36C4"/>
    <w:rsid w:val="00AC38C1"/>
    <w:rsid w:val="00AC461C"/>
    <w:rsid w:val="00AC49E3"/>
    <w:rsid w:val="00AC4B2A"/>
    <w:rsid w:val="00AC50B4"/>
    <w:rsid w:val="00AC512C"/>
    <w:rsid w:val="00AC5F66"/>
    <w:rsid w:val="00AC62C4"/>
    <w:rsid w:val="00AC72AF"/>
    <w:rsid w:val="00AC7550"/>
    <w:rsid w:val="00AC78BB"/>
    <w:rsid w:val="00AC7C30"/>
    <w:rsid w:val="00AD0501"/>
    <w:rsid w:val="00AD0BC2"/>
    <w:rsid w:val="00AD0CDE"/>
    <w:rsid w:val="00AD0CED"/>
    <w:rsid w:val="00AD0DD4"/>
    <w:rsid w:val="00AD1595"/>
    <w:rsid w:val="00AD1CF7"/>
    <w:rsid w:val="00AD2D11"/>
    <w:rsid w:val="00AD2FB7"/>
    <w:rsid w:val="00AD2FED"/>
    <w:rsid w:val="00AD380A"/>
    <w:rsid w:val="00AD3D7E"/>
    <w:rsid w:val="00AD3FA2"/>
    <w:rsid w:val="00AD4780"/>
    <w:rsid w:val="00AD4877"/>
    <w:rsid w:val="00AD4C81"/>
    <w:rsid w:val="00AD5190"/>
    <w:rsid w:val="00AD52E7"/>
    <w:rsid w:val="00AD5439"/>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22FF"/>
    <w:rsid w:val="00AE2B41"/>
    <w:rsid w:val="00AE2F26"/>
    <w:rsid w:val="00AE309A"/>
    <w:rsid w:val="00AE334F"/>
    <w:rsid w:val="00AE354E"/>
    <w:rsid w:val="00AE3745"/>
    <w:rsid w:val="00AE3859"/>
    <w:rsid w:val="00AE3C29"/>
    <w:rsid w:val="00AE4122"/>
    <w:rsid w:val="00AE43E5"/>
    <w:rsid w:val="00AE45E3"/>
    <w:rsid w:val="00AE4970"/>
    <w:rsid w:val="00AE55D2"/>
    <w:rsid w:val="00AE59C8"/>
    <w:rsid w:val="00AE5A70"/>
    <w:rsid w:val="00AE5B12"/>
    <w:rsid w:val="00AE5B4E"/>
    <w:rsid w:val="00AE5FB4"/>
    <w:rsid w:val="00AE608B"/>
    <w:rsid w:val="00AE6152"/>
    <w:rsid w:val="00AE651F"/>
    <w:rsid w:val="00AE653F"/>
    <w:rsid w:val="00AE6543"/>
    <w:rsid w:val="00AE73F4"/>
    <w:rsid w:val="00AE7419"/>
    <w:rsid w:val="00AE7704"/>
    <w:rsid w:val="00AE78F4"/>
    <w:rsid w:val="00AE7957"/>
    <w:rsid w:val="00AE7C3A"/>
    <w:rsid w:val="00AE7E1F"/>
    <w:rsid w:val="00AE7EC5"/>
    <w:rsid w:val="00AF038D"/>
    <w:rsid w:val="00AF0A5A"/>
    <w:rsid w:val="00AF0B5C"/>
    <w:rsid w:val="00AF101F"/>
    <w:rsid w:val="00AF15D2"/>
    <w:rsid w:val="00AF19B7"/>
    <w:rsid w:val="00AF1D19"/>
    <w:rsid w:val="00AF1E0B"/>
    <w:rsid w:val="00AF24A3"/>
    <w:rsid w:val="00AF33E2"/>
    <w:rsid w:val="00AF3413"/>
    <w:rsid w:val="00AF3475"/>
    <w:rsid w:val="00AF3628"/>
    <w:rsid w:val="00AF4084"/>
    <w:rsid w:val="00AF48F5"/>
    <w:rsid w:val="00AF4C4E"/>
    <w:rsid w:val="00AF55BC"/>
    <w:rsid w:val="00AF57FF"/>
    <w:rsid w:val="00AF7497"/>
    <w:rsid w:val="00AF7DED"/>
    <w:rsid w:val="00AF7FC9"/>
    <w:rsid w:val="00B000CD"/>
    <w:rsid w:val="00B001D9"/>
    <w:rsid w:val="00B007E9"/>
    <w:rsid w:val="00B00998"/>
    <w:rsid w:val="00B01C0A"/>
    <w:rsid w:val="00B01FB2"/>
    <w:rsid w:val="00B027F0"/>
    <w:rsid w:val="00B02A99"/>
    <w:rsid w:val="00B02B00"/>
    <w:rsid w:val="00B031BB"/>
    <w:rsid w:val="00B031E9"/>
    <w:rsid w:val="00B032B7"/>
    <w:rsid w:val="00B03A76"/>
    <w:rsid w:val="00B03B24"/>
    <w:rsid w:val="00B04570"/>
    <w:rsid w:val="00B0461A"/>
    <w:rsid w:val="00B05EDF"/>
    <w:rsid w:val="00B06B38"/>
    <w:rsid w:val="00B06BD5"/>
    <w:rsid w:val="00B06F6A"/>
    <w:rsid w:val="00B10500"/>
    <w:rsid w:val="00B106D9"/>
    <w:rsid w:val="00B10ED8"/>
    <w:rsid w:val="00B11651"/>
    <w:rsid w:val="00B11933"/>
    <w:rsid w:val="00B11C22"/>
    <w:rsid w:val="00B11E9F"/>
    <w:rsid w:val="00B12933"/>
    <w:rsid w:val="00B12D84"/>
    <w:rsid w:val="00B12FFA"/>
    <w:rsid w:val="00B13F3D"/>
    <w:rsid w:val="00B149F3"/>
    <w:rsid w:val="00B149F8"/>
    <w:rsid w:val="00B15289"/>
    <w:rsid w:val="00B1549B"/>
    <w:rsid w:val="00B1577B"/>
    <w:rsid w:val="00B15D39"/>
    <w:rsid w:val="00B15D73"/>
    <w:rsid w:val="00B160EA"/>
    <w:rsid w:val="00B162C1"/>
    <w:rsid w:val="00B16CB7"/>
    <w:rsid w:val="00B171A6"/>
    <w:rsid w:val="00B17382"/>
    <w:rsid w:val="00B17CBD"/>
    <w:rsid w:val="00B17DC6"/>
    <w:rsid w:val="00B17E12"/>
    <w:rsid w:val="00B20790"/>
    <w:rsid w:val="00B208D8"/>
    <w:rsid w:val="00B20B9F"/>
    <w:rsid w:val="00B20D78"/>
    <w:rsid w:val="00B20F2E"/>
    <w:rsid w:val="00B2136D"/>
    <w:rsid w:val="00B2194D"/>
    <w:rsid w:val="00B21DF9"/>
    <w:rsid w:val="00B21F02"/>
    <w:rsid w:val="00B2283A"/>
    <w:rsid w:val="00B229CC"/>
    <w:rsid w:val="00B234C4"/>
    <w:rsid w:val="00B23540"/>
    <w:rsid w:val="00B237EE"/>
    <w:rsid w:val="00B24559"/>
    <w:rsid w:val="00B24A16"/>
    <w:rsid w:val="00B24DD8"/>
    <w:rsid w:val="00B25416"/>
    <w:rsid w:val="00B25B4F"/>
    <w:rsid w:val="00B260AE"/>
    <w:rsid w:val="00B27030"/>
    <w:rsid w:val="00B3078E"/>
    <w:rsid w:val="00B30AAD"/>
    <w:rsid w:val="00B310D4"/>
    <w:rsid w:val="00B31276"/>
    <w:rsid w:val="00B31885"/>
    <w:rsid w:val="00B323F7"/>
    <w:rsid w:val="00B326AD"/>
    <w:rsid w:val="00B32D6B"/>
    <w:rsid w:val="00B33273"/>
    <w:rsid w:val="00B33700"/>
    <w:rsid w:val="00B33C88"/>
    <w:rsid w:val="00B33EC4"/>
    <w:rsid w:val="00B34444"/>
    <w:rsid w:val="00B34AAC"/>
    <w:rsid w:val="00B34E13"/>
    <w:rsid w:val="00B3506C"/>
    <w:rsid w:val="00B363D8"/>
    <w:rsid w:val="00B365E4"/>
    <w:rsid w:val="00B36A7B"/>
    <w:rsid w:val="00B36B86"/>
    <w:rsid w:val="00B370E8"/>
    <w:rsid w:val="00B37904"/>
    <w:rsid w:val="00B37BCF"/>
    <w:rsid w:val="00B37C34"/>
    <w:rsid w:val="00B40204"/>
    <w:rsid w:val="00B4064E"/>
    <w:rsid w:val="00B407CD"/>
    <w:rsid w:val="00B40AA4"/>
    <w:rsid w:val="00B40EEA"/>
    <w:rsid w:val="00B41347"/>
    <w:rsid w:val="00B42036"/>
    <w:rsid w:val="00B424D3"/>
    <w:rsid w:val="00B429A3"/>
    <w:rsid w:val="00B42DB1"/>
    <w:rsid w:val="00B430E0"/>
    <w:rsid w:val="00B442B0"/>
    <w:rsid w:val="00B443D0"/>
    <w:rsid w:val="00B4465B"/>
    <w:rsid w:val="00B4467D"/>
    <w:rsid w:val="00B446BD"/>
    <w:rsid w:val="00B449AD"/>
    <w:rsid w:val="00B451D3"/>
    <w:rsid w:val="00B453A2"/>
    <w:rsid w:val="00B456A3"/>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52D"/>
    <w:rsid w:val="00B5073C"/>
    <w:rsid w:val="00B5080B"/>
    <w:rsid w:val="00B51022"/>
    <w:rsid w:val="00B51129"/>
    <w:rsid w:val="00B51840"/>
    <w:rsid w:val="00B51AF0"/>
    <w:rsid w:val="00B51D59"/>
    <w:rsid w:val="00B51E29"/>
    <w:rsid w:val="00B52294"/>
    <w:rsid w:val="00B52D5C"/>
    <w:rsid w:val="00B52FE9"/>
    <w:rsid w:val="00B5358E"/>
    <w:rsid w:val="00B536B7"/>
    <w:rsid w:val="00B53730"/>
    <w:rsid w:val="00B53B21"/>
    <w:rsid w:val="00B53BB2"/>
    <w:rsid w:val="00B53BE3"/>
    <w:rsid w:val="00B54EF7"/>
    <w:rsid w:val="00B55069"/>
    <w:rsid w:val="00B5556F"/>
    <w:rsid w:val="00B5562C"/>
    <w:rsid w:val="00B5584A"/>
    <w:rsid w:val="00B55CCC"/>
    <w:rsid w:val="00B56C44"/>
    <w:rsid w:val="00B571EB"/>
    <w:rsid w:val="00B579BD"/>
    <w:rsid w:val="00B57E19"/>
    <w:rsid w:val="00B57F51"/>
    <w:rsid w:val="00B6000E"/>
    <w:rsid w:val="00B6031F"/>
    <w:rsid w:val="00B60863"/>
    <w:rsid w:val="00B6151A"/>
    <w:rsid w:val="00B6186E"/>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7047D"/>
    <w:rsid w:val="00B706C8"/>
    <w:rsid w:val="00B70886"/>
    <w:rsid w:val="00B7091D"/>
    <w:rsid w:val="00B70B1A"/>
    <w:rsid w:val="00B71112"/>
    <w:rsid w:val="00B7210F"/>
    <w:rsid w:val="00B72520"/>
    <w:rsid w:val="00B72ABA"/>
    <w:rsid w:val="00B72EA7"/>
    <w:rsid w:val="00B73974"/>
    <w:rsid w:val="00B74987"/>
    <w:rsid w:val="00B74DD4"/>
    <w:rsid w:val="00B753E0"/>
    <w:rsid w:val="00B75A5D"/>
    <w:rsid w:val="00B75FB9"/>
    <w:rsid w:val="00B7613C"/>
    <w:rsid w:val="00B766B9"/>
    <w:rsid w:val="00B768DA"/>
    <w:rsid w:val="00B772C4"/>
    <w:rsid w:val="00B7764E"/>
    <w:rsid w:val="00B77CBB"/>
    <w:rsid w:val="00B77F2F"/>
    <w:rsid w:val="00B8091A"/>
    <w:rsid w:val="00B80AA5"/>
    <w:rsid w:val="00B80E1F"/>
    <w:rsid w:val="00B81937"/>
    <w:rsid w:val="00B81B65"/>
    <w:rsid w:val="00B81ED1"/>
    <w:rsid w:val="00B81FA8"/>
    <w:rsid w:val="00B81FD5"/>
    <w:rsid w:val="00B82086"/>
    <w:rsid w:val="00B82350"/>
    <w:rsid w:val="00B82D50"/>
    <w:rsid w:val="00B83369"/>
    <w:rsid w:val="00B834D5"/>
    <w:rsid w:val="00B83AAC"/>
    <w:rsid w:val="00B8412B"/>
    <w:rsid w:val="00B8421F"/>
    <w:rsid w:val="00B845F5"/>
    <w:rsid w:val="00B8519A"/>
    <w:rsid w:val="00B85354"/>
    <w:rsid w:val="00B85359"/>
    <w:rsid w:val="00B860FF"/>
    <w:rsid w:val="00B86547"/>
    <w:rsid w:val="00B867CF"/>
    <w:rsid w:val="00B86885"/>
    <w:rsid w:val="00B86B07"/>
    <w:rsid w:val="00B86E63"/>
    <w:rsid w:val="00B8717B"/>
    <w:rsid w:val="00B87A2B"/>
    <w:rsid w:val="00B87E38"/>
    <w:rsid w:val="00B90393"/>
    <w:rsid w:val="00B919E5"/>
    <w:rsid w:val="00B91D51"/>
    <w:rsid w:val="00B91E3E"/>
    <w:rsid w:val="00B9256A"/>
    <w:rsid w:val="00B93ABA"/>
    <w:rsid w:val="00B93B03"/>
    <w:rsid w:val="00B93B9D"/>
    <w:rsid w:val="00B93C54"/>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797F"/>
    <w:rsid w:val="00B97D07"/>
    <w:rsid w:val="00B97D9A"/>
    <w:rsid w:val="00BA08C9"/>
    <w:rsid w:val="00BA0BFB"/>
    <w:rsid w:val="00BA11F2"/>
    <w:rsid w:val="00BA12E8"/>
    <w:rsid w:val="00BA152B"/>
    <w:rsid w:val="00BA1678"/>
    <w:rsid w:val="00BA23E1"/>
    <w:rsid w:val="00BA340C"/>
    <w:rsid w:val="00BA3ABD"/>
    <w:rsid w:val="00BA3B80"/>
    <w:rsid w:val="00BA3FAA"/>
    <w:rsid w:val="00BA423C"/>
    <w:rsid w:val="00BA45C7"/>
    <w:rsid w:val="00BA46A9"/>
    <w:rsid w:val="00BA4E06"/>
    <w:rsid w:val="00BA50EA"/>
    <w:rsid w:val="00BA52BC"/>
    <w:rsid w:val="00BA539D"/>
    <w:rsid w:val="00BA53F3"/>
    <w:rsid w:val="00BA54CB"/>
    <w:rsid w:val="00BA5A1C"/>
    <w:rsid w:val="00BA5B9E"/>
    <w:rsid w:val="00BA60D1"/>
    <w:rsid w:val="00BA6308"/>
    <w:rsid w:val="00BA651B"/>
    <w:rsid w:val="00BA667B"/>
    <w:rsid w:val="00BA7B99"/>
    <w:rsid w:val="00BB09AA"/>
    <w:rsid w:val="00BB0A68"/>
    <w:rsid w:val="00BB0C4F"/>
    <w:rsid w:val="00BB0FEB"/>
    <w:rsid w:val="00BB1209"/>
    <w:rsid w:val="00BB1301"/>
    <w:rsid w:val="00BB1479"/>
    <w:rsid w:val="00BB15C1"/>
    <w:rsid w:val="00BB192A"/>
    <w:rsid w:val="00BB1CC8"/>
    <w:rsid w:val="00BB2616"/>
    <w:rsid w:val="00BB2D45"/>
    <w:rsid w:val="00BB305D"/>
    <w:rsid w:val="00BB3961"/>
    <w:rsid w:val="00BB3E97"/>
    <w:rsid w:val="00BB4DC4"/>
    <w:rsid w:val="00BB4E3E"/>
    <w:rsid w:val="00BB4FFA"/>
    <w:rsid w:val="00BB53D9"/>
    <w:rsid w:val="00BB55F2"/>
    <w:rsid w:val="00BB5C0B"/>
    <w:rsid w:val="00BB6B84"/>
    <w:rsid w:val="00BB6D1A"/>
    <w:rsid w:val="00BB6EF9"/>
    <w:rsid w:val="00BB766E"/>
    <w:rsid w:val="00BB773C"/>
    <w:rsid w:val="00BB77E8"/>
    <w:rsid w:val="00BB79C6"/>
    <w:rsid w:val="00BB7DCA"/>
    <w:rsid w:val="00BC0043"/>
    <w:rsid w:val="00BC1283"/>
    <w:rsid w:val="00BC1894"/>
    <w:rsid w:val="00BC1943"/>
    <w:rsid w:val="00BC1A15"/>
    <w:rsid w:val="00BC1B6D"/>
    <w:rsid w:val="00BC1FF8"/>
    <w:rsid w:val="00BC2405"/>
    <w:rsid w:val="00BC2D22"/>
    <w:rsid w:val="00BC2FD9"/>
    <w:rsid w:val="00BC310E"/>
    <w:rsid w:val="00BC3327"/>
    <w:rsid w:val="00BC41F2"/>
    <w:rsid w:val="00BC450E"/>
    <w:rsid w:val="00BC47A6"/>
    <w:rsid w:val="00BC4AE8"/>
    <w:rsid w:val="00BC4B41"/>
    <w:rsid w:val="00BC4C8D"/>
    <w:rsid w:val="00BC55E5"/>
    <w:rsid w:val="00BC58B6"/>
    <w:rsid w:val="00BC59B9"/>
    <w:rsid w:val="00BC5ABE"/>
    <w:rsid w:val="00BC5C7E"/>
    <w:rsid w:val="00BC5E3E"/>
    <w:rsid w:val="00BC64A5"/>
    <w:rsid w:val="00BC6640"/>
    <w:rsid w:val="00BC68FB"/>
    <w:rsid w:val="00BC76D7"/>
    <w:rsid w:val="00BC7923"/>
    <w:rsid w:val="00BD08E5"/>
    <w:rsid w:val="00BD11FA"/>
    <w:rsid w:val="00BD14F5"/>
    <w:rsid w:val="00BD1DFE"/>
    <w:rsid w:val="00BD257E"/>
    <w:rsid w:val="00BD295A"/>
    <w:rsid w:val="00BD2BE6"/>
    <w:rsid w:val="00BD2E27"/>
    <w:rsid w:val="00BD3483"/>
    <w:rsid w:val="00BD3D97"/>
    <w:rsid w:val="00BD4341"/>
    <w:rsid w:val="00BD43F5"/>
    <w:rsid w:val="00BD4924"/>
    <w:rsid w:val="00BD52EE"/>
    <w:rsid w:val="00BD536A"/>
    <w:rsid w:val="00BD5701"/>
    <w:rsid w:val="00BD63DE"/>
    <w:rsid w:val="00BD65DA"/>
    <w:rsid w:val="00BD6C2F"/>
    <w:rsid w:val="00BD6C8C"/>
    <w:rsid w:val="00BD6D77"/>
    <w:rsid w:val="00BD6E45"/>
    <w:rsid w:val="00BD70DE"/>
    <w:rsid w:val="00BD7F86"/>
    <w:rsid w:val="00BE0465"/>
    <w:rsid w:val="00BE05DD"/>
    <w:rsid w:val="00BE1007"/>
    <w:rsid w:val="00BE1482"/>
    <w:rsid w:val="00BE154C"/>
    <w:rsid w:val="00BE1F42"/>
    <w:rsid w:val="00BE2C46"/>
    <w:rsid w:val="00BE3BFC"/>
    <w:rsid w:val="00BE40AB"/>
    <w:rsid w:val="00BE4809"/>
    <w:rsid w:val="00BE48B9"/>
    <w:rsid w:val="00BE4BE9"/>
    <w:rsid w:val="00BE5148"/>
    <w:rsid w:val="00BE5E67"/>
    <w:rsid w:val="00BE6061"/>
    <w:rsid w:val="00BE6B3B"/>
    <w:rsid w:val="00BE787D"/>
    <w:rsid w:val="00BE7935"/>
    <w:rsid w:val="00BE7B50"/>
    <w:rsid w:val="00BE7C72"/>
    <w:rsid w:val="00BE7E7F"/>
    <w:rsid w:val="00BF1AF4"/>
    <w:rsid w:val="00BF1BBA"/>
    <w:rsid w:val="00BF21CA"/>
    <w:rsid w:val="00BF224A"/>
    <w:rsid w:val="00BF2262"/>
    <w:rsid w:val="00BF34C0"/>
    <w:rsid w:val="00BF4ADF"/>
    <w:rsid w:val="00BF4F7A"/>
    <w:rsid w:val="00BF4FF6"/>
    <w:rsid w:val="00BF5315"/>
    <w:rsid w:val="00BF5BD4"/>
    <w:rsid w:val="00BF5BFC"/>
    <w:rsid w:val="00BF607A"/>
    <w:rsid w:val="00BF607D"/>
    <w:rsid w:val="00BF6142"/>
    <w:rsid w:val="00BF6148"/>
    <w:rsid w:val="00BF64D4"/>
    <w:rsid w:val="00BF667B"/>
    <w:rsid w:val="00BF677F"/>
    <w:rsid w:val="00BF6F55"/>
    <w:rsid w:val="00BF7429"/>
    <w:rsid w:val="00BF752F"/>
    <w:rsid w:val="00C000D4"/>
    <w:rsid w:val="00C00220"/>
    <w:rsid w:val="00C00AB9"/>
    <w:rsid w:val="00C00BFB"/>
    <w:rsid w:val="00C01486"/>
    <w:rsid w:val="00C01BF1"/>
    <w:rsid w:val="00C01E4A"/>
    <w:rsid w:val="00C021B0"/>
    <w:rsid w:val="00C02301"/>
    <w:rsid w:val="00C035BF"/>
    <w:rsid w:val="00C0425B"/>
    <w:rsid w:val="00C04261"/>
    <w:rsid w:val="00C04319"/>
    <w:rsid w:val="00C05066"/>
    <w:rsid w:val="00C05369"/>
    <w:rsid w:val="00C057C4"/>
    <w:rsid w:val="00C059FB"/>
    <w:rsid w:val="00C05ED2"/>
    <w:rsid w:val="00C060DA"/>
    <w:rsid w:val="00C06860"/>
    <w:rsid w:val="00C068B2"/>
    <w:rsid w:val="00C06939"/>
    <w:rsid w:val="00C06B8B"/>
    <w:rsid w:val="00C06FEC"/>
    <w:rsid w:val="00C07206"/>
    <w:rsid w:val="00C07566"/>
    <w:rsid w:val="00C07717"/>
    <w:rsid w:val="00C077C5"/>
    <w:rsid w:val="00C07A94"/>
    <w:rsid w:val="00C07E4C"/>
    <w:rsid w:val="00C1023F"/>
    <w:rsid w:val="00C1042E"/>
    <w:rsid w:val="00C106CC"/>
    <w:rsid w:val="00C1166A"/>
    <w:rsid w:val="00C118D7"/>
    <w:rsid w:val="00C11BBC"/>
    <w:rsid w:val="00C124F7"/>
    <w:rsid w:val="00C127CC"/>
    <w:rsid w:val="00C12C6C"/>
    <w:rsid w:val="00C12E79"/>
    <w:rsid w:val="00C1329F"/>
    <w:rsid w:val="00C136DE"/>
    <w:rsid w:val="00C13A3C"/>
    <w:rsid w:val="00C13E58"/>
    <w:rsid w:val="00C13E68"/>
    <w:rsid w:val="00C1411E"/>
    <w:rsid w:val="00C14207"/>
    <w:rsid w:val="00C143AC"/>
    <w:rsid w:val="00C143E2"/>
    <w:rsid w:val="00C146F0"/>
    <w:rsid w:val="00C1535E"/>
    <w:rsid w:val="00C15ABB"/>
    <w:rsid w:val="00C15FC0"/>
    <w:rsid w:val="00C16ADD"/>
    <w:rsid w:val="00C16E79"/>
    <w:rsid w:val="00C171BA"/>
    <w:rsid w:val="00C1796F"/>
    <w:rsid w:val="00C17C56"/>
    <w:rsid w:val="00C20253"/>
    <w:rsid w:val="00C2034B"/>
    <w:rsid w:val="00C20371"/>
    <w:rsid w:val="00C2045D"/>
    <w:rsid w:val="00C20732"/>
    <w:rsid w:val="00C20CD9"/>
    <w:rsid w:val="00C210FA"/>
    <w:rsid w:val="00C21550"/>
    <w:rsid w:val="00C21789"/>
    <w:rsid w:val="00C217B8"/>
    <w:rsid w:val="00C218E4"/>
    <w:rsid w:val="00C21E95"/>
    <w:rsid w:val="00C227EE"/>
    <w:rsid w:val="00C2311E"/>
    <w:rsid w:val="00C235AD"/>
    <w:rsid w:val="00C238C3"/>
    <w:rsid w:val="00C23ABF"/>
    <w:rsid w:val="00C23B71"/>
    <w:rsid w:val="00C24063"/>
    <w:rsid w:val="00C24B39"/>
    <w:rsid w:val="00C24D90"/>
    <w:rsid w:val="00C24FBC"/>
    <w:rsid w:val="00C25260"/>
    <w:rsid w:val="00C253E6"/>
    <w:rsid w:val="00C25475"/>
    <w:rsid w:val="00C26980"/>
    <w:rsid w:val="00C26FB5"/>
    <w:rsid w:val="00C278D0"/>
    <w:rsid w:val="00C30604"/>
    <w:rsid w:val="00C3067B"/>
    <w:rsid w:val="00C3081C"/>
    <w:rsid w:val="00C3092B"/>
    <w:rsid w:val="00C30993"/>
    <w:rsid w:val="00C30C3F"/>
    <w:rsid w:val="00C30D15"/>
    <w:rsid w:val="00C30D36"/>
    <w:rsid w:val="00C30E7D"/>
    <w:rsid w:val="00C310A7"/>
    <w:rsid w:val="00C312FB"/>
    <w:rsid w:val="00C3153E"/>
    <w:rsid w:val="00C315CA"/>
    <w:rsid w:val="00C3185F"/>
    <w:rsid w:val="00C3186B"/>
    <w:rsid w:val="00C31B83"/>
    <w:rsid w:val="00C31D37"/>
    <w:rsid w:val="00C3206C"/>
    <w:rsid w:val="00C32224"/>
    <w:rsid w:val="00C324B1"/>
    <w:rsid w:val="00C32B3A"/>
    <w:rsid w:val="00C3395D"/>
    <w:rsid w:val="00C34435"/>
    <w:rsid w:val="00C34607"/>
    <w:rsid w:val="00C3485A"/>
    <w:rsid w:val="00C34DB1"/>
    <w:rsid w:val="00C34DEE"/>
    <w:rsid w:val="00C35905"/>
    <w:rsid w:val="00C35D05"/>
    <w:rsid w:val="00C35E4C"/>
    <w:rsid w:val="00C36479"/>
    <w:rsid w:val="00C36574"/>
    <w:rsid w:val="00C40384"/>
    <w:rsid w:val="00C40675"/>
    <w:rsid w:val="00C4074D"/>
    <w:rsid w:val="00C40CDB"/>
    <w:rsid w:val="00C41161"/>
    <w:rsid w:val="00C4126F"/>
    <w:rsid w:val="00C412A3"/>
    <w:rsid w:val="00C412D1"/>
    <w:rsid w:val="00C417FB"/>
    <w:rsid w:val="00C41CA9"/>
    <w:rsid w:val="00C41FA0"/>
    <w:rsid w:val="00C41FC4"/>
    <w:rsid w:val="00C426E2"/>
    <w:rsid w:val="00C42966"/>
    <w:rsid w:val="00C42A8A"/>
    <w:rsid w:val="00C42DAF"/>
    <w:rsid w:val="00C4402A"/>
    <w:rsid w:val="00C444E3"/>
    <w:rsid w:val="00C446E3"/>
    <w:rsid w:val="00C447A6"/>
    <w:rsid w:val="00C44D5F"/>
    <w:rsid w:val="00C44F33"/>
    <w:rsid w:val="00C4583A"/>
    <w:rsid w:val="00C46055"/>
    <w:rsid w:val="00C462A2"/>
    <w:rsid w:val="00C469EB"/>
    <w:rsid w:val="00C46D85"/>
    <w:rsid w:val="00C46F39"/>
    <w:rsid w:val="00C471D9"/>
    <w:rsid w:val="00C472FB"/>
    <w:rsid w:val="00C474A3"/>
    <w:rsid w:val="00C474C7"/>
    <w:rsid w:val="00C47572"/>
    <w:rsid w:val="00C47782"/>
    <w:rsid w:val="00C502E1"/>
    <w:rsid w:val="00C5076C"/>
    <w:rsid w:val="00C50874"/>
    <w:rsid w:val="00C50BD9"/>
    <w:rsid w:val="00C50F5E"/>
    <w:rsid w:val="00C50FB3"/>
    <w:rsid w:val="00C517E4"/>
    <w:rsid w:val="00C518A4"/>
    <w:rsid w:val="00C51D21"/>
    <w:rsid w:val="00C52BC1"/>
    <w:rsid w:val="00C52C5A"/>
    <w:rsid w:val="00C533EA"/>
    <w:rsid w:val="00C5388D"/>
    <w:rsid w:val="00C53E34"/>
    <w:rsid w:val="00C5424B"/>
    <w:rsid w:val="00C542D0"/>
    <w:rsid w:val="00C5469A"/>
    <w:rsid w:val="00C54C6F"/>
    <w:rsid w:val="00C5506D"/>
    <w:rsid w:val="00C55179"/>
    <w:rsid w:val="00C554D3"/>
    <w:rsid w:val="00C5573C"/>
    <w:rsid w:val="00C5586F"/>
    <w:rsid w:val="00C56322"/>
    <w:rsid w:val="00C5666E"/>
    <w:rsid w:val="00C56705"/>
    <w:rsid w:val="00C577C8"/>
    <w:rsid w:val="00C5786D"/>
    <w:rsid w:val="00C578AA"/>
    <w:rsid w:val="00C57C2C"/>
    <w:rsid w:val="00C60143"/>
    <w:rsid w:val="00C608B3"/>
    <w:rsid w:val="00C60A2E"/>
    <w:rsid w:val="00C60C82"/>
    <w:rsid w:val="00C60FD9"/>
    <w:rsid w:val="00C6105E"/>
    <w:rsid w:val="00C61AB8"/>
    <w:rsid w:val="00C61FA2"/>
    <w:rsid w:val="00C6222D"/>
    <w:rsid w:val="00C623C2"/>
    <w:rsid w:val="00C62787"/>
    <w:rsid w:val="00C630F8"/>
    <w:rsid w:val="00C63B8A"/>
    <w:rsid w:val="00C63C44"/>
    <w:rsid w:val="00C641A1"/>
    <w:rsid w:val="00C64FD5"/>
    <w:rsid w:val="00C653B2"/>
    <w:rsid w:val="00C655B9"/>
    <w:rsid w:val="00C657F0"/>
    <w:rsid w:val="00C65AB3"/>
    <w:rsid w:val="00C65AE5"/>
    <w:rsid w:val="00C66116"/>
    <w:rsid w:val="00C664C9"/>
    <w:rsid w:val="00C667D9"/>
    <w:rsid w:val="00C701D6"/>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D25"/>
    <w:rsid w:val="00C76409"/>
    <w:rsid w:val="00C7650E"/>
    <w:rsid w:val="00C7680E"/>
    <w:rsid w:val="00C76A1A"/>
    <w:rsid w:val="00C77232"/>
    <w:rsid w:val="00C77BE9"/>
    <w:rsid w:val="00C80029"/>
    <w:rsid w:val="00C801FC"/>
    <w:rsid w:val="00C803D5"/>
    <w:rsid w:val="00C808A1"/>
    <w:rsid w:val="00C81115"/>
    <w:rsid w:val="00C81228"/>
    <w:rsid w:val="00C81EA7"/>
    <w:rsid w:val="00C822B2"/>
    <w:rsid w:val="00C825B7"/>
    <w:rsid w:val="00C82C01"/>
    <w:rsid w:val="00C82EEF"/>
    <w:rsid w:val="00C82F1F"/>
    <w:rsid w:val="00C8300C"/>
    <w:rsid w:val="00C83018"/>
    <w:rsid w:val="00C83450"/>
    <w:rsid w:val="00C836B8"/>
    <w:rsid w:val="00C84430"/>
    <w:rsid w:val="00C84856"/>
    <w:rsid w:val="00C84882"/>
    <w:rsid w:val="00C8488F"/>
    <w:rsid w:val="00C84C2D"/>
    <w:rsid w:val="00C84CF7"/>
    <w:rsid w:val="00C8521E"/>
    <w:rsid w:val="00C85397"/>
    <w:rsid w:val="00C855A6"/>
    <w:rsid w:val="00C85C6A"/>
    <w:rsid w:val="00C85CDC"/>
    <w:rsid w:val="00C870C0"/>
    <w:rsid w:val="00C870E8"/>
    <w:rsid w:val="00C873D7"/>
    <w:rsid w:val="00C876AA"/>
    <w:rsid w:val="00C87946"/>
    <w:rsid w:val="00C9024D"/>
    <w:rsid w:val="00C904FD"/>
    <w:rsid w:val="00C9050F"/>
    <w:rsid w:val="00C9076B"/>
    <w:rsid w:val="00C907D6"/>
    <w:rsid w:val="00C90857"/>
    <w:rsid w:val="00C90BAA"/>
    <w:rsid w:val="00C910D2"/>
    <w:rsid w:val="00C913A5"/>
    <w:rsid w:val="00C9178F"/>
    <w:rsid w:val="00C920B1"/>
    <w:rsid w:val="00C92262"/>
    <w:rsid w:val="00C9289F"/>
    <w:rsid w:val="00C9406D"/>
    <w:rsid w:val="00C94135"/>
    <w:rsid w:val="00C942A9"/>
    <w:rsid w:val="00C945DA"/>
    <w:rsid w:val="00C95715"/>
    <w:rsid w:val="00C960DD"/>
    <w:rsid w:val="00C960E5"/>
    <w:rsid w:val="00C960F2"/>
    <w:rsid w:val="00C96211"/>
    <w:rsid w:val="00C963E5"/>
    <w:rsid w:val="00C9645A"/>
    <w:rsid w:val="00C96936"/>
    <w:rsid w:val="00C96F22"/>
    <w:rsid w:val="00C973E3"/>
    <w:rsid w:val="00C97A46"/>
    <w:rsid w:val="00C97DBC"/>
    <w:rsid w:val="00CA11B9"/>
    <w:rsid w:val="00CA1401"/>
    <w:rsid w:val="00CA310D"/>
    <w:rsid w:val="00CA343D"/>
    <w:rsid w:val="00CA38F0"/>
    <w:rsid w:val="00CA3919"/>
    <w:rsid w:val="00CA3FB1"/>
    <w:rsid w:val="00CA40A3"/>
    <w:rsid w:val="00CA4244"/>
    <w:rsid w:val="00CA4D3B"/>
    <w:rsid w:val="00CA5B55"/>
    <w:rsid w:val="00CA6A2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414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FD"/>
    <w:rsid w:val="00CC2CE5"/>
    <w:rsid w:val="00CC2FFB"/>
    <w:rsid w:val="00CC34E0"/>
    <w:rsid w:val="00CC36E4"/>
    <w:rsid w:val="00CC38C8"/>
    <w:rsid w:val="00CC3967"/>
    <w:rsid w:val="00CC3CE9"/>
    <w:rsid w:val="00CC3D3B"/>
    <w:rsid w:val="00CC417D"/>
    <w:rsid w:val="00CC42CA"/>
    <w:rsid w:val="00CC42DA"/>
    <w:rsid w:val="00CC5379"/>
    <w:rsid w:val="00CC58BA"/>
    <w:rsid w:val="00CC5DA6"/>
    <w:rsid w:val="00CC638E"/>
    <w:rsid w:val="00CC6564"/>
    <w:rsid w:val="00CC6F49"/>
    <w:rsid w:val="00CC7915"/>
    <w:rsid w:val="00CC79FB"/>
    <w:rsid w:val="00CC7C10"/>
    <w:rsid w:val="00CD00E9"/>
    <w:rsid w:val="00CD017D"/>
    <w:rsid w:val="00CD0287"/>
    <w:rsid w:val="00CD030B"/>
    <w:rsid w:val="00CD07C1"/>
    <w:rsid w:val="00CD09F8"/>
    <w:rsid w:val="00CD134F"/>
    <w:rsid w:val="00CD14C3"/>
    <w:rsid w:val="00CD1653"/>
    <w:rsid w:val="00CD1696"/>
    <w:rsid w:val="00CD1909"/>
    <w:rsid w:val="00CD1E75"/>
    <w:rsid w:val="00CD1EA2"/>
    <w:rsid w:val="00CD2DF7"/>
    <w:rsid w:val="00CD30F6"/>
    <w:rsid w:val="00CD3211"/>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78"/>
    <w:rsid w:val="00CD7009"/>
    <w:rsid w:val="00CD7223"/>
    <w:rsid w:val="00CD7D71"/>
    <w:rsid w:val="00CD7FDD"/>
    <w:rsid w:val="00CE0B07"/>
    <w:rsid w:val="00CE0C1B"/>
    <w:rsid w:val="00CE150D"/>
    <w:rsid w:val="00CE1669"/>
    <w:rsid w:val="00CE1823"/>
    <w:rsid w:val="00CE193F"/>
    <w:rsid w:val="00CE1BE3"/>
    <w:rsid w:val="00CE1FDA"/>
    <w:rsid w:val="00CE2DCE"/>
    <w:rsid w:val="00CE2F3B"/>
    <w:rsid w:val="00CE2F58"/>
    <w:rsid w:val="00CE3CB9"/>
    <w:rsid w:val="00CE3E0F"/>
    <w:rsid w:val="00CE4447"/>
    <w:rsid w:val="00CE4BAF"/>
    <w:rsid w:val="00CE4CB1"/>
    <w:rsid w:val="00CE5479"/>
    <w:rsid w:val="00CE5636"/>
    <w:rsid w:val="00CE5C00"/>
    <w:rsid w:val="00CE606B"/>
    <w:rsid w:val="00CE60D2"/>
    <w:rsid w:val="00CE62CA"/>
    <w:rsid w:val="00CE6E3F"/>
    <w:rsid w:val="00CE734B"/>
    <w:rsid w:val="00CE7AE6"/>
    <w:rsid w:val="00CF0B69"/>
    <w:rsid w:val="00CF0D20"/>
    <w:rsid w:val="00CF0D8A"/>
    <w:rsid w:val="00CF0DC9"/>
    <w:rsid w:val="00CF121C"/>
    <w:rsid w:val="00CF1250"/>
    <w:rsid w:val="00CF1409"/>
    <w:rsid w:val="00CF1446"/>
    <w:rsid w:val="00CF289F"/>
    <w:rsid w:val="00CF2B74"/>
    <w:rsid w:val="00CF3451"/>
    <w:rsid w:val="00CF3506"/>
    <w:rsid w:val="00CF3ACC"/>
    <w:rsid w:val="00CF3B0B"/>
    <w:rsid w:val="00CF3DDF"/>
    <w:rsid w:val="00CF3E29"/>
    <w:rsid w:val="00CF3EE6"/>
    <w:rsid w:val="00CF45ED"/>
    <w:rsid w:val="00CF4F58"/>
    <w:rsid w:val="00CF5562"/>
    <w:rsid w:val="00CF5C6A"/>
    <w:rsid w:val="00CF6AF0"/>
    <w:rsid w:val="00CF71A3"/>
    <w:rsid w:val="00CF72F1"/>
    <w:rsid w:val="00CF7B77"/>
    <w:rsid w:val="00CF7C07"/>
    <w:rsid w:val="00D00090"/>
    <w:rsid w:val="00D00473"/>
    <w:rsid w:val="00D006F9"/>
    <w:rsid w:val="00D007AB"/>
    <w:rsid w:val="00D009DC"/>
    <w:rsid w:val="00D00C8B"/>
    <w:rsid w:val="00D0166C"/>
    <w:rsid w:val="00D01783"/>
    <w:rsid w:val="00D01881"/>
    <w:rsid w:val="00D01E2E"/>
    <w:rsid w:val="00D02059"/>
    <w:rsid w:val="00D02172"/>
    <w:rsid w:val="00D030E8"/>
    <w:rsid w:val="00D0317C"/>
    <w:rsid w:val="00D037CE"/>
    <w:rsid w:val="00D03C69"/>
    <w:rsid w:val="00D03DF1"/>
    <w:rsid w:val="00D04475"/>
    <w:rsid w:val="00D04486"/>
    <w:rsid w:val="00D048D2"/>
    <w:rsid w:val="00D04B1A"/>
    <w:rsid w:val="00D051E3"/>
    <w:rsid w:val="00D05AEC"/>
    <w:rsid w:val="00D05FCF"/>
    <w:rsid w:val="00D06456"/>
    <w:rsid w:val="00D064C0"/>
    <w:rsid w:val="00D068E0"/>
    <w:rsid w:val="00D06945"/>
    <w:rsid w:val="00D071B5"/>
    <w:rsid w:val="00D07423"/>
    <w:rsid w:val="00D07494"/>
    <w:rsid w:val="00D0749E"/>
    <w:rsid w:val="00D07794"/>
    <w:rsid w:val="00D079C2"/>
    <w:rsid w:val="00D07DE1"/>
    <w:rsid w:val="00D07EC6"/>
    <w:rsid w:val="00D10262"/>
    <w:rsid w:val="00D108CF"/>
    <w:rsid w:val="00D10EC8"/>
    <w:rsid w:val="00D110A9"/>
    <w:rsid w:val="00D111A5"/>
    <w:rsid w:val="00D1191C"/>
    <w:rsid w:val="00D11D57"/>
    <w:rsid w:val="00D120DF"/>
    <w:rsid w:val="00D122E1"/>
    <w:rsid w:val="00D1261A"/>
    <w:rsid w:val="00D1277A"/>
    <w:rsid w:val="00D127FE"/>
    <w:rsid w:val="00D12E40"/>
    <w:rsid w:val="00D12EA9"/>
    <w:rsid w:val="00D134B4"/>
    <w:rsid w:val="00D13659"/>
    <w:rsid w:val="00D13BAD"/>
    <w:rsid w:val="00D1406B"/>
    <w:rsid w:val="00D1426E"/>
    <w:rsid w:val="00D1498E"/>
    <w:rsid w:val="00D14E0B"/>
    <w:rsid w:val="00D15151"/>
    <w:rsid w:val="00D15710"/>
    <w:rsid w:val="00D15914"/>
    <w:rsid w:val="00D16137"/>
    <w:rsid w:val="00D163FC"/>
    <w:rsid w:val="00D1665C"/>
    <w:rsid w:val="00D16B07"/>
    <w:rsid w:val="00D16F25"/>
    <w:rsid w:val="00D16F74"/>
    <w:rsid w:val="00D1731B"/>
    <w:rsid w:val="00D17404"/>
    <w:rsid w:val="00D1783B"/>
    <w:rsid w:val="00D20180"/>
    <w:rsid w:val="00D20932"/>
    <w:rsid w:val="00D209B3"/>
    <w:rsid w:val="00D20B78"/>
    <w:rsid w:val="00D20C8B"/>
    <w:rsid w:val="00D21065"/>
    <w:rsid w:val="00D213AB"/>
    <w:rsid w:val="00D21424"/>
    <w:rsid w:val="00D21739"/>
    <w:rsid w:val="00D21745"/>
    <w:rsid w:val="00D21CA8"/>
    <w:rsid w:val="00D220EB"/>
    <w:rsid w:val="00D22B3C"/>
    <w:rsid w:val="00D22FB0"/>
    <w:rsid w:val="00D23131"/>
    <w:rsid w:val="00D232B8"/>
    <w:rsid w:val="00D23300"/>
    <w:rsid w:val="00D23610"/>
    <w:rsid w:val="00D23871"/>
    <w:rsid w:val="00D24236"/>
    <w:rsid w:val="00D24924"/>
    <w:rsid w:val="00D24979"/>
    <w:rsid w:val="00D24A33"/>
    <w:rsid w:val="00D24AC5"/>
    <w:rsid w:val="00D24E0C"/>
    <w:rsid w:val="00D25646"/>
    <w:rsid w:val="00D256C1"/>
    <w:rsid w:val="00D256F0"/>
    <w:rsid w:val="00D25822"/>
    <w:rsid w:val="00D2608C"/>
    <w:rsid w:val="00D26FE3"/>
    <w:rsid w:val="00D27B52"/>
    <w:rsid w:val="00D3000D"/>
    <w:rsid w:val="00D30703"/>
    <w:rsid w:val="00D30755"/>
    <w:rsid w:val="00D31A56"/>
    <w:rsid w:val="00D32163"/>
    <w:rsid w:val="00D322AB"/>
    <w:rsid w:val="00D32315"/>
    <w:rsid w:val="00D32FE0"/>
    <w:rsid w:val="00D33840"/>
    <w:rsid w:val="00D3399D"/>
    <w:rsid w:val="00D33DDE"/>
    <w:rsid w:val="00D340B7"/>
    <w:rsid w:val="00D347DE"/>
    <w:rsid w:val="00D349D5"/>
    <w:rsid w:val="00D34A59"/>
    <w:rsid w:val="00D359F3"/>
    <w:rsid w:val="00D36D1A"/>
    <w:rsid w:val="00D36D25"/>
    <w:rsid w:val="00D37278"/>
    <w:rsid w:val="00D375F9"/>
    <w:rsid w:val="00D37E8A"/>
    <w:rsid w:val="00D4080D"/>
    <w:rsid w:val="00D409F6"/>
    <w:rsid w:val="00D40E29"/>
    <w:rsid w:val="00D4118C"/>
    <w:rsid w:val="00D41771"/>
    <w:rsid w:val="00D4208C"/>
    <w:rsid w:val="00D4234C"/>
    <w:rsid w:val="00D42B03"/>
    <w:rsid w:val="00D434C8"/>
    <w:rsid w:val="00D4374F"/>
    <w:rsid w:val="00D441F7"/>
    <w:rsid w:val="00D44276"/>
    <w:rsid w:val="00D444C7"/>
    <w:rsid w:val="00D44E24"/>
    <w:rsid w:val="00D454ED"/>
    <w:rsid w:val="00D45C1D"/>
    <w:rsid w:val="00D45C6E"/>
    <w:rsid w:val="00D45CAB"/>
    <w:rsid w:val="00D4604A"/>
    <w:rsid w:val="00D465A2"/>
    <w:rsid w:val="00D466C4"/>
    <w:rsid w:val="00D467DD"/>
    <w:rsid w:val="00D46C9D"/>
    <w:rsid w:val="00D46FF8"/>
    <w:rsid w:val="00D4796D"/>
    <w:rsid w:val="00D50021"/>
    <w:rsid w:val="00D503B1"/>
    <w:rsid w:val="00D50F8F"/>
    <w:rsid w:val="00D51012"/>
    <w:rsid w:val="00D51179"/>
    <w:rsid w:val="00D51DAB"/>
    <w:rsid w:val="00D52E91"/>
    <w:rsid w:val="00D52F43"/>
    <w:rsid w:val="00D538F9"/>
    <w:rsid w:val="00D53F25"/>
    <w:rsid w:val="00D54208"/>
    <w:rsid w:val="00D5438A"/>
    <w:rsid w:val="00D54925"/>
    <w:rsid w:val="00D54FE9"/>
    <w:rsid w:val="00D55797"/>
    <w:rsid w:val="00D55924"/>
    <w:rsid w:val="00D55CCE"/>
    <w:rsid w:val="00D5604E"/>
    <w:rsid w:val="00D560B6"/>
    <w:rsid w:val="00D56256"/>
    <w:rsid w:val="00D5653F"/>
    <w:rsid w:val="00D56F89"/>
    <w:rsid w:val="00D5788F"/>
    <w:rsid w:val="00D579BA"/>
    <w:rsid w:val="00D57E26"/>
    <w:rsid w:val="00D57FD6"/>
    <w:rsid w:val="00D6012F"/>
    <w:rsid w:val="00D60A04"/>
    <w:rsid w:val="00D6126E"/>
    <w:rsid w:val="00D61346"/>
    <w:rsid w:val="00D61400"/>
    <w:rsid w:val="00D615EA"/>
    <w:rsid w:val="00D617C2"/>
    <w:rsid w:val="00D61CDD"/>
    <w:rsid w:val="00D61D01"/>
    <w:rsid w:val="00D620A1"/>
    <w:rsid w:val="00D6235A"/>
    <w:rsid w:val="00D62467"/>
    <w:rsid w:val="00D62674"/>
    <w:rsid w:val="00D62788"/>
    <w:rsid w:val="00D629E0"/>
    <w:rsid w:val="00D62CF9"/>
    <w:rsid w:val="00D63675"/>
    <w:rsid w:val="00D64419"/>
    <w:rsid w:val="00D64A78"/>
    <w:rsid w:val="00D659F8"/>
    <w:rsid w:val="00D65A3F"/>
    <w:rsid w:val="00D65C7B"/>
    <w:rsid w:val="00D660C4"/>
    <w:rsid w:val="00D664C7"/>
    <w:rsid w:val="00D66ADE"/>
    <w:rsid w:val="00D66C6B"/>
    <w:rsid w:val="00D66F7E"/>
    <w:rsid w:val="00D67B90"/>
    <w:rsid w:val="00D67CDB"/>
    <w:rsid w:val="00D67D25"/>
    <w:rsid w:val="00D67F40"/>
    <w:rsid w:val="00D7007F"/>
    <w:rsid w:val="00D70142"/>
    <w:rsid w:val="00D704DE"/>
    <w:rsid w:val="00D70506"/>
    <w:rsid w:val="00D70623"/>
    <w:rsid w:val="00D70939"/>
    <w:rsid w:val="00D70D0C"/>
    <w:rsid w:val="00D7149A"/>
    <w:rsid w:val="00D71B39"/>
    <w:rsid w:val="00D71D21"/>
    <w:rsid w:val="00D71F0E"/>
    <w:rsid w:val="00D71F48"/>
    <w:rsid w:val="00D72027"/>
    <w:rsid w:val="00D725EA"/>
    <w:rsid w:val="00D72804"/>
    <w:rsid w:val="00D72AF9"/>
    <w:rsid w:val="00D72C2A"/>
    <w:rsid w:val="00D7339C"/>
    <w:rsid w:val="00D73563"/>
    <w:rsid w:val="00D73AE0"/>
    <w:rsid w:val="00D73E26"/>
    <w:rsid w:val="00D73FA3"/>
    <w:rsid w:val="00D742BC"/>
    <w:rsid w:val="00D74BA0"/>
    <w:rsid w:val="00D74D03"/>
    <w:rsid w:val="00D75C77"/>
    <w:rsid w:val="00D75EDB"/>
    <w:rsid w:val="00D75F97"/>
    <w:rsid w:val="00D76D50"/>
    <w:rsid w:val="00D77278"/>
    <w:rsid w:val="00D77887"/>
    <w:rsid w:val="00D804E8"/>
    <w:rsid w:val="00D80799"/>
    <w:rsid w:val="00D808FF"/>
    <w:rsid w:val="00D809CD"/>
    <w:rsid w:val="00D80A99"/>
    <w:rsid w:val="00D80F04"/>
    <w:rsid w:val="00D8123C"/>
    <w:rsid w:val="00D8165A"/>
    <w:rsid w:val="00D81675"/>
    <w:rsid w:val="00D81C1E"/>
    <w:rsid w:val="00D8215F"/>
    <w:rsid w:val="00D826E1"/>
    <w:rsid w:val="00D82C98"/>
    <w:rsid w:val="00D82D7B"/>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81F"/>
    <w:rsid w:val="00D869B2"/>
    <w:rsid w:val="00D86AEF"/>
    <w:rsid w:val="00D86B93"/>
    <w:rsid w:val="00D86F6B"/>
    <w:rsid w:val="00D87866"/>
    <w:rsid w:val="00D87AB4"/>
    <w:rsid w:val="00D906BE"/>
    <w:rsid w:val="00D90941"/>
    <w:rsid w:val="00D91A3C"/>
    <w:rsid w:val="00D9201A"/>
    <w:rsid w:val="00D92093"/>
    <w:rsid w:val="00D92233"/>
    <w:rsid w:val="00D93234"/>
    <w:rsid w:val="00D93493"/>
    <w:rsid w:val="00D93832"/>
    <w:rsid w:val="00D938F0"/>
    <w:rsid w:val="00D93A1D"/>
    <w:rsid w:val="00D93BA0"/>
    <w:rsid w:val="00D9445F"/>
    <w:rsid w:val="00D946B8"/>
    <w:rsid w:val="00D946F7"/>
    <w:rsid w:val="00D947B0"/>
    <w:rsid w:val="00D948A2"/>
    <w:rsid w:val="00D948FF"/>
    <w:rsid w:val="00D9490C"/>
    <w:rsid w:val="00D94CCC"/>
    <w:rsid w:val="00D9547F"/>
    <w:rsid w:val="00D95573"/>
    <w:rsid w:val="00D95691"/>
    <w:rsid w:val="00D95A52"/>
    <w:rsid w:val="00D9606A"/>
    <w:rsid w:val="00D9619E"/>
    <w:rsid w:val="00D961A7"/>
    <w:rsid w:val="00D96E9B"/>
    <w:rsid w:val="00D97066"/>
    <w:rsid w:val="00D972ED"/>
    <w:rsid w:val="00D97514"/>
    <w:rsid w:val="00D977B9"/>
    <w:rsid w:val="00D97949"/>
    <w:rsid w:val="00D97CE8"/>
    <w:rsid w:val="00D97EBC"/>
    <w:rsid w:val="00D97F7D"/>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702"/>
    <w:rsid w:val="00DA6308"/>
    <w:rsid w:val="00DA6FCA"/>
    <w:rsid w:val="00DA7195"/>
    <w:rsid w:val="00DA7380"/>
    <w:rsid w:val="00DA768F"/>
    <w:rsid w:val="00DA7784"/>
    <w:rsid w:val="00DB0009"/>
    <w:rsid w:val="00DB00A2"/>
    <w:rsid w:val="00DB01B4"/>
    <w:rsid w:val="00DB031E"/>
    <w:rsid w:val="00DB0811"/>
    <w:rsid w:val="00DB0EDB"/>
    <w:rsid w:val="00DB1370"/>
    <w:rsid w:val="00DB13A7"/>
    <w:rsid w:val="00DB152E"/>
    <w:rsid w:val="00DB1B8E"/>
    <w:rsid w:val="00DB240A"/>
    <w:rsid w:val="00DB2481"/>
    <w:rsid w:val="00DB2687"/>
    <w:rsid w:val="00DB2695"/>
    <w:rsid w:val="00DB37FA"/>
    <w:rsid w:val="00DB3A9E"/>
    <w:rsid w:val="00DB3FCF"/>
    <w:rsid w:val="00DB423A"/>
    <w:rsid w:val="00DB43E1"/>
    <w:rsid w:val="00DB448A"/>
    <w:rsid w:val="00DB4636"/>
    <w:rsid w:val="00DB4CDA"/>
    <w:rsid w:val="00DB4CED"/>
    <w:rsid w:val="00DB4D21"/>
    <w:rsid w:val="00DB53C5"/>
    <w:rsid w:val="00DB595F"/>
    <w:rsid w:val="00DB5B2F"/>
    <w:rsid w:val="00DB5F08"/>
    <w:rsid w:val="00DB6843"/>
    <w:rsid w:val="00DB6DE3"/>
    <w:rsid w:val="00DB73AB"/>
    <w:rsid w:val="00DB789B"/>
    <w:rsid w:val="00DB7D20"/>
    <w:rsid w:val="00DB7E66"/>
    <w:rsid w:val="00DB7FBD"/>
    <w:rsid w:val="00DC00DF"/>
    <w:rsid w:val="00DC0155"/>
    <w:rsid w:val="00DC0745"/>
    <w:rsid w:val="00DC0D4E"/>
    <w:rsid w:val="00DC1553"/>
    <w:rsid w:val="00DC15B9"/>
    <w:rsid w:val="00DC1758"/>
    <w:rsid w:val="00DC18E6"/>
    <w:rsid w:val="00DC20F1"/>
    <w:rsid w:val="00DC21E0"/>
    <w:rsid w:val="00DC226C"/>
    <w:rsid w:val="00DC22C0"/>
    <w:rsid w:val="00DC249A"/>
    <w:rsid w:val="00DC2634"/>
    <w:rsid w:val="00DC2B89"/>
    <w:rsid w:val="00DC2BB6"/>
    <w:rsid w:val="00DC2CE3"/>
    <w:rsid w:val="00DC33E0"/>
    <w:rsid w:val="00DC3E44"/>
    <w:rsid w:val="00DC4521"/>
    <w:rsid w:val="00DC458A"/>
    <w:rsid w:val="00DC46FA"/>
    <w:rsid w:val="00DC4B2F"/>
    <w:rsid w:val="00DC4E24"/>
    <w:rsid w:val="00DC4F70"/>
    <w:rsid w:val="00DC517E"/>
    <w:rsid w:val="00DC5187"/>
    <w:rsid w:val="00DC54D5"/>
    <w:rsid w:val="00DC5532"/>
    <w:rsid w:val="00DC5B09"/>
    <w:rsid w:val="00DC6B05"/>
    <w:rsid w:val="00DC7079"/>
    <w:rsid w:val="00DC7906"/>
    <w:rsid w:val="00DC792E"/>
    <w:rsid w:val="00DC7948"/>
    <w:rsid w:val="00DC7AA4"/>
    <w:rsid w:val="00DC7C5B"/>
    <w:rsid w:val="00DC7E43"/>
    <w:rsid w:val="00DD0918"/>
    <w:rsid w:val="00DD0EEF"/>
    <w:rsid w:val="00DD10CD"/>
    <w:rsid w:val="00DD1EE3"/>
    <w:rsid w:val="00DD2235"/>
    <w:rsid w:val="00DD2C0F"/>
    <w:rsid w:val="00DD3007"/>
    <w:rsid w:val="00DD3039"/>
    <w:rsid w:val="00DD316B"/>
    <w:rsid w:val="00DD35AF"/>
    <w:rsid w:val="00DD3A4D"/>
    <w:rsid w:val="00DD3CFE"/>
    <w:rsid w:val="00DD3FEE"/>
    <w:rsid w:val="00DD4911"/>
    <w:rsid w:val="00DD4BA9"/>
    <w:rsid w:val="00DD5592"/>
    <w:rsid w:val="00DD5714"/>
    <w:rsid w:val="00DD5C5B"/>
    <w:rsid w:val="00DD5CB6"/>
    <w:rsid w:val="00DD6301"/>
    <w:rsid w:val="00DD647C"/>
    <w:rsid w:val="00DD67EC"/>
    <w:rsid w:val="00DD69A6"/>
    <w:rsid w:val="00DD6B9B"/>
    <w:rsid w:val="00DD6D4F"/>
    <w:rsid w:val="00DD6F35"/>
    <w:rsid w:val="00DD70F3"/>
    <w:rsid w:val="00DE0045"/>
    <w:rsid w:val="00DE008C"/>
    <w:rsid w:val="00DE0248"/>
    <w:rsid w:val="00DE03AD"/>
    <w:rsid w:val="00DE0558"/>
    <w:rsid w:val="00DE13FA"/>
    <w:rsid w:val="00DE16E0"/>
    <w:rsid w:val="00DE1A91"/>
    <w:rsid w:val="00DE1A95"/>
    <w:rsid w:val="00DE1CAC"/>
    <w:rsid w:val="00DE1D23"/>
    <w:rsid w:val="00DE2197"/>
    <w:rsid w:val="00DE2DED"/>
    <w:rsid w:val="00DE2EF3"/>
    <w:rsid w:val="00DE3231"/>
    <w:rsid w:val="00DE376F"/>
    <w:rsid w:val="00DE3A5D"/>
    <w:rsid w:val="00DE3C42"/>
    <w:rsid w:val="00DE3D19"/>
    <w:rsid w:val="00DE4678"/>
    <w:rsid w:val="00DE4791"/>
    <w:rsid w:val="00DE49DE"/>
    <w:rsid w:val="00DE4C3F"/>
    <w:rsid w:val="00DE4E51"/>
    <w:rsid w:val="00DE52C2"/>
    <w:rsid w:val="00DE5856"/>
    <w:rsid w:val="00DE58DC"/>
    <w:rsid w:val="00DE5E33"/>
    <w:rsid w:val="00DE5FC9"/>
    <w:rsid w:val="00DE6B12"/>
    <w:rsid w:val="00DE6D8A"/>
    <w:rsid w:val="00DE7483"/>
    <w:rsid w:val="00DE756E"/>
    <w:rsid w:val="00DE7765"/>
    <w:rsid w:val="00DE77E6"/>
    <w:rsid w:val="00DE798A"/>
    <w:rsid w:val="00DE7E17"/>
    <w:rsid w:val="00DE7EA9"/>
    <w:rsid w:val="00DE7F21"/>
    <w:rsid w:val="00DE7FC6"/>
    <w:rsid w:val="00DF006A"/>
    <w:rsid w:val="00DF06BE"/>
    <w:rsid w:val="00DF07EB"/>
    <w:rsid w:val="00DF08DB"/>
    <w:rsid w:val="00DF09D0"/>
    <w:rsid w:val="00DF0D21"/>
    <w:rsid w:val="00DF0F15"/>
    <w:rsid w:val="00DF1D51"/>
    <w:rsid w:val="00DF205E"/>
    <w:rsid w:val="00DF206B"/>
    <w:rsid w:val="00DF2523"/>
    <w:rsid w:val="00DF2A81"/>
    <w:rsid w:val="00DF2BAE"/>
    <w:rsid w:val="00DF2D97"/>
    <w:rsid w:val="00DF3461"/>
    <w:rsid w:val="00DF37A2"/>
    <w:rsid w:val="00DF3C47"/>
    <w:rsid w:val="00DF43FF"/>
    <w:rsid w:val="00DF480E"/>
    <w:rsid w:val="00DF49AE"/>
    <w:rsid w:val="00DF4A3D"/>
    <w:rsid w:val="00DF4A51"/>
    <w:rsid w:val="00DF4E1B"/>
    <w:rsid w:val="00DF4E3D"/>
    <w:rsid w:val="00DF4EEC"/>
    <w:rsid w:val="00DF4F4D"/>
    <w:rsid w:val="00DF563E"/>
    <w:rsid w:val="00DF5AF0"/>
    <w:rsid w:val="00DF5F7E"/>
    <w:rsid w:val="00DF6263"/>
    <w:rsid w:val="00DF6C49"/>
    <w:rsid w:val="00DF6C9C"/>
    <w:rsid w:val="00DF72A5"/>
    <w:rsid w:val="00DF79B1"/>
    <w:rsid w:val="00E00078"/>
    <w:rsid w:val="00E003BE"/>
    <w:rsid w:val="00E00A15"/>
    <w:rsid w:val="00E01271"/>
    <w:rsid w:val="00E0167B"/>
    <w:rsid w:val="00E0174C"/>
    <w:rsid w:val="00E018FC"/>
    <w:rsid w:val="00E01C12"/>
    <w:rsid w:val="00E01D87"/>
    <w:rsid w:val="00E01E9F"/>
    <w:rsid w:val="00E01F86"/>
    <w:rsid w:val="00E02058"/>
    <w:rsid w:val="00E0247A"/>
    <w:rsid w:val="00E024F4"/>
    <w:rsid w:val="00E029B8"/>
    <w:rsid w:val="00E02CB4"/>
    <w:rsid w:val="00E02D57"/>
    <w:rsid w:val="00E02E51"/>
    <w:rsid w:val="00E03470"/>
    <w:rsid w:val="00E0349E"/>
    <w:rsid w:val="00E0389C"/>
    <w:rsid w:val="00E03BE2"/>
    <w:rsid w:val="00E0428D"/>
    <w:rsid w:val="00E042C5"/>
    <w:rsid w:val="00E044EC"/>
    <w:rsid w:val="00E045E2"/>
    <w:rsid w:val="00E04D15"/>
    <w:rsid w:val="00E058B1"/>
    <w:rsid w:val="00E05995"/>
    <w:rsid w:val="00E05E1A"/>
    <w:rsid w:val="00E061CE"/>
    <w:rsid w:val="00E063B8"/>
    <w:rsid w:val="00E068BE"/>
    <w:rsid w:val="00E06A8C"/>
    <w:rsid w:val="00E06DB9"/>
    <w:rsid w:val="00E06EFB"/>
    <w:rsid w:val="00E070AD"/>
    <w:rsid w:val="00E070E6"/>
    <w:rsid w:val="00E07144"/>
    <w:rsid w:val="00E0739A"/>
    <w:rsid w:val="00E07AE5"/>
    <w:rsid w:val="00E07D46"/>
    <w:rsid w:val="00E10649"/>
    <w:rsid w:val="00E116E8"/>
    <w:rsid w:val="00E119A8"/>
    <w:rsid w:val="00E11D41"/>
    <w:rsid w:val="00E11D63"/>
    <w:rsid w:val="00E13A26"/>
    <w:rsid w:val="00E13C81"/>
    <w:rsid w:val="00E14407"/>
    <w:rsid w:val="00E144BF"/>
    <w:rsid w:val="00E1484F"/>
    <w:rsid w:val="00E14D1D"/>
    <w:rsid w:val="00E153E2"/>
    <w:rsid w:val="00E153ED"/>
    <w:rsid w:val="00E153F0"/>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205AA"/>
    <w:rsid w:val="00E20AAB"/>
    <w:rsid w:val="00E20AB6"/>
    <w:rsid w:val="00E20B8E"/>
    <w:rsid w:val="00E20E79"/>
    <w:rsid w:val="00E20EAB"/>
    <w:rsid w:val="00E21079"/>
    <w:rsid w:val="00E21759"/>
    <w:rsid w:val="00E21B5F"/>
    <w:rsid w:val="00E22373"/>
    <w:rsid w:val="00E22FC8"/>
    <w:rsid w:val="00E232D7"/>
    <w:rsid w:val="00E2345D"/>
    <w:rsid w:val="00E235B7"/>
    <w:rsid w:val="00E23E1D"/>
    <w:rsid w:val="00E241F5"/>
    <w:rsid w:val="00E24A05"/>
    <w:rsid w:val="00E2518B"/>
    <w:rsid w:val="00E25CC4"/>
    <w:rsid w:val="00E25D40"/>
    <w:rsid w:val="00E26010"/>
    <w:rsid w:val="00E2603F"/>
    <w:rsid w:val="00E26116"/>
    <w:rsid w:val="00E26307"/>
    <w:rsid w:val="00E2683D"/>
    <w:rsid w:val="00E2689B"/>
    <w:rsid w:val="00E269AF"/>
    <w:rsid w:val="00E2726E"/>
    <w:rsid w:val="00E2782B"/>
    <w:rsid w:val="00E27AE1"/>
    <w:rsid w:val="00E27D16"/>
    <w:rsid w:val="00E27D8C"/>
    <w:rsid w:val="00E30644"/>
    <w:rsid w:val="00E31143"/>
    <w:rsid w:val="00E31658"/>
    <w:rsid w:val="00E3192C"/>
    <w:rsid w:val="00E31A95"/>
    <w:rsid w:val="00E32227"/>
    <w:rsid w:val="00E3264D"/>
    <w:rsid w:val="00E327F2"/>
    <w:rsid w:val="00E32D8D"/>
    <w:rsid w:val="00E336B6"/>
    <w:rsid w:val="00E33775"/>
    <w:rsid w:val="00E344C7"/>
    <w:rsid w:val="00E345F8"/>
    <w:rsid w:val="00E346FA"/>
    <w:rsid w:val="00E34ABC"/>
    <w:rsid w:val="00E34C7F"/>
    <w:rsid w:val="00E34D08"/>
    <w:rsid w:val="00E3508B"/>
    <w:rsid w:val="00E3552F"/>
    <w:rsid w:val="00E3566A"/>
    <w:rsid w:val="00E35BB2"/>
    <w:rsid w:val="00E3662F"/>
    <w:rsid w:val="00E36798"/>
    <w:rsid w:val="00E3701A"/>
    <w:rsid w:val="00E372F3"/>
    <w:rsid w:val="00E372FD"/>
    <w:rsid w:val="00E37A5E"/>
    <w:rsid w:val="00E37A72"/>
    <w:rsid w:val="00E37EB3"/>
    <w:rsid w:val="00E40070"/>
    <w:rsid w:val="00E4013A"/>
    <w:rsid w:val="00E4029B"/>
    <w:rsid w:val="00E4086A"/>
    <w:rsid w:val="00E41547"/>
    <w:rsid w:val="00E41A35"/>
    <w:rsid w:val="00E41B7B"/>
    <w:rsid w:val="00E41DFB"/>
    <w:rsid w:val="00E42280"/>
    <w:rsid w:val="00E428BA"/>
    <w:rsid w:val="00E429FB"/>
    <w:rsid w:val="00E42B15"/>
    <w:rsid w:val="00E433E9"/>
    <w:rsid w:val="00E435BB"/>
    <w:rsid w:val="00E436D9"/>
    <w:rsid w:val="00E438B2"/>
    <w:rsid w:val="00E443CC"/>
    <w:rsid w:val="00E449D1"/>
    <w:rsid w:val="00E44B05"/>
    <w:rsid w:val="00E44E40"/>
    <w:rsid w:val="00E44E99"/>
    <w:rsid w:val="00E45955"/>
    <w:rsid w:val="00E45E09"/>
    <w:rsid w:val="00E45E68"/>
    <w:rsid w:val="00E46229"/>
    <w:rsid w:val="00E4635B"/>
    <w:rsid w:val="00E4651E"/>
    <w:rsid w:val="00E465A7"/>
    <w:rsid w:val="00E466BF"/>
    <w:rsid w:val="00E467DA"/>
    <w:rsid w:val="00E46CAB"/>
    <w:rsid w:val="00E471B0"/>
    <w:rsid w:val="00E4756F"/>
    <w:rsid w:val="00E47DAA"/>
    <w:rsid w:val="00E50745"/>
    <w:rsid w:val="00E50747"/>
    <w:rsid w:val="00E51711"/>
    <w:rsid w:val="00E518DB"/>
    <w:rsid w:val="00E527B7"/>
    <w:rsid w:val="00E527C9"/>
    <w:rsid w:val="00E52A9E"/>
    <w:rsid w:val="00E52E13"/>
    <w:rsid w:val="00E52F4E"/>
    <w:rsid w:val="00E53097"/>
    <w:rsid w:val="00E5409C"/>
    <w:rsid w:val="00E54445"/>
    <w:rsid w:val="00E54838"/>
    <w:rsid w:val="00E54A47"/>
    <w:rsid w:val="00E553AA"/>
    <w:rsid w:val="00E55B96"/>
    <w:rsid w:val="00E55E7F"/>
    <w:rsid w:val="00E56EDC"/>
    <w:rsid w:val="00E57714"/>
    <w:rsid w:val="00E57AC7"/>
    <w:rsid w:val="00E57B25"/>
    <w:rsid w:val="00E57EEE"/>
    <w:rsid w:val="00E60979"/>
    <w:rsid w:val="00E60998"/>
    <w:rsid w:val="00E60ACF"/>
    <w:rsid w:val="00E60B1E"/>
    <w:rsid w:val="00E60CBA"/>
    <w:rsid w:val="00E6149F"/>
    <w:rsid w:val="00E61A31"/>
    <w:rsid w:val="00E61A83"/>
    <w:rsid w:val="00E61CD7"/>
    <w:rsid w:val="00E62063"/>
    <w:rsid w:val="00E621C3"/>
    <w:rsid w:val="00E62873"/>
    <w:rsid w:val="00E62D29"/>
    <w:rsid w:val="00E62D6A"/>
    <w:rsid w:val="00E637C0"/>
    <w:rsid w:val="00E63E2E"/>
    <w:rsid w:val="00E645E0"/>
    <w:rsid w:val="00E64F73"/>
    <w:rsid w:val="00E657AB"/>
    <w:rsid w:val="00E660DE"/>
    <w:rsid w:val="00E66839"/>
    <w:rsid w:val="00E6685C"/>
    <w:rsid w:val="00E6732A"/>
    <w:rsid w:val="00E67ABE"/>
    <w:rsid w:val="00E67B9A"/>
    <w:rsid w:val="00E707F5"/>
    <w:rsid w:val="00E7128F"/>
    <w:rsid w:val="00E71D15"/>
    <w:rsid w:val="00E72270"/>
    <w:rsid w:val="00E7245F"/>
    <w:rsid w:val="00E727B5"/>
    <w:rsid w:val="00E729B1"/>
    <w:rsid w:val="00E72B47"/>
    <w:rsid w:val="00E72E0D"/>
    <w:rsid w:val="00E737EF"/>
    <w:rsid w:val="00E73D4F"/>
    <w:rsid w:val="00E73D60"/>
    <w:rsid w:val="00E74097"/>
    <w:rsid w:val="00E74C3B"/>
    <w:rsid w:val="00E74E47"/>
    <w:rsid w:val="00E758A5"/>
    <w:rsid w:val="00E758B1"/>
    <w:rsid w:val="00E75DED"/>
    <w:rsid w:val="00E75E36"/>
    <w:rsid w:val="00E75F22"/>
    <w:rsid w:val="00E75F71"/>
    <w:rsid w:val="00E75FE3"/>
    <w:rsid w:val="00E76759"/>
    <w:rsid w:val="00E7680E"/>
    <w:rsid w:val="00E76ACF"/>
    <w:rsid w:val="00E76C23"/>
    <w:rsid w:val="00E76E85"/>
    <w:rsid w:val="00E77048"/>
    <w:rsid w:val="00E7705F"/>
    <w:rsid w:val="00E77102"/>
    <w:rsid w:val="00E772FD"/>
    <w:rsid w:val="00E7783C"/>
    <w:rsid w:val="00E77963"/>
    <w:rsid w:val="00E77F51"/>
    <w:rsid w:val="00E80191"/>
    <w:rsid w:val="00E80998"/>
    <w:rsid w:val="00E80DEE"/>
    <w:rsid w:val="00E818A2"/>
    <w:rsid w:val="00E81B0C"/>
    <w:rsid w:val="00E8202E"/>
    <w:rsid w:val="00E82043"/>
    <w:rsid w:val="00E82BA7"/>
    <w:rsid w:val="00E82E1F"/>
    <w:rsid w:val="00E82F35"/>
    <w:rsid w:val="00E83192"/>
    <w:rsid w:val="00E8328F"/>
    <w:rsid w:val="00E83720"/>
    <w:rsid w:val="00E839F3"/>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987"/>
    <w:rsid w:val="00E87F8A"/>
    <w:rsid w:val="00E87FCD"/>
    <w:rsid w:val="00E903A8"/>
    <w:rsid w:val="00E90B6F"/>
    <w:rsid w:val="00E911C0"/>
    <w:rsid w:val="00E9122F"/>
    <w:rsid w:val="00E918E6"/>
    <w:rsid w:val="00E91C58"/>
    <w:rsid w:val="00E9250C"/>
    <w:rsid w:val="00E9297C"/>
    <w:rsid w:val="00E92994"/>
    <w:rsid w:val="00E92C77"/>
    <w:rsid w:val="00E92C99"/>
    <w:rsid w:val="00E9301C"/>
    <w:rsid w:val="00E93D36"/>
    <w:rsid w:val="00E940DB"/>
    <w:rsid w:val="00E94310"/>
    <w:rsid w:val="00E94A6A"/>
    <w:rsid w:val="00E9529C"/>
    <w:rsid w:val="00E957F8"/>
    <w:rsid w:val="00E95B5A"/>
    <w:rsid w:val="00E96231"/>
    <w:rsid w:val="00E968E3"/>
    <w:rsid w:val="00E96997"/>
    <w:rsid w:val="00E96B5F"/>
    <w:rsid w:val="00E97660"/>
    <w:rsid w:val="00E977CB"/>
    <w:rsid w:val="00E97B57"/>
    <w:rsid w:val="00E97D3C"/>
    <w:rsid w:val="00EA03CF"/>
    <w:rsid w:val="00EA0505"/>
    <w:rsid w:val="00EA08C9"/>
    <w:rsid w:val="00EA1051"/>
    <w:rsid w:val="00EA1872"/>
    <w:rsid w:val="00EA1BA0"/>
    <w:rsid w:val="00EA1BCF"/>
    <w:rsid w:val="00EA2375"/>
    <w:rsid w:val="00EA251B"/>
    <w:rsid w:val="00EA270D"/>
    <w:rsid w:val="00EA2871"/>
    <w:rsid w:val="00EA2A22"/>
    <w:rsid w:val="00EA2B3B"/>
    <w:rsid w:val="00EA2C9B"/>
    <w:rsid w:val="00EA2FD5"/>
    <w:rsid w:val="00EA300A"/>
    <w:rsid w:val="00EA34C0"/>
    <w:rsid w:val="00EA47FA"/>
    <w:rsid w:val="00EA5512"/>
    <w:rsid w:val="00EA5834"/>
    <w:rsid w:val="00EA5972"/>
    <w:rsid w:val="00EA5DCA"/>
    <w:rsid w:val="00EA6427"/>
    <w:rsid w:val="00EA6565"/>
    <w:rsid w:val="00EA658B"/>
    <w:rsid w:val="00EA68C9"/>
    <w:rsid w:val="00EA7112"/>
    <w:rsid w:val="00EA74E8"/>
    <w:rsid w:val="00EA760B"/>
    <w:rsid w:val="00EA77E8"/>
    <w:rsid w:val="00EA7912"/>
    <w:rsid w:val="00EB003F"/>
    <w:rsid w:val="00EB088F"/>
    <w:rsid w:val="00EB0A3C"/>
    <w:rsid w:val="00EB0F69"/>
    <w:rsid w:val="00EB1067"/>
    <w:rsid w:val="00EB176E"/>
    <w:rsid w:val="00EB202D"/>
    <w:rsid w:val="00EB2C4E"/>
    <w:rsid w:val="00EB2C70"/>
    <w:rsid w:val="00EB30BF"/>
    <w:rsid w:val="00EB32C0"/>
    <w:rsid w:val="00EB47A7"/>
    <w:rsid w:val="00EB47E3"/>
    <w:rsid w:val="00EB47F0"/>
    <w:rsid w:val="00EB5080"/>
    <w:rsid w:val="00EB5850"/>
    <w:rsid w:val="00EB599B"/>
    <w:rsid w:val="00EB6474"/>
    <w:rsid w:val="00EB721B"/>
    <w:rsid w:val="00EB73A7"/>
    <w:rsid w:val="00EB7516"/>
    <w:rsid w:val="00EB753F"/>
    <w:rsid w:val="00EB7966"/>
    <w:rsid w:val="00EB79F8"/>
    <w:rsid w:val="00EC0038"/>
    <w:rsid w:val="00EC06EB"/>
    <w:rsid w:val="00EC0BC9"/>
    <w:rsid w:val="00EC0D48"/>
    <w:rsid w:val="00EC1110"/>
    <w:rsid w:val="00EC1575"/>
    <w:rsid w:val="00EC1948"/>
    <w:rsid w:val="00EC1AAA"/>
    <w:rsid w:val="00EC1BDB"/>
    <w:rsid w:val="00EC26D0"/>
    <w:rsid w:val="00EC2729"/>
    <w:rsid w:val="00EC2846"/>
    <w:rsid w:val="00EC2888"/>
    <w:rsid w:val="00EC29A2"/>
    <w:rsid w:val="00EC2EB5"/>
    <w:rsid w:val="00EC3861"/>
    <w:rsid w:val="00EC3D93"/>
    <w:rsid w:val="00EC4079"/>
    <w:rsid w:val="00EC422F"/>
    <w:rsid w:val="00EC4242"/>
    <w:rsid w:val="00EC424D"/>
    <w:rsid w:val="00EC432F"/>
    <w:rsid w:val="00EC4C0F"/>
    <w:rsid w:val="00EC51A6"/>
    <w:rsid w:val="00EC5358"/>
    <w:rsid w:val="00EC5F54"/>
    <w:rsid w:val="00EC6542"/>
    <w:rsid w:val="00EC714A"/>
    <w:rsid w:val="00EC7750"/>
    <w:rsid w:val="00EC79EA"/>
    <w:rsid w:val="00ED04B3"/>
    <w:rsid w:val="00ED0AD2"/>
    <w:rsid w:val="00ED0E48"/>
    <w:rsid w:val="00ED16DD"/>
    <w:rsid w:val="00ED20D3"/>
    <w:rsid w:val="00ED20E2"/>
    <w:rsid w:val="00ED21E1"/>
    <w:rsid w:val="00ED22A3"/>
    <w:rsid w:val="00ED2F02"/>
    <w:rsid w:val="00ED3D1A"/>
    <w:rsid w:val="00ED4858"/>
    <w:rsid w:val="00ED57DC"/>
    <w:rsid w:val="00ED5B66"/>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D5F"/>
    <w:rsid w:val="00EE1DC3"/>
    <w:rsid w:val="00EE21F2"/>
    <w:rsid w:val="00EE35C6"/>
    <w:rsid w:val="00EE3632"/>
    <w:rsid w:val="00EE368C"/>
    <w:rsid w:val="00EE41D9"/>
    <w:rsid w:val="00EE4673"/>
    <w:rsid w:val="00EE5755"/>
    <w:rsid w:val="00EE6710"/>
    <w:rsid w:val="00EE75DB"/>
    <w:rsid w:val="00EE7C1C"/>
    <w:rsid w:val="00EF0187"/>
    <w:rsid w:val="00EF0456"/>
    <w:rsid w:val="00EF06D1"/>
    <w:rsid w:val="00EF07B1"/>
    <w:rsid w:val="00EF0BB6"/>
    <w:rsid w:val="00EF0DA4"/>
    <w:rsid w:val="00EF10E9"/>
    <w:rsid w:val="00EF1816"/>
    <w:rsid w:val="00EF22D8"/>
    <w:rsid w:val="00EF2320"/>
    <w:rsid w:val="00EF2480"/>
    <w:rsid w:val="00EF253D"/>
    <w:rsid w:val="00EF26D7"/>
    <w:rsid w:val="00EF26EC"/>
    <w:rsid w:val="00EF2A49"/>
    <w:rsid w:val="00EF2DBE"/>
    <w:rsid w:val="00EF3D04"/>
    <w:rsid w:val="00EF3D80"/>
    <w:rsid w:val="00EF3F3C"/>
    <w:rsid w:val="00EF410B"/>
    <w:rsid w:val="00EF41DA"/>
    <w:rsid w:val="00EF45CA"/>
    <w:rsid w:val="00EF4A60"/>
    <w:rsid w:val="00EF551D"/>
    <w:rsid w:val="00EF5AA8"/>
    <w:rsid w:val="00EF5EED"/>
    <w:rsid w:val="00EF6357"/>
    <w:rsid w:val="00EF658E"/>
    <w:rsid w:val="00EF6811"/>
    <w:rsid w:val="00EF6E1A"/>
    <w:rsid w:val="00EF6E6C"/>
    <w:rsid w:val="00EF6F1B"/>
    <w:rsid w:val="00EF6F42"/>
    <w:rsid w:val="00EF78DC"/>
    <w:rsid w:val="00EF79FA"/>
    <w:rsid w:val="00EF7EA6"/>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E74"/>
    <w:rsid w:val="00F042F3"/>
    <w:rsid w:val="00F0438C"/>
    <w:rsid w:val="00F04703"/>
    <w:rsid w:val="00F04E82"/>
    <w:rsid w:val="00F0537E"/>
    <w:rsid w:val="00F05543"/>
    <w:rsid w:val="00F057E1"/>
    <w:rsid w:val="00F05831"/>
    <w:rsid w:val="00F05A99"/>
    <w:rsid w:val="00F062B3"/>
    <w:rsid w:val="00F064A2"/>
    <w:rsid w:val="00F06744"/>
    <w:rsid w:val="00F072E0"/>
    <w:rsid w:val="00F07433"/>
    <w:rsid w:val="00F0769E"/>
    <w:rsid w:val="00F10F9E"/>
    <w:rsid w:val="00F11011"/>
    <w:rsid w:val="00F11081"/>
    <w:rsid w:val="00F1112F"/>
    <w:rsid w:val="00F111E2"/>
    <w:rsid w:val="00F11392"/>
    <w:rsid w:val="00F117B0"/>
    <w:rsid w:val="00F11D3B"/>
    <w:rsid w:val="00F11ECE"/>
    <w:rsid w:val="00F1200B"/>
    <w:rsid w:val="00F123C8"/>
    <w:rsid w:val="00F12E78"/>
    <w:rsid w:val="00F14603"/>
    <w:rsid w:val="00F15330"/>
    <w:rsid w:val="00F154C8"/>
    <w:rsid w:val="00F1574D"/>
    <w:rsid w:val="00F1587F"/>
    <w:rsid w:val="00F15F98"/>
    <w:rsid w:val="00F160CF"/>
    <w:rsid w:val="00F16407"/>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BD"/>
    <w:rsid w:val="00F24111"/>
    <w:rsid w:val="00F24186"/>
    <w:rsid w:val="00F24374"/>
    <w:rsid w:val="00F24A47"/>
    <w:rsid w:val="00F251CD"/>
    <w:rsid w:val="00F2541D"/>
    <w:rsid w:val="00F25428"/>
    <w:rsid w:val="00F255D2"/>
    <w:rsid w:val="00F260C9"/>
    <w:rsid w:val="00F26CCB"/>
    <w:rsid w:val="00F26CED"/>
    <w:rsid w:val="00F26EB6"/>
    <w:rsid w:val="00F27814"/>
    <w:rsid w:val="00F301C3"/>
    <w:rsid w:val="00F306C2"/>
    <w:rsid w:val="00F307FD"/>
    <w:rsid w:val="00F30DA5"/>
    <w:rsid w:val="00F31350"/>
    <w:rsid w:val="00F3178D"/>
    <w:rsid w:val="00F317E7"/>
    <w:rsid w:val="00F31973"/>
    <w:rsid w:val="00F320C3"/>
    <w:rsid w:val="00F32219"/>
    <w:rsid w:val="00F3260D"/>
    <w:rsid w:val="00F3279F"/>
    <w:rsid w:val="00F3297B"/>
    <w:rsid w:val="00F32C94"/>
    <w:rsid w:val="00F32E74"/>
    <w:rsid w:val="00F33EFE"/>
    <w:rsid w:val="00F3461A"/>
    <w:rsid w:val="00F34CE7"/>
    <w:rsid w:val="00F35093"/>
    <w:rsid w:val="00F355E8"/>
    <w:rsid w:val="00F35A90"/>
    <w:rsid w:val="00F3615C"/>
    <w:rsid w:val="00F366E9"/>
    <w:rsid w:val="00F367FA"/>
    <w:rsid w:val="00F36C75"/>
    <w:rsid w:val="00F370DD"/>
    <w:rsid w:val="00F37735"/>
    <w:rsid w:val="00F4088B"/>
    <w:rsid w:val="00F409D3"/>
    <w:rsid w:val="00F40C4A"/>
    <w:rsid w:val="00F418FC"/>
    <w:rsid w:val="00F419EC"/>
    <w:rsid w:val="00F41E14"/>
    <w:rsid w:val="00F41E65"/>
    <w:rsid w:val="00F423D6"/>
    <w:rsid w:val="00F425AD"/>
    <w:rsid w:val="00F42AC3"/>
    <w:rsid w:val="00F42FAE"/>
    <w:rsid w:val="00F42FEB"/>
    <w:rsid w:val="00F431D3"/>
    <w:rsid w:val="00F44009"/>
    <w:rsid w:val="00F44110"/>
    <w:rsid w:val="00F44636"/>
    <w:rsid w:val="00F44B4B"/>
    <w:rsid w:val="00F44B76"/>
    <w:rsid w:val="00F44B83"/>
    <w:rsid w:val="00F44BF4"/>
    <w:rsid w:val="00F44E52"/>
    <w:rsid w:val="00F44F05"/>
    <w:rsid w:val="00F4501D"/>
    <w:rsid w:val="00F45622"/>
    <w:rsid w:val="00F45A5B"/>
    <w:rsid w:val="00F45AD4"/>
    <w:rsid w:val="00F45E4E"/>
    <w:rsid w:val="00F45F37"/>
    <w:rsid w:val="00F4683F"/>
    <w:rsid w:val="00F46D44"/>
    <w:rsid w:val="00F46DD8"/>
    <w:rsid w:val="00F47BA0"/>
    <w:rsid w:val="00F47C4B"/>
    <w:rsid w:val="00F50368"/>
    <w:rsid w:val="00F50371"/>
    <w:rsid w:val="00F509DC"/>
    <w:rsid w:val="00F51188"/>
    <w:rsid w:val="00F51B70"/>
    <w:rsid w:val="00F51DAE"/>
    <w:rsid w:val="00F51E78"/>
    <w:rsid w:val="00F5272D"/>
    <w:rsid w:val="00F53321"/>
    <w:rsid w:val="00F53403"/>
    <w:rsid w:val="00F5340A"/>
    <w:rsid w:val="00F5396A"/>
    <w:rsid w:val="00F53DA3"/>
    <w:rsid w:val="00F53DCC"/>
    <w:rsid w:val="00F53EDB"/>
    <w:rsid w:val="00F54016"/>
    <w:rsid w:val="00F5490C"/>
    <w:rsid w:val="00F54CAB"/>
    <w:rsid w:val="00F54DC1"/>
    <w:rsid w:val="00F5525B"/>
    <w:rsid w:val="00F55322"/>
    <w:rsid w:val="00F55361"/>
    <w:rsid w:val="00F55412"/>
    <w:rsid w:val="00F5549F"/>
    <w:rsid w:val="00F55A5C"/>
    <w:rsid w:val="00F55AE6"/>
    <w:rsid w:val="00F55B9E"/>
    <w:rsid w:val="00F560F7"/>
    <w:rsid w:val="00F56862"/>
    <w:rsid w:val="00F56A5C"/>
    <w:rsid w:val="00F56C72"/>
    <w:rsid w:val="00F57BE6"/>
    <w:rsid w:val="00F60335"/>
    <w:rsid w:val="00F60989"/>
    <w:rsid w:val="00F609C4"/>
    <w:rsid w:val="00F6188C"/>
    <w:rsid w:val="00F61A2D"/>
    <w:rsid w:val="00F61B17"/>
    <w:rsid w:val="00F62374"/>
    <w:rsid w:val="00F627E4"/>
    <w:rsid w:val="00F62906"/>
    <w:rsid w:val="00F62A7A"/>
    <w:rsid w:val="00F63250"/>
    <w:rsid w:val="00F632E7"/>
    <w:rsid w:val="00F6371E"/>
    <w:rsid w:val="00F637A0"/>
    <w:rsid w:val="00F63B54"/>
    <w:rsid w:val="00F63BF0"/>
    <w:rsid w:val="00F64222"/>
    <w:rsid w:val="00F642C8"/>
    <w:rsid w:val="00F64B5B"/>
    <w:rsid w:val="00F64E25"/>
    <w:rsid w:val="00F652D5"/>
    <w:rsid w:val="00F655D0"/>
    <w:rsid w:val="00F65691"/>
    <w:rsid w:val="00F6622A"/>
    <w:rsid w:val="00F66251"/>
    <w:rsid w:val="00F66590"/>
    <w:rsid w:val="00F6687B"/>
    <w:rsid w:val="00F66FE3"/>
    <w:rsid w:val="00F67827"/>
    <w:rsid w:val="00F67A2D"/>
    <w:rsid w:val="00F67BF1"/>
    <w:rsid w:val="00F67C54"/>
    <w:rsid w:val="00F70095"/>
    <w:rsid w:val="00F70A23"/>
    <w:rsid w:val="00F71661"/>
    <w:rsid w:val="00F72031"/>
    <w:rsid w:val="00F7215D"/>
    <w:rsid w:val="00F72261"/>
    <w:rsid w:val="00F72288"/>
    <w:rsid w:val="00F72E13"/>
    <w:rsid w:val="00F733FE"/>
    <w:rsid w:val="00F73731"/>
    <w:rsid w:val="00F73CAB"/>
    <w:rsid w:val="00F74099"/>
    <w:rsid w:val="00F7453E"/>
    <w:rsid w:val="00F74CA4"/>
    <w:rsid w:val="00F754FA"/>
    <w:rsid w:val="00F75672"/>
    <w:rsid w:val="00F75DF4"/>
    <w:rsid w:val="00F7605B"/>
    <w:rsid w:val="00F76668"/>
    <w:rsid w:val="00F76974"/>
    <w:rsid w:val="00F76FDD"/>
    <w:rsid w:val="00F7733B"/>
    <w:rsid w:val="00F77654"/>
    <w:rsid w:val="00F77746"/>
    <w:rsid w:val="00F77B23"/>
    <w:rsid w:val="00F80C37"/>
    <w:rsid w:val="00F81256"/>
    <w:rsid w:val="00F81462"/>
    <w:rsid w:val="00F8147B"/>
    <w:rsid w:val="00F81563"/>
    <w:rsid w:val="00F81ADC"/>
    <w:rsid w:val="00F81D85"/>
    <w:rsid w:val="00F8201E"/>
    <w:rsid w:val="00F82430"/>
    <w:rsid w:val="00F82506"/>
    <w:rsid w:val="00F82763"/>
    <w:rsid w:val="00F827E5"/>
    <w:rsid w:val="00F82E4A"/>
    <w:rsid w:val="00F8385D"/>
    <w:rsid w:val="00F8426F"/>
    <w:rsid w:val="00F849F7"/>
    <w:rsid w:val="00F84F4F"/>
    <w:rsid w:val="00F851AF"/>
    <w:rsid w:val="00F8534F"/>
    <w:rsid w:val="00F8553E"/>
    <w:rsid w:val="00F85F20"/>
    <w:rsid w:val="00F862B7"/>
    <w:rsid w:val="00F86AA6"/>
    <w:rsid w:val="00F86BD2"/>
    <w:rsid w:val="00F870FD"/>
    <w:rsid w:val="00F872A3"/>
    <w:rsid w:val="00F8753E"/>
    <w:rsid w:val="00F87960"/>
    <w:rsid w:val="00F87CE2"/>
    <w:rsid w:val="00F90D93"/>
    <w:rsid w:val="00F91B11"/>
    <w:rsid w:val="00F91D50"/>
    <w:rsid w:val="00F926B6"/>
    <w:rsid w:val="00F932A9"/>
    <w:rsid w:val="00F93A1C"/>
    <w:rsid w:val="00F93FFC"/>
    <w:rsid w:val="00F94127"/>
    <w:rsid w:val="00F9445B"/>
    <w:rsid w:val="00F94EF2"/>
    <w:rsid w:val="00F95216"/>
    <w:rsid w:val="00F953BD"/>
    <w:rsid w:val="00F95609"/>
    <w:rsid w:val="00F95A1F"/>
    <w:rsid w:val="00F95D16"/>
    <w:rsid w:val="00F95DFF"/>
    <w:rsid w:val="00F95F37"/>
    <w:rsid w:val="00F96308"/>
    <w:rsid w:val="00F9690D"/>
    <w:rsid w:val="00F96984"/>
    <w:rsid w:val="00F96D9C"/>
    <w:rsid w:val="00F973AF"/>
    <w:rsid w:val="00F978E1"/>
    <w:rsid w:val="00F97B76"/>
    <w:rsid w:val="00F97BB7"/>
    <w:rsid w:val="00F97CD2"/>
    <w:rsid w:val="00F97E15"/>
    <w:rsid w:val="00FA0496"/>
    <w:rsid w:val="00FA0780"/>
    <w:rsid w:val="00FA0B5E"/>
    <w:rsid w:val="00FA1CAA"/>
    <w:rsid w:val="00FA1CED"/>
    <w:rsid w:val="00FA3120"/>
    <w:rsid w:val="00FA3578"/>
    <w:rsid w:val="00FA372B"/>
    <w:rsid w:val="00FA3B22"/>
    <w:rsid w:val="00FA44F4"/>
    <w:rsid w:val="00FA5762"/>
    <w:rsid w:val="00FA5BCB"/>
    <w:rsid w:val="00FA62E1"/>
    <w:rsid w:val="00FA6AC6"/>
    <w:rsid w:val="00FA6D4B"/>
    <w:rsid w:val="00FA6EE7"/>
    <w:rsid w:val="00FA6EF2"/>
    <w:rsid w:val="00FA72D0"/>
    <w:rsid w:val="00FA7451"/>
    <w:rsid w:val="00FA796D"/>
    <w:rsid w:val="00FB09F4"/>
    <w:rsid w:val="00FB0C59"/>
    <w:rsid w:val="00FB12FA"/>
    <w:rsid w:val="00FB135C"/>
    <w:rsid w:val="00FB1F66"/>
    <w:rsid w:val="00FB22E2"/>
    <w:rsid w:val="00FB2A92"/>
    <w:rsid w:val="00FB2C42"/>
    <w:rsid w:val="00FB2F77"/>
    <w:rsid w:val="00FB329B"/>
    <w:rsid w:val="00FB42D0"/>
    <w:rsid w:val="00FB448E"/>
    <w:rsid w:val="00FB45A9"/>
    <w:rsid w:val="00FB4753"/>
    <w:rsid w:val="00FB4EFF"/>
    <w:rsid w:val="00FB55F6"/>
    <w:rsid w:val="00FB5937"/>
    <w:rsid w:val="00FB5BD9"/>
    <w:rsid w:val="00FB6E91"/>
    <w:rsid w:val="00FB71A0"/>
    <w:rsid w:val="00FB7388"/>
    <w:rsid w:val="00FB7646"/>
    <w:rsid w:val="00FB7BFF"/>
    <w:rsid w:val="00FB7C32"/>
    <w:rsid w:val="00FB7E8D"/>
    <w:rsid w:val="00FC01FB"/>
    <w:rsid w:val="00FC025D"/>
    <w:rsid w:val="00FC0513"/>
    <w:rsid w:val="00FC078E"/>
    <w:rsid w:val="00FC114C"/>
    <w:rsid w:val="00FC15FD"/>
    <w:rsid w:val="00FC1BEB"/>
    <w:rsid w:val="00FC2013"/>
    <w:rsid w:val="00FC2529"/>
    <w:rsid w:val="00FC2693"/>
    <w:rsid w:val="00FC2FC5"/>
    <w:rsid w:val="00FC356D"/>
    <w:rsid w:val="00FC36A9"/>
    <w:rsid w:val="00FC38ED"/>
    <w:rsid w:val="00FC3FAB"/>
    <w:rsid w:val="00FC4C6B"/>
    <w:rsid w:val="00FC4EEF"/>
    <w:rsid w:val="00FC585C"/>
    <w:rsid w:val="00FC5A1D"/>
    <w:rsid w:val="00FC5EEA"/>
    <w:rsid w:val="00FC5FC3"/>
    <w:rsid w:val="00FC6175"/>
    <w:rsid w:val="00FC62C7"/>
    <w:rsid w:val="00FC6851"/>
    <w:rsid w:val="00FC6896"/>
    <w:rsid w:val="00FC6C23"/>
    <w:rsid w:val="00FC6D10"/>
    <w:rsid w:val="00FC7243"/>
    <w:rsid w:val="00FC743C"/>
    <w:rsid w:val="00FC7682"/>
    <w:rsid w:val="00FD0405"/>
    <w:rsid w:val="00FD0600"/>
    <w:rsid w:val="00FD089A"/>
    <w:rsid w:val="00FD0A9C"/>
    <w:rsid w:val="00FD0D74"/>
    <w:rsid w:val="00FD1287"/>
    <w:rsid w:val="00FD16D5"/>
    <w:rsid w:val="00FD1BA7"/>
    <w:rsid w:val="00FD23E7"/>
    <w:rsid w:val="00FD2EC0"/>
    <w:rsid w:val="00FD2FFE"/>
    <w:rsid w:val="00FD3510"/>
    <w:rsid w:val="00FD3C23"/>
    <w:rsid w:val="00FD40CB"/>
    <w:rsid w:val="00FD456A"/>
    <w:rsid w:val="00FD4D5B"/>
    <w:rsid w:val="00FD4D86"/>
    <w:rsid w:val="00FD4F94"/>
    <w:rsid w:val="00FD5229"/>
    <w:rsid w:val="00FD54FD"/>
    <w:rsid w:val="00FD56CB"/>
    <w:rsid w:val="00FD5760"/>
    <w:rsid w:val="00FD589D"/>
    <w:rsid w:val="00FD5C97"/>
    <w:rsid w:val="00FD6285"/>
    <w:rsid w:val="00FD6952"/>
    <w:rsid w:val="00FD6C16"/>
    <w:rsid w:val="00FD6EBB"/>
    <w:rsid w:val="00FE02A1"/>
    <w:rsid w:val="00FE0321"/>
    <w:rsid w:val="00FE0849"/>
    <w:rsid w:val="00FE0C9F"/>
    <w:rsid w:val="00FE1183"/>
    <w:rsid w:val="00FE1502"/>
    <w:rsid w:val="00FE1643"/>
    <w:rsid w:val="00FE1D1C"/>
    <w:rsid w:val="00FE1EA1"/>
    <w:rsid w:val="00FE200B"/>
    <w:rsid w:val="00FE20D5"/>
    <w:rsid w:val="00FE243B"/>
    <w:rsid w:val="00FE2A9D"/>
    <w:rsid w:val="00FE2B06"/>
    <w:rsid w:val="00FE33B6"/>
    <w:rsid w:val="00FE377B"/>
    <w:rsid w:val="00FE388A"/>
    <w:rsid w:val="00FE3A8B"/>
    <w:rsid w:val="00FE3D82"/>
    <w:rsid w:val="00FE4661"/>
    <w:rsid w:val="00FE47BA"/>
    <w:rsid w:val="00FE48F6"/>
    <w:rsid w:val="00FE4DC8"/>
    <w:rsid w:val="00FE4E1F"/>
    <w:rsid w:val="00FE5F31"/>
    <w:rsid w:val="00FE661A"/>
    <w:rsid w:val="00FE6E5B"/>
    <w:rsid w:val="00FE728C"/>
    <w:rsid w:val="00FE72C8"/>
    <w:rsid w:val="00FE72E8"/>
    <w:rsid w:val="00FF00B3"/>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EE8"/>
    <w:rsid w:val="00FF517C"/>
    <w:rsid w:val="00FF53C3"/>
    <w:rsid w:val="00FF5A92"/>
    <w:rsid w:val="00FF6044"/>
    <w:rsid w:val="00FF6706"/>
    <w:rsid w:val="00FF68F6"/>
    <w:rsid w:val="00FF69C5"/>
    <w:rsid w:val="00FF6AC7"/>
    <w:rsid w:val="00FF6B60"/>
    <w:rsid w:val="00FF6B6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uiPriority w:val="99"/>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uiPriority w:val="99"/>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
    <w:basedOn w:val="Normal"/>
    <w:link w:val="BulletChar"/>
    <w:rsid w:val="004D4273"/>
    <w:pPr>
      <w:ind w:left="283" w:hanging="283"/>
    </w:pPr>
  </w:style>
  <w:style w:type="character" w:customStyle="1" w:styleId="BulletChar">
    <w:name w:val="Bullet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uiPriority w:val="99"/>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uiPriority w:val="99"/>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uiPriority w:val="99"/>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uiPriority w:val="99"/>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SecurityClassificationHeader">
    <w:name w:val="Security Classification Header"/>
    <w:link w:val="SecurityClassificationHeaderChar"/>
    <w:rsid w:val="009C2C49"/>
    <w:pPr>
      <w:spacing w:after="240"/>
      <w:jc w:val="center"/>
    </w:pPr>
    <w:rPr>
      <w:rFonts w:ascii="Tahoma" w:hAnsi="Tahoma"/>
      <w:b/>
      <w:caps/>
      <w:sz w:val="24"/>
      <w:szCs w:val="24"/>
      <w:lang w:eastAsia="en-US"/>
    </w:rPr>
  </w:style>
  <w:style w:type="character" w:customStyle="1" w:styleId="SecurityClassificationHeaderChar">
    <w:name w:val="Security Classification Header Char"/>
    <w:basedOn w:val="HeaderChar"/>
    <w:link w:val="SecurityClassificationHeader"/>
    <w:rsid w:val="009C2C49"/>
    <w:rPr>
      <w:rFonts w:ascii="Tahoma" w:hAnsi="Tahoma"/>
      <w:b/>
      <w:caps/>
      <w:sz w:val="24"/>
      <w:szCs w:val="24"/>
      <w:lang w:eastAsia="en-US"/>
    </w:rPr>
  </w:style>
  <w:style w:type="paragraph" w:customStyle="1" w:styleId="SecurityClassificationFooter">
    <w:name w:val="Security Classification Footer"/>
    <w:link w:val="SecurityClassificationFooterChar"/>
    <w:rsid w:val="009C2C49"/>
    <w:pPr>
      <w:spacing w:before="240"/>
      <w:jc w:val="center"/>
    </w:pPr>
    <w:rPr>
      <w:rFonts w:ascii="Tahoma" w:hAnsi="Tahoma"/>
      <w:b/>
      <w:caps/>
      <w:sz w:val="24"/>
      <w:szCs w:val="24"/>
      <w:lang w:eastAsia="en-US"/>
    </w:rPr>
  </w:style>
  <w:style w:type="character" w:customStyle="1" w:styleId="SecurityClassificationFooterChar">
    <w:name w:val="Security Classification Footer Char"/>
    <w:basedOn w:val="HeaderChar"/>
    <w:link w:val="SecurityClassificationFooter"/>
    <w:rsid w:val="009C2C49"/>
    <w:rPr>
      <w:rFonts w:ascii="Tahoma" w:hAnsi="Tahoma"/>
      <w:b/>
      <w:cap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9.e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6.xml"/><Relationship Id="rId42"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8.emf"/><Relationship Id="rId33" Type="http://schemas.openxmlformats.org/officeDocument/2006/relationships/header" Target="header7.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image" Target="media/image13.emf"/><Relationship Id="rId37" Type="http://schemas.openxmlformats.org/officeDocument/2006/relationships/header" Target="header8.xml"/><Relationship Id="rId40" Type="http://schemas.openxmlformats.org/officeDocument/2006/relationships/hyperlink" Target="file:///\\remus\indiv$\JEO\TRIM5\Offline%20Records%20(PO)\INTERNATIONAL%20ECONOMIC%20AFFAIRS%20-%20FORECASTING%20-%20JOINT%20ECONOMIC%20FORECASTING%20GROUP%20(JEFG)%20&amp;%20~%202010\DAT%20-%20World%20-%20GDP%20-%20IED%20-%20Forecasts%20-%20MYEFO%20Oct%2009%20final%20-%20RS%20-%20091026.xls"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4.emf"/><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5.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E6CC4D-09A2-43FF-BC53-F28F79BA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8140</Words>
  <Characters>46401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Joint Economic Forecasting Group Report - March 2011</vt:lpstr>
    </vt:vector>
  </TitlesOfParts>
  <Manager/>
  <Company/>
  <LinksUpToDate>false</LinksUpToDate>
  <CharactersWithSpaces>54433</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Economic Forecasting Group Report - March 2011</dc:title>
  <dc:subject/>
  <dc:creator/>
  <cp:keywords/>
  <cp:lastModifiedBy/>
  <cp:revision>1</cp:revision>
  <dcterms:created xsi:type="dcterms:W3CDTF">2015-02-11T22:28:00Z</dcterms:created>
  <dcterms:modified xsi:type="dcterms:W3CDTF">2015-02-11T22:28:00Z</dcterms:modified>
</cp:coreProperties>
</file>