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39E" w:rsidRDefault="00E3639E" w:rsidP="00E3639E">
      <w:pPr>
        <w:pStyle w:val="CoverTitleSub"/>
        <w:rPr>
          <w:rFonts w:cs="Calibri"/>
          <w:szCs w:val="36"/>
        </w:rPr>
      </w:pPr>
      <w:bookmarkStart w:id="0" w:name="_Toc327799254"/>
      <w:bookmarkStart w:id="1" w:name="_GoBack"/>
      <w:bookmarkEnd w:id="1"/>
    </w:p>
    <w:p w:rsidR="00E3639E" w:rsidRDefault="00E3639E" w:rsidP="00E3639E">
      <w:pPr>
        <w:pStyle w:val="CoverTitleSub"/>
        <w:rPr>
          <w:rFonts w:cs="Calibri"/>
          <w:szCs w:val="36"/>
        </w:rPr>
      </w:pPr>
    </w:p>
    <w:p w:rsidR="00E3639E" w:rsidRDefault="00E3639E" w:rsidP="00E3639E">
      <w:pPr>
        <w:pStyle w:val="CoverTitleSub"/>
        <w:rPr>
          <w:rFonts w:cs="Calibri"/>
          <w:szCs w:val="36"/>
        </w:rPr>
      </w:pPr>
    </w:p>
    <w:p w:rsidR="00E3639E" w:rsidRDefault="00E3639E" w:rsidP="00E3639E">
      <w:pPr>
        <w:pStyle w:val="CoverTitleSub"/>
        <w:rPr>
          <w:rFonts w:cs="Calibri"/>
          <w:szCs w:val="36"/>
        </w:rPr>
      </w:pPr>
    </w:p>
    <w:p w:rsidR="00E3639E" w:rsidRDefault="00E3639E" w:rsidP="00E3639E">
      <w:pPr>
        <w:pStyle w:val="CoverTitleSub"/>
        <w:rPr>
          <w:rFonts w:cs="Calibri"/>
          <w:szCs w:val="36"/>
        </w:rPr>
      </w:pPr>
    </w:p>
    <w:p w:rsidR="00E3639E" w:rsidRDefault="00E3639E" w:rsidP="00E3639E">
      <w:pPr>
        <w:pStyle w:val="CoverTitleSub"/>
        <w:ind w:left="-1400" w:right="-1418"/>
      </w:pPr>
      <w:r>
        <w:rPr>
          <w:noProof/>
        </w:rPr>
        <mc:AlternateContent>
          <mc:Choice Requires="wps">
            <w:drawing>
              <wp:inline distT="0" distB="0" distL="0" distR="0" wp14:anchorId="0FB6ECC6" wp14:editId="0FB6ECC7">
                <wp:extent cx="7560310" cy="2286000"/>
                <wp:effectExtent l="0" t="0" r="254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286000"/>
                        </a:xfrm>
                        <a:prstGeom prst="rect">
                          <a:avLst/>
                        </a:prstGeom>
                        <a:gradFill rotWithShape="1">
                          <a:gsLst>
                            <a:gs pos="0">
                              <a:srgbClr val="342E82"/>
                            </a:gs>
                            <a:gs pos="100000">
                              <a:srgbClr val="342E82">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DBF" w:rsidRDefault="008E7DBF" w:rsidP="00E3639E">
                            <w:pPr>
                              <w:jc w:val="right"/>
                              <w:rPr>
                                <w:rFonts w:cs="Calibri"/>
                                <w:sz w:val="48"/>
                                <w:szCs w:val="48"/>
                              </w:rPr>
                            </w:pPr>
                          </w:p>
                          <w:p w:rsidR="008E7DBF" w:rsidRPr="007D6BF4" w:rsidRDefault="008E7DBF" w:rsidP="007D6BF4">
                            <w:pPr>
                              <w:spacing w:before="240" w:line="360" w:lineRule="auto"/>
                              <w:jc w:val="right"/>
                              <w:rPr>
                                <w:color w:val="FFFFFF"/>
                                <w:sz w:val="64"/>
                                <w:szCs w:val="64"/>
                              </w:rPr>
                            </w:pPr>
                            <w:r w:rsidRPr="007D6BF4">
                              <w:rPr>
                                <w:color w:val="FFFFFF"/>
                                <w:sz w:val="64"/>
                                <w:szCs w:val="64"/>
                              </w:rPr>
                              <w:t>Removing the tax advantages available to multiple entry consolidated groups</w:t>
                            </w:r>
                          </w:p>
                          <w:p w:rsidR="008E7DBF" w:rsidRDefault="008E7DBF" w:rsidP="00E3639E">
                            <w:pPr>
                              <w:jc w:val="right"/>
                              <w:rPr>
                                <w:rFonts w:cs="Calibri"/>
                                <w:b/>
                                <w:sz w:val="48"/>
                                <w:szCs w:val="48"/>
                              </w:rPr>
                            </w:pPr>
                          </w:p>
                        </w:txbxContent>
                      </wps:txbx>
                      <wps:bodyPr rot="0" vert="horz" wrap="square" lIns="91440" tIns="45720" rIns="90000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595.3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" fillcolor="#342e82" stroked="f">
                <v:fill color2="#18153c" rotate="t" focus="100%" type="gradient"/>
                <v:textbox inset=",,25mm">
                  <w:txbxContent>
                    <w:p w:rsidR="008E7DBF" w:rsidRDefault="008E7DBF" w:rsidP="00E3639E">
                      <w:pPr>
                        <w:jc w:val="right"/>
                        <w:rPr>
                          <w:rFonts w:cs="Calibri"/>
                          <w:sz w:val="48"/>
                          <w:szCs w:val="48"/>
                        </w:rPr>
                      </w:pPr>
                    </w:p>
                    <w:p w:rsidR="008E7DBF" w:rsidRPr="007D6BF4" w:rsidRDefault="008E7DBF" w:rsidP="007D6BF4">
                      <w:pPr>
                        <w:spacing w:before="240" w:line="360" w:lineRule="auto"/>
                        <w:jc w:val="right"/>
                        <w:rPr>
                          <w:color w:val="FFFFFF"/>
                          <w:sz w:val="64"/>
                          <w:szCs w:val="64"/>
                        </w:rPr>
                      </w:pPr>
                      <w:r w:rsidRPr="007D6BF4">
                        <w:rPr>
                          <w:color w:val="FFFFFF"/>
                          <w:sz w:val="64"/>
                          <w:szCs w:val="64"/>
                        </w:rPr>
                        <w:t>Removing the tax advantages available to multiple entry consolidated groups</w:t>
                      </w:r>
                    </w:p>
                    <w:p w:rsidR="008E7DBF" w:rsidRDefault="008E7DBF" w:rsidP="00E3639E">
                      <w:pPr>
                        <w:jc w:val="right"/>
                        <w:rPr>
                          <w:rFonts w:cs="Calibri"/>
                          <w:b/>
                          <w:sz w:val="48"/>
                          <w:szCs w:val="48"/>
                        </w:rPr>
                      </w:pPr>
                    </w:p>
                  </w:txbxContent>
                </v:textbox>
                <w10:anchorlock/>
              </v:shape>
            </w:pict>
          </mc:Fallback>
        </mc:AlternateContent>
      </w:r>
    </w:p>
    <w:p w:rsidR="00592C93" w:rsidRDefault="0040345A" w:rsidP="00626C5A">
      <w:pPr>
        <w:pStyle w:val="CoverTitleSub"/>
      </w:pPr>
      <w:r>
        <w:rPr>
          <w:rFonts w:cs="Calibri"/>
        </w:rPr>
        <w:t>Issues</w:t>
      </w:r>
      <w:r w:rsidR="00E3639E">
        <w:rPr>
          <w:rFonts w:cs="Calibri"/>
        </w:rPr>
        <w:t xml:space="preserve"> Paper</w:t>
      </w:r>
      <w:r w:rsidR="00E3639E">
        <w:rPr>
          <w:rFonts w:cs="Calibri"/>
        </w:rPr>
        <w:br/>
      </w:r>
      <w:r w:rsidR="00651679">
        <w:t>May</w:t>
      </w:r>
      <w:r w:rsidR="00E3639E">
        <w:t xml:space="preserve"> 2013</w:t>
      </w:r>
    </w:p>
    <w:p w:rsidR="00592C93" w:rsidRDefault="00592C93" w:rsidP="00592C93">
      <w:pPr>
        <w:pStyle w:val="CoverTitleSub"/>
        <w:jc w:val="left"/>
      </w:pPr>
    </w:p>
    <w:p w:rsidR="00A951C0" w:rsidRDefault="00A951C0" w:rsidP="00A951C0">
      <w:pPr>
        <w:sectPr w:rsidR="00A951C0" w:rsidSect="008E7DBF">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20"/>
          <w:titlePg/>
          <w:docGrid w:linePitch="299"/>
        </w:sectPr>
      </w:pPr>
    </w:p>
    <w:p w:rsidR="00A951C0" w:rsidRDefault="00A951C0" w:rsidP="00A951C0">
      <w:r w:rsidRPr="00661BF0">
        <w:lastRenderedPageBreak/>
        <w:t xml:space="preserve">© Commonwealth of Australia </w:t>
      </w:r>
      <w:r>
        <w:t>2013</w:t>
      </w:r>
    </w:p>
    <w:p w:rsidR="00A951C0" w:rsidRPr="00464A16" w:rsidRDefault="00A951C0" w:rsidP="00A951C0">
      <w:r w:rsidRPr="00464A16">
        <w:t xml:space="preserve">ISBN </w:t>
      </w:r>
      <w:r w:rsidR="008E7DBF" w:rsidRPr="008E7DBF">
        <w:t>978-0-642-74906-2</w:t>
      </w:r>
    </w:p>
    <w:p w:rsidR="00A951C0" w:rsidRPr="00086F82" w:rsidRDefault="00A951C0" w:rsidP="00A951C0">
      <w:pPr>
        <w:tabs>
          <w:tab w:val="left" w:pos="1650"/>
        </w:tabs>
        <w:spacing w:before="100" w:beforeAutospacing="1" w:after="100" w:afterAutospacing="1"/>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4"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t>.</w:t>
      </w:r>
      <w:r w:rsidRPr="002F1BC2">
        <w:t xml:space="preserve"> The full licence terms are available from</w:t>
      </w:r>
      <w:r w:rsidRPr="00476F09">
        <w:rPr>
          <w:rStyle w:val="A5"/>
          <w:rFonts w:cstheme="minorHAnsi"/>
          <w:sz w:val="24"/>
          <w:szCs w:val="24"/>
        </w:rPr>
        <w:t xml:space="preserve"> </w:t>
      </w:r>
      <w:hyperlink r:id="rId15" w:history="1">
        <w:r w:rsidRPr="006627B4">
          <w:rPr>
            <w:rStyle w:val="Hyperlink"/>
          </w:rPr>
          <w:t>http://creativecommons.org/licenses/by/3.0/au/legalcode</w:t>
        </w:r>
      </w:hyperlink>
      <w:r w:rsidRPr="006627B4">
        <w:rPr>
          <w:rStyle w:val="Hyperlink"/>
        </w:rPr>
        <w:t>.</w:t>
      </w:r>
      <w:r w:rsidRPr="00D06A21">
        <w:rPr>
          <w:sz w:val="24"/>
          <w:szCs w:val="24"/>
        </w:rPr>
        <w:t xml:space="preserve"> </w:t>
      </w:r>
    </w:p>
    <w:p w:rsidR="00A951C0" w:rsidRDefault="00A951C0" w:rsidP="00A951C0">
      <w:pPr>
        <w:tabs>
          <w:tab w:val="left" w:pos="1650"/>
        </w:tabs>
        <w:spacing w:before="100" w:beforeAutospacing="1" w:after="100" w:afterAutospacing="1"/>
        <w:rPr>
          <w:rFonts w:cstheme="minorHAnsi"/>
          <w:sz w:val="24"/>
          <w:szCs w:val="24"/>
        </w:rPr>
      </w:pPr>
      <w:r w:rsidRPr="00E56DFB">
        <w:rPr>
          <w:rFonts w:cstheme="minorHAnsi"/>
          <w:noProof/>
          <w:sz w:val="24"/>
          <w:szCs w:val="24"/>
        </w:rPr>
        <w:drawing>
          <wp:anchor distT="0" distB="0" distL="114300" distR="114300" simplePos="0" relativeHeight="251660288" behindDoc="1" locked="0" layoutInCell="1" allowOverlap="1" wp14:anchorId="0FB6ECC8" wp14:editId="6CA1AF99">
            <wp:simplePos x="0" y="0"/>
            <wp:positionH relativeFrom="column">
              <wp:posOffset>19050</wp:posOffset>
            </wp:positionH>
            <wp:positionV relativeFrom="paragraph">
              <wp:posOffset>34925</wp:posOffset>
            </wp:positionV>
            <wp:extent cx="809625" cy="285750"/>
            <wp:effectExtent l="0" t="0" r="9525" b="0"/>
            <wp:wrapTight wrapText="bothSides">
              <wp:wrapPolygon edited="0">
                <wp:start x="0" y="0"/>
                <wp:lineTo x="0" y="20160"/>
                <wp:lineTo x="21346" y="20160"/>
                <wp:lineTo x="21346" y="0"/>
                <wp:lineTo x="0" y="0"/>
              </wp:wrapPolygon>
            </wp:wrapTight>
            <wp:docPr id="4"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51C0" w:rsidRPr="006627B4" w:rsidRDefault="00A951C0" w:rsidP="00A951C0">
      <w:pPr>
        <w:tabs>
          <w:tab w:val="left" w:pos="1650"/>
        </w:tabs>
        <w:spacing w:before="100" w:beforeAutospacing="1" w:after="100" w:afterAutospacing="1"/>
      </w:pPr>
      <w:r w:rsidRPr="006627B4">
        <w:t>Use of Treasury material under a</w:t>
      </w:r>
      <w:r w:rsidRPr="00476F09">
        <w:rPr>
          <w:rFonts w:cstheme="minorHAnsi"/>
          <w:sz w:val="24"/>
          <w:szCs w:val="24"/>
        </w:rPr>
        <w:t xml:space="preserve"> </w:t>
      </w:r>
      <w:hyperlink r:id="rId17"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rsidR="00A951C0" w:rsidRPr="002F1BC2" w:rsidRDefault="00A951C0" w:rsidP="00A951C0">
      <w:pPr>
        <w:rPr>
          <w:i/>
        </w:rPr>
      </w:pPr>
      <w:proofErr w:type="gramStart"/>
      <w:r w:rsidRPr="002F1BC2">
        <w:rPr>
          <w:i/>
        </w:rPr>
        <w:t xml:space="preserve">Treasury material used </w:t>
      </w:r>
      <w:r w:rsidR="00626C5A">
        <w:rPr>
          <w:i/>
        </w:rPr>
        <w:t>‘</w:t>
      </w:r>
      <w:r w:rsidRPr="002F1BC2">
        <w:rPr>
          <w:i/>
        </w:rPr>
        <w:t>as supplied</w:t>
      </w:r>
      <w:r w:rsidR="00626C5A">
        <w:rPr>
          <w:i/>
        </w:rPr>
        <w:t>’.</w:t>
      </w:r>
      <w:proofErr w:type="gramEnd"/>
    </w:p>
    <w:p w:rsidR="00A951C0" w:rsidRPr="00476F09" w:rsidRDefault="00A951C0" w:rsidP="00A951C0">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rsidR="00A951C0" w:rsidRPr="00A13A11" w:rsidRDefault="00A951C0" w:rsidP="00A951C0">
      <w:pPr>
        <w:ind w:firstLine="720"/>
      </w:pPr>
      <w:r w:rsidRPr="002F1BC2">
        <w:rPr>
          <w:i/>
        </w:rPr>
        <w:t xml:space="preserve">Source: The </w:t>
      </w:r>
      <w:r w:rsidRPr="002F1BC2">
        <w:rPr>
          <w:i/>
          <w:iCs/>
        </w:rPr>
        <w:t>Aus</w:t>
      </w:r>
      <w:r w:rsidR="00626C5A">
        <w:rPr>
          <w:i/>
          <w:iCs/>
        </w:rPr>
        <w:t>tralian Government the Treasury.</w:t>
      </w:r>
    </w:p>
    <w:p w:rsidR="00A951C0" w:rsidRPr="00A951C0" w:rsidRDefault="00A951C0" w:rsidP="00A951C0">
      <w:pPr>
        <w:rPr>
          <w:i/>
        </w:rPr>
      </w:pPr>
      <w:r w:rsidRPr="00A951C0">
        <w:rPr>
          <w:i/>
        </w:rPr>
        <w:t>Derivative material</w:t>
      </w:r>
    </w:p>
    <w:p w:rsidR="00A951C0" w:rsidRPr="006627B4" w:rsidRDefault="00A951C0" w:rsidP="00A951C0">
      <w:r w:rsidRPr="006627B4">
        <w:t xml:space="preserve">If you have modified or transformed Treasury material, or derived new material from those of the Treasury in any way, then Treasury prefers the following attribution: </w:t>
      </w:r>
    </w:p>
    <w:p w:rsidR="00A951C0" w:rsidRPr="006627B4" w:rsidRDefault="00A951C0" w:rsidP="00A951C0">
      <w:pPr>
        <w:ind w:firstLine="720"/>
      </w:pPr>
      <w:proofErr w:type="gramStart"/>
      <w:r w:rsidRPr="002F1BC2">
        <w:rPr>
          <w:i/>
        </w:rPr>
        <w:t>Based on The Australian Government the Treasury data</w:t>
      </w:r>
      <w:r w:rsidR="00626C5A">
        <w:t>.</w:t>
      </w:r>
      <w:proofErr w:type="gramEnd"/>
    </w:p>
    <w:p w:rsidR="00A951C0" w:rsidRPr="006627B4" w:rsidRDefault="00A951C0" w:rsidP="00A951C0">
      <w:pPr>
        <w:spacing w:after="40"/>
        <w:rPr>
          <w:b/>
        </w:rPr>
      </w:pPr>
      <w:r w:rsidRPr="006627B4">
        <w:rPr>
          <w:b/>
        </w:rPr>
        <w:t>Use of the Coat of Arms</w:t>
      </w:r>
    </w:p>
    <w:p w:rsidR="00A951C0" w:rsidRPr="006627B4" w:rsidRDefault="00A951C0" w:rsidP="00A951C0">
      <w:r w:rsidRPr="006627B4">
        <w:t xml:space="preserve">The terms under which the Coat of Arms can be used are set out on the It’s an Honour website (see </w:t>
      </w:r>
      <w:hyperlink r:id="rId18" w:history="1">
        <w:r w:rsidRPr="006627B4">
          <w:t>www.itsanhonour.gov.au</w:t>
        </w:r>
      </w:hyperlink>
      <w:r w:rsidRPr="006627B4">
        <w:t>)</w:t>
      </w:r>
      <w:r w:rsidR="00626C5A">
        <w:t>.</w:t>
      </w:r>
    </w:p>
    <w:p w:rsidR="00A951C0" w:rsidRPr="006627B4" w:rsidRDefault="00A951C0" w:rsidP="00A951C0">
      <w:pPr>
        <w:spacing w:after="40"/>
        <w:rPr>
          <w:b/>
        </w:rPr>
      </w:pPr>
      <w:r w:rsidRPr="006627B4">
        <w:rPr>
          <w:b/>
        </w:rPr>
        <w:t>Other Uses</w:t>
      </w:r>
    </w:p>
    <w:p w:rsidR="00A951C0" w:rsidRPr="006627B4" w:rsidRDefault="00A951C0" w:rsidP="00A951C0">
      <w:r w:rsidRPr="006627B4">
        <w:t>Inquiries regarding this licence and any other use of this document are welcome at:</w:t>
      </w:r>
    </w:p>
    <w:p w:rsidR="00A951C0" w:rsidRPr="006627B4" w:rsidRDefault="00A951C0" w:rsidP="00A951C0">
      <w:pPr>
        <w:spacing w:after="0"/>
        <w:ind w:left="720"/>
      </w:pPr>
      <w:r w:rsidRPr="006627B4">
        <w:t>Manager</w:t>
      </w:r>
    </w:p>
    <w:p w:rsidR="00A951C0" w:rsidRPr="006627B4" w:rsidRDefault="00A951C0" w:rsidP="00A951C0">
      <w:pPr>
        <w:spacing w:after="0"/>
        <w:ind w:left="720"/>
      </w:pPr>
      <w:r w:rsidRPr="006627B4">
        <w:t xml:space="preserve">Communications </w:t>
      </w:r>
    </w:p>
    <w:p w:rsidR="00A951C0" w:rsidRPr="006627B4" w:rsidRDefault="00A951C0" w:rsidP="00A951C0">
      <w:pPr>
        <w:spacing w:after="0"/>
        <w:ind w:left="720"/>
      </w:pPr>
      <w:r w:rsidRPr="006627B4">
        <w:t>The Treasury</w:t>
      </w:r>
    </w:p>
    <w:p w:rsidR="00A951C0" w:rsidRPr="006627B4" w:rsidRDefault="00A951C0" w:rsidP="00A951C0">
      <w:pPr>
        <w:spacing w:after="0"/>
        <w:ind w:left="720"/>
      </w:pPr>
      <w:r w:rsidRPr="006627B4">
        <w:t>Langton Crescent Parkes</w:t>
      </w:r>
      <w:proofErr w:type="gramStart"/>
      <w:r w:rsidR="00626C5A">
        <w:t>  </w:t>
      </w:r>
      <w:r w:rsidRPr="006627B4">
        <w:t>ACT</w:t>
      </w:r>
      <w:proofErr w:type="gramEnd"/>
      <w:r w:rsidR="00626C5A">
        <w:t>  </w:t>
      </w:r>
      <w:r w:rsidRPr="006627B4">
        <w:t>2600</w:t>
      </w:r>
    </w:p>
    <w:p w:rsidR="00A951C0" w:rsidRPr="002F1BC2" w:rsidRDefault="00A951C0" w:rsidP="00A951C0">
      <w:pPr>
        <w:spacing w:after="0"/>
        <w:ind w:left="720"/>
        <w:rPr>
          <w:rStyle w:val="Hyperlink"/>
        </w:rPr>
      </w:pPr>
      <w:r w:rsidRPr="006627B4">
        <w:t xml:space="preserve">Email: </w:t>
      </w:r>
      <w:hyperlink r:id="rId19" w:history="1">
        <w:r w:rsidRPr="00573329">
          <w:rPr>
            <w:rStyle w:val="Hyperlink"/>
          </w:rPr>
          <w:t>medialiaison@treasury.gov.au</w:t>
        </w:r>
      </w:hyperlink>
    </w:p>
    <w:p w:rsidR="00A951C0" w:rsidRDefault="00A951C0" w:rsidP="00A951C0"/>
    <w:p w:rsidR="00A951C0" w:rsidRPr="00592C93" w:rsidRDefault="00A951C0" w:rsidP="00A951C0">
      <w:pPr>
        <w:sectPr w:rsidR="00A951C0" w:rsidRPr="00592C93" w:rsidSect="00490EE6">
          <w:footerReference w:type="default" r:id="rId20"/>
          <w:pgSz w:w="11906" w:h="16838"/>
          <w:pgMar w:top="1440" w:right="1440" w:bottom="1440" w:left="1440" w:header="708" w:footer="708" w:gutter="0"/>
          <w:cols w:space="708"/>
          <w:docGrid w:linePitch="360"/>
        </w:sectPr>
      </w:pPr>
    </w:p>
    <w:p w:rsidR="00A951C0" w:rsidRDefault="00385CB9" w:rsidP="00A951C0">
      <w:pPr>
        <w:pStyle w:val="Heading2NotNumbered"/>
      </w:pPr>
      <w:r>
        <w:lastRenderedPageBreak/>
        <w:t>About this paper</w:t>
      </w:r>
    </w:p>
    <w:p w:rsidR="003075F9" w:rsidRPr="003075F9" w:rsidRDefault="003075F9" w:rsidP="003075F9">
      <w:r>
        <w:t>This paper outlines the process for developing the implementation details of the Government’s announced policy to remove the tax advantages available to multiple entry consolidated groups.</w:t>
      </w:r>
    </w:p>
    <w:p w:rsidR="00A951C0" w:rsidRDefault="00020F12" w:rsidP="00020F12">
      <w:pPr>
        <w:pStyle w:val="Heading2NotNumbered"/>
      </w:pPr>
      <w:r>
        <w:t>Further information</w:t>
      </w:r>
    </w:p>
    <w:tbl>
      <w:tblPr>
        <w:tblW w:w="0" w:type="auto"/>
        <w:tblLook w:val="01E0" w:firstRow="1" w:lastRow="1" w:firstColumn="1" w:lastColumn="1" w:noHBand="0" w:noVBand="0"/>
      </w:tblPr>
      <w:tblGrid>
        <w:gridCol w:w="1663"/>
        <w:gridCol w:w="7579"/>
      </w:tblGrid>
      <w:tr w:rsidR="00A951C0" w:rsidRPr="00BF69AE" w:rsidTr="00494333">
        <w:tc>
          <w:tcPr>
            <w:tcW w:w="1663" w:type="dxa"/>
          </w:tcPr>
          <w:p w:rsidR="00A951C0" w:rsidRPr="00BF69AE" w:rsidRDefault="00A951C0" w:rsidP="008E7DBF">
            <w:r w:rsidRPr="00BF69AE">
              <w:t>Mail:</w:t>
            </w:r>
          </w:p>
        </w:tc>
        <w:tc>
          <w:tcPr>
            <w:tcW w:w="7579" w:type="dxa"/>
          </w:tcPr>
          <w:p w:rsidR="00A951C0" w:rsidRPr="005421BB" w:rsidRDefault="00A951C0" w:rsidP="008E7DBF">
            <w:pPr>
              <w:spacing w:after="0"/>
            </w:pPr>
            <w:r w:rsidRPr="005421BB">
              <w:t>Manager</w:t>
            </w:r>
          </w:p>
          <w:p w:rsidR="00A951C0" w:rsidRPr="005421BB" w:rsidRDefault="00A951C0" w:rsidP="008E7DBF">
            <w:pPr>
              <w:spacing w:after="0"/>
            </w:pPr>
            <w:r w:rsidRPr="005421BB">
              <w:t xml:space="preserve">Corporate Tax </w:t>
            </w:r>
            <w:r w:rsidR="0074250D">
              <w:t>Unit</w:t>
            </w:r>
          </w:p>
          <w:p w:rsidR="00A951C0" w:rsidRPr="005421BB" w:rsidRDefault="00A951C0" w:rsidP="008E7DBF">
            <w:pPr>
              <w:spacing w:after="0"/>
            </w:pPr>
            <w:r w:rsidRPr="005421BB">
              <w:t>The Treasury</w:t>
            </w:r>
          </w:p>
          <w:p w:rsidR="00A951C0" w:rsidRPr="005421BB" w:rsidRDefault="00A951C0" w:rsidP="008E7DBF">
            <w:pPr>
              <w:spacing w:after="0"/>
            </w:pPr>
            <w:smartTag w:uri="urn:schemas-microsoft-com:office:smarttags" w:element="address">
              <w:smartTag w:uri="urn:schemas-microsoft-com:office:smarttags" w:element="Street">
                <w:r w:rsidRPr="005421BB">
                  <w:t>Langton Crescent</w:t>
                </w:r>
              </w:smartTag>
            </w:smartTag>
          </w:p>
          <w:p w:rsidR="00A951C0" w:rsidRPr="005421BB" w:rsidRDefault="00A951C0" w:rsidP="004A275F">
            <w:r w:rsidRPr="005421BB">
              <w:t>PARKES</w:t>
            </w:r>
            <w:r w:rsidR="004A275F">
              <w:t>  </w:t>
            </w:r>
            <w:r w:rsidRPr="005421BB">
              <w:t>ACT</w:t>
            </w:r>
            <w:r w:rsidR="004A275F">
              <w:t>  </w:t>
            </w:r>
            <w:r w:rsidRPr="005421BB">
              <w:t>2600</w:t>
            </w:r>
          </w:p>
        </w:tc>
      </w:tr>
      <w:tr w:rsidR="00AE478E" w:rsidRPr="00BF69AE" w:rsidTr="00494333">
        <w:tc>
          <w:tcPr>
            <w:tcW w:w="1663" w:type="dxa"/>
          </w:tcPr>
          <w:p w:rsidR="00AE478E" w:rsidRPr="00BF69AE" w:rsidRDefault="00AE478E" w:rsidP="008E7DBF">
            <w:r>
              <w:t>Email:</w:t>
            </w:r>
          </w:p>
        </w:tc>
        <w:tc>
          <w:tcPr>
            <w:tcW w:w="7579" w:type="dxa"/>
          </w:tcPr>
          <w:p w:rsidR="00AE478E" w:rsidRPr="005421BB" w:rsidRDefault="00AF4BA3" w:rsidP="008E7DBF">
            <w:pPr>
              <w:spacing w:after="0"/>
            </w:pPr>
            <w:hyperlink r:id="rId21" w:history="1">
              <w:r w:rsidR="00AE478E" w:rsidRPr="00392AE1">
                <w:rPr>
                  <w:rStyle w:val="Hyperlink"/>
                </w:rPr>
                <w:t>MECgroupreview@treasury.gov.au</w:t>
              </w:r>
            </w:hyperlink>
          </w:p>
        </w:tc>
      </w:tr>
      <w:tr w:rsidR="00A951C0" w:rsidRPr="00BF69AE" w:rsidTr="00494333">
        <w:tc>
          <w:tcPr>
            <w:tcW w:w="1663" w:type="dxa"/>
          </w:tcPr>
          <w:p w:rsidR="00A951C0" w:rsidRPr="00BF69AE" w:rsidRDefault="00A951C0" w:rsidP="008E7DBF">
            <w:r w:rsidRPr="00BF69AE">
              <w:t>Enquiries:</w:t>
            </w:r>
          </w:p>
        </w:tc>
        <w:tc>
          <w:tcPr>
            <w:tcW w:w="7579" w:type="dxa"/>
          </w:tcPr>
          <w:p w:rsidR="00A951C0" w:rsidRPr="005421BB" w:rsidRDefault="00A951C0" w:rsidP="00AE478E">
            <w:r w:rsidRPr="005421BB">
              <w:t>Enquiries can initially be directed to Chris Lyon</w:t>
            </w:r>
            <w:r w:rsidR="00AE478E">
              <w:t xml:space="preserve"> </w:t>
            </w:r>
          </w:p>
        </w:tc>
      </w:tr>
      <w:tr w:rsidR="00A951C0" w:rsidRPr="00BF69AE" w:rsidTr="00494333">
        <w:tc>
          <w:tcPr>
            <w:tcW w:w="1663" w:type="dxa"/>
          </w:tcPr>
          <w:p w:rsidR="00A951C0" w:rsidRDefault="00A951C0" w:rsidP="008E7DBF">
            <w:pPr>
              <w:rPr>
                <w:rFonts w:cs="Arial"/>
              </w:rPr>
            </w:pPr>
            <w:r w:rsidRPr="00BF69AE">
              <w:rPr>
                <w:rFonts w:cs="Arial"/>
              </w:rPr>
              <w:t>Phone:</w:t>
            </w:r>
          </w:p>
        </w:tc>
        <w:tc>
          <w:tcPr>
            <w:tcW w:w="7579" w:type="dxa"/>
          </w:tcPr>
          <w:p w:rsidR="00A951C0" w:rsidRPr="005421BB" w:rsidRDefault="00A951C0" w:rsidP="008E7DBF">
            <w:pPr>
              <w:rPr>
                <w:rFonts w:cs="Arial"/>
              </w:rPr>
            </w:pPr>
            <w:r w:rsidRPr="005421BB">
              <w:rPr>
                <w:rFonts w:cs="Arial"/>
              </w:rPr>
              <w:t>02 6263 3102</w:t>
            </w:r>
          </w:p>
        </w:tc>
      </w:tr>
    </w:tbl>
    <w:p w:rsidR="00A951C0" w:rsidRDefault="00A951C0" w:rsidP="00A951C0"/>
    <w:p w:rsidR="00A951C0" w:rsidRDefault="00A951C0" w:rsidP="00A951C0">
      <w:pPr>
        <w:sectPr w:rsidR="00A951C0" w:rsidSect="008E7DBF">
          <w:footerReference w:type="default" r:id="rId22"/>
          <w:pgSz w:w="11906" w:h="16838" w:code="9"/>
          <w:pgMar w:top="1440" w:right="1440" w:bottom="1440" w:left="1440" w:header="709" w:footer="709" w:gutter="0"/>
          <w:pgNumType w:fmt="lowerRoman"/>
          <w:cols w:space="708"/>
          <w:docGrid w:linePitch="360"/>
        </w:sectPr>
      </w:pPr>
    </w:p>
    <w:bookmarkEnd w:id="0"/>
    <w:p w:rsidR="000151FB" w:rsidRDefault="000151FB" w:rsidP="000151FB">
      <w:pPr>
        <w:pStyle w:val="ContentsHeading"/>
      </w:pPr>
      <w:r>
        <w:rPr>
          <w:rFonts w:cs="Calibri"/>
        </w:rPr>
        <w:t>Contents</w:t>
      </w:r>
    </w:p>
    <w:p w:rsidR="004A275F" w:rsidRDefault="000151FB">
      <w:pPr>
        <w:pStyle w:val="TOC1"/>
        <w:rPr>
          <w:rFonts w:asciiTheme="minorHAnsi" w:eastAsiaTheme="minorEastAsia" w:hAnsiTheme="minorHAnsi" w:cstheme="minorBidi"/>
          <w:b w:val="0"/>
          <w:smallCaps w:val="0"/>
          <w:noProof/>
          <w:color w:val="auto"/>
        </w:rPr>
      </w:pPr>
      <w:r>
        <w:fldChar w:fldCharType="begin"/>
      </w:r>
      <w:r>
        <w:instrText xml:space="preserve"> TOC \o "1-2" \t "Heading 1 Not Numbered,1" </w:instrText>
      </w:r>
      <w:r>
        <w:fldChar w:fldCharType="separate"/>
      </w:r>
      <w:r w:rsidR="004A275F" w:rsidRPr="00F13504">
        <w:rPr>
          <w:rFonts w:cs="Calibri"/>
          <w:noProof/>
        </w:rPr>
        <w:t>Foreword</w:t>
      </w:r>
      <w:r w:rsidR="004A275F">
        <w:rPr>
          <w:noProof/>
        </w:rPr>
        <w:tab/>
      </w:r>
      <w:r w:rsidR="004A275F">
        <w:rPr>
          <w:noProof/>
        </w:rPr>
        <w:fldChar w:fldCharType="begin"/>
      </w:r>
      <w:r w:rsidR="004A275F">
        <w:rPr>
          <w:noProof/>
        </w:rPr>
        <w:instrText xml:space="preserve"> PAGEREF _Toc356288804 \h </w:instrText>
      </w:r>
      <w:r w:rsidR="004A275F">
        <w:rPr>
          <w:noProof/>
        </w:rPr>
      </w:r>
      <w:r w:rsidR="004A275F">
        <w:rPr>
          <w:noProof/>
        </w:rPr>
        <w:fldChar w:fldCharType="separate"/>
      </w:r>
      <w:r w:rsidR="004A275F">
        <w:rPr>
          <w:noProof/>
        </w:rPr>
        <w:t>v</w:t>
      </w:r>
      <w:r w:rsidR="004A275F">
        <w:rPr>
          <w:noProof/>
        </w:rPr>
        <w:fldChar w:fldCharType="end"/>
      </w:r>
    </w:p>
    <w:p w:rsidR="004A275F" w:rsidRDefault="004A275F">
      <w:pPr>
        <w:pStyle w:val="TOC1"/>
        <w:rPr>
          <w:rFonts w:asciiTheme="minorHAnsi" w:eastAsiaTheme="minorEastAsia" w:hAnsiTheme="minorHAnsi" w:cstheme="minorBidi"/>
          <w:b w:val="0"/>
          <w:smallCaps w:val="0"/>
          <w:noProof/>
          <w:color w:val="auto"/>
        </w:rPr>
      </w:pPr>
      <w:r>
        <w:rPr>
          <w:noProof/>
        </w:rPr>
        <w:t>Removing the tax advantages available to multiple entry consolidated groups</w:t>
      </w:r>
      <w:r>
        <w:rPr>
          <w:noProof/>
        </w:rPr>
        <w:tab/>
      </w:r>
      <w:r>
        <w:rPr>
          <w:noProof/>
        </w:rPr>
        <w:fldChar w:fldCharType="begin"/>
      </w:r>
      <w:r>
        <w:rPr>
          <w:noProof/>
        </w:rPr>
        <w:instrText xml:space="preserve"> PAGEREF _Toc356288805 \h </w:instrText>
      </w:r>
      <w:r>
        <w:rPr>
          <w:noProof/>
        </w:rPr>
      </w:r>
      <w:r>
        <w:rPr>
          <w:noProof/>
        </w:rPr>
        <w:fldChar w:fldCharType="separate"/>
      </w:r>
      <w:r>
        <w:rPr>
          <w:noProof/>
        </w:rPr>
        <w:t>1</w:t>
      </w:r>
      <w:r>
        <w:rPr>
          <w:noProof/>
        </w:rPr>
        <w:fldChar w:fldCharType="end"/>
      </w:r>
    </w:p>
    <w:p w:rsidR="004A275F" w:rsidRDefault="004A275F">
      <w:pPr>
        <w:pStyle w:val="TOC1"/>
        <w:rPr>
          <w:rFonts w:asciiTheme="minorHAnsi" w:eastAsiaTheme="minorEastAsia" w:hAnsiTheme="minorHAnsi" w:cstheme="minorBidi"/>
          <w:b w:val="0"/>
          <w:smallCaps w:val="0"/>
          <w:noProof/>
          <w:color w:val="auto"/>
        </w:rPr>
      </w:pPr>
      <w:r w:rsidRPr="00F13504">
        <w:rPr>
          <w:rFonts w:ascii="Arial" w:hAnsi="Arial"/>
          <w:noProof/>
        </w:rPr>
        <w:t>1.</w:t>
      </w:r>
      <w:r>
        <w:rPr>
          <w:rFonts w:asciiTheme="minorHAnsi" w:eastAsiaTheme="minorEastAsia" w:hAnsiTheme="minorHAnsi" w:cstheme="minorBidi"/>
          <w:b w:val="0"/>
          <w:smallCaps w:val="0"/>
          <w:noProof/>
          <w:color w:val="auto"/>
        </w:rPr>
        <w:tab/>
      </w:r>
      <w:r>
        <w:rPr>
          <w:noProof/>
        </w:rPr>
        <w:t>Overview</w:t>
      </w:r>
      <w:r>
        <w:rPr>
          <w:noProof/>
        </w:rPr>
        <w:tab/>
      </w:r>
      <w:r>
        <w:rPr>
          <w:noProof/>
        </w:rPr>
        <w:fldChar w:fldCharType="begin"/>
      </w:r>
      <w:r>
        <w:rPr>
          <w:noProof/>
        </w:rPr>
        <w:instrText xml:space="preserve"> PAGEREF _Toc356288806 \h </w:instrText>
      </w:r>
      <w:r>
        <w:rPr>
          <w:noProof/>
        </w:rPr>
      </w:r>
      <w:r>
        <w:rPr>
          <w:noProof/>
        </w:rPr>
        <w:fldChar w:fldCharType="separate"/>
      </w:r>
      <w:r>
        <w:rPr>
          <w:noProof/>
        </w:rPr>
        <w:t>1</w:t>
      </w:r>
      <w:r>
        <w:rPr>
          <w:noProof/>
        </w:rPr>
        <w:fldChar w:fldCharType="end"/>
      </w:r>
    </w:p>
    <w:p w:rsidR="004A275F" w:rsidRDefault="004A275F">
      <w:pPr>
        <w:pStyle w:val="TOC1"/>
        <w:rPr>
          <w:rFonts w:asciiTheme="minorHAnsi" w:eastAsiaTheme="minorEastAsia" w:hAnsiTheme="minorHAnsi" w:cstheme="minorBidi"/>
          <w:b w:val="0"/>
          <w:smallCaps w:val="0"/>
          <w:noProof/>
          <w:color w:val="auto"/>
        </w:rPr>
      </w:pPr>
      <w:r w:rsidRPr="00F13504">
        <w:rPr>
          <w:rFonts w:ascii="Arial" w:hAnsi="Arial"/>
          <w:noProof/>
        </w:rPr>
        <w:t>2.</w:t>
      </w:r>
      <w:r>
        <w:rPr>
          <w:rFonts w:asciiTheme="minorHAnsi" w:eastAsiaTheme="minorEastAsia" w:hAnsiTheme="minorHAnsi" w:cstheme="minorBidi"/>
          <w:b w:val="0"/>
          <w:smallCaps w:val="0"/>
          <w:noProof/>
          <w:color w:val="auto"/>
        </w:rPr>
        <w:tab/>
      </w:r>
      <w:r>
        <w:rPr>
          <w:noProof/>
        </w:rPr>
        <w:t>Review process</w:t>
      </w:r>
      <w:r>
        <w:rPr>
          <w:noProof/>
        </w:rPr>
        <w:tab/>
      </w:r>
      <w:r>
        <w:rPr>
          <w:noProof/>
        </w:rPr>
        <w:fldChar w:fldCharType="begin"/>
      </w:r>
      <w:r>
        <w:rPr>
          <w:noProof/>
        </w:rPr>
        <w:instrText xml:space="preserve"> PAGEREF _Toc356288807 \h </w:instrText>
      </w:r>
      <w:r>
        <w:rPr>
          <w:noProof/>
        </w:rPr>
      </w:r>
      <w:r>
        <w:rPr>
          <w:noProof/>
        </w:rPr>
        <w:fldChar w:fldCharType="separate"/>
      </w:r>
      <w:r>
        <w:rPr>
          <w:noProof/>
        </w:rPr>
        <w:t>1</w:t>
      </w:r>
      <w:r>
        <w:rPr>
          <w:noProof/>
        </w:rPr>
        <w:fldChar w:fldCharType="end"/>
      </w:r>
    </w:p>
    <w:p w:rsidR="004A275F" w:rsidRDefault="004A275F">
      <w:pPr>
        <w:pStyle w:val="TOC2"/>
        <w:rPr>
          <w:rFonts w:asciiTheme="minorHAnsi" w:eastAsiaTheme="minorEastAsia" w:hAnsiTheme="minorHAnsi" w:cstheme="minorBidi"/>
          <w:noProof/>
          <w:color w:val="auto"/>
          <w:sz w:val="22"/>
          <w:szCs w:val="22"/>
        </w:rPr>
      </w:pPr>
      <w:r w:rsidRPr="00F13504">
        <w:rPr>
          <w:rFonts w:ascii="Arial" w:hAnsi="Arial"/>
          <w:noProof/>
        </w:rPr>
        <w:t>2.1</w:t>
      </w:r>
      <w:r>
        <w:rPr>
          <w:rFonts w:asciiTheme="minorHAnsi" w:eastAsiaTheme="minorEastAsia" w:hAnsiTheme="minorHAnsi" w:cstheme="minorBidi"/>
          <w:noProof/>
          <w:color w:val="auto"/>
          <w:sz w:val="22"/>
          <w:szCs w:val="22"/>
        </w:rPr>
        <w:tab/>
      </w:r>
      <w:r>
        <w:rPr>
          <w:noProof/>
        </w:rPr>
        <w:t>Membership of the tripartite working group</w:t>
      </w:r>
      <w:r>
        <w:rPr>
          <w:noProof/>
        </w:rPr>
        <w:tab/>
      </w:r>
      <w:r>
        <w:rPr>
          <w:noProof/>
        </w:rPr>
        <w:fldChar w:fldCharType="begin"/>
      </w:r>
      <w:r>
        <w:rPr>
          <w:noProof/>
        </w:rPr>
        <w:instrText xml:space="preserve"> PAGEREF _Toc356288808 \h </w:instrText>
      </w:r>
      <w:r>
        <w:rPr>
          <w:noProof/>
        </w:rPr>
      </w:r>
      <w:r>
        <w:rPr>
          <w:noProof/>
        </w:rPr>
        <w:fldChar w:fldCharType="separate"/>
      </w:r>
      <w:r>
        <w:rPr>
          <w:noProof/>
        </w:rPr>
        <w:t>1</w:t>
      </w:r>
      <w:r>
        <w:rPr>
          <w:noProof/>
        </w:rPr>
        <w:fldChar w:fldCharType="end"/>
      </w:r>
    </w:p>
    <w:p w:rsidR="004A275F" w:rsidRDefault="004A275F">
      <w:pPr>
        <w:pStyle w:val="TOC2"/>
        <w:rPr>
          <w:rFonts w:asciiTheme="minorHAnsi" w:eastAsiaTheme="minorEastAsia" w:hAnsiTheme="minorHAnsi" w:cstheme="minorBidi"/>
          <w:noProof/>
          <w:color w:val="auto"/>
          <w:sz w:val="22"/>
          <w:szCs w:val="22"/>
        </w:rPr>
      </w:pPr>
      <w:r w:rsidRPr="00F13504">
        <w:rPr>
          <w:rFonts w:ascii="Arial" w:hAnsi="Arial"/>
          <w:noProof/>
        </w:rPr>
        <w:t>2.2</w:t>
      </w:r>
      <w:r>
        <w:rPr>
          <w:rFonts w:asciiTheme="minorHAnsi" w:eastAsiaTheme="minorEastAsia" w:hAnsiTheme="minorHAnsi" w:cstheme="minorBidi"/>
          <w:noProof/>
          <w:color w:val="auto"/>
          <w:sz w:val="22"/>
          <w:szCs w:val="22"/>
        </w:rPr>
        <w:tab/>
      </w:r>
      <w:r>
        <w:rPr>
          <w:noProof/>
        </w:rPr>
        <w:t>Indicative timeline</w:t>
      </w:r>
      <w:r>
        <w:rPr>
          <w:noProof/>
        </w:rPr>
        <w:tab/>
      </w:r>
      <w:r>
        <w:rPr>
          <w:noProof/>
        </w:rPr>
        <w:fldChar w:fldCharType="begin"/>
      </w:r>
      <w:r>
        <w:rPr>
          <w:noProof/>
        </w:rPr>
        <w:instrText xml:space="preserve"> PAGEREF _Toc356288809 \h </w:instrText>
      </w:r>
      <w:r>
        <w:rPr>
          <w:noProof/>
        </w:rPr>
      </w:r>
      <w:r>
        <w:rPr>
          <w:noProof/>
        </w:rPr>
        <w:fldChar w:fldCharType="separate"/>
      </w:r>
      <w:r>
        <w:rPr>
          <w:noProof/>
        </w:rPr>
        <w:t>1</w:t>
      </w:r>
      <w:r>
        <w:rPr>
          <w:noProof/>
        </w:rPr>
        <w:fldChar w:fldCharType="end"/>
      </w:r>
    </w:p>
    <w:p w:rsidR="004A275F" w:rsidRDefault="004A275F">
      <w:pPr>
        <w:pStyle w:val="TOC1"/>
        <w:rPr>
          <w:rFonts w:asciiTheme="minorHAnsi" w:eastAsiaTheme="minorEastAsia" w:hAnsiTheme="minorHAnsi" w:cstheme="minorBidi"/>
          <w:b w:val="0"/>
          <w:smallCaps w:val="0"/>
          <w:noProof/>
          <w:color w:val="auto"/>
        </w:rPr>
      </w:pPr>
      <w:r w:rsidRPr="00F13504">
        <w:rPr>
          <w:rFonts w:ascii="Arial" w:hAnsi="Arial"/>
          <w:noProof/>
        </w:rPr>
        <w:t>3.</w:t>
      </w:r>
      <w:r>
        <w:rPr>
          <w:rFonts w:asciiTheme="minorHAnsi" w:eastAsiaTheme="minorEastAsia" w:hAnsiTheme="minorHAnsi" w:cstheme="minorBidi"/>
          <w:b w:val="0"/>
          <w:smallCaps w:val="0"/>
          <w:noProof/>
          <w:color w:val="auto"/>
        </w:rPr>
        <w:tab/>
      </w:r>
      <w:r>
        <w:rPr>
          <w:noProof/>
        </w:rPr>
        <w:t>Terms of reference</w:t>
      </w:r>
      <w:r>
        <w:rPr>
          <w:noProof/>
        </w:rPr>
        <w:tab/>
      </w:r>
      <w:r>
        <w:rPr>
          <w:noProof/>
        </w:rPr>
        <w:fldChar w:fldCharType="begin"/>
      </w:r>
      <w:r>
        <w:rPr>
          <w:noProof/>
        </w:rPr>
        <w:instrText xml:space="preserve"> PAGEREF _Toc356288810 \h </w:instrText>
      </w:r>
      <w:r>
        <w:rPr>
          <w:noProof/>
        </w:rPr>
      </w:r>
      <w:r>
        <w:rPr>
          <w:noProof/>
        </w:rPr>
        <w:fldChar w:fldCharType="separate"/>
      </w:r>
      <w:r>
        <w:rPr>
          <w:noProof/>
        </w:rPr>
        <w:t>2</w:t>
      </w:r>
      <w:r>
        <w:rPr>
          <w:noProof/>
        </w:rPr>
        <w:fldChar w:fldCharType="end"/>
      </w:r>
    </w:p>
    <w:p w:rsidR="004A275F" w:rsidRDefault="004A275F">
      <w:pPr>
        <w:pStyle w:val="TOC1"/>
        <w:rPr>
          <w:rFonts w:asciiTheme="minorHAnsi" w:eastAsiaTheme="minorEastAsia" w:hAnsiTheme="minorHAnsi" w:cstheme="minorBidi"/>
          <w:b w:val="0"/>
          <w:smallCaps w:val="0"/>
          <w:noProof/>
          <w:color w:val="auto"/>
        </w:rPr>
      </w:pPr>
      <w:r w:rsidRPr="00F13504">
        <w:rPr>
          <w:rFonts w:ascii="Arial" w:hAnsi="Arial"/>
          <w:noProof/>
        </w:rPr>
        <w:t>4.</w:t>
      </w:r>
      <w:r>
        <w:rPr>
          <w:rFonts w:asciiTheme="minorHAnsi" w:eastAsiaTheme="minorEastAsia" w:hAnsiTheme="minorHAnsi" w:cstheme="minorBidi"/>
          <w:b w:val="0"/>
          <w:smallCaps w:val="0"/>
          <w:noProof/>
          <w:color w:val="auto"/>
        </w:rPr>
        <w:tab/>
      </w:r>
      <w:r>
        <w:rPr>
          <w:noProof/>
        </w:rPr>
        <w:t>Policy implementation</w:t>
      </w:r>
      <w:r>
        <w:rPr>
          <w:noProof/>
        </w:rPr>
        <w:tab/>
      </w:r>
      <w:r>
        <w:rPr>
          <w:noProof/>
        </w:rPr>
        <w:fldChar w:fldCharType="begin"/>
      </w:r>
      <w:r>
        <w:rPr>
          <w:noProof/>
        </w:rPr>
        <w:instrText xml:space="preserve"> PAGEREF _Toc356288811 \h </w:instrText>
      </w:r>
      <w:r>
        <w:rPr>
          <w:noProof/>
        </w:rPr>
      </w:r>
      <w:r>
        <w:rPr>
          <w:noProof/>
        </w:rPr>
        <w:fldChar w:fldCharType="separate"/>
      </w:r>
      <w:r>
        <w:rPr>
          <w:noProof/>
        </w:rPr>
        <w:t>3</w:t>
      </w:r>
      <w:r>
        <w:rPr>
          <w:noProof/>
        </w:rPr>
        <w:fldChar w:fldCharType="end"/>
      </w:r>
    </w:p>
    <w:p w:rsidR="004A275F" w:rsidRDefault="004A275F">
      <w:pPr>
        <w:pStyle w:val="TOC1"/>
        <w:rPr>
          <w:rFonts w:asciiTheme="minorHAnsi" w:eastAsiaTheme="minorEastAsia" w:hAnsiTheme="minorHAnsi" w:cstheme="minorBidi"/>
          <w:b w:val="0"/>
          <w:smallCaps w:val="0"/>
          <w:noProof/>
          <w:color w:val="auto"/>
        </w:rPr>
      </w:pPr>
      <w:r w:rsidRPr="00F13504">
        <w:rPr>
          <w:rFonts w:ascii="Arial" w:hAnsi="Arial"/>
          <w:noProof/>
        </w:rPr>
        <w:t>5.</w:t>
      </w:r>
      <w:r>
        <w:rPr>
          <w:rFonts w:asciiTheme="minorHAnsi" w:eastAsiaTheme="minorEastAsia" w:hAnsiTheme="minorHAnsi" w:cstheme="minorBidi"/>
          <w:b w:val="0"/>
          <w:smallCaps w:val="0"/>
          <w:noProof/>
          <w:color w:val="auto"/>
        </w:rPr>
        <w:tab/>
      </w:r>
      <w:r>
        <w:rPr>
          <w:noProof/>
        </w:rPr>
        <w:t>Key issues to consider</w:t>
      </w:r>
      <w:r>
        <w:rPr>
          <w:noProof/>
        </w:rPr>
        <w:tab/>
      </w:r>
      <w:r>
        <w:rPr>
          <w:noProof/>
        </w:rPr>
        <w:fldChar w:fldCharType="begin"/>
      </w:r>
      <w:r>
        <w:rPr>
          <w:noProof/>
        </w:rPr>
        <w:instrText xml:space="preserve"> PAGEREF _Toc356288812 \h </w:instrText>
      </w:r>
      <w:r>
        <w:rPr>
          <w:noProof/>
        </w:rPr>
      </w:r>
      <w:r>
        <w:rPr>
          <w:noProof/>
        </w:rPr>
        <w:fldChar w:fldCharType="separate"/>
      </w:r>
      <w:r>
        <w:rPr>
          <w:noProof/>
        </w:rPr>
        <w:t>3</w:t>
      </w:r>
      <w:r>
        <w:rPr>
          <w:noProof/>
        </w:rPr>
        <w:fldChar w:fldCharType="end"/>
      </w:r>
    </w:p>
    <w:p w:rsidR="004A275F" w:rsidRDefault="004A275F">
      <w:pPr>
        <w:pStyle w:val="TOC2"/>
        <w:rPr>
          <w:rFonts w:asciiTheme="minorHAnsi" w:eastAsiaTheme="minorEastAsia" w:hAnsiTheme="minorHAnsi" w:cstheme="minorBidi"/>
          <w:noProof/>
          <w:color w:val="auto"/>
          <w:sz w:val="22"/>
          <w:szCs w:val="22"/>
        </w:rPr>
      </w:pPr>
      <w:r w:rsidRPr="00F13504">
        <w:rPr>
          <w:rFonts w:ascii="Arial" w:hAnsi="Arial"/>
          <w:noProof/>
        </w:rPr>
        <w:t>5.1</w:t>
      </w:r>
      <w:r>
        <w:rPr>
          <w:rFonts w:asciiTheme="minorHAnsi" w:eastAsiaTheme="minorEastAsia" w:hAnsiTheme="minorHAnsi" w:cstheme="minorBidi"/>
          <w:noProof/>
          <w:color w:val="auto"/>
          <w:sz w:val="22"/>
          <w:szCs w:val="22"/>
        </w:rPr>
        <w:tab/>
      </w:r>
      <w:r>
        <w:rPr>
          <w:noProof/>
        </w:rPr>
        <w:t>Overview of consolidation</w:t>
      </w:r>
      <w:r>
        <w:rPr>
          <w:noProof/>
        </w:rPr>
        <w:tab/>
      </w:r>
      <w:r>
        <w:rPr>
          <w:noProof/>
        </w:rPr>
        <w:fldChar w:fldCharType="begin"/>
      </w:r>
      <w:r>
        <w:rPr>
          <w:noProof/>
        </w:rPr>
        <w:instrText xml:space="preserve"> PAGEREF _Toc356288813 \h </w:instrText>
      </w:r>
      <w:r>
        <w:rPr>
          <w:noProof/>
        </w:rPr>
      </w:r>
      <w:r>
        <w:rPr>
          <w:noProof/>
        </w:rPr>
        <w:fldChar w:fldCharType="separate"/>
      </w:r>
      <w:r>
        <w:rPr>
          <w:noProof/>
        </w:rPr>
        <w:t>3</w:t>
      </w:r>
      <w:r>
        <w:rPr>
          <w:noProof/>
        </w:rPr>
        <w:fldChar w:fldCharType="end"/>
      </w:r>
    </w:p>
    <w:p w:rsidR="004A275F" w:rsidRDefault="004A275F">
      <w:pPr>
        <w:pStyle w:val="TOC2"/>
        <w:rPr>
          <w:rFonts w:asciiTheme="minorHAnsi" w:eastAsiaTheme="minorEastAsia" w:hAnsiTheme="minorHAnsi" w:cstheme="minorBidi"/>
          <w:noProof/>
          <w:color w:val="auto"/>
          <w:sz w:val="22"/>
          <w:szCs w:val="22"/>
        </w:rPr>
      </w:pPr>
      <w:r w:rsidRPr="00F13504">
        <w:rPr>
          <w:rFonts w:ascii="Arial" w:hAnsi="Arial"/>
          <w:noProof/>
        </w:rPr>
        <w:t>5.2</w:t>
      </w:r>
      <w:r>
        <w:rPr>
          <w:rFonts w:asciiTheme="minorHAnsi" w:eastAsiaTheme="minorEastAsia" w:hAnsiTheme="minorHAnsi" w:cstheme="minorBidi"/>
          <w:noProof/>
          <w:color w:val="auto"/>
          <w:sz w:val="22"/>
          <w:szCs w:val="22"/>
        </w:rPr>
        <w:tab/>
      </w:r>
      <w:r>
        <w:rPr>
          <w:noProof/>
        </w:rPr>
        <w:t>Ability to restructure some assets sales to avoid capital gains tax (cgt)</w:t>
      </w:r>
      <w:r>
        <w:rPr>
          <w:noProof/>
        </w:rPr>
        <w:tab/>
      </w:r>
      <w:r>
        <w:rPr>
          <w:noProof/>
        </w:rPr>
        <w:fldChar w:fldCharType="begin"/>
      </w:r>
      <w:r>
        <w:rPr>
          <w:noProof/>
        </w:rPr>
        <w:instrText xml:space="preserve"> PAGEREF _Toc356288814 \h </w:instrText>
      </w:r>
      <w:r>
        <w:rPr>
          <w:noProof/>
        </w:rPr>
      </w:r>
      <w:r>
        <w:rPr>
          <w:noProof/>
        </w:rPr>
        <w:fldChar w:fldCharType="separate"/>
      </w:r>
      <w:r>
        <w:rPr>
          <w:noProof/>
        </w:rPr>
        <w:t>4</w:t>
      </w:r>
      <w:r>
        <w:rPr>
          <w:noProof/>
        </w:rPr>
        <w:fldChar w:fldCharType="end"/>
      </w:r>
    </w:p>
    <w:p w:rsidR="004A275F" w:rsidRDefault="004A275F">
      <w:pPr>
        <w:pStyle w:val="TOC2"/>
        <w:rPr>
          <w:rFonts w:asciiTheme="minorHAnsi" w:eastAsiaTheme="minorEastAsia" w:hAnsiTheme="minorHAnsi" w:cstheme="minorBidi"/>
          <w:noProof/>
          <w:color w:val="auto"/>
          <w:sz w:val="22"/>
          <w:szCs w:val="22"/>
        </w:rPr>
      </w:pPr>
      <w:r w:rsidRPr="00F13504">
        <w:rPr>
          <w:rFonts w:ascii="Arial" w:hAnsi="Arial"/>
          <w:noProof/>
        </w:rPr>
        <w:t>5.3</w:t>
      </w:r>
      <w:r>
        <w:rPr>
          <w:rFonts w:asciiTheme="minorHAnsi" w:eastAsiaTheme="minorEastAsia" w:hAnsiTheme="minorHAnsi" w:cstheme="minorBidi"/>
          <w:noProof/>
          <w:color w:val="auto"/>
          <w:sz w:val="22"/>
          <w:szCs w:val="22"/>
        </w:rPr>
        <w:tab/>
      </w:r>
      <w:r>
        <w:rPr>
          <w:noProof/>
        </w:rPr>
        <w:t>Choice between retaining or resetting the cost bases of a joining entity’s assets</w:t>
      </w:r>
      <w:r>
        <w:rPr>
          <w:noProof/>
        </w:rPr>
        <w:tab/>
      </w:r>
      <w:r>
        <w:rPr>
          <w:noProof/>
        </w:rPr>
        <w:fldChar w:fldCharType="begin"/>
      </w:r>
      <w:r>
        <w:rPr>
          <w:noProof/>
        </w:rPr>
        <w:instrText xml:space="preserve"> PAGEREF _Toc356288815 \h </w:instrText>
      </w:r>
      <w:r>
        <w:rPr>
          <w:noProof/>
        </w:rPr>
      </w:r>
      <w:r>
        <w:rPr>
          <w:noProof/>
        </w:rPr>
        <w:fldChar w:fldCharType="separate"/>
      </w:r>
      <w:r>
        <w:rPr>
          <w:noProof/>
        </w:rPr>
        <w:t>5</w:t>
      </w:r>
      <w:r>
        <w:rPr>
          <w:noProof/>
        </w:rPr>
        <w:fldChar w:fldCharType="end"/>
      </w:r>
    </w:p>
    <w:p w:rsidR="004A275F" w:rsidRDefault="004A275F">
      <w:pPr>
        <w:pStyle w:val="TOC2"/>
        <w:rPr>
          <w:rFonts w:asciiTheme="minorHAnsi" w:eastAsiaTheme="minorEastAsia" w:hAnsiTheme="minorHAnsi" w:cstheme="minorBidi"/>
          <w:noProof/>
          <w:color w:val="auto"/>
          <w:sz w:val="22"/>
          <w:szCs w:val="22"/>
        </w:rPr>
      </w:pPr>
      <w:r w:rsidRPr="00F13504">
        <w:rPr>
          <w:rFonts w:ascii="Arial" w:hAnsi="Arial"/>
          <w:noProof/>
        </w:rPr>
        <w:t>5.4</w:t>
      </w:r>
      <w:r>
        <w:rPr>
          <w:rFonts w:asciiTheme="minorHAnsi" w:eastAsiaTheme="minorEastAsia" w:hAnsiTheme="minorHAnsi" w:cstheme="minorBidi"/>
          <w:noProof/>
          <w:color w:val="auto"/>
          <w:sz w:val="22"/>
          <w:szCs w:val="22"/>
        </w:rPr>
        <w:tab/>
      </w:r>
      <w:r>
        <w:rPr>
          <w:noProof/>
        </w:rPr>
        <w:t>Choice between applying the pooling method or exit cost setting method</w:t>
      </w:r>
      <w:r>
        <w:rPr>
          <w:noProof/>
        </w:rPr>
        <w:tab/>
      </w:r>
      <w:r>
        <w:rPr>
          <w:noProof/>
        </w:rPr>
        <w:fldChar w:fldCharType="begin"/>
      </w:r>
      <w:r>
        <w:rPr>
          <w:noProof/>
        </w:rPr>
        <w:instrText xml:space="preserve"> PAGEREF _Toc356288816 \h </w:instrText>
      </w:r>
      <w:r>
        <w:rPr>
          <w:noProof/>
        </w:rPr>
      </w:r>
      <w:r>
        <w:rPr>
          <w:noProof/>
        </w:rPr>
        <w:fldChar w:fldCharType="separate"/>
      </w:r>
      <w:r>
        <w:rPr>
          <w:noProof/>
        </w:rPr>
        <w:t>6</w:t>
      </w:r>
      <w:r>
        <w:rPr>
          <w:noProof/>
        </w:rPr>
        <w:fldChar w:fldCharType="end"/>
      </w:r>
    </w:p>
    <w:p w:rsidR="00592C93" w:rsidRDefault="000151FB" w:rsidP="000151FB">
      <w:r>
        <w:fldChar w:fldCharType="end"/>
      </w:r>
    </w:p>
    <w:p w:rsidR="00592C93" w:rsidRDefault="00592C93" w:rsidP="00025C06">
      <w:pPr>
        <w:sectPr w:rsidR="00592C93" w:rsidSect="004B14F0">
          <w:footerReference w:type="even" r:id="rId23"/>
          <w:footerReference w:type="default" r:id="rId24"/>
          <w:pgSz w:w="11906" w:h="16838"/>
          <w:pgMar w:top="1440" w:right="1440" w:bottom="1440" w:left="1440" w:header="708" w:footer="708" w:gutter="0"/>
          <w:pgNumType w:fmt="lowerRoman"/>
          <w:cols w:space="708"/>
          <w:docGrid w:linePitch="360"/>
        </w:sectPr>
      </w:pPr>
    </w:p>
    <w:p w:rsidR="001A1525" w:rsidRDefault="001A1525" w:rsidP="001A1525">
      <w:pPr>
        <w:pStyle w:val="Heading1NotNumbered"/>
        <w:rPr>
          <w:rFonts w:cs="Calibri"/>
        </w:rPr>
      </w:pPr>
      <w:bookmarkStart w:id="2" w:name="_Toc264378951"/>
      <w:bookmarkStart w:id="3" w:name="_Toc356288804"/>
      <w:bookmarkStart w:id="4" w:name="_Toc327799255"/>
      <w:bookmarkStart w:id="5" w:name="_Toc329686431"/>
      <w:r>
        <w:rPr>
          <w:rFonts w:cs="Calibri"/>
        </w:rPr>
        <w:t>Foreword</w:t>
      </w:r>
      <w:bookmarkEnd w:id="2"/>
      <w:bookmarkEnd w:id="3"/>
    </w:p>
    <w:p w:rsidR="001A1525" w:rsidRDefault="001A1525" w:rsidP="001A1525">
      <w:pPr>
        <w:spacing w:line="240" w:lineRule="auto"/>
      </w:pPr>
      <w:r>
        <w:rPr>
          <w:noProof/>
        </w:rPr>
        <w:drawing>
          <wp:anchor distT="0" distB="0" distL="114300" distR="114300" simplePos="0" relativeHeight="251662336" behindDoc="0" locked="0" layoutInCell="1" allowOverlap="1" wp14:anchorId="0FB6ECCA" wp14:editId="61E3C7E3">
            <wp:simplePos x="0" y="0"/>
            <wp:positionH relativeFrom="column">
              <wp:posOffset>4445</wp:posOffset>
            </wp:positionH>
            <wp:positionV relativeFrom="paragraph">
              <wp:posOffset>1905</wp:posOffset>
            </wp:positionV>
            <wp:extent cx="1313514" cy="1800000"/>
            <wp:effectExtent l="0" t="0" r="1270" b="0"/>
            <wp:wrapSquare wrapText="bothSides"/>
            <wp:docPr id="3" name="Picture 3" descr="The Hon David Bradbury MP" title="Phot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CD\Publishing\Graphic Design Services Team\Digital_Assets\Photography\Treasury Staff Portraits\Minister Photos\Bradbury\Bradbury David 100477 - 004_cropp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351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It is important that Australia secures a fair, competitive and sustainable tax base for the future prosperity of this nation. Left unchecked, profit shifting and international tax avoidance is a threat to Australia’s sovereignty. </w:t>
      </w:r>
    </w:p>
    <w:p w:rsidR="001A1525" w:rsidRDefault="001A1525" w:rsidP="001A1525">
      <w:r>
        <w:t>International tax rules that give multinational corporations access to tax arrangements that are not available to domestic enterprises provides them with an unfair advantage. It also means other taxpayers either face a larger tax burden or accept a lower level of government servic</w:t>
      </w:r>
      <w:r w:rsidR="00A213BE">
        <w:t>es.</w:t>
      </w:r>
    </w:p>
    <w:p w:rsidR="001A1525" w:rsidRDefault="001A1525" w:rsidP="001A1525">
      <w:r>
        <w:t xml:space="preserve">The Government is committed to taking what action it can within the current international tax rules to protect the integrity of Australia’s corporate tax base. International tax reform is also increasingly on the agenda of G20 Finance Ministers and Leaders. </w:t>
      </w:r>
    </w:p>
    <w:p w:rsidR="001A1525" w:rsidRDefault="001A1525" w:rsidP="001A1525">
      <w:r>
        <w:t>The OECD report Addressing Base Erosion and Profit Shifting outlines the underlying causes and challenges and highlights the need for a comprehensive approach. The report also acknowledges the need for unilateral action, including the need for immediate action from tax administrators to address compliance issues.</w:t>
      </w:r>
    </w:p>
    <w:p w:rsidR="001A1525" w:rsidRDefault="001A1525" w:rsidP="001A1525">
      <w:r>
        <w:t xml:space="preserve">There is a limit to what any one country can do acting alone to reform international tax rules. Achieving fundamental reform will require international cooperation to reach a broad consensus on the way forward. Australia is at the forefront of G20 efforts in this area. </w:t>
      </w:r>
    </w:p>
    <w:p w:rsidR="001A1525" w:rsidRDefault="001A1525" w:rsidP="001A1525">
      <w:r>
        <w:t>The OECD will present an ‘action plan’ to G20 Finance Ministers in July this year. As G20 chair in 2014, Australia can play a prominent role in determining and driving this reform agenda.</w:t>
      </w:r>
    </w:p>
    <w:p w:rsidR="001A1525" w:rsidRDefault="001A1525" w:rsidP="001A1525">
      <w:r>
        <w:t xml:space="preserve">One example of action that the Government is taking to protect our corporate tax base is our policy to ensure that foreign-owned multiple entry consolidated groups and Australian consolidated groups compete on a level playing field. </w:t>
      </w:r>
    </w:p>
    <w:p w:rsidR="001A1525" w:rsidRDefault="001A1525" w:rsidP="001A1525">
      <w:r>
        <w:t>This issues paper provides an overview of the process for developing the implementation details of the policy, and preludes a discussion paper that will be released later this year that canvasses v</w:t>
      </w:r>
      <w:r w:rsidR="00EF4105">
        <w:t xml:space="preserve">arious implementation options. </w:t>
      </w:r>
      <w:r>
        <w:t>This approach to developing the implementation details demonstrates our commitment to a thorough and mult</w:t>
      </w:r>
      <w:r w:rsidR="00EF4105">
        <w:t xml:space="preserve">i-phased consultation process. </w:t>
      </w:r>
      <w:r>
        <w:t xml:space="preserve">We will always endeavour to engage in a genuine process of consultation to identify and prevent unintended consequences. </w:t>
      </w:r>
    </w:p>
    <w:p w:rsidR="001A1525" w:rsidRDefault="001A1525" w:rsidP="001A1525">
      <w:r>
        <w:t>These are important and necessary reforms that will improve the integrity of Australia’s tax system, I welcome your participation in this process.</w:t>
      </w:r>
    </w:p>
    <w:p w:rsidR="001A1525" w:rsidRDefault="001A1525" w:rsidP="001A1525"/>
    <w:p w:rsidR="001A1525" w:rsidRDefault="001A1525" w:rsidP="001A1525">
      <w:pPr>
        <w:pStyle w:val="TableGraphic"/>
        <w:rPr>
          <w:rFonts w:cs="Arial"/>
          <w:sz w:val="24"/>
          <w:szCs w:val="24"/>
        </w:rPr>
      </w:pPr>
    </w:p>
    <w:p w:rsidR="001A1525" w:rsidRDefault="001A1525" w:rsidP="001A1525">
      <w:pPr>
        <w:pStyle w:val="SingleParagraph"/>
        <w:rPr>
          <w:rFonts w:cs="Arial"/>
          <w:b/>
          <w:sz w:val="24"/>
          <w:szCs w:val="24"/>
        </w:rPr>
      </w:pPr>
      <w:r w:rsidRPr="00163F01">
        <w:rPr>
          <w:rFonts w:cs="Calibri"/>
          <w:b/>
        </w:rPr>
        <w:t xml:space="preserve">The Hon </w:t>
      </w:r>
      <w:r>
        <w:rPr>
          <w:rFonts w:cs="Calibri"/>
          <w:b/>
        </w:rPr>
        <w:t>David Bradbury</w:t>
      </w:r>
      <w:r w:rsidRPr="00163F01">
        <w:rPr>
          <w:rFonts w:cs="Calibri"/>
          <w:b/>
        </w:rPr>
        <w:t xml:space="preserve"> MP</w:t>
      </w:r>
    </w:p>
    <w:p w:rsidR="001A1525" w:rsidRPr="00163F01" w:rsidRDefault="001A1525" w:rsidP="001A1525">
      <w:pPr>
        <w:pStyle w:val="SingleParagraph"/>
        <w:jc w:val="left"/>
        <w:rPr>
          <w:b/>
        </w:rPr>
      </w:pPr>
      <w:r w:rsidRPr="00737153">
        <w:rPr>
          <w:rFonts w:cs="Arial"/>
          <w:b/>
          <w:szCs w:val="24"/>
        </w:rPr>
        <w:t xml:space="preserve">Assistant </w:t>
      </w:r>
      <w:r>
        <w:rPr>
          <w:rFonts w:cs="Arial"/>
          <w:b/>
          <w:szCs w:val="24"/>
        </w:rPr>
        <w:t>Treasurer</w:t>
      </w:r>
    </w:p>
    <w:p w:rsidR="008E7DBF" w:rsidRDefault="008E7DBF" w:rsidP="008E7DBF">
      <w:pPr>
        <w:pStyle w:val="Heading1NotNumbered"/>
        <w:sectPr w:rsidR="008E7DBF" w:rsidSect="00205091">
          <w:footerReference w:type="default" r:id="rId26"/>
          <w:pgSz w:w="11906" w:h="16838"/>
          <w:pgMar w:top="1440" w:right="1440" w:bottom="1440" w:left="1440" w:header="708" w:footer="708" w:gutter="0"/>
          <w:pgNumType w:fmt="lowerRoman"/>
          <w:cols w:space="708"/>
          <w:docGrid w:linePitch="360"/>
        </w:sectPr>
      </w:pPr>
      <w:bookmarkStart w:id="6" w:name="_Toc355880009"/>
    </w:p>
    <w:p w:rsidR="0012257E" w:rsidRDefault="0012257E" w:rsidP="008E7DBF">
      <w:pPr>
        <w:pStyle w:val="Heading1NotNumbered"/>
      </w:pPr>
      <w:bookmarkStart w:id="7" w:name="_Toc356288805"/>
      <w:r>
        <w:t>Removing the tax advantages available to multiple entry consolidated groups</w:t>
      </w:r>
      <w:bookmarkEnd w:id="6"/>
      <w:bookmarkEnd w:id="7"/>
    </w:p>
    <w:p w:rsidR="00561C7E" w:rsidRDefault="00664E96" w:rsidP="00025C06">
      <w:pPr>
        <w:pStyle w:val="Heading1"/>
      </w:pPr>
      <w:bookmarkStart w:id="8" w:name="_Toc356288806"/>
      <w:r>
        <w:t>Overview</w:t>
      </w:r>
      <w:bookmarkEnd w:id="4"/>
      <w:bookmarkEnd w:id="5"/>
      <w:bookmarkEnd w:id="8"/>
    </w:p>
    <w:p w:rsidR="007D6BF4" w:rsidRDefault="007D6BF4" w:rsidP="008E7DBF">
      <w:bookmarkStart w:id="9" w:name="_Toc329686432"/>
      <w:r>
        <w:t xml:space="preserve">The Government will improve the efficiency and equity of the tax system by removing any systemic tax advantages available to foreign-owned </w:t>
      </w:r>
      <w:r w:rsidR="003641C6">
        <w:t>multiple entry consolidated (</w:t>
      </w:r>
      <w:r>
        <w:t>MEC</w:t>
      </w:r>
      <w:r w:rsidR="003641C6">
        <w:t>)</w:t>
      </w:r>
      <w:r>
        <w:t xml:space="preserve"> groups, and </w:t>
      </w:r>
      <w:r w:rsidR="00704B88">
        <w:t xml:space="preserve">those </w:t>
      </w:r>
      <w:r>
        <w:t>groups capable of forming MEC groups, that are not available to Australian</w:t>
      </w:r>
      <w:r>
        <w:noBreakHyphen/>
        <w:t>owned ordinary consolidated groups.</w:t>
      </w:r>
    </w:p>
    <w:p w:rsidR="00664E96" w:rsidRDefault="007D6BF4" w:rsidP="008E7DBF">
      <w:r>
        <w:t>The measure will be</w:t>
      </w:r>
      <w:r w:rsidR="00C2589C">
        <w:t xml:space="preserve"> implemented from 1 July 2014. </w:t>
      </w:r>
      <w:r>
        <w:t>A tripartite working group (involving the Treasury, the ATO and the private sector) will be established to consider how the measure could best be implemented.</w:t>
      </w:r>
    </w:p>
    <w:p w:rsidR="007D6BF4" w:rsidRDefault="007D6BF4" w:rsidP="008E7DBF">
      <w:r>
        <w:t>The purpose of this issues paper is to:</w:t>
      </w:r>
    </w:p>
    <w:p w:rsidR="007D6BF4" w:rsidRDefault="007D6BF4" w:rsidP="00A1014F">
      <w:pPr>
        <w:pStyle w:val="Bullet"/>
        <w:ind w:left="567"/>
      </w:pPr>
      <w:r>
        <w:t>outline the tripartite review process, membership details and indicative timeline;</w:t>
      </w:r>
    </w:p>
    <w:p w:rsidR="007D6BF4" w:rsidRDefault="007D6BF4" w:rsidP="00A1014F">
      <w:pPr>
        <w:pStyle w:val="Bullet"/>
        <w:ind w:left="567"/>
      </w:pPr>
      <w:r>
        <w:t xml:space="preserve">outline the terms of reference for the review; </w:t>
      </w:r>
    </w:p>
    <w:p w:rsidR="007D6BF4" w:rsidRDefault="007D6BF4" w:rsidP="00A1014F">
      <w:pPr>
        <w:pStyle w:val="Bullet"/>
        <w:ind w:left="567"/>
      </w:pPr>
      <w:r>
        <w:t xml:space="preserve">provide preliminary details </w:t>
      </w:r>
      <w:r w:rsidR="00D322E7">
        <w:t>regarding</w:t>
      </w:r>
      <w:r>
        <w:t xml:space="preserve"> policy implementation; and</w:t>
      </w:r>
    </w:p>
    <w:p w:rsidR="00B82F57" w:rsidRDefault="007D6BF4" w:rsidP="00A1014F">
      <w:pPr>
        <w:pStyle w:val="Bullet"/>
        <w:ind w:left="567"/>
      </w:pPr>
      <w:r>
        <w:t>provide a brief overview of the key issues that the review will consider.</w:t>
      </w:r>
    </w:p>
    <w:p w:rsidR="00561C7E" w:rsidRDefault="00E237CC" w:rsidP="00025C06">
      <w:pPr>
        <w:pStyle w:val="Heading1"/>
        <w:spacing w:after="240"/>
      </w:pPr>
      <w:bookmarkStart w:id="10" w:name="_Toc356288807"/>
      <w:bookmarkEnd w:id="9"/>
      <w:r>
        <w:t>Review process</w:t>
      </w:r>
      <w:bookmarkEnd w:id="10"/>
    </w:p>
    <w:p w:rsidR="00CB7DF1" w:rsidRPr="00CB7DF1" w:rsidRDefault="00E237CC" w:rsidP="00CB7DF1">
      <w:pPr>
        <w:pStyle w:val="Heading2"/>
      </w:pPr>
      <w:bookmarkStart w:id="11" w:name="_Toc356288808"/>
      <w:r>
        <w:t>Membership of the tripartite working group</w:t>
      </w:r>
      <w:bookmarkEnd w:id="11"/>
    </w:p>
    <w:p w:rsidR="00CB1C0C" w:rsidRDefault="00E237CC" w:rsidP="008E7DBF">
      <w:r w:rsidRPr="00E237CC">
        <w:t>The working group will be chaired by the Treasury and include members from the Australian Taxation Office (ATO) and p</w:t>
      </w:r>
      <w:r w:rsidR="00C2589C">
        <w:t>rivate sector tax specialis</w:t>
      </w:r>
      <w:r w:rsidR="007C582B">
        <w:t xml:space="preserve">ts. </w:t>
      </w:r>
      <w:r w:rsidRPr="00E237CC">
        <w:t>The private sector members will be engaged in a private capacity, drawing on their personal and individua</w:t>
      </w:r>
      <w:r w:rsidR="007C582B">
        <w:t xml:space="preserve">l knowledge of the tax system. </w:t>
      </w:r>
      <w:r w:rsidRPr="00E237CC">
        <w:t xml:space="preserve">The private sector members will </w:t>
      </w:r>
      <w:r>
        <w:t xml:space="preserve">be contracted by the Treasury. </w:t>
      </w:r>
    </w:p>
    <w:p w:rsidR="00CB1C0C" w:rsidRPr="00CB7DF1" w:rsidRDefault="00046913" w:rsidP="00CB7DF1">
      <w:pPr>
        <w:pStyle w:val="Heading2"/>
      </w:pPr>
      <w:bookmarkStart w:id="12" w:name="_Toc356288809"/>
      <w:r>
        <w:t>Indicative timeline</w:t>
      </w:r>
      <w:bookmarkEnd w:id="12"/>
    </w:p>
    <w:p w:rsidR="00C2589C" w:rsidRDefault="00C2589C" w:rsidP="008E7DBF">
      <w:r w:rsidRPr="00C2589C">
        <w:t>July 2013 – Discussion paper released</w:t>
      </w:r>
    </w:p>
    <w:p w:rsidR="00046913" w:rsidRDefault="00046913" w:rsidP="008E7DBF">
      <w:r>
        <w:t xml:space="preserve">October 2013 – Public submissions on discussion paper due </w:t>
      </w:r>
    </w:p>
    <w:p w:rsidR="00C2589C" w:rsidRDefault="00046913" w:rsidP="008E7DBF">
      <w:r>
        <w:t xml:space="preserve">February 2014 – Report provided to the Treasurer </w:t>
      </w:r>
    </w:p>
    <w:p w:rsidR="00CB1C0C" w:rsidRDefault="00B82F57" w:rsidP="00664E96">
      <w:pPr>
        <w:pStyle w:val="Heading1"/>
        <w:spacing w:after="240"/>
      </w:pPr>
      <w:r>
        <w:br w:type="column"/>
      </w:r>
      <w:bookmarkStart w:id="13" w:name="_Toc356288810"/>
      <w:r w:rsidR="00C2589C">
        <w:t>Terms of reference</w:t>
      </w:r>
      <w:bookmarkEnd w:id="13"/>
    </w:p>
    <w:p w:rsidR="00C2589C" w:rsidRDefault="00C2589C" w:rsidP="008E7DBF">
      <w:pPr>
        <w:pStyle w:val="Heading2NotNumbered"/>
        <w:rPr>
          <w:b/>
        </w:rPr>
      </w:pPr>
      <w:r w:rsidRPr="00C2589C">
        <w:t>Objective</w:t>
      </w:r>
    </w:p>
    <w:p w:rsidR="00C2589C" w:rsidRDefault="00C2589C" w:rsidP="008E7DBF">
      <w:r>
        <w:t>The working group will consider how to best implement the policy objective of removing the systemic tax advantages availab</w:t>
      </w:r>
      <w:r w:rsidR="00311AAE">
        <w:t xml:space="preserve">le to foreign-owned MEC groups, </w:t>
      </w:r>
      <w:r>
        <w:t xml:space="preserve">and </w:t>
      </w:r>
      <w:r w:rsidR="00704B88">
        <w:t xml:space="preserve">those </w:t>
      </w:r>
      <w:r>
        <w:t>group</w:t>
      </w:r>
      <w:r w:rsidR="00311AAE">
        <w:t>s capable of forming MEC groups,</w:t>
      </w:r>
      <w:r>
        <w:t xml:space="preserve"> that are not available to Australian</w:t>
      </w:r>
      <w:r>
        <w:noBreakHyphen/>
        <w:t>owned ordinary consolidated groups.</w:t>
      </w:r>
    </w:p>
    <w:p w:rsidR="00C2589C" w:rsidRDefault="00C2589C" w:rsidP="008E7DBF">
      <w:pPr>
        <w:pStyle w:val="Heading2NotNumbered"/>
        <w:rPr>
          <w:b/>
        </w:rPr>
      </w:pPr>
      <w:r>
        <w:t>Scope</w:t>
      </w:r>
    </w:p>
    <w:p w:rsidR="00C2589C" w:rsidRPr="001C36A8" w:rsidRDefault="00C2589C" w:rsidP="00C2589C">
      <w:r>
        <w:t>The working group will restrict its consideration to amendments that would remove the systemic tax advantages availa</w:t>
      </w:r>
      <w:r w:rsidR="006A7342">
        <w:t xml:space="preserve">ble to foreign-owned MEC groups, </w:t>
      </w:r>
      <w:r>
        <w:t xml:space="preserve">and </w:t>
      </w:r>
      <w:r w:rsidR="00704B88">
        <w:t xml:space="preserve">those </w:t>
      </w:r>
      <w:r>
        <w:t>groups</w:t>
      </w:r>
      <w:r w:rsidR="006A7342">
        <w:t xml:space="preserve"> capable of forming MEC groups, </w:t>
      </w:r>
      <w:r>
        <w:t>that are not available to Australian</w:t>
      </w:r>
      <w:r>
        <w:noBreakHyphen/>
        <w:t xml:space="preserve">owned ordinary consolidated groups. </w:t>
      </w:r>
    </w:p>
    <w:p w:rsidR="00C2589C" w:rsidRDefault="00C2589C" w:rsidP="008E7DBF">
      <w:pPr>
        <w:pStyle w:val="Heading2NotNumbered"/>
      </w:pPr>
      <w:r>
        <w:t>Criteria</w:t>
      </w:r>
    </w:p>
    <w:p w:rsidR="00C2589C" w:rsidRDefault="00C2589C" w:rsidP="00C2589C">
      <w:pPr>
        <w:rPr>
          <w:b/>
        </w:rPr>
      </w:pPr>
      <w:r>
        <w:t>The working group will take into account the following when assessing different implementation options:</w:t>
      </w:r>
      <w:r>
        <w:rPr>
          <w:b/>
        </w:rPr>
        <w:t xml:space="preserve"> </w:t>
      </w:r>
    </w:p>
    <w:p w:rsidR="00C2589C" w:rsidRDefault="00C2589C" w:rsidP="00E574C9">
      <w:pPr>
        <w:pStyle w:val="OutlineNumbered1"/>
        <w:numPr>
          <w:ilvl w:val="0"/>
          <w:numId w:val="6"/>
        </w:numPr>
        <w:tabs>
          <w:tab w:val="clear" w:pos="520"/>
          <w:tab w:val="num" w:pos="567"/>
        </w:tabs>
        <w:spacing w:line="276" w:lineRule="auto"/>
        <w:ind w:left="567" w:hanging="567"/>
        <w:jc w:val="left"/>
      </w:pPr>
      <w:r>
        <w:t>the degree to which each option would achieve the policy objective;</w:t>
      </w:r>
    </w:p>
    <w:p w:rsidR="00C2589C" w:rsidRDefault="00C2589C" w:rsidP="00E574C9">
      <w:pPr>
        <w:pStyle w:val="OutlineNumbered1"/>
        <w:numPr>
          <w:ilvl w:val="0"/>
          <w:numId w:val="6"/>
        </w:numPr>
        <w:tabs>
          <w:tab w:val="clear" w:pos="520"/>
          <w:tab w:val="num" w:pos="567"/>
        </w:tabs>
        <w:spacing w:line="276" w:lineRule="auto"/>
        <w:ind w:left="567" w:hanging="567"/>
        <w:jc w:val="left"/>
      </w:pPr>
      <w:r>
        <w:t>the degree to which each option would minimise foreseeable unintended consequences;</w:t>
      </w:r>
    </w:p>
    <w:p w:rsidR="00C2589C" w:rsidRDefault="00C2589C" w:rsidP="00E574C9">
      <w:pPr>
        <w:pStyle w:val="OutlineNumbered1"/>
        <w:numPr>
          <w:ilvl w:val="0"/>
          <w:numId w:val="6"/>
        </w:numPr>
        <w:tabs>
          <w:tab w:val="clear" w:pos="520"/>
          <w:tab w:val="num" w:pos="567"/>
        </w:tabs>
        <w:spacing w:line="276" w:lineRule="auto"/>
        <w:ind w:left="567" w:hanging="567"/>
        <w:jc w:val="left"/>
      </w:pPr>
      <w:r>
        <w:t xml:space="preserve">how efficiently and effectively each option could be implemented and subsequently administered; </w:t>
      </w:r>
    </w:p>
    <w:p w:rsidR="00C2589C" w:rsidRDefault="00C2589C" w:rsidP="00E574C9">
      <w:pPr>
        <w:pStyle w:val="OutlineNumbered1"/>
        <w:numPr>
          <w:ilvl w:val="0"/>
          <w:numId w:val="6"/>
        </w:numPr>
        <w:tabs>
          <w:tab w:val="clear" w:pos="520"/>
          <w:tab w:val="num" w:pos="567"/>
        </w:tabs>
        <w:spacing w:line="276" w:lineRule="auto"/>
        <w:ind w:left="567" w:hanging="567"/>
        <w:jc w:val="left"/>
      </w:pPr>
      <w:r>
        <w:t>the degree to which each option would minimise business compliance costs; and</w:t>
      </w:r>
    </w:p>
    <w:p w:rsidR="00C2589C" w:rsidRDefault="00C2589C" w:rsidP="00E574C9">
      <w:pPr>
        <w:pStyle w:val="OutlineNumbered1"/>
        <w:numPr>
          <w:ilvl w:val="0"/>
          <w:numId w:val="6"/>
        </w:numPr>
        <w:tabs>
          <w:tab w:val="clear" w:pos="520"/>
          <w:tab w:val="num" w:pos="567"/>
        </w:tabs>
        <w:spacing w:line="276" w:lineRule="auto"/>
        <w:ind w:left="567" w:hanging="567"/>
        <w:jc w:val="left"/>
      </w:pPr>
      <w:r>
        <w:t>the timeframe necessary to implement any proposed legislative change.</w:t>
      </w:r>
    </w:p>
    <w:p w:rsidR="00C2589C" w:rsidRDefault="00C2589C" w:rsidP="008E7DBF">
      <w:pPr>
        <w:pStyle w:val="Heading2NotNumbered"/>
      </w:pPr>
      <w:r>
        <w:t>Timing</w:t>
      </w:r>
    </w:p>
    <w:p w:rsidR="00C2589C" w:rsidRDefault="00C2589C" w:rsidP="008E7DBF">
      <w:r>
        <w:t>The working group will deliver its report to the Treasurer in February 2014.</w:t>
      </w:r>
    </w:p>
    <w:p w:rsidR="00C2589C" w:rsidRDefault="00C2589C" w:rsidP="008E7DBF">
      <w:pPr>
        <w:pStyle w:val="Heading2NotNumbered"/>
      </w:pPr>
      <w:r>
        <w:t>Consultation</w:t>
      </w:r>
    </w:p>
    <w:p w:rsidR="00C2589C" w:rsidRDefault="00C2589C" w:rsidP="008E7DBF">
      <w:r>
        <w:t>The working group will release a discussion paper in mid-2013 seeking the business community’s views on potential options for achieving the policy objective. The working group will meet with stakeholders if, and as, it becomes necessary throughout the course of the review.</w:t>
      </w:r>
    </w:p>
    <w:p w:rsidR="00C2589C" w:rsidRDefault="00C2589C" w:rsidP="008E7DBF">
      <w:pPr>
        <w:pStyle w:val="Heading2NotNumbered"/>
      </w:pPr>
      <w:r>
        <w:t>Support</w:t>
      </w:r>
    </w:p>
    <w:p w:rsidR="00C2589C" w:rsidRPr="00C2589C" w:rsidRDefault="00C2589C" w:rsidP="00C2589C">
      <w:r>
        <w:t>The working group will be supported by staff from the Treasury and the ATO.</w:t>
      </w:r>
    </w:p>
    <w:p w:rsidR="00CB1C0C" w:rsidRDefault="00C2589C" w:rsidP="00454543">
      <w:pPr>
        <w:pStyle w:val="Heading1"/>
        <w:spacing w:after="240"/>
      </w:pPr>
      <w:bookmarkStart w:id="14" w:name="_Toc356288811"/>
      <w:r>
        <w:t>Policy implementation</w:t>
      </w:r>
      <w:bookmarkEnd w:id="14"/>
    </w:p>
    <w:p w:rsidR="00C2589C" w:rsidRDefault="00C2589C" w:rsidP="00C2589C">
      <w:r>
        <w:t>The method of implementation that the Government decides upo</w:t>
      </w:r>
      <w:r w:rsidR="007C582B">
        <w:t xml:space="preserve">n will apply from 1 July 2014. </w:t>
      </w:r>
      <w:r>
        <w:t>Depending on what action the Government decides to take, some changes may apply from each affected taxpayer’s income year commencing on or after 1 July 2014</w:t>
      </w:r>
      <w:r w:rsidR="00704B88">
        <w:t>, while other changes may apply to transactions that take place on or after 1 July 201</w:t>
      </w:r>
      <w:r w:rsidR="00AE62B2">
        <w:t>4</w:t>
      </w:r>
      <w:r w:rsidR="00704B88">
        <w:t>.</w:t>
      </w:r>
      <w:r>
        <w:t xml:space="preserve"> </w:t>
      </w:r>
    </w:p>
    <w:p w:rsidR="00C2589C" w:rsidRDefault="00704B88" w:rsidP="00C2589C">
      <w:r>
        <w:t xml:space="preserve">To protect the integrity of the corporate tax system, the </w:t>
      </w:r>
      <w:r w:rsidR="00C2589C">
        <w:t xml:space="preserve">Government reserves the right </w:t>
      </w:r>
      <w:r>
        <w:t xml:space="preserve">to take earlier legislative action, including from date of </w:t>
      </w:r>
      <w:r w:rsidRPr="00A1014F">
        <w:t xml:space="preserve">announcement </w:t>
      </w:r>
      <w:r w:rsidR="00C2589C" w:rsidRPr="00A1014F">
        <w:t>(</w:t>
      </w:r>
      <w:r w:rsidR="00C2589C" w:rsidRPr="00626C5A">
        <w:t>14 May 2013</w:t>
      </w:r>
      <w:r w:rsidR="00C2589C" w:rsidRPr="00A1014F">
        <w:t>)</w:t>
      </w:r>
      <w:r w:rsidRPr="00A1014F">
        <w:t>,</w:t>
      </w:r>
      <w:r w:rsidR="00C2589C" w:rsidRPr="00A1014F">
        <w:t xml:space="preserve"> if</w:t>
      </w:r>
      <w:r w:rsidR="00C2589C">
        <w:t xml:space="preserve"> it becomes aware of any aggressive tax minimisation practices over the co</w:t>
      </w:r>
      <w:r w:rsidR="007C582B">
        <w:t xml:space="preserve">urse of the tripartite review. </w:t>
      </w:r>
      <w:r w:rsidR="00C2589C">
        <w:t>The Government will consider any evidence of aggressive tax practices to include, but not be limited to, a significant number of:</w:t>
      </w:r>
    </w:p>
    <w:p w:rsidR="00C2589C" w:rsidRPr="00626C5A" w:rsidRDefault="00C2589C" w:rsidP="00626C5A">
      <w:pPr>
        <w:pStyle w:val="Bullet"/>
        <w:ind w:left="567"/>
      </w:pPr>
      <w:r w:rsidRPr="00720E0B">
        <w:t xml:space="preserve">foreign-owned </w:t>
      </w:r>
      <w:r w:rsidRPr="008E7DBF">
        <w:t>ordinary</w:t>
      </w:r>
      <w:r w:rsidRPr="00720E0B">
        <w:t xml:space="preserve"> consolidated groups transitioning to MEC group structures;</w:t>
      </w:r>
    </w:p>
    <w:p w:rsidR="00C2589C" w:rsidRPr="00626C5A" w:rsidRDefault="00C2589C" w:rsidP="00626C5A">
      <w:pPr>
        <w:pStyle w:val="Bullet"/>
        <w:ind w:left="567"/>
      </w:pPr>
      <w:r w:rsidRPr="00720E0B">
        <w:t xml:space="preserve">MEC groups flattening their structures (for example, by incorporating new </w:t>
      </w:r>
      <w:r w:rsidR="00D568A5">
        <w:t>tier-1</w:t>
      </w:r>
      <w:r w:rsidRPr="00720E0B">
        <w:t xml:space="preserve"> companies</w:t>
      </w:r>
      <w:r w:rsidR="00A213BE">
        <w:t xml:space="preserve"> </w:t>
      </w:r>
      <w:r w:rsidRPr="00720E0B">
        <w:t xml:space="preserve">or by lifting low-level subsidiaries up to the </w:t>
      </w:r>
      <w:r w:rsidR="00D568A5">
        <w:t>tier-1</w:t>
      </w:r>
      <w:r w:rsidRPr="00720E0B">
        <w:t xml:space="preserve"> level); and</w:t>
      </w:r>
    </w:p>
    <w:p w:rsidR="00C2589C" w:rsidRPr="00626C5A" w:rsidRDefault="00C2589C" w:rsidP="00626C5A">
      <w:pPr>
        <w:pStyle w:val="Bullet"/>
        <w:ind w:left="567"/>
      </w:pPr>
      <w:r w:rsidRPr="00720E0B">
        <w:t>foreign-owned ordinary consolidated groups transferring subsidiaries to MEC groups with the same ultimate owner.</w:t>
      </w:r>
    </w:p>
    <w:p w:rsidR="00481BCC" w:rsidRPr="00E574C9" w:rsidRDefault="00481BCC" w:rsidP="00E574C9">
      <w:pPr>
        <w:pStyle w:val="Heading1"/>
        <w:spacing w:after="240"/>
      </w:pPr>
      <w:bookmarkStart w:id="15" w:name="_Toc356288812"/>
      <w:r>
        <w:t>Key issues to consider</w:t>
      </w:r>
      <w:bookmarkEnd w:id="15"/>
    </w:p>
    <w:p w:rsidR="00481BCC" w:rsidRPr="00E574C9" w:rsidRDefault="00481BCC" w:rsidP="00E574C9">
      <w:pPr>
        <w:pStyle w:val="Heading2"/>
      </w:pPr>
      <w:bookmarkStart w:id="16" w:name="_Toc356288813"/>
      <w:r w:rsidRPr="00E574C9">
        <w:t>Overview of consolidation</w:t>
      </w:r>
      <w:bookmarkEnd w:id="16"/>
    </w:p>
    <w:p w:rsidR="00481BCC" w:rsidRPr="00481BCC" w:rsidRDefault="00481BCC" w:rsidP="00D568A5">
      <w:pPr>
        <w:spacing w:line="276" w:lineRule="auto"/>
        <w:rPr>
          <w:rFonts w:eastAsia="Calibri"/>
          <w:color w:val="auto"/>
          <w:szCs w:val="22"/>
          <w:lang w:eastAsia="en-US"/>
        </w:rPr>
      </w:pPr>
      <w:r w:rsidRPr="00481BCC">
        <w:rPr>
          <w:rFonts w:eastAsia="Calibri"/>
          <w:color w:val="auto"/>
          <w:szCs w:val="22"/>
          <w:lang w:eastAsia="en-US"/>
        </w:rPr>
        <w:t xml:space="preserve">The 1999 Review of Business Taxation recommended that a </w:t>
      </w:r>
      <w:r w:rsidR="005A77C5">
        <w:rPr>
          <w:rFonts w:eastAsia="Calibri"/>
          <w:color w:val="auto"/>
          <w:szCs w:val="22"/>
          <w:lang w:eastAsia="en-US"/>
        </w:rPr>
        <w:t xml:space="preserve">tax </w:t>
      </w:r>
      <w:r w:rsidRPr="00481BCC">
        <w:rPr>
          <w:rFonts w:eastAsia="Calibri"/>
          <w:color w:val="auto"/>
          <w:szCs w:val="22"/>
          <w:lang w:eastAsia="en-US"/>
        </w:rPr>
        <w:t xml:space="preserve">consolidation regime replace the old grouping provisions, noting the benefits that a </w:t>
      </w:r>
      <w:r w:rsidR="005A77C5">
        <w:rPr>
          <w:rFonts w:eastAsia="Calibri"/>
          <w:color w:val="auto"/>
          <w:szCs w:val="22"/>
          <w:lang w:eastAsia="en-US"/>
        </w:rPr>
        <w:t xml:space="preserve">tax </w:t>
      </w:r>
      <w:r w:rsidRPr="00481BCC">
        <w:rPr>
          <w:rFonts w:eastAsia="Calibri"/>
          <w:color w:val="auto"/>
          <w:szCs w:val="22"/>
          <w:lang w:eastAsia="en-US"/>
        </w:rPr>
        <w:t xml:space="preserve">consolidation regime would deliver in terms of improved efficiency, integrity and </w:t>
      </w:r>
      <w:r w:rsidR="007C582B">
        <w:rPr>
          <w:rFonts w:eastAsia="Calibri"/>
          <w:color w:val="auto"/>
          <w:szCs w:val="22"/>
          <w:lang w:eastAsia="en-US"/>
        </w:rPr>
        <w:t xml:space="preserve">simplicity for the tax system. </w:t>
      </w:r>
      <w:r w:rsidRPr="00481BCC">
        <w:rPr>
          <w:rFonts w:eastAsia="Calibri"/>
          <w:color w:val="auto"/>
          <w:szCs w:val="22"/>
          <w:lang w:eastAsia="en-US"/>
        </w:rPr>
        <w:t>The then Government largely accepted the Review’s recommendations and implemented the consolidation regime in 2002.</w:t>
      </w:r>
    </w:p>
    <w:p w:rsidR="00481BCC" w:rsidRPr="00481BCC" w:rsidRDefault="00481BCC" w:rsidP="00D568A5">
      <w:pPr>
        <w:spacing w:line="276" w:lineRule="auto"/>
        <w:rPr>
          <w:rFonts w:eastAsia="Calibri"/>
          <w:color w:val="auto"/>
          <w:szCs w:val="22"/>
          <w:lang w:eastAsia="en-US"/>
        </w:rPr>
      </w:pPr>
      <w:r w:rsidRPr="00481BCC">
        <w:rPr>
          <w:rFonts w:eastAsia="Calibri"/>
          <w:color w:val="auto"/>
          <w:szCs w:val="22"/>
          <w:lang w:eastAsia="en-US"/>
        </w:rPr>
        <w:t>The Review of Business Taxation also recommended that economic groups with no clear head company in Australia should be allowed to consolidate during a transitional period without restructuring</w:t>
      </w:r>
      <w:r w:rsidR="008E7DBF">
        <w:rPr>
          <w:rFonts w:eastAsia="Calibri"/>
          <w:color w:val="auto"/>
          <w:szCs w:val="22"/>
          <w:lang w:eastAsia="en-US"/>
        </w:rPr>
        <w:t xml:space="preserve"> and be known as MEC groups.</w:t>
      </w:r>
    </w:p>
    <w:p w:rsidR="00481BCC" w:rsidRPr="00481BCC" w:rsidRDefault="00481BCC" w:rsidP="00D568A5">
      <w:pPr>
        <w:spacing w:line="276" w:lineRule="auto"/>
        <w:rPr>
          <w:rFonts w:eastAsia="Calibri"/>
          <w:color w:val="auto"/>
          <w:szCs w:val="22"/>
          <w:lang w:eastAsia="en-US"/>
        </w:rPr>
      </w:pPr>
      <w:r w:rsidRPr="00481BCC">
        <w:rPr>
          <w:rFonts w:eastAsia="Calibri"/>
          <w:color w:val="auto"/>
          <w:szCs w:val="22"/>
          <w:lang w:eastAsia="en-US"/>
        </w:rPr>
        <w:t xml:space="preserve">However, during implementation the then Government decided to </w:t>
      </w:r>
      <w:r w:rsidR="006A7342">
        <w:rPr>
          <w:rFonts w:eastAsia="Calibri"/>
          <w:color w:val="auto"/>
          <w:szCs w:val="22"/>
          <w:lang w:eastAsia="en-US"/>
        </w:rPr>
        <w:t xml:space="preserve">allow MEC groups to retain their </w:t>
      </w:r>
      <w:r w:rsidR="005A77C5">
        <w:rPr>
          <w:rFonts w:eastAsia="Calibri"/>
          <w:color w:val="auto"/>
          <w:szCs w:val="22"/>
          <w:lang w:eastAsia="en-US"/>
        </w:rPr>
        <w:t xml:space="preserve">unique </w:t>
      </w:r>
      <w:r w:rsidR="006A7342">
        <w:rPr>
          <w:rFonts w:eastAsia="Calibri"/>
          <w:color w:val="auto"/>
          <w:szCs w:val="22"/>
          <w:lang w:eastAsia="en-US"/>
        </w:rPr>
        <w:t>structure</w:t>
      </w:r>
      <w:r w:rsidR="005A77C5">
        <w:rPr>
          <w:rFonts w:eastAsia="Calibri"/>
          <w:color w:val="auto"/>
          <w:szCs w:val="22"/>
          <w:lang w:eastAsia="en-US"/>
        </w:rPr>
        <w:t>s</w:t>
      </w:r>
      <w:r w:rsidR="006A7342">
        <w:rPr>
          <w:rFonts w:eastAsia="Calibri"/>
          <w:color w:val="auto"/>
          <w:szCs w:val="22"/>
          <w:lang w:eastAsia="en-US"/>
        </w:rPr>
        <w:t xml:space="preserve"> </w:t>
      </w:r>
      <w:r w:rsidR="004E7A7C">
        <w:rPr>
          <w:rFonts w:eastAsia="Calibri"/>
          <w:color w:val="auto"/>
          <w:szCs w:val="22"/>
          <w:lang w:eastAsia="en-US"/>
        </w:rPr>
        <w:t>indefinitely by making</w:t>
      </w:r>
      <w:r w:rsidRPr="00481BCC">
        <w:rPr>
          <w:rFonts w:eastAsia="Calibri"/>
          <w:color w:val="auto"/>
          <w:szCs w:val="22"/>
          <w:lang w:eastAsia="en-US"/>
        </w:rPr>
        <w:t xml:space="preserve"> the MEC group provisions a permanent fixtur</w:t>
      </w:r>
      <w:r w:rsidR="007C582B">
        <w:rPr>
          <w:rFonts w:eastAsia="Calibri"/>
          <w:color w:val="auto"/>
          <w:szCs w:val="22"/>
          <w:lang w:eastAsia="en-US"/>
        </w:rPr>
        <w:t xml:space="preserve">e of the consolidation regime. </w:t>
      </w:r>
      <w:r w:rsidRPr="00481BCC">
        <w:rPr>
          <w:rFonts w:eastAsia="Calibri"/>
          <w:color w:val="auto"/>
          <w:szCs w:val="22"/>
          <w:lang w:eastAsia="en-US"/>
        </w:rPr>
        <w:t>This decision was made primarily in response to concerns raised around potential stamp duties and foreign tax liabilities that could result for MEC groups as they restructured to conform to an ordinary</w:t>
      </w:r>
      <w:r w:rsidR="008E7DBF">
        <w:rPr>
          <w:rFonts w:eastAsia="Calibri"/>
          <w:color w:val="auto"/>
          <w:szCs w:val="22"/>
          <w:lang w:eastAsia="en-US"/>
        </w:rPr>
        <w:t xml:space="preserve"> consolidated group structure.</w:t>
      </w:r>
    </w:p>
    <w:p w:rsidR="00C5538B" w:rsidRDefault="00481BCC" w:rsidP="00D568A5">
      <w:pPr>
        <w:spacing w:line="276" w:lineRule="auto"/>
        <w:rPr>
          <w:rFonts w:eastAsia="Calibri"/>
          <w:color w:val="auto"/>
          <w:szCs w:val="22"/>
          <w:lang w:eastAsia="en-US"/>
        </w:rPr>
      </w:pPr>
      <w:r w:rsidRPr="00481BCC">
        <w:rPr>
          <w:rFonts w:eastAsia="Calibri"/>
          <w:color w:val="auto"/>
          <w:szCs w:val="22"/>
          <w:lang w:eastAsia="en-US"/>
        </w:rPr>
        <w:t>While the Government considers that the consolidation regime is generally operating well, it has become apparent that the flexibility granted to MEC groups has resulted in</w:t>
      </w:r>
      <w:r w:rsidR="007C582B">
        <w:rPr>
          <w:rFonts w:eastAsia="Calibri"/>
          <w:color w:val="auto"/>
          <w:szCs w:val="22"/>
          <w:lang w:eastAsia="en-US"/>
        </w:rPr>
        <w:t xml:space="preserve"> some unintended consequences. </w:t>
      </w:r>
      <w:r w:rsidRPr="00481BCC">
        <w:rPr>
          <w:rFonts w:eastAsia="Calibri"/>
          <w:color w:val="auto"/>
          <w:szCs w:val="22"/>
          <w:lang w:eastAsia="en-US"/>
        </w:rPr>
        <w:t xml:space="preserve">The Board of Taxation wrote to the Government in June 2012 to express concerns around the tax advantages </w:t>
      </w:r>
      <w:r w:rsidR="00A160D4">
        <w:rPr>
          <w:rFonts w:eastAsia="Calibri"/>
          <w:color w:val="auto"/>
          <w:szCs w:val="22"/>
          <w:lang w:eastAsia="en-US"/>
        </w:rPr>
        <w:t>that</w:t>
      </w:r>
      <w:r w:rsidRPr="00481BCC">
        <w:rPr>
          <w:rFonts w:eastAsia="Calibri"/>
          <w:color w:val="auto"/>
          <w:szCs w:val="22"/>
          <w:lang w:eastAsia="en-US"/>
        </w:rPr>
        <w:t xml:space="preserve"> MEC groups</w:t>
      </w:r>
      <w:r w:rsidR="00A160D4">
        <w:rPr>
          <w:rFonts w:eastAsia="Calibri"/>
          <w:color w:val="auto"/>
          <w:szCs w:val="22"/>
          <w:lang w:eastAsia="en-US"/>
        </w:rPr>
        <w:t xml:space="preserve"> receive over ordinary consolidated groups</w:t>
      </w:r>
      <w:r w:rsidR="007C582B">
        <w:rPr>
          <w:rFonts w:eastAsia="Calibri"/>
          <w:color w:val="auto"/>
          <w:szCs w:val="22"/>
          <w:lang w:eastAsia="en-US"/>
        </w:rPr>
        <w:t xml:space="preserve">. </w:t>
      </w:r>
      <w:r w:rsidRPr="00481BCC">
        <w:rPr>
          <w:rFonts w:eastAsia="Calibri"/>
          <w:color w:val="auto"/>
          <w:szCs w:val="22"/>
          <w:lang w:eastAsia="en-US"/>
        </w:rPr>
        <w:t>The Government has investigated these concerns further and has identified three clear circumstances under which MEC groups can receive tax advantages.</w:t>
      </w:r>
      <w:r w:rsidR="00A213BE">
        <w:rPr>
          <w:rFonts w:eastAsia="Calibri"/>
          <w:color w:val="auto"/>
          <w:szCs w:val="22"/>
          <w:lang w:eastAsia="en-US"/>
        </w:rPr>
        <w:t xml:space="preserve"> </w:t>
      </w:r>
      <w:r w:rsidR="00A10B91">
        <w:rPr>
          <w:rFonts w:eastAsia="Calibri"/>
          <w:color w:val="auto"/>
          <w:szCs w:val="22"/>
          <w:lang w:eastAsia="en-US"/>
        </w:rPr>
        <w:t>These are outlined below.</w:t>
      </w:r>
    </w:p>
    <w:p w:rsidR="00481BCC" w:rsidRPr="00481BCC" w:rsidRDefault="00481BCC" w:rsidP="00D568A5">
      <w:pPr>
        <w:spacing w:line="276" w:lineRule="auto"/>
        <w:rPr>
          <w:rFonts w:eastAsia="Calibri"/>
          <w:color w:val="auto"/>
          <w:szCs w:val="22"/>
          <w:lang w:eastAsia="en-US"/>
        </w:rPr>
      </w:pPr>
      <w:r w:rsidRPr="00481BCC">
        <w:rPr>
          <w:rFonts w:eastAsia="Calibri"/>
          <w:color w:val="auto"/>
          <w:szCs w:val="22"/>
          <w:lang w:eastAsia="en-US"/>
        </w:rPr>
        <w:t xml:space="preserve">The tripartite working group will </w:t>
      </w:r>
      <w:r w:rsidR="0075192B">
        <w:rPr>
          <w:rFonts w:eastAsia="Calibri"/>
          <w:color w:val="auto"/>
          <w:szCs w:val="22"/>
          <w:lang w:eastAsia="en-US"/>
        </w:rPr>
        <w:t>also</w:t>
      </w:r>
      <w:r w:rsidRPr="00481BCC">
        <w:rPr>
          <w:rFonts w:eastAsia="Calibri"/>
          <w:color w:val="auto"/>
          <w:szCs w:val="22"/>
          <w:lang w:eastAsia="en-US"/>
        </w:rPr>
        <w:t xml:space="preserve"> consider any other tax advantages that it can identify that are availab</w:t>
      </w:r>
      <w:r w:rsidR="00C5538B">
        <w:rPr>
          <w:rFonts w:eastAsia="Calibri"/>
          <w:color w:val="auto"/>
          <w:szCs w:val="22"/>
          <w:lang w:eastAsia="en-US"/>
        </w:rPr>
        <w:t xml:space="preserve">le to foreign-owned MEC groups, </w:t>
      </w:r>
      <w:r w:rsidRPr="00481BCC">
        <w:rPr>
          <w:rFonts w:eastAsia="Calibri"/>
          <w:color w:val="auto"/>
          <w:szCs w:val="22"/>
          <w:lang w:eastAsia="en-US"/>
        </w:rPr>
        <w:t>and</w:t>
      </w:r>
      <w:r w:rsidR="00C5538B">
        <w:rPr>
          <w:rFonts w:eastAsia="Calibri"/>
          <w:color w:val="auto"/>
          <w:szCs w:val="22"/>
          <w:lang w:eastAsia="en-US"/>
        </w:rPr>
        <w:t xml:space="preserve"> those</w:t>
      </w:r>
      <w:r w:rsidRPr="00481BCC">
        <w:rPr>
          <w:rFonts w:eastAsia="Calibri"/>
          <w:color w:val="auto"/>
          <w:szCs w:val="22"/>
          <w:lang w:eastAsia="en-US"/>
        </w:rPr>
        <w:t xml:space="preserve"> group</w:t>
      </w:r>
      <w:r w:rsidR="00C5538B">
        <w:rPr>
          <w:rFonts w:eastAsia="Calibri"/>
          <w:color w:val="auto"/>
          <w:szCs w:val="22"/>
          <w:lang w:eastAsia="en-US"/>
        </w:rPr>
        <w:t>s capable of forming MEC groups</w:t>
      </w:r>
      <w:r w:rsidRPr="00481BCC">
        <w:rPr>
          <w:rFonts w:eastAsia="Calibri"/>
          <w:color w:val="auto"/>
          <w:szCs w:val="22"/>
          <w:lang w:eastAsia="en-US"/>
        </w:rPr>
        <w:t>, but are not available to Australian</w:t>
      </w:r>
      <w:r w:rsidRPr="00481BCC">
        <w:rPr>
          <w:rFonts w:eastAsia="Calibri"/>
          <w:color w:val="auto"/>
          <w:szCs w:val="22"/>
          <w:lang w:eastAsia="en-US"/>
        </w:rPr>
        <w:noBreakHyphen/>
        <w:t>owned ordinary consolidated groups.</w:t>
      </w:r>
    </w:p>
    <w:p w:rsidR="00481BCC" w:rsidRPr="00481BCC" w:rsidRDefault="00F10548" w:rsidP="00E574C9">
      <w:pPr>
        <w:pStyle w:val="Heading2"/>
      </w:pPr>
      <w:bookmarkStart w:id="17" w:name="_Toc356288814"/>
      <w:r>
        <w:t>Ability to</w:t>
      </w:r>
      <w:r w:rsidR="00481BCC" w:rsidRPr="00481BCC">
        <w:t xml:space="preserve"> restructure </w:t>
      </w:r>
      <w:r>
        <w:t xml:space="preserve">some </w:t>
      </w:r>
      <w:r w:rsidR="00481BCC" w:rsidRPr="00481BCC">
        <w:t xml:space="preserve">assets sales to avoid capital gains tax </w:t>
      </w:r>
      <w:r w:rsidR="00E574C9">
        <w:t>(cgt)</w:t>
      </w:r>
      <w:bookmarkEnd w:id="17"/>
      <w:r w:rsidR="00481BCC" w:rsidRPr="00481BCC">
        <w:t xml:space="preserve"> </w:t>
      </w:r>
    </w:p>
    <w:p w:rsidR="00481BCC" w:rsidRPr="00481BCC" w:rsidRDefault="00E63603" w:rsidP="00D568A5">
      <w:pPr>
        <w:spacing w:line="276" w:lineRule="auto"/>
        <w:rPr>
          <w:rFonts w:eastAsia="Calibri"/>
          <w:color w:val="auto"/>
          <w:szCs w:val="22"/>
          <w:lang w:eastAsia="en-US"/>
        </w:rPr>
      </w:pPr>
      <w:r>
        <w:t xml:space="preserve">In many cases, </w:t>
      </w:r>
      <w:r w:rsidRPr="00481BCC">
        <w:rPr>
          <w:rFonts w:eastAsia="Calibri"/>
          <w:color w:val="auto"/>
          <w:szCs w:val="22"/>
          <w:lang w:eastAsia="en-US"/>
        </w:rPr>
        <w:t xml:space="preserve">MEC groups can undertake relatively simple restructuring to avoid CGT </w:t>
      </w:r>
      <w:r>
        <w:rPr>
          <w:rFonts w:eastAsia="Calibri"/>
          <w:color w:val="auto"/>
          <w:szCs w:val="22"/>
          <w:lang w:eastAsia="en-US"/>
        </w:rPr>
        <w:t xml:space="preserve">on the sale of </w:t>
      </w:r>
      <w:r>
        <w:t>non</w:t>
      </w:r>
      <w:r>
        <w:noBreakHyphen/>
      </w:r>
      <w:r w:rsidRPr="0007790D">
        <w:t xml:space="preserve">taxable Australian real property </w:t>
      </w:r>
      <w:r>
        <w:t xml:space="preserve">(non-TARP) </w:t>
      </w:r>
      <w:r w:rsidRPr="0007790D">
        <w:t>assets</w:t>
      </w:r>
      <w:r>
        <w:rPr>
          <w:rFonts w:eastAsia="Calibri"/>
          <w:color w:val="auto"/>
          <w:szCs w:val="22"/>
          <w:lang w:eastAsia="en-US"/>
        </w:rPr>
        <w:t xml:space="preserve"> </w:t>
      </w:r>
      <w:r w:rsidR="0075192B">
        <w:rPr>
          <w:rFonts w:eastAsia="Calibri"/>
          <w:color w:val="auto"/>
          <w:szCs w:val="22"/>
          <w:lang w:eastAsia="en-US"/>
        </w:rPr>
        <w:t>that are currently within the Australian tax net because they are owned by an Australian</w:t>
      </w:r>
      <w:r w:rsidR="00F83BBA">
        <w:rPr>
          <w:rFonts w:eastAsia="Calibri"/>
          <w:color w:val="auto"/>
          <w:szCs w:val="22"/>
          <w:lang w:eastAsia="en-US"/>
        </w:rPr>
        <w:t>-</w:t>
      </w:r>
      <w:r w:rsidR="0075192B">
        <w:rPr>
          <w:rFonts w:eastAsia="Calibri"/>
          <w:color w:val="auto"/>
          <w:szCs w:val="22"/>
          <w:lang w:eastAsia="en-US"/>
        </w:rPr>
        <w:t>resident taxpayer</w:t>
      </w:r>
      <w:r w:rsidR="007C582B">
        <w:rPr>
          <w:rFonts w:eastAsia="Calibri"/>
          <w:color w:val="auto"/>
          <w:szCs w:val="22"/>
          <w:lang w:eastAsia="en-US"/>
        </w:rPr>
        <w:t xml:space="preserve">. </w:t>
      </w:r>
      <w:r w:rsidR="00481BCC" w:rsidRPr="00481BCC">
        <w:rPr>
          <w:rFonts w:eastAsia="Calibri"/>
          <w:color w:val="auto"/>
          <w:szCs w:val="22"/>
          <w:lang w:eastAsia="en-US"/>
        </w:rPr>
        <w:t xml:space="preserve">MEC groups can achieve this by moving assets to a </w:t>
      </w:r>
      <w:r w:rsidR="00D568A5">
        <w:rPr>
          <w:rFonts w:eastAsia="Calibri"/>
          <w:color w:val="auto"/>
          <w:szCs w:val="22"/>
          <w:lang w:eastAsia="en-US"/>
        </w:rPr>
        <w:t>tier-1</w:t>
      </w:r>
      <w:r w:rsidR="00481BCC" w:rsidRPr="00481BCC">
        <w:rPr>
          <w:rFonts w:eastAsia="Calibri"/>
          <w:color w:val="auto"/>
          <w:szCs w:val="22"/>
          <w:lang w:eastAsia="en-US"/>
        </w:rPr>
        <w:t xml:space="preserve"> company and then selling</w:t>
      </w:r>
      <w:r w:rsidR="00DD5760">
        <w:rPr>
          <w:rFonts w:eastAsia="Calibri"/>
          <w:color w:val="auto"/>
          <w:szCs w:val="22"/>
          <w:lang w:eastAsia="en-US"/>
        </w:rPr>
        <w:t xml:space="preserve"> the</w:t>
      </w:r>
      <w:r w:rsidR="00481BCC" w:rsidRPr="00481BCC">
        <w:rPr>
          <w:rFonts w:eastAsia="Calibri"/>
          <w:color w:val="auto"/>
          <w:szCs w:val="22"/>
          <w:lang w:eastAsia="en-US"/>
        </w:rPr>
        <w:t xml:space="preserve"> shares in the </w:t>
      </w:r>
      <w:r w:rsidR="00D568A5">
        <w:rPr>
          <w:rFonts w:eastAsia="Calibri"/>
          <w:color w:val="auto"/>
          <w:szCs w:val="22"/>
          <w:lang w:eastAsia="en-US"/>
        </w:rPr>
        <w:t>tier-1</w:t>
      </w:r>
      <w:r w:rsidR="00481BCC" w:rsidRPr="00481BCC">
        <w:rPr>
          <w:rFonts w:eastAsia="Calibri"/>
          <w:color w:val="auto"/>
          <w:szCs w:val="22"/>
          <w:lang w:eastAsia="en-US"/>
        </w:rPr>
        <w:t xml:space="preserve"> company, rather than </w:t>
      </w:r>
      <w:r w:rsidR="004B44AC">
        <w:rPr>
          <w:rFonts w:eastAsia="Calibri"/>
          <w:color w:val="auto"/>
          <w:szCs w:val="22"/>
          <w:lang w:eastAsia="en-US"/>
        </w:rPr>
        <w:t xml:space="preserve">simply </w:t>
      </w:r>
      <w:r w:rsidR="00481BCC" w:rsidRPr="00481BCC">
        <w:rPr>
          <w:rFonts w:eastAsia="Calibri"/>
          <w:color w:val="auto"/>
          <w:szCs w:val="22"/>
          <w:lang w:eastAsia="en-US"/>
        </w:rPr>
        <w:t>selling the underlying asse</w:t>
      </w:r>
      <w:r w:rsidR="007C582B">
        <w:rPr>
          <w:rFonts w:eastAsia="Calibri"/>
          <w:color w:val="auto"/>
          <w:szCs w:val="22"/>
          <w:lang w:eastAsia="en-US"/>
        </w:rPr>
        <w:t xml:space="preserve">t. </w:t>
      </w:r>
      <w:r w:rsidR="00D568A5">
        <w:rPr>
          <w:rFonts w:eastAsia="Calibri"/>
          <w:color w:val="auto"/>
          <w:szCs w:val="22"/>
          <w:lang w:eastAsia="en-US"/>
        </w:rPr>
        <w:t>As long as less than 50 per </w:t>
      </w:r>
      <w:r w:rsidR="00481BCC" w:rsidRPr="00481BCC">
        <w:rPr>
          <w:rFonts w:eastAsia="Calibri"/>
          <w:color w:val="auto"/>
          <w:szCs w:val="22"/>
          <w:lang w:eastAsia="en-US"/>
        </w:rPr>
        <w:t xml:space="preserve">cent of the value of the </w:t>
      </w:r>
      <w:r w:rsidR="00D568A5">
        <w:rPr>
          <w:rFonts w:eastAsia="Calibri"/>
          <w:color w:val="auto"/>
          <w:szCs w:val="22"/>
          <w:lang w:eastAsia="en-US"/>
        </w:rPr>
        <w:t>tier-1</w:t>
      </w:r>
      <w:r w:rsidR="00481BCC" w:rsidRPr="00481BCC">
        <w:rPr>
          <w:rFonts w:eastAsia="Calibri"/>
          <w:color w:val="auto"/>
          <w:szCs w:val="22"/>
          <w:lang w:eastAsia="en-US"/>
        </w:rPr>
        <w:t xml:space="preserve"> company is derived from TARP assets, t</w:t>
      </w:r>
      <w:r>
        <w:rPr>
          <w:rFonts w:eastAsia="Calibri"/>
          <w:color w:val="auto"/>
          <w:szCs w:val="22"/>
          <w:lang w:eastAsia="en-US"/>
        </w:rPr>
        <w:t>he sale is eligible for the non</w:t>
      </w:r>
      <w:r>
        <w:rPr>
          <w:rFonts w:eastAsia="Calibri"/>
          <w:color w:val="auto"/>
          <w:szCs w:val="22"/>
          <w:lang w:eastAsia="en-US"/>
        </w:rPr>
        <w:noBreakHyphen/>
      </w:r>
      <w:r w:rsidR="007C582B">
        <w:rPr>
          <w:rFonts w:eastAsia="Calibri"/>
          <w:color w:val="auto"/>
          <w:szCs w:val="22"/>
          <w:lang w:eastAsia="en-US"/>
        </w:rPr>
        <w:t xml:space="preserve">resident CGT exemption. </w:t>
      </w:r>
      <w:r w:rsidR="00481BCC" w:rsidRPr="00481BCC">
        <w:rPr>
          <w:rFonts w:eastAsia="Calibri"/>
          <w:color w:val="auto"/>
          <w:szCs w:val="22"/>
          <w:lang w:eastAsia="en-US"/>
        </w:rPr>
        <w:t xml:space="preserve">In comparison, an ordinary consolidated group would not be able to receive the non-resident CGT exemption on the sale of the shares in a subsidiary, because the shares would be owned by the Australian-resident head of the group. </w:t>
      </w:r>
    </w:p>
    <w:p w:rsidR="00481BCC" w:rsidRPr="00481BCC" w:rsidRDefault="00F10548" w:rsidP="008E7DBF">
      <w:pPr>
        <w:pStyle w:val="Heading2NotNumbered"/>
      </w:pPr>
      <w:r>
        <w:t>Example: mec</w:t>
      </w:r>
      <w:r w:rsidR="00481BCC" w:rsidRPr="00481BCC">
        <w:t xml:space="preserve"> group restr</w:t>
      </w:r>
      <w:r>
        <w:t>ucturing asset sale to avoid cgt</w:t>
      </w:r>
    </w:p>
    <w:p w:rsidR="00481BCC" w:rsidRDefault="00481BCC" w:rsidP="008E7DBF">
      <w:pPr>
        <w:pStyle w:val="ChartGraphic"/>
        <w:rPr>
          <w:rFonts w:eastAsia="Calibri"/>
        </w:rPr>
      </w:pPr>
      <w:r>
        <w:rPr>
          <w:rFonts w:eastAsia="Calibri"/>
          <w:noProof/>
        </w:rPr>
        <w:drawing>
          <wp:inline distT="0" distB="0" distL="0" distR="0" wp14:anchorId="0FB6ECCC" wp14:editId="056B75CD">
            <wp:extent cx="5512606" cy="4347713"/>
            <wp:effectExtent l="0" t="0" r="0" b="0"/>
            <wp:docPr id="13" name="Picture 13" descr="The diagram shows an example of how a MEC group can restructure an asset sale to avoid CGT. Asset A is transferred from Company A (a tier-1 company) to Empty Co (another Tier-1 company).  Empty Co (including Asset A) is then sold to a third party." title="Example: MEC group restructuring asset sale to avoid 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ssues paper exampl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559" cy="4350831"/>
                    </a:xfrm>
                    <a:prstGeom prst="rect">
                      <a:avLst/>
                    </a:prstGeom>
                    <a:noFill/>
                    <a:ln>
                      <a:noFill/>
                    </a:ln>
                  </pic:spPr>
                </pic:pic>
              </a:graphicData>
            </a:graphic>
          </wp:inline>
        </w:drawing>
      </w:r>
    </w:p>
    <w:p w:rsidR="008E7DBF" w:rsidRPr="008E7DBF" w:rsidRDefault="008E7DBF" w:rsidP="008E7DBF">
      <w:pPr>
        <w:pStyle w:val="SingleParagraph"/>
        <w:rPr>
          <w:rFonts w:eastAsia="Calibri"/>
        </w:rPr>
      </w:pPr>
    </w:p>
    <w:p w:rsidR="00481BCC" w:rsidRPr="00481BCC" w:rsidRDefault="00481BCC" w:rsidP="00D568A5">
      <w:pPr>
        <w:spacing w:line="276" w:lineRule="auto"/>
        <w:rPr>
          <w:rFonts w:eastAsia="Calibri"/>
          <w:color w:val="auto"/>
          <w:szCs w:val="22"/>
          <w:lang w:eastAsia="en-US"/>
        </w:rPr>
      </w:pPr>
      <w:r w:rsidRPr="00481BCC">
        <w:rPr>
          <w:rFonts w:eastAsia="Calibri"/>
          <w:color w:val="auto"/>
          <w:szCs w:val="22"/>
          <w:lang w:eastAsia="en-US"/>
        </w:rPr>
        <w:t>In this example, the MEC group wishes to sell Asset A (one of many assets that Company A holds), which would nor</w:t>
      </w:r>
      <w:r w:rsidR="007C582B">
        <w:rPr>
          <w:rFonts w:eastAsia="Calibri"/>
          <w:color w:val="auto"/>
          <w:szCs w:val="22"/>
          <w:lang w:eastAsia="en-US"/>
        </w:rPr>
        <w:t xml:space="preserve">mally attract a CGT liability. </w:t>
      </w:r>
      <w:r w:rsidRPr="00481BCC">
        <w:rPr>
          <w:rFonts w:eastAsia="Calibri"/>
          <w:color w:val="auto"/>
          <w:szCs w:val="22"/>
          <w:lang w:eastAsia="en-US"/>
        </w:rPr>
        <w:t xml:space="preserve">To avoid this, the MEC group transfers Asset A to Empty Co, a </w:t>
      </w:r>
      <w:r w:rsidR="00D568A5">
        <w:rPr>
          <w:rFonts w:eastAsia="Calibri"/>
          <w:color w:val="auto"/>
          <w:szCs w:val="22"/>
          <w:lang w:eastAsia="en-US"/>
        </w:rPr>
        <w:t>tier-1</w:t>
      </w:r>
      <w:r w:rsidRPr="00481BCC">
        <w:rPr>
          <w:rFonts w:eastAsia="Calibri"/>
          <w:color w:val="auto"/>
          <w:szCs w:val="22"/>
          <w:lang w:eastAsia="en-US"/>
        </w:rPr>
        <w:t xml:space="preserve"> company in the group owned directly by Fore</w:t>
      </w:r>
      <w:r w:rsidR="007C582B">
        <w:rPr>
          <w:rFonts w:eastAsia="Calibri"/>
          <w:color w:val="auto"/>
          <w:szCs w:val="22"/>
          <w:lang w:eastAsia="en-US"/>
        </w:rPr>
        <w:t xml:space="preserve">ign Top Co. </w:t>
      </w:r>
      <w:r w:rsidRPr="00481BCC">
        <w:rPr>
          <w:rFonts w:eastAsia="Calibri"/>
          <w:color w:val="auto"/>
          <w:szCs w:val="22"/>
          <w:lang w:eastAsia="en-US"/>
        </w:rPr>
        <w:t xml:space="preserve">The value of Empty Co is now derived </w:t>
      </w:r>
      <w:r w:rsidR="007C582B">
        <w:rPr>
          <w:rFonts w:eastAsia="Calibri"/>
          <w:color w:val="auto"/>
          <w:szCs w:val="22"/>
          <w:lang w:eastAsia="en-US"/>
        </w:rPr>
        <w:t xml:space="preserve">entirely from non-TARP assets. </w:t>
      </w:r>
      <w:r w:rsidRPr="00481BCC">
        <w:rPr>
          <w:rFonts w:eastAsia="Calibri"/>
          <w:color w:val="auto"/>
          <w:szCs w:val="22"/>
          <w:lang w:eastAsia="en-US"/>
        </w:rPr>
        <w:t>As a result, the MEC gro</w:t>
      </w:r>
      <w:r w:rsidR="0021227D">
        <w:rPr>
          <w:rFonts w:eastAsia="Calibri"/>
          <w:color w:val="auto"/>
          <w:szCs w:val="22"/>
          <w:lang w:eastAsia="en-US"/>
        </w:rPr>
        <w:t>up can sell the shares in Empty </w:t>
      </w:r>
      <w:r w:rsidRPr="00481BCC">
        <w:rPr>
          <w:rFonts w:eastAsia="Calibri"/>
          <w:color w:val="auto"/>
          <w:szCs w:val="22"/>
          <w:lang w:eastAsia="en-US"/>
        </w:rPr>
        <w:t>Co</w:t>
      </w:r>
      <w:r w:rsidR="0021227D">
        <w:rPr>
          <w:rFonts w:eastAsia="Calibri"/>
          <w:color w:val="auto"/>
          <w:szCs w:val="22"/>
          <w:lang w:eastAsia="en-US"/>
        </w:rPr>
        <w:t xml:space="preserve"> without being subject to tax on the increased value of Asset A, because the disposal of the shares in Empty Co is covered by the non-resident CGT exemption.</w:t>
      </w:r>
    </w:p>
    <w:p w:rsidR="00481BCC" w:rsidRPr="00481BCC" w:rsidRDefault="00F10548" w:rsidP="00E574C9">
      <w:pPr>
        <w:pStyle w:val="Heading2"/>
      </w:pPr>
      <w:bookmarkStart w:id="18" w:name="_Toc356288815"/>
      <w:r>
        <w:t>Choice</w:t>
      </w:r>
      <w:r w:rsidR="00CC6C44">
        <w:t xml:space="preserve"> between retaining or</w:t>
      </w:r>
      <w:r w:rsidR="00481BCC" w:rsidRPr="00481BCC">
        <w:t xml:space="preserve"> resetting the cost bases of a joining entity’s assets</w:t>
      </w:r>
      <w:bookmarkEnd w:id="18"/>
      <w:r w:rsidR="00481BCC" w:rsidRPr="00481BCC">
        <w:t xml:space="preserve"> </w:t>
      </w:r>
    </w:p>
    <w:p w:rsidR="00481BCC" w:rsidRPr="00481BCC" w:rsidRDefault="00070981" w:rsidP="00D568A5">
      <w:pPr>
        <w:spacing w:line="276" w:lineRule="auto"/>
        <w:rPr>
          <w:rFonts w:eastAsia="Calibri"/>
          <w:color w:val="auto"/>
          <w:szCs w:val="22"/>
          <w:lang w:eastAsia="en-US"/>
        </w:rPr>
      </w:pPr>
      <w:r>
        <w:t xml:space="preserve">MEC groups can choose between retaining </w:t>
      </w:r>
      <w:r w:rsidR="00CC6C44">
        <w:t>or</w:t>
      </w:r>
      <w:r>
        <w:t xml:space="preserve"> resetting the cost bases of a joining entity’s assets.</w:t>
      </w:r>
      <w:r w:rsidR="00A213BE">
        <w:t xml:space="preserve"> </w:t>
      </w:r>
      <w:r>
        <w:t>They can do this by</w:t>
      </w:r>
      <w:r w:rsidR="00481BCC" w:rsidRPr="00481BCC">
        <w:rPr>
          <w:rFonts w:eastAsia="Calibri"/>
          <w:color w:val="auto"/>
          <w:szCs w:val="22"/>
          <w:lang w:eastAsia="en-US"/>
        </w:rPr>
        <w:t xml:space="preserve"> elect</w:t>
      </w:r>
      <w:r>
        <w:rPr>
          <w:rFonts w:eastAsia="Calibri"/>
          <w:color w:val="auto"/>
          <w:szCs w:val="22"/>
          <w:lang w:eastAsia="en-US"/>
        </w:rPr>
        <w:t>ing</w:t>
      </w:r>
      <w:r w:rsidR="00481BCC" w:rsidRPr="00481BCC">
        <w:rPr>
          <w:rFonts w:eastAsia="Calibri"/>
          <w:color w:val="auto"/>
          <w:szCs w:val="22"/>
          <w:lang w:eastAsia="en-US"/>
        </w:rPr>
        <w:t xml:space="preserve"> to </w:t>
      </w:r>
      <w:r w:rsidR="00074E1B">
        <w:rPr>
          <w:rFonts w:eastAsia="Calibri"/>
          <w:color w:val="auto"/>
          <w:szCs w:val="22"/>
          <w:lang w:eastAsia="en-US"/>
        </w:rPr>
        <w:t xml:space="preserve">either </w:t>
      </w:r>
      <w:r w:rsidR="00481BCC" w:rsidRPr="00481BCC">
        <w:rPr>
          <w:rFonts w:eastAsia="Calibri"/>
          <w:color w:val="auto"/>
          <w:szCs w:val="22"/>
          <w:lang w:eastAsia="en-US"/>
        </w:rPr>
        <w:t xml:space="preserve">bring a new entity into the group at the </w:t>
      </w:r>
      <w:r w:rsidR="00D568A5">
        <w:rPr>
          <w:rFonts w:eastAsia="Calibri"/>
          <w:color w:val="auto"/>
          <w:szCs w:val="22"/>
          <w:lang w:eastAsia="en-US"/>
        </w:rPr>
        <w:t>tier-1</w:t>
      </w:r>
      <w:r w:rsidR="00481BCC" w:rsidRPr="00481BCC">
        <w:rPr>
          <w:rFonts w:eastAsia="Calibri"/>
          <w:color w:val="auto"/>
          <w:szCs w:val="22"/>
          <w:lang w:eastAsia="en-US"/>
        </w:rPr>
        <w:t xml:space="preserve"> level (by ensuring that some or all of the membership interests in the ent</w:t>
      </w:r>
      <w:r w:rsidR="00D568A5">
        <w:rPr>
          <w:rFonts w:eastAsia="Calibri"/>
          <w:color w:val="auto"/>
          <w:szCs w:val="22"/>
          <w:lang w:eastAsia="en-US"/>
        </w:rPr>
        <w:t>ity are directly owned by a non</w:t>
      </w:r>
      <w:r w:rsidR="00D568A5">
        <w:rPr>
          <w:rFonts w:eastAsia="Calibri"/>
          <w:color w:val="auto"/>
          <w:szCs w:val="22"/>
          <w:lang w:eastAsia="en-US"/>
        </w:rPr>
        <w:noBreakHyphen/>
      </w:r>
      <w:r w:rsidR="00481BCC" w:rsidRPr="00481BCC">
        <w:rPr>
          <w:rFonts w:eastAsia="Calibri"/>
          <w:color w:val="auto"/>
          <w:szCs w:val="22"/>
          <w:lang w:eastAsia="en-US"/>
        </w:rPr>
        <w:t>resident member of the corporate group), or at</w:t>
      </w:r>
      <w:r w:rsidR="0021227D">
        <w:rPr>
          <w:rFonts w:eastAsia="Calibri"/>
          <w:color w:val="auto"/>
          <w:szCs w:val="22"/>
          <w:lang w:eastAsia="en-US"/>
        </w:rPr>
        <w:t xml:space="preserve"> a</w:t>
      </w:r>
      <w:r w:rsidR="00481BCC" w:rsidRPr="00481BCC">
        <w:rPr>
          <w:rFonts w:eastAsia="Calibri"/>
          <w:color w:val="auto"/>
          <w:szCs w:val="22"/>
          <w:lang w:eastAsia="en-US"/>
        </w:rPr>
        <w:t xml:space="preserve"> lower level in the group (by ensuring that the entity is directly owned by an </w:t>
      </w:r>
      <w:r w:rsidR="007C582B">
        <w:rPr>
          <w:rFonts w:eastAsia="Calibri"/>
          <w:color w:val="auto"/>
          <w:szCs w:val="22"/>
          <w:lang w:eastAsia="en-US"/>
        </w:rPr>
        <w:t xml:space="preserve">existing member of the group). </w:t>
      </w:r>
      <w:r w:rsidR="00481BCC" w:rsidRPr="00481BCC">
        <w:rPr>
          <w:rFonts w:eastAsia="Calibri"/>
          <w:color w:val="auto"/>
          <w:szCs w:val="22"/>
          <w:lang w:eastAsia="en-US"/>
        </w:rPr>
        <w:t xml:space="preserve">At the </w:t>
      </w:r>
      <w:r w:rsidR="00D568A5">
        <w:rPr>
          <w:rFonts w:eastAsia="Calibri"/>
          <w:color w:val="auto"/>
          <w:szCs w:val="22"/>
          <w:lang w:eastAsia="en-US"/>
        </w:rPr>
        <w:t>tier-1</w:t>
      </w:r>
      <w:r w:rsidR="00481BCC" w:rsidRPr="00481BCC">
        <w:rPr>
          <w:rFonts w:eastAsia="Calibri"/>
          <w:color w:val="auto"/>
          <w:szCs w:val="22"/>
          <w:lang w:eastAsia="en-US"/>
        </w:rPr>
        <w:t xml:space="preserve"> level, the cost bases of the assets belonging to the</w:t>
      </w:r>
      <w:r w:rsidR="007C582B">
        <w:rPr>
          <w:rFonts w:eastAsia="Calibri"/>
          <w:color w:val="auto"/>
          <w:szCs w:val="22"/>
          <w:lang w:eastAsia="en-US"/>
        </w:rPr>
        <w:t xml:space="preserve"> incoming entity are retained. </w:t>
      </w:r>
      <w:r w:rsidR="00481BCC" w:rsidRPr="00481BCC">
        <w:rPr>
          <w:rFonts w:eastAsia="Calibri"/>
          <w:color w:val="auto"/>
          <w:szCs w:val="22"/>
          <w:lang w:eastAsia="en-US"/>
        </w:rPr>
        <w:t xml:space="preserve">At lower levels, the cost </w:t>
      </w:r>
      <w:r w:rsidR="007C582B">
        <w:rPr>
          <w:rFonts w:eastAsia="Calibri"/>
          <w:color w:val="auto"/>
          <w:szCs w:val="22"/>
          <w:lang w:eastAsia="en-US"/>
        </w:rPr>
        <w:t xml:space="preserve">bases of the assets are reset. </w:t>
      </w:r>
      <w:r w:rsidR="00481BCC" w:rsidRPr="00481BCC">
        <w:rPr>
          <w:rFonts w:eastAsia="Calibri"/>
          <w:color w:val="auto"/>
          <w:szCs w:val="22"/>
          <w:lang w:eastAsia="en-US"/>
        </w:rPr>
        <w:t>A MEC group can therefore choose to bring an entity into the group at the level that results in th</w:t>
      </w:r>
      <w:r w:rsidR="007C582B">
        <w:rPr>
          <w:rFonts w:eastAsia="Calibri"/>
          <w:color w:val="auto"/>
          <w:szCs w:val="22"/>
          <w:lang w:eastAsia="en-US"/>
        </w:rPr>
        <w:t xml:space="preserve">e most favourable tax outcome. </w:t>
      </w:r>
      <w:r>
        <w:rPr>
          <w:rFonts w:eastAsia="Calibri"/>
          <w:color w:val="auto"/>
          <w:szCs w:val="22"/>
          <w:lang w:eastAsia="en-US"/>
        </w:rPr>
        <w:t>In comparison,</w:t>
      </w:r>
      <w:r w:rsidR="00481BCC" w:rsidRPr="00481BCC">
        <w:rPr>
          <w:rFonts w:eastAsia="Calibri"/>
          <w:color w:val="auto"/>
          <w:szCs w:val="22"/>
          <w:lang w:eastAsia="en-US"/>
        </w:rPr>
        <w:t xml:space="preserve"> ordinary consolidated groups cannot choose whether to retain or reset the cost base of the assets belonging to incoming entities.</w:t>
      </w:r>
      <w:r w:rsidR="004A275F">
        <w:rPr>
          <w:rFonts w:eastAsia="Calibri"/>
          <w:color w:val="auto"/>
          <w:szCs w:val="22"/>
          <w:lang w:eastAsia="en-US"/>
        </w:rPr>
        <w:t xml:space="preserve"> </w:t>
      </w:r>
    </w:p>
    <w:p w:rsidR="006779AD" w:rsidRPr="00EB1F93" w:rsidRDefault="00F10548" w:rsidP="008E7DBF">
      <w:pPr>
        <w:pStyle w:val="Heading2NotNumbered"/>
      </w:pPr>
      <w:r>
        <w:t>Example: mec</w:t>
      </w:r>
      <w:r w:rsidR="00481BCC" w:rsidRPr="00481BCC">
        <w:t xml:space="preserve"> group </w:t>
      </w:r>
      <w:r>
        <w:t>avoiding cgt</w:t>
      </w:r>
      <w:r w:rsidR="00481BCC" w:rsidRPr="00481BCC">
        <w:t xml:space="preserve"> by retaining the cost base of a joining entity’s asset</w:t>
      </w:r>
    </w:p>
    <w:p w:rsidR="00481BCC" w:rsidRDefault="00F75829" w:rsidP="008E7DBF">
      <w:pPr>
        <w:pStyle w:val="ChartGraphic"/>
        <w:rPr>
          <w:rFonts w:eastAsia="Calibri"/>
          <w:b/>
          <w:color w:val="auto"/>
          <w:szCs w:val="22"/>
          <w:lang w:eastAsia="en-US"/>
        </w:rPr>
      </w:pPr>
      <w:r>
        <w:rPr>
          <w:noProof/>
        </w:rPr>
        <w:drawing>
          <wp:inline distT="0" distB="0" distL="0" distR="0" wp14:anchorId="0FB6ECCE" wp14:editId="18BFC93D">
            <wp:extent cx="5724000" cy="4151609"/>
            <wp:effectExtent l="0" t="0" r="0" b="1905"/>
            <wp:docPr id="5" name="Picture 5" descr="The diagram shows how a MEC group can minimise its CGT by retaining the cost base of a joining entity's asset.  The diagram shows a MEC group with three tier-1 companies (Company A, Company B, and Company C).  Company B has a subsidiary, Company D.  Company C enters the MEC group and then transfers its cash assets to Company D." title="Example: MEC group avoiding CGT by retaining the cost base of a joining entity’s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682" t="20151" r="20301" b="20904"/>
                    <a:stretch/>
                  </pic:blipFill>
                  <pic:spPr bwMode="auto">
                    <a:xfrm>
                      <a:off x="0" y="0"/>
                      <a:ext cx="5724000" cy="4151609"/>
                    </a:xfrm>
                    <a:prstGeom prst="rect">
                      <a:avLst/>
                    </a:prstGeom>
                    <a:ln>
                      <a:noFill/>
                    </a:ln>
                    <a:extLst>
                      <a:ext uri="{53640926-AAD7-44D8-BBD7-CCE9431645EC}">
                        <a14:shadowObscured xmlns:a14="http://schemas.microsoft.com/office/drawing/2010/main"/>
                      </a:ext>
                    </a:extLst>
                  </pic:spPr>
                </pic:pic>
              </a:graphicData>
            </a:graphic>
          </wp:inline>
        </w:drawing>
      </w:r>
    </w:p>
    <w:p w:rsidR="008E7DBF" w:rsidRPr="008E7DBF" w:rsidRDefault="008E7DBF" w:rsidP="008E7DBF">
      <w:pPr>
        <w:pStyle w:val="SingleParagraph"/>
        <w:rPr>
          <w:rFonts w:eastAsia="Calibri"/>
          <w:lang w:eastAsia="en-US"/>
        </w:rPr>
      </w:pPr>
    </w:p>
    <w:p w:rsidR="00481BCC" w:rsidRDefault="00481BCC" w:rsidP="00D568A5">
      <w:pPr>
        <w:spacing w:line="276" w:lineRule="auto"/>
        <w:rPr>
          <w:rFonts w:eastAsia="Calibri"/>
          <w:color w:val="auto"/>
          <w:szCs w:val="22"/>
          <w:lang w:eastAsia="en-US"/>
        </w:rPr>
      </w:pPr>
      <w:r w:rsidRPr="00481BCC">
        <w:rPr>
          <w:rFonts w:eastAsia="Calibri"/>
          <w:color w:val="auto"/>
          <w:szCs w:val="22"/>
          <w:lang w:eastAsia="en-US"/>
        </w:rPr>
        <w:t xml:space="preserve">Top Co chooses to directly purchase Company C, so that Company C joins the MEC group as a </w:t>
      </w:r>
      <w:r w:rsidR="00D568A5">
        <w:rPr>
          <w:rFonts w:eastAsia="Calibri"/>
          <w:color w:val="auto"/>
          <w:szCs w:val="22"/>
          <w:lang w:eastAsia="en-US"/>
        </w:rPr>
        <w:t>tier-1</w:t>
      </w:r>
      <w:r w:rsidR="007C582B">
        <w:rPr>
          <w:rFonts w:eastAsia="Calibri"/>
          <w:color w:val="auto"/>
          <w:szCs w:val="22"/>
          <w:lang w:eastAsia="en-US"/>
        </w:rPr>
        <w:t xml:space="preserve"> company. </w:t>
      </w:r>
      <w:r w:rsidRPr="00481BCC">
        <w:rPr>
          <w:rFonts w:eastAsia="Calibri"/>
          <w:color w:val="auto"/>
          <w:szCs w:val="22"/>
          <w:lang w:eastAsia="en-US"/>
        </w:rPr>
        <w:t>This means that the cost bases of the assets in Company C are retained as it enters the group.</w:t>
      </w:r>
      <w:r w:rsidR="00A213BE">
        <w:rPr>
          <w:rFonts w:eastAsia="Calibri"/>
          <w:color w:val="auto"/>
          <w:szCs w:val="22"/>
          <w:lang w:eastAsia="en-US"/>
        </w:rPr>
        <w:t xml:space="preserve"> </w:t>
      </w:r>
      <w:r w:rsidRPr="00481BCC">
        <w:rPr>
          <w:rFonts w:eastAsia="Calibri"/>
          <w:color w:val="auto"/>
          <w:szCs w:val="22"/>
          <w:lang w:eastAsia="en-US"/>
        </w:rPr>
        <w:t>As Top Co purchased Company C progressively over time, some of the increase in the value of Company C is not fully represented in the cost base of the assets</w:t>
      </w:r>
      <w:r w:rsidR="00F4470A">
        <w:rPr>
          <w:rFonts w:eastAsia="Calibri"/>
          <w:color w:val="auto"/>
          <w:szCs w:val="22"/>
          <w:lang w:eastAsia="en-US"/>
        </w:rPr>
        <w:t>, which is set at $19,000</w:t>
      </w:r>
      <w:r w:rsidR="007C582B">
        <w:rPr>
          <w:rFonts w:eastAsia="Calibri"/>
          <w:color w:val="auto"/>
          <w:szCs w:val="22"/>
          <w:lang w:eastAsia="en-US"/>
        </w:rPr>
        <w:t xml:space="preserve">. </w:t>
      </w:r>
      <w:r w:rsidRPr="00481BCC">
        <w:rPr>
          <w:rFonts w:eastAsia="Calibri"/>
          <w:color w:val="auto"/>
          <w:szCs w:val="22"/>
          <w:lang w:eastAsia="en-US"/>
        </w:rPr>
        <w:t>The MEC group then transfers the cash in Company C to Compan</w:t>
      </w:r>
      <w:r w:rsidR="00F4470A">
        <w:rPr>
          <w:rFonts w:eastAsia="Calibri"/>
          <w:color w:val="auto"/>
          <w:szCs w:val="22"/>
          <w:lang w:eastAsia="en-US"/>
        </w:rPr>
        <w:t xml:space="preserve">y D, before selling Company D. </w:t>
      </w:r>
      <w:r w:rsidRPr="00481BCC">
        <w:rPr>
          <w:rFonts w:eastAsia="Calibri"/>
          <w:color w:val="auto"/>
          <w:szCs w:val="22"/>
          <w:lang w:eastAsia="en-US"/>
        </w:rPr>
        <w:t xml:space="preserve">Under the exit cost setting rules, the </w:t>
      </w:r>
      <w:r w:rsidR="00B30D3D">
        <w:rPr>
          <w:rFonts w:eastAsia="Calibri"/>
          <w:color w:val="auto"/>
          <w:szCs w:val="22"/>
          <w:lang w:eastAsia="en-US"/>
        </w:rPr>
        <w:t xml:space="preserve">cost base of the shares in Company D is increased by </w:t>
      </w:r>
      <w:r w:rsidRPr="00481BCC">
        <w:rPr>
          <w:rFonts w:eastAsia="Calibri"/>
          <w:color w:val="auto"/>
          <w:szCs w:val="22"/>
          <w:lang w:eastAsia="en-US"/>
        </w:rPr>
        <w:t>$100,</w:t>
      </w:r>
      <w:r w:rsidR="0021227D">
        <w:rPr>
          <w:rFonts w:eastAsia="Calibri"/>
          <w:color w:val="auto"/>
          <w:szCs w:val="22"/>
          <w:lang w:eastAsia="en-US"/>
        </w:rPr>
        <w:t>000,</w:t>
      </w:r>
      <w:r w:rsidRPr="00481BCC">
        <w:rPr>
          <w:rFonts w:eastAsia="Calibri"/>
          <w:color w:val="auto"/>
          <w:szCs w:val="22"/>
          <w:lang w:eastAsia="en-US"/>
        </w:rPr>
        <w:t xml:space="preserve"> </w:t>
      </w:r>
      <w:r w:rsidR="00B30D3D">
        <w:rPr>
          <w:rFonts w:eastAsia="Calibri"/>
          <w:color w:val="auto"/>
          <w:szCs w:val="22"/>
          <w:lang w:eastAsia="en-US"/>
        </w:rPr>
        <w:t>resulting in</w:t>
      </w:r>
      <w:r w:rsidRPr="00481BCC">
        <w:rPr>
          <w:rFonts w:eastAsia="Calibri"/>
          <w:color w:val="auto"/>
          <w:szCs w:val="22"/>
          <w:lang w:eastAsia="en-US"/>
        </w:rPr>
        <w:t xml:space="preserve"> the capital gain of $81</w:t>
      </w:r>
      <w:r w:rsidR="0021227D">
        <w:rPr>
          <w:rFonts w:eastAsia="Calibri"/>
          <w:color w:val="auto"/>
          <w:szCs w:val="22"/>
          <w:lang w:eastAsia="en-US"/>
        </w:rPr>
        <w:t>,000</w:t>
      </w:r>
      <w:r w:rsidRPr="00481BCC">
        <w:rPr>
          <w:rFonts w:eastAsia="Calibri"/>
          <w:color w:val="auto"/>
          <w:szCs w:val="22"/>
          <w:lang w:eastAsia="en-US"/>
        </w:rPr>
        <w:t xml:space="preserve"> </w:t>
      </w:r>
      <w:r w:rsidR="00B30D3D">
        <w:rPr>
          <w:rFonts w:eastAsia="Calibri"/>
          <w:color w:val="auto"/>
          <w:szCs w:val="22"/>
          <w:lang w:eastAsia="en-US"/>
        </w:rPr>
        <w:t>being</w:t>
      </w:r>
      <w:r w:rsidRPr="00481BCC">
        <w:rPr>
          <w:rFonts w:eastAsia="Calibri"/>
          <w:color w:val="auto"/>
          <w:szCs w:val="22"/>
          <w:lang w:eastAsia="en-US"/>
        </w:rPr>
        <w:t xml:space="preserve"> permanently erased from the tax system.</w:t>
      </w:r>
    </w:p>
    <w:p w:rsidR="00481BCC" w:rsidRPr="00481BCC" w:rsidRDefault="00F10548" w:rsidP="00E574C9">
      <w:pPr>
        <w:pStyle w:val="Heading2"/>
      </w:pPr>
      <w:bookmarkStart w:id="19" w:name="_Toc356288816"/>
      <w:r>
        <w:t>C</w:t>
      </w:r>
      <w:r w:rsidR="00EC6E68">
        <w:t>h</w:t>
      </w:r>
      <w:r>
        <w:t>oice</w:t>
      </w:r>
      <w:r w:rsidR="00481BCC" w:rsidRPr="00481BCC">
        <w:t xml:space="preserve"> between applying the pooling method or exit cost setting </w:t>
      </w:r>
      <w:r>
        <w:t>method</w:t>
      </w:r>
      <w:bookmarkEnd w:id="19"/>
      <w:r w:rsidR="00481BCC" w:rsidRPr="00481BCC">
        <w:t xml:space="preserve"> </w:t>
      </w:r>
    </w:p>
    <w:p w:rsidR="00481BCC" w:rsidRPr="00481BCC" w:rsidRDefault="00074E1B" w:rsidP="00D568A5">
      <w:pPr>
        <w:spacing w:line="276" w:lineRule="auto"/>
        <w:rPr>
          <w:rFonts w:eastAsia="Calibri"/>
          <w:color w:val="auto"/>
          <w:szCs w:val="22"/>
          <w:lang w:eastAsia="en-US"/>
        </w:rPr>
      </w:pPr>
      <w:r>
        <w:t>MEC groups can choose</w:t>
      </w:r>
      <w:r w:rsidRPr="00E93581">
        <w:t xml:space="preserve"> between applying the pooling </w:t>
      </w:r>
      <w:r>
        <w:t xml:space="preserve">method </w:t>
      </w:r>
      <w:r w:rsidRPr="00E93581">
        <w:t xml:space="preserve">or exit cost setting </w:t>
      </w:r>
      <w:r>
        <w:t>process</w:t>
      </w:r>
      <w:r w:rsidRPr="00E93581">
        <w:t xml:space="preserve"> for </w:t>
      </w:r>
      <w:r>
        <w:t xml:space="preserve">calculating the value of the membership interests in a </w:t>
      </w:r>
      <w:r w:rsidRPr="00E93581">
        <w:t>leaving entity</w:t>
      </w:r>
      <w:r w:rsidR="007C582B">
        <w:t xml:space="preserve">. </w:t>
      </w:r>
      <w:r>
        <w:t xml:space="preserve">They can do this by </w:t>
      </w:r>
      <w:r w:rsidR="00481BCC" w:rsidRPr="00481BCC">
        <w:rPr>
          <w:rFonts w:eastAsia="Calibri"/>
          <w:color w:val="auto"/>
          <w:szCs w:val="22"/>
          <w:lang w:eastAsia="en-US"/>
        </w:rPr>
        <w:t>elect</w:t>
      </w:r>
      <w:r>
        <w:rPr>
          <w:rFonts w:eastAsia="Calibri"/>
          <w:color w:val="auto"/>
          <w:szCs w:val="22"/>
          <w:lang w:eastAsia="en-US"/>
        </w:rPr>
        <w:t>ing</w:t>
      </w:r>
      <w:r w:rsidR="00481BCC" w:rsidRPr="00481BCC">
        <w:rPr>
          <w:rFonts w:eastAsia="Calibri"/>
          <w:color w:val="auto"/>
          <w:szCs w:val="22"/>
          <w:lang w:eastAsia="en-US"/>
        </w:rPr>
        <w:t xml:space="preserve"> to </w:t>
      </w:r>
      <w:r>
        <w:rPr>
          <w:rFonts w:eastAsia="Calibri"/>
          <w:color w:val="auto"/>
          <w:szCs w:val="22"/>
          <w:lang w:eastAsia="en-US"/>
        </w:rPr>
        <w:t xml:space="preserve">either </w:t>
      </w:r>
      <w:r w:rsidR="00481BCC" w:rsidRPr="00481BCC">
        <w:rPr>
          <w:rFonts w:eastAsia="Calibri"/>
          <w:color w:val="auto"/>
          <w:szCs w:val="22"/>
          <w:lang w:eastAsia="en-US"/>
        </w:rPr>
        <w:t xml:space="preserve">sell an entity at the </w:t>
      </w:r>
      <w:r w:rsidR="00D568A5">
        <w:rPr>
          <w:rFonts w:eastAsia="Calibri"/>
          <w:color w:val="auto"/>
          <w:szCs w:val="22"/>
          <w:lang w:eastAsia="en-US"/>
        </w:rPr>
        <w:t>tier-1</w:t>
      </w:r>
      <w:r w:rsidR="00481BCC" w:rsidRPr="00481BCC">
        <w:rPr>
          <w:rFonts w:eastAsia="Calibri"/>
          <w:color w:val="auto"/>
          <w:szCs w:val="22"/>
          <w:lang w:eastAsia="en-US"/>
        </w:rPr>
        <w:t xml:space="preserve"> level (by ensuring that some or all of the membership interests in the entity are directly owned by a non-resident member of the corporate group), or at a lower level in the group (by ensuring the entity is directly owned by an </w:t>
      </w:r>
      <w:r w:rsidR="007C582B">
        <w:rPr>
          <w:rFonts w:eastAsia="Calibri"/>
          <w:color w:val="auto"/>
          <w:szCs w:val="22"/>
          <w:lang w:eastAsia="en-US"/>
        </w:rPr>
        <w:t xml:space="preserve">existing member of the group). </w:t>
      </w:r>
      <w:r w:rsidR="00481BCC" w:rsidRPr="00481BCC">
        <w:rPr>
          <w:rFonts w:eastAsia="Calibri"/>
          <w:color w:val="auto"/>
          <w:szCs w:val="22"/>
          <w:lang w:eastAsia="en-US"/>
        </w:rPr>
        <w:t xml:space="preserve">At the </w:t>
      </w:r>
      <w:r w:rsidR="00D568A5">
        <w:rPr>
          <w:rFonts w:eastAsia="Calibri"/>
          <w:color w:val="auto"/>
          <w:szCs w:val="22"/>
          <w:lang w:eastAsia="en-US"/>
        </w:rPr>
        <w:t>tier-1</w:t>
      </w:r>
      <w:r w:rsidR="00481BCC" w:rsidRPr="00481BCC">
        <w:rPr>
          <w:rFonts w:eastAsia="Calibri"/>
          <w:color w:val="auto"/>
          <w:szCs w:val="22"/>
          <w:lang w:eastAsia="en-US"/>
        </w:rPr>
        <w:t xml:space="preserve"> level, the cost base of the membership interests in the entity being sold is calcul</w:t>
      </w:r>
      <w:r w:rsidR="007C582B">
        <w:rPr>
          <w:rFonts w:eastAsia="Calibri"/>
          <w:color w:val="auto"/>
          <w:szCs w:val="22"/>
          <w:lang w:eastAsia="en-US"/>
        </w:rPr>
        <w:t xml:space="preserve">ated using the pooling method. </w:t>
      </w:r>
      <w:r w:rsidR="00481BCC" w:rsidRPr="00481BCC">
        <w:rPr>
          <w:rFonts w:eastAsia="Calibri"/>
          <w:color w:val="auto"/>
          <w:szCs w:val="22"/>
          <w:lang w:eastAsia="en-US"/>
        </w:rPr>
        <w:t xml:space="preserve">At lower levels, the cost base of the membership interests is calculated using the </w:t>
      </w:r>
      <w:r w:rsidR="007C582B">
        <w:rPr>
          <w:rFonts w:eastAsia="Calibri"/>
          <w:color w:val="auto"/>
          <w:szCs w:val="22"/>
          <w:lang w:eastAsia="en-US"/>
        </w:rPr>
        <w:t xml:space="preserve">exit tax cost setting process. </w:t>
      </w:r>
      <w:r w:rsidR="00481BCC" w:rsidRPr="00481BCC">
        <w:rPr>
          <w:rFonts w:eastAsia="Calibri"/>
          <w:color w:val="auto"/>
          <w:szCs w:val="22"/>
          <w:lang w:eastAsia="en-US"/>
        </w:rPr>
        <w:t>A MEC group can therefore choose the method that minimises its CGT liabil</w:t>
      </w:r>
      <w:r w:rsidR="007C582B">
        <w:rPr>
          <w:rFonts w:eastAsia="Calibri"/>
          <w:color w:val="auto"/>
          <w:szCs w:val="22"/>
          <w:lang w:eastAsia="en-US"/>
        </w:rPr>
        <w:t xml:space="preserve">ity on the sale of the entity. </w:t>
      </w:r>
      <w:r w:rsidR="00481BCC" w:rsidRPr="00481BCC">
        <w:rPr>
          <w:rFonts w:eastAsia="Calibri"/>
          <w:color w:val="auto"/>
          <w:szCs w:val="22"/>
          <w:lang w:eastAsia="en-US"/>
        </w:rPr>
        <w:t>In comparison, ordinary consolidated groups must always use the exit tax costing setting process for the sale of an entity.</w:t>
      </w:r>
      <w:r w:rsidR="00F43F6D">
        <w:rPr>
          <w:rFonts w:eastAsia="Calibri"/>
          <w:color w:val="auto"/>
          <w:szCs w:val="22"/>
          <w:lang w:eastAsia="en-US"/>
        </w:rPr>
        <w:t xml:space="preserve"> </w:t>
      </w:r>
    </w:p>
    <w:p w:rsidR="00481BCC" w:rsidRPr="00481BCC" w:rsidRDefault="00481BCC" w:rsidP="008E7DBF">
      <w:pPr>
        <w:pStyle w:val="Heading2NotNumbered"/>
      </w:pPr>
      <w:r w:rsidRPr="00481BCC">
        <w:t>Example: MEC groups minimising CGT liability by using the pooling rules</w:t>
      </w:r>
    </w:p>
    <w:p w:rsidR="00481BCC" w:rsidRDefault="00481BCC" w:rsidP="008E7DBF">
      <w:pPr>
        <w:pStyle w:val="ChartGraphic"/>
        <w:rPr>
          <w:rFonts w:eastAsia="Calibri"/>
        </w:rPr>
      </w:pPr>
      <w:r>
        <w:rPr>
          <w:rFonts w:eastAsia="Calibri"/>
          <w:noProof/>
        </w:rPr>
        <w:drawing>
          <wp:inline distT="0" distB="0" distL="0" distR="0" wp14:anchorId="0FB6ECD0" wp14:editId="2DC2C430">
            <wp:extent cx="5292000" cy="3786290"/>
            <wp:effectExtent l="0" t="0" r="4445" b="5080"/>
            <wp:docPr id="10" name="Picture 10" descr="The diagram shows how a MEC group can minimise its CGT liability by using the pooling rules.  The diagram shows a MEC group with two tier-1 companies (Company A and Company B).  Company A was capitalised with $2 million in 2003 to purchase a mining licence for $2million. Company B was capitalised with $200 million in 2003 to purchase a processing plant for $200 million.  Company A is then sold in 2012 for $200 million, with a cost base of $184 million." title="Example: MEC groups minimising CGT liability by using the pool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xample issues paper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2000" cy="3786290"/>
                    </a:xfrm>
                    <a:prstGeom prst="rect">
                      <a:avLst/>
                    </a:prstGeom>
                    <a:noFill/>
                    <a:ln>
                      <a:noFill/>
                    </a:ln>
                  </pic:spPr>
                </pic:pic>
              </a:graphicData>
            </a:graphic>
          </wp:inline>
        </w:drawing>
      </w:r>
    </w:p>
    <w:p w:rsidR="008E7DBF" w:rsidRPr="008E7DBF" w:rsidRDefault="008E7DBF" w:rsidP="008E7DBF">
      <w:pPr>
        <w:pStyle w:val="SingleParagraph"/>
        <w:rPr>
          <w:rFonts w:eastAsia="Calibri"/>
        </w:rPr>
      </w:pPr>
    </w:p>
    <w:p w:rsidR="00130A7B" w:rsidRPr="00A10B91" w:rsidRDefault="00481BCC" w:rsidP="00D568A5">
      <w:pPr>
        <w:spacing w:line="276" w:lineRule="auto"/>
        <w:rPr>
          <w:rFonts w:eastAsia="Calibri"/>
          <w:color w:val="auto"/>
          <w:szCs w:val="22"/>
          <w:lang w:eastAsia="en-US"/>
        </w:rPr>
      </w:pPr>
      <w:r w:rsidRPr="00481BCC">
        <w:rPr>
          <w:rFonts w:eastAsia="Calibri"/>
          <w:color w:val="auto"/>
          <w:szCs w:val="22"/>
          <w:lang w:eastAsia="en-US"/>
        </w:rPr>
        <w:t xml:space="preserve">The MEC group is able to sell Company A as a </w:t>
      </w:r>
      <w:r w:rsidR="00D568A5">
        <w:rPr>
          <w:rFonts w:eastAsia="Calibri"/>
          <w:color w:val="auto"/>
          <w:szCs w:val="22"/>
          <w:lang w:eastAsia="en-US"/>
        </w:rPr>
        <w:t>tier-1</w:t>
      </w:r>
      <w:r w:rsidRPr="00481BCC">
        <w:rPr>
          <w:rFonts w:eastAsia="Calibri"/>
          <w:color w:val="auto"/>
          <w:szCs w:val="22"/>
          <w:lang w:eastAsia="en-US"/>
        </w:rPr>
        <w:t xml:space="preserve"> company by ensuring that it is dir</w:t>
      </w:r>
      <w:r w:rsidR="007C582B">
        <w:rPr>
          <w:rFonts w:eastAsia="Calibri"/>
          <w:color w:val="auto"/>
          <w:szCs w:val="22"/>
          <w:lang w:eastAsia="en-US"/>
        </w:rPr>
        <w:t xml:space="preserve">ectly owned by Foreign Top Co. </w:t>
      </w:r>
      <w:r w:rsidRPr="00481BCC">
        <w:rPr>
          <w:rFonts w:eastAsia="Calibri"/>
          <w:color w:val="auto"/>
          <w:szCs w:val="22"/>
          <w:lang w:eastAsia="en-US"/>
        </w:rPr>
        <w:t>This enables the MEC group to use the pooling rules to determine the value of the memb</w:t>
      </w:r>
      <w:r w:rsidR="007C582B">
        <w:rPr>
          <w:rFonts w:eastAsia="Calibri"/>
          <w:color w:val="auto"/>
          <w:szCs w:val="22"/>
          <w:lang w:eastAsia="en-US"/>
        </w:rPr>
        <w:t xml:space="preserve">ership interests in Company A. </w:t>
      </w:r>
      <w:r w:rsidRPr="00481BCC">
        <w:rPr>
          <w:rFonts w:eastAsia="Calibri"/>
          <w:color w:val="auto"/>
          <w:szCs w:val="22"/>
          <w:lang w:eastAsia="en-US"/>
        </w:rPr>
        <w:t>In this case, the MEC group is able to record a capital gain of $16 million</w:t>
      </w:r>
      <w:r w:rsidR="00CC6C44">
        <w:rPr>
          <w:rFonts w:eastAsia="Calibri"/>
          <w:color w:val="auto"/>
          <w:szCs w:val="22"/>
          <w:lang w:eastAsia="en-US"/>
        </w:rPr>
        <w:t>,</w:t>
      </w:r>
      <w:r w:rsidRPr="00481BCC">
        <w:rPr>
          <w:rFonts w:eastAsia="Calibri"/>
          <w:color w:val="auto"/>
          <w:szCs w:val="22"/>
          <w:lang w:eastAsia="en-US"/>
        </w:rPr>
        <w:t xml:space="preserve"> even though it made an economic gain of $198 million.</w:t>
      </w:r>
    </w:p>
    <w:sectPr w:rsidR="00130A7B" w:rsidRPr="00A10B91" w:rsidSect="00205091">
      <w:footerReference w:type="default" r:id="rId30"/>
      <w:type w:val="oddPage"/>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18A" w:rsidRDefault="0051418A" w:rsidP="00F86627">
      <w:pPr>
        <w:spacing w:after="0" w:line="240" w:lineRule="auto"/>
      </w:pPr>
      <w:r>
        <w:separator/>
      </w:r>
    </w:p>
  </w:endnote>
  <w:endnote w:type="continuationSeparator" w:id="0">
    <w:p w:rsidR="0051418A" w:rsidRDefault="0051418A" w:rsidP="00F86627">
      <w:pPr>
        <w:spacing w:after="0" w:line="240" w:lineRule="auto"/>
      </w:pPr>
      <w:r>
        <w:continuationSeparator/>
      </w:r>
    </w:p>
  </w:endnote>
  <w:endnote w:type="continuationNotice" w:id="1">
    <w:p w:rsidR="0051418A" w:rsidRDefault="005141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BA3" w:rsidRDefault="00AF4B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BA3" w:rsidRDefault="00AF4B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BA3" w:rsidRDefault="00AF4B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BF" w:rsidRPr="007E26D1" w:rsidRDefault="008E7DBF" w:rsidP="007E26D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BF" w:rsidRPr="00205091" w:rsidRDefault="008E7DBF" w:rsidP="00205091">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97018"/>
      <w:docPartObj>
        <w:docPartGallery w:val="Page Numbers (Bottom of Page)"/>
        <w:docPartUnique/>
      </w:docPartObj>
    </w:sdtPr>
    <w:sdtEndPr>
      <w:rPr>
        <w:noProof/>
      </w:rPr>
    </w:sdtEndPr>
    <w:sdtContent>
      <w:p w:rsidR="00205091" w:rsidRDefault="00205091" w:rsidP="00205091">
        <w:pPr>
          <w:pStyle w:val="FooterEven"/>
        </w:pPr>
        <w:r>
          <w:t xml:space="preserve">Page </w:t>
        </w:r>
        <w:r>
          <w:fldChar w:fldCharType="begin"/>
        </w:r>
        <w:r>
          <w:instrText xml:space="preserve"> PAGE   \* MERGEFORMAT </w:instrText>
        </w:r>
        <w:r>
          <w:fldChar w:fldCharType="separate"/>
        </w:r>
        <w:r w:rsidR="00AF4BA3">
          <w:rPr>
            <w:noProof/>
          </w:rPr>
          <w:t>6</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BF" w:rsidRPr="004B14F0" w:rsidRDefault="008E7DBF" w:rsidP="004B14F0">
    <w:pPr>
      <w:pStyle w:val="Heading6"/>
      <w:rPr>
        <w:rStyle w:val="PageNumber"/>
      </w:rPr>
    </w:pPr>
    <w:r w:rsidRPr="004B14F0">
      <w:rPr>
        <w:rStyle w:val="PageNumber"/>
      </w:rPr>
      <w:t xml:space="preserve">Page </w:t>
    </w:r>
    <w:r w:rsidRPr="004B14F0">
      <w:rPr>
        <w:rStyle w:val="PageNumber"/>
      </w:rPr>
      <w:fldChar w:fldCharType="begin"/>
    </w:r>
    <w:r w:rsidRPr="004B14F0">
      <w:rPr>
        <w:rStyle w:val="PageNumber"/>
      </w:rPr>
      <w:instrText xml:space="preserve"> PAGE   \* MERGEFORMAT </w:instrText>
    </w:r>
    <w:r w:rsidRPr="004B14F0">
      <w:rPr>
        <w:rStyle w:val="PageNumber"/>
      </w:rPr>
      <w:fldChar w:fldCharType="separate"/>
    </w:r>
    <w:r w:rsidR="00205091">
      <w:rPr>
        <w:rStyle w:val="PageNumber"/>
        <w:noProof/>
      </w:rPr>
      <w:t>5</w:t>
    </w:r>
    <w:r w:rsidRPr="004B14F0">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91" w:rsidRPr="004B14F0" w:rsidRDefault="00205091" w:rsidP="00205091">
    <w:pPr>
      <w:pStyle w:val="FooterOdd"/>
      <w:rPr>
        <w:rStyle w:val="PageNumber"/>
      </w:rPr>
    </w:pPr>
    <w:r w:rsidRPr="004B14F0">
      <w:rPr>
        <w:rStyle w:val="PageNumber"/>
      </w:rPr>
      <w:t xml:space="preserve">Page </w:t>
    </w:r>
    <w:r w:rsidRPr="004B14F0">
      <w:rPr>
        <w:rStyle w:val="PageNumber"/>
      </w:rPr>
      <w:fldChar w:fldCharType="begin"/>
    </w:r>
    <w:r w:rsidRPr="004B14F0">
      <w:rPr>
        <w:rStyle w:val="PageNumber"/>
      </w:rPr>
      <w:instrText xml:space="preserve"> PAGE   \* MERGEFORMAT </w:instrText>
    </w:r>
    <w:r w:rsidRPr="004B14F0">
      <w:rPr>
        <w:rStyle w:val="PageNumber"/>
      </w:rPr>
      <w:fldChar w:fldCharType="separate"/>
    </w:r>
    <w:r w:rsidR="00AF4BA3">
      <w:rPr>
        <w:rStyle w:val="PageNumber"/>
        <w:noProof/>
      </w:rPr>
      <w:t>v</w:t>
    </w:r>
    <w:r w:rsidRPr="004B14F0">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91" w:rsidRPr="004B14F0" w:rsidRDefault="00205091" w:rsidP="00205091">
    <w:pPr>
      <w:pStyle w:val="FooterOdd"/>
      <w:rPr>
        <w:rStyle w:val="PageNumber"/>
      </w:rPr>
    </w:pPr>
    <w:r w:rsidRPr="004B14F0">
      <w:rPr>
        <w:rStyle w:val="PageNumber"/>
      </w:rPr>
      <w:t xml:space="preserve">Page </w:t>
    </w:r>
    <w:r w:rsidRPr="004B14F0">
      <w:rPr>
        <w:rStyle w:val="PageNumber"/>
      </w:rPr>
      <w:fldChar w:fldCharType="begin"/>
    </w:r>
    <w:r w:rsidRPr="004B14F0">
      <w:rPr>
        <w:rStyle w:val="PageNumber"/>
      </w:rPr>
      <w:instrText xml:space="preserve"> PAGE   \* MERGEFORMAT </w:instrText>
    </w:r>
    <w:r w:rsidRPr="004B14F0">
      <w:rPr>
        <w:rStyle w:val="PageNumber"/>
      </w:rPr>
      <w:fldChar w:fldCharType="separate"/>
    </w:r>
    <w:r w:rsidR="00AF4BA3">
      <w:rPr>
        <w:rStyle w:val="PageNumber"/>
        <w:noProof/>
      </w:rPr>
      <w:t>5</w:t>
    </w:r>
    <w:r w:rsidRPr="004B14F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18A" w:rsidRDefault="0051418A" w:rsidP="00F86627">
      <w:pPr>
        <w:spacing w:after="0" w:line="240" w:lineRule="auto"/>
      </w:pPr>
      <w:r>
        <w:separator/>
      </w:r>
    </w:p>
  </w:footnote>
  <w:footnote w:type="continuationSeparator" w:id="0">
    <w:p w:rsidR="0051418A" w:rsidRDefault="0051418A" w:rsidP="00F86627">
      <w:pPr>
        <w:spacing w:after="0" w:line="240" w:lineRule="auto"/>
      </w:pPr>
      <w:r>
        <w:continuationSeparator/>
      </w:r>
    </w:p>
  </w:footnote>
  <w:footnote w:type="continuationNotice" w:id="1">
    <w:p w:rsidR="0051418A" w:rsidRDefault="0051418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BA3" w:rsidRDefault="00AF4B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BA3" w:rsidRDefault="00AF4B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BA3" w:rsidRDefault="00AF4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76AF5E"/>
    <w:lvl w:ilvl="0">
      <w:start w:val="1"/>
      <w:numFmt w:val="decimal"/>
      <w:lvlText w:val="%1."/>
      <w:lvlJc w:val="left"/>
      <w:pPr>
        <w:tabs>
          <w:tab w:val="num" w:pos="1492"/>
        </w:tabs>
        <w:ind w:left="1492" w:hanging="360"/>
      </w:pPr>
    </w:lvl>
  </w:abstractNum>
  <w:abstractNum w:abstractNumId="1">
    <w:nsid w:val="FFFFFF7D"/>
    <w:multiLevelType w:val="singleLevel"/>
    <w:tmpl w:val="EEA2744C"/>
    <w:lvl w:ilvl="0">
      <w:start w:val="1"/>
      <w:numFmt w:val="decimal"/>
      <w:lvlText w:val="%1."/>
      <w:lvlJc w:val="left"/>
      <w:pPr>
        <w:tabs>
          <w:tab w:val="num" w:pos="1209"/>
        </w:tabs>
        <w:ind w:left="1209" w:hanging="360"/>
      </w:pPr>
    </w:lvl>
  </w:abstractNum>
  <w:abstractNum w:abstractNumId="2">
    <w:nsid w:val="FFFFFF7E"/>
    <w:multiLevelType w:val="singleLevel"/>
    <w:tmpl w:val="E2F43C9A"/>
    <w:lvl w:ilvl="0">
      <w:start w:val="1"/>
      <w:numFmt w:val="decimal"/>
      <w:lvlText w:val="%1."/>
      <w:lvlJc w:val="left"/>
      <w:pPr>
        <w:tabs>
          <w:tab w:val="num" w:pos="926"/>
        </w:tabs>
        <w:ind w:left="926" w:hanging="360"/>
      </w:pPr>
    </w:lvl>
  </w:abstractNum>
  <w:abstractNum w:abstractNumId="3">
    <w:nsid w:val="FFFFFF7F"/>
    <w:multiLevelType w:val="singleLevel"/>
    <w:tmpl w:val="A8D6C6DC"/>
    <w:lvl w:ilvl="0">
      <w:start w:val="1"/>
      <w:numFmt w:val="decimal"/>
      <w:lvlText w:val="%1."/>
      <w:lvlJc w:val="left"/>
      <w:pPr>
        <w:tabs>
          <w:tab w:val="num" w:pos="643"/>
        </w:tabs>
        <w:ind w:left="643" w:hanging="360"/>
      </w:pPr>
    </w:lvl>
  </w:abstractNum>
  <w:abstractNum w:abstractNumId="4">
    <w:nsid w:val="FFFFFF80"/>
    <w:multiLevelType w:val="singleLevel"/>
    <w:tmpl w:val="246E06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AA54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1C22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16C7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B282C4"/>
    <w:lvl w:ilvl="0">
      <w:start w:val="1"/>
      <w:numFmt w:val="decimal"/>
      <w:lvlText w:val="%1."/>
      <w:lvlJc w:val="left"/>
      <w:pPr>
        <w:tabs>
          <w:tab w:val="num" w:pos="360"/>
        </w:tabs>
        <w:ind w:left="360" w:hanging="360"/>
      </w:pPr>
    </w:lvl>
  </w:abstractNum>
  <w:abstractNum w:abstractNumId="9">
    <w:nsid w:val="FFFFFF89"/>
    <w:multiLevelType w:val="singleLevel"/>
    <w:tmpl w:val="D9B6BB02"/>
    <w:lvl w:ilvl="0">
      <w:start w:val="1"/>
      <w:numFmt w:val="bullet"/>
      <w:lvlText w:val=""/>
      <w:lvlJc w:val="left"/>
      <w:pPr>
        <w:tabs>
          <w:tab w:val="num" w:pos="360"/>
        </w:tabs>
        <w:ind w:left="360" w:hanging="360"/>
      </w:pPr>
      <w:rPr>
        <w:rFonts w:ascii="Symbol" w:hAnsi="Symbol" w:hint="default"/>
      </w:rPr>
    </w:lvl>
  </w:abstractNum>
  <w:abstractNum w:abstractNumId="10">
    <w:nsid w:val="06C743A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8B214EE"/>
    <w:multiLevelType w:val="multilevel"/>
    <w:tmpl w:val="C6FAFD14"/>
    <w:styleLink w:val="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426"/>
        </w:tabs>
        <w:ind w:left="426" w:hanging="284"/>
      </w:pPr>
      <w:rPr>
        <w:rFonts w:ascii="Calibri" w:hAnsi="Calibri" w:hint="default"/>
      </w:rPr>
    </w:lvl>
    <w:lvl w:ilvl="2">
      <w:start w:val="1"/>
      <w:numFmt w:val="bullet"/>
      <w:lvlRestart w:val="0"/>
      <w:lvlText w:val=":"/>
      <w:lvlJc w:val="left"/>
      <w:pPr>
        <w:tabs>
          <w:tab w:val="num" w:pos="852"/>
        </w:tabs>
        <w:ind w:left="852" w:hanging="284"/>
      </w:pPr>
      <w:rPr>
        <w:rFonts w:ascii="Calibri" w:hAnsi="Calibri" w:hint="default"/>
      </w:rPr>
    </w:lvl>
    <w:lvl w:ilvl="3">
      <w:start w:val="1"/>
      <w:numFmt w:val="none"/>
      <w:lvlText w:val="%4"/>
      <w:lvlJc w:val="left"/>
      <w:pPr>
        <w:tabs>
          <w:tab w:val="num" w:pos="1136"/>
        </w:tabs>
        <w:ind w:left="1136" w:hanging="284"/>
      </w:pPr>
      <w:rPr>
        <w:rFonts w:ascii="Times New Roman" w:hAnsi="Times New Roman" w:cs="Times New Roman" w:hint="default"/>
      </w:rPr>
    </w:lvl>
    <w:lvl w:ilvl="4">
      <w:start w:val="1"/>
      <w:numFmt w:val="none"/>
      <w:lvlText w:val=""/>
      <w:lvlJc w:val="left"/>
      <w:pPr>
        <w:tabs>
          <w:tab w:val="num" w:pos="1420"/>
        </w:tabs>
        <w:ind w:left="1420" w:hanging="284"/>
      </w:pPr>
      <w:rPr>
        <w:rFonts w:cs="Times New Roman" w:hint="default"/>
      </w:rPr>
    </w:lvl>
    <w:lvl w:ilvl="5">
      <w:start w:val="1"/>
      <w:numFmt w:val="none"/>
      <w:lvlText w:val=""/>
      <w:lvlJc w:val="left"/>
      <w:pPr>
        <w:tabs>
          <w:tab w:val="num" w:pos="1701"/>
        </w:tabs>
        <w:ind w:left="1701" w:hanging="281"/>
      </w:pPr>
      <w:rPr>
        <w:rFonts w:cs="Times New Roman" w:hint="default"/>
      </w:rPr>
    </w:lvl>
    <w:lvl w:ilvl="6">
      <w:start w:val="1"/>
      <w:numFmt w:val="none"/>
      <w:lvlText w:val=""/>
      <w:lvlJc w:val="left"/>
      <w:pPr>
        <w:tabs>
          <w:tab w:val="num" w:pos="1985"/>
        </w:tabs>
        <w:ind w:left="1985" w:hanging="281"/>
      </w:pPr>
      <w:rPr>
        <w:rFonts w:cs="Times New Roman" w:hint="default"/>
      </w:rPr>
    </w:lvl>
    <w:lvl w:ilvl="7">
      <w:start w:val="1"/>
      <w:numFmt w:val="none"/>
      <w:lvlText w:val=""/>
      <w:lvlJc w:val="left"/>
      <w:pPr>
        <w:tabs>
          <w:tab w:val="num" w:pos="2268"/>
        </w:tabs>
        <w:ind w:left="2268" w:hanging="280"/>
      </w:pPr>
      <w:rPr>
        <w:rFonts w:cs="Times New Roman" w:hint="default"/>
      </w:rPr>
    </w:lvl>
    <w:lvl w:ilvl="8">
      <w:start w:val="1"/>
      <w:numFmt w:val="none"/>
      <w:lvlRestart w:val="0"/>
      <w:lvlText w:val=""/>
      <w:lvlJc w:val="left"/>
      <w:pPr>
        <w:tabs>
          <w:tab w:val="num" w:pos="2552"/>
        </w:tabs>
        <w:ind w:left="2552" w:hanging="280"/>
      </w:pPr>
      <w:rPr>
        <w:rFonts w:cs="Times New Roman" w:hint="default"/>
      </w:rPr>
    </w:lvl>
  </w:abstractNum>
  <w:abstractNum w:abstractNumId="12">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3">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nsid w:val="244237C5"/>
    <w:multiLevelType w:val="multilevel"/>
    <w:tmpl w:val="EDDCAC0A"/>
    <w:lvl w:ilvl="0">
      <w:start w:val="1"/>
      <w:numFmt w:val="decimal"/>
      <w:lvlRestart w:val="0"/>
      <w:pStyle w:val="OutlineNumbered1"/>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rFonts w:hint="default"/>
        <w:b w:val="0"/>
        <w:i w:val="0"/>
      </w:rPr>
    </w:lvl>
    <w:lvl w:ilvl="2">
      <w:start w:val="1"/>
      <w:numFmt w:val="decimal"/>
      <w:pStyle w:val="OutlineNumbered3"/>
      <w:lvlText w:val="%1.%2.%3."/>
      <w:lvlJc w:val="left"/>
      <w:pPr>
        <w:tabs>
          <w:tab w:val="num" w:pos="1701"/>
        </w:tabs>
        <w:ind w:left="1701" w:hanging="567"/>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nsid w:val="25C06266"/>
    <w:multiLevelType w:val="multilevel"/>
    <w:tmpl w:val="2F9E1BE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6">
    <w:nsid w:val="27440C8B"/>
    <w:multiLevelType w:val="multilevel"/>
    <w:tmpl w:val="CB5C4156"/>
    <w:name w:val="StandardBulletedList_"/>
    <w:lvl w:ilvl="0">
      <w:start w:val="1"/>
      <w:numFmt w:val="bullet"/>
      <w:lvlRestart w:val="0"/>
      <w:pStyle w:val="Bullet"/>
      <w:lvlText w:val="•"/>
      <w:lvlJc w:val="left"/>
      <w:pPr>
        <w:tabs>
          <w:tab w:val="num" w:pos="566"/>
        </w:tabs>
        <w:ind w:left="566" w:hanging="566"/>
      </w:pPr>
      <w:rPr>
        <w:rFonts w:ascii="Times New Roman" w:hAnsi="Times New Roman" w:cs="Times New Roman"/>
        <w:b w:val="0"/>
        <w:i w:val="0"/>
      </w:rPr>
    </w:lvl>
    <w:lvl w:ilvl="1">
      <w:start w:val="1"/>
      <w:numFmt w:val="bullet"/>
      <w:pStyle w:val="Dash"/>
      <w:lvlText w:val="–"/>
      <w:lvlJc w:val="left"/>
      <w:pPr>
        <w:tabs>
          <w:tab w:val="num" w:pos="1134"/>
        </w:tabs>
        <w:ind w:left="1134" w:hanging="568"/>
      </w:pPr>
      <w:rPr>
        <w:rFonts w:ascii="Times New Roman" w:hAnsi="Times New Roman" w:cs="Times New Roman"/>
        <w:b w:val="0"/>
        <w:i w:val="0"/>
      </w:rPr>
    </w:lvl>
    <w:lvl w:ilvl="2">
      <w:start w:val="1"/>
      <w:numFmt w:val="bullet"/>
      <w:pStyle w:val="DoubleDo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nsid w:val="2D097FDD"/>
    <w:multiLevelType w:val="multilevel"/>
    <w:tmpl w:val="0A1661C4"/>
    <w:name w:val="HeadingList"/>
    <w:lvl w:ilvl="0">
      <w:start w:val="1"/>
      <w:numFmt w:val="decimal"/>
      <w:lvlRestart w:val="0"/>
      <w:pStyle w:val="Heading1"/>
      <w:lvlText w:val="%1."/>
      <w:lvlJc w:val="left"/>
      <w:pPr>
        <w:tabs>
          <w:tab w:val="num" w:pos="567"/>
        </w:tabs>
        <w:ind w:left="567" w:hanging="567"/>
      </w:pPr>
      <w:rPr>
        <w:rFonts w:ascii="Arial" w:hAnsi="Arial" w:cs="Arial"/>
        <w:b w:val="0"/>
        <w:i w:val="0"/>
        <w:color w:val="342E82"/>
        <w:sz w:val="36"/>
      </w:rPr>
    </w:lvl>
    <w:lvl w:ilvl="1">
      <w:start w:val="1"/>
      <w:numFmt w:val="decimal"/>
      <w:pStyle w:val="Heading2"/>
      <w:lvlText w:val="%1.%2"/>
      <w:lvlJc w:val="left"/>
      <w:pPr>
        <w:tabs>
          <w:tab w:val="num" w:pos="567"/>
        </w:tabs>
        <w:ind w:left="567" w:hanging="567"/>
      </w:pPr>
      <w:rPr>
        <w:rFonts w:ascii="Arial" w:hAnsi="Arial" w:cs="Arial"/>
        <w:b w:val="0"/>
        <w:i w:val="0"/>
        <w:color w:val="342E82"/>
        <w:sz w:val="32"/>
      </w:rPr>
    </w:lvl>
    <w:lvl w:ilvl="2">
      <w:start w:val="1"/>
      <w:numFmt w:val="decimal"/>
      <w:pStyle w:val="Heading3"/>
      <w:lvlText w:val="%1.%2.%3"/>
      <w:lvlJc w:val="left"/>
      <w:pPr>
        <w:tabs>
          <w:tab w:val="num" w:pos="567"/>
        </w:tabs>
        <w:ind w:left="567" w:hanging="567"/>
      </w:pPr>
      <w:rPr>
        <w:rFonts w:ascii="Arial" w:hAnsi="Arial" w:cs="Arial"/>
        <w:b w:val="0"/>
        <w:i w:val="0"/>
        <w:color w:val="342E82"/>
        <w:sz w:val="28"/>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nsid w:val="2D665DFA"/>
    <w:multiLevelType w:val="singleLevel"/>
    <w:tmpl w:val="D7E4CFE6"/>
    <w:name w:val="OneLevelAlphaParagraphList"/>
    <w:lvl w:ilvl="0">
      <w:start w:val="1"/>
      <w:numFmt w:val="lowerLetter"/>
      <w:lvlRestart w:val="0"/>
      <w:pStyle w:val="AlphaParagraph"/>
      <w:lvlText w:val="(%1)"/>
      <w:lvlJc w:val="left"/>
      <w:pPr>
        <w:tabs>
          <w:tab w:val="num" w:pos="567"/>
        </w:tabs>
        <w:ind w:left="567" w:hanging="567"/>
      </w:pPr>
      <w:rPr>
        <w:rFonts w:ascii="Arial" w:hAnsi="Arial" w:cs="Arial"/>
        <w:b w:val="0"/>
        <w:i w:val="0"/>
        <w:sz w:val="22"/>
      </w:rPr>
    </w:lvl>
  </w:abstractNum>
  <w:abstractNum w:abstractNumId="20">
    <w:nsid w:val="42B72EA2"/>
    <w:multiLevelType w:val="multilevel"/>
    <w:tmpl w:val="D474F9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
    <w:nsid w:val="48DD7F34"/>
    <w:multiLevelType w:val="multilevel"/>
    <w:tmpl w:val="C1EE7ABE"/>
    <w:name w:val="StandardBulletedList"/>
    <w:lvl w:ilvl="0">
      <w:start w:val="1"/>
      <w:numFmt w:val="bullet"/>
      <w:lvlText w:val="•"/>
      <w:lvlJc w:val="left"/>
      <w:pPr>
        <w:tabs>
          <w:tab w:val="num" w:pos="520"/>
        </w:tabs>
        <w:ind w:left="520" w:hanging="520"/>
      </w:pPr>
      <w:rPr>
        <w:rFonts w:ascii="Times New Roman" w:hAnsi="Times New Roman"/>
      </w:rPr>
    </w:lvl>
    <w:lvl w:ilvl="1">
      <w:start w:val="1"/>
      <w:numFmt w:val="bullet"/>
      <w:lvlText w:val="–"/>
      <w:lvlJc w:val="left"/>
      <w:pPr>
        <w:tabs>
          <w:tab w:val="num" w:pos="1040"/>
        </w:tabs>
        <w:ind w:left="1040" w:hanging="520"/>
      </w:pPr>
      <w:rPr>
        <w:rFonts w:ascii="Times New Roman" w:hAnsi="Times New Roman"/>
      </w:rPr>
    </w:lvl>
    <w:lvl w:ilvl="2">
      <w:start w:val="1"/>
      <w:numFmt w:val="bulle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3">
    <w:nsid w:val="517124E0"/>
    <w:multiLevelType w:val="multilevel"/>
    <w:tmpl w:val="FEFA76DE"/>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3583"/>
        </w:tabs>
        <w:ind w:left="3549" w:hanging="453"/>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24">
    <w:nsid w:val="555E4B97"/>
    <w:multiLevelType w:val="multilevel"/>
    <w:tmpl w:val="3BE8A474"/>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2289"/>
        </w:tabs>
        <w:ind w:left="2289" w:hanging="360"/>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25">
    <w:nsid w:val="58101827"/>
    <w:multiLevelType w:val="multilevel"/>
    <w:tmpl w:val="3CACDCCC"/>
    <w:name w:val="BoxBulletedList"/>
    <w:lvl w:ilvl="0">
      <w:start w:val="1"/>
      <w:numFmt w:val="bullet"/>
      <w:lvlRestart w:val="0"/>
      <w:pStyle w:val="BoxBullet"/>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6">
    <w:nsid w:val="58300123"/>
    <w:multiLevelType w:val="multilevel"/>
    <w:tmpl w:val="B1B05C94"/>
    <w:name w:val="StandardNumberedList"/>
    <w:lvl w:ilvl="0">
      <w:start w:val="1"/>
      <w:numFmt w:val="decimal"/>
      <w:lvlText w:val="%1."/>
      <w:lvlJc w:val="left"/>
      <w:pPr>
        <w:tabs>
          <w:tab w:val="num" w:pos="520"/>
        </w:tabs>
        <w:ind w:left="520" w:hanging="520"/>
      </w:pPr>
      <w:rPr>
        <w:rFonts w:cs="Times New Roman"/>
      </w:rPr>
    </w:lvl>
    <w:lvl w:ilvl="1">
      <w:start w:val="1"/>
      <w:numFmt w:val="decimal"/>
      <w:lvlText w:val="%1.%2."/>
      <w:lvlJc w:val="left"/>
      <w:pPr>
        <w:tabs>
          <w:tab w:val="num" w:pos="1040"/>
        </w:tabs>
        <w:ind w:left="1040" w:hanging="520"/>
      </w:pPr>
      <w:rPr>
        <w:rFonts w:cs="Times New Roman"/>
      </w:rPr>
    </w:lvl>
    <w:lvl w:ilvl="2">
      <w:start w:val="1"/>
      <w:numFmt w:val="decimal"/>
      <w:lvlText w:val="%1.%2.%3."/>
      <w:lvlJc w:val="left"/>
      <w:pPr>
        <w:tabs>
          <w:tab w:val="num" w:pos="1560"/>
        </w:tabs>
        <w:ind w:left="1560" w:hanging="52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nsid w:val="6A8F3C82"/>
    <w:multiLevelType w:val="multilevel"/>
    <w:tmpl w:val="50DC56A6"/>
    <w:lvl w:ilvl="0">
      <w:start w:val="1"/>
      <w:numFmt w:val="decimal"/>
      <w:lvlText w:val="%1."/>
      <w:lvlJc w:val="left"/>
      <w:pPr>
        <w:tabs>
          <w:tab w:val="num" w:pos="520"/>
        </w:tabs>
        <w:ind w:left="520" w:hanging="520"/>
      </w:pPr>
      <w:rPr>
        <w:rFonts w:cs="Times New Roman"/>
      </w:rPr>
    </w:lvl>
    <w:lvl w:ilvl="1">
      <w:start w:val="1"/>
      <w:numFmt w:val="decimal"/>
      <w:lvlText w:val="%1.%2."/>
      <w:lvlJc w:val="left"/>
      <w:pPr>
        <w:tabs>
          <w:tab w:val="num" w:pos="1040"/>
        </w:tabs>
        <w:ind w:left="1040" w:hanging="520"/>
      </w:pPr>
      <w:rPr>
        <w:rFonts w:cs="Times New Roman"/>
      </w:rPr>
    </w:lvl>
    <w:lvl w:ilvl="2">
      <w:start w:val="1"/>
      <w:numFmt w:val="decimal"/>
      <w:lvlText w:val="%1.%2.%3."/>
      <w:lvlJc w:val="left"/>
      <w:pPr>
        <w:tabs>
          <w:tab w:val="num" w:pos="1560"/>
        </w:tabs>
        <w:ind w:left="1560" w:hanging="52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6"/>
  </w:num>
  <w:num w:numId="3">
    <w:abstractNumId w:val="28"/>
  </w:num>
  <w:num w:numId="4">
    <w:abstractNumId w:val="21"/>
  </w:num>
  <w:num w:numId="5">
    <w:abstractNumId w:val="11"/>
  </w:num>
  <w:num w:numId="6">
    <w:abstractNumId w:val="26"/>
  </w:num>
  <w:num w:numId="7">
    <w:abstractNumId w:val="14"/>
  </w:num>
  <w:num w:numId="8">
    <w:abstractNumId w:val="19"/>
  </w:num>
  <w:num w:numId="9">
    <w:abstractNumId w:val="22"/>
  </w:num>
  <w:num w:numId="10">
    <w:abstractNumId w:val="13"/>
  </w:num>
  <w:num w:numId="11">
    <w:abstractNumId w:val="29"/>
  </w:num>
  <w:num w:numId="12">
    <w:abstractNumId w:val="25"/>
  </w:num>
  <w:num w:numId="13">
    <w:abstractNumId w:val="12"/>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7"/>
  </w:num>
  <w:num w:numId="26">
    <w:abstractNumId w:val="23"/>
  </w:num>
  <w:num w:numId="27">
    <w:abstractNumId w:val="24"/>
  </w:num>
  <w:num w:numId="28">
    <w:abstractNumId w:val="15"/>
  </w:num>
  <w:num w:numId="29">
    <w:abstractNumId w:val="20"/>
  </w:num>
  <w:num w:numId="30">
    <w:abstractNumId w:val="10"/>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SecurityClassificationInHeader" w:val="False"/>
  </w:docVars>
  <w:rsids>
    <w:rsidRoot w:val="00025C06"/>
    <w:rsid w:val="00001C8C"/>
    <w:rsid w:val="00001DE5"/>
    <w:rsid w:val="00011DAB"/>
    <w:rsid w:val="00012E63"/>
    <w:rsid w:val="000151FB"/>
    <w:rsid w:val="00015D2D"/>
    <w:rsid w:val="00020F12"/>
    <w:rsid w:val="00025C06"/>
    <w:rsid w:val="000313C4"/>
    <w:rsid w:val="00032844"/>
    <w:rsid w:val="0003618C"/>
    <w:rsid w:val="00043C47"/>
    <w:rsid w:val="00046913"/>
    <w:rsid w:val="00056EBB"/>
    <w:rsid w:val="00057AC9"/>
    <w:rsid w:val="00066128"/>
    <w:rsid w:val="000677B5"/>
    <w:rsid w:val="00070981"/>
    <w:rsid w:val="00074E1B"/>
    <w:rsid w:val="00075E25"/>
    <w:rsid w:val="0007765A"/>
    <w:rsid w:val="00087BB5"/>
    <w:rsid w:val="00095A9A"/>
    <w:rsid w:val="000975A8"/>
    <w:rsid w:val="000A2BEA"/>
    <w:rsid w:val="000A3BEE"/>
    <w:rsid w:val="000B5715"/>
    <w:rsid w:val="000C18B6"/>
    <w:rsid w:val="000C1FF2"/>
    <w:rsid w:val="000E0F92"/>
    <w:rsid w:val="000E251B"/>
    <w:rsid w:val="000E462E"/>
    <w:rsid w:val="000F07A3"/>
    <w:rsid w:val="000F210A"/>
    <w:rsid w:val="000F2FED"/>
    <w:rsid w:val="0010400E"/>
    <w:rsid w:val="00104F42"/>
    <w:rsid w:val="001057E8"/>
    <w:rsid w:val="0011282D"/>
    <w:rsid w:val="0011580D"/>
    <w:rsid w:val="00115DB5"/>
    <w:rsid w:val="0012047D"/>
    <w:rsid w:val="0012057C"/>
    <w:rsid w:val="0012257E"/>
    <w:rsid w:val="00124DD7"/>
    <w:rsid w:val="00130A7B"/>
    <w:rsid w:val="001344FB"/>
    <w:rsid w:val="001348FE"/>
    <w:rsid w:val="00155EC4"/>
    <w:rsid w:val="00174BC0"/>
    <w:rsid w:val="00177CC7"/>
    <w:rsid w:val="00183A6E"/>
    <w:rsid w:val="001909C5"/>
    <w:rsid w:val="00195966"/>
    <w:rsid w:val="001A1525"/>
    <w:rsid w:val="001B0A9D"/>
    <w:rsid w:val="001B2BCE"/>
    <w:rsid w:val="001B3F8A"/>
    <w:rsid w:val="001C1F37"/>
    <w:rsid w:val="001C2B51"/>
    <w:rsid w:val="001D17EB"/>
    <w:rsid w:val="001D4AD6"/>
    <w:rsid w:val="001E41DE"/>
    <w:rsid w:val="001E54F8"/>
    <w:rsid w:val="001F176D"/>
    <w:rsid w:val="001F2976"/>
    <w:rsid w:val="002012BC"/>
    <w:rsid w:val="00201482"/>
    <w:rsid w:val="00205091"/>
    <w:rsid w:val="0021227D"/>
    <w:rsid w:val="00213380"/>
    <w:rsid w:val="00223A4B"/>
    <w:rsid w:val="00226850"/>
    <w:rsid w:val="002450B6"/>
    <w:rsid w:val="00246614"/>
    <w:rsid w:val="002501CD"/>
    <w:rsid w:val="002505D5"/>
    <w:rsid w:val="00252DB6"/>
    <w:rsid w:val="00257D8B"/>
    <w:rsid w:val="00261AB5"/>
    <w:rsid w:val="00286A49"/>
    <w:rsid w:val="00292BCA"/>
    <w:rsid w:val="0029458E"/>
    <w:rsid w:val="002967BB"/>
    <w:rsid w:val="002A67DF"/>
    <w:rsid w:val="002A7F33"/>
    <w:rsid w:val="002B7882"/>
    <w:rsid w:val="002C0ABC"/>
    <w:rsid w:val="002C1D09"/>
    <w:rsid w:val="002D2D8E"/>
    <w:rsid w:val="002D55C8"/>
    <w:rsid w:val="002E3E18"/>
    <w:rsid w:val="002F1B21"/>
    <w:rsid w:val="002F2C53"/>
    <w:rsid w:val="0030121D"/>
    <w:rsid w:val="00303295"/>
    <w:rsid w:val="003041D6"/>
    <w:rsid w:val="003075F9"/>
    <w:rsid w:val="00311AAE"/>
    <w:rsid w:val="00320EB4"/>
    <w:rsid w:val="00322204"/>
    <w:rsid w:val="00322AC7"/>
    <w:rsid w:val="00325178"/>
    <w:rsid w:val="00336503"/>
    <w:rsid w:val="00344CB6"/>
    <w:rsid w:val="00346EC4"/>
    <w:rsid w:val="00360269"/>
    <w:rsid w:val="003641C6"/>
    <w:rsid w:val="003660E2"/>
    <w:rsid w:val="00366AF8"/>
    <w:rsid w:val="00370BDE"/>
    <w:rsid w:val="00371D07"/>
    <w:rsid w:val="00373390"/>
    <w:rsid w:val="00373E3F"/>
    <w:rsid w:val="00385CB9"/>
    <w:rsid w:val="00386EDC"/>
    <w:rsid w:val="00387A28"/>
    <w:rsid w:val="003915E9"/>
    <w:rsid w:val="00393AF9"/>
    <w:rsid w:val="003A5A09"/>
    <w:rsid w:val="003A7BD4"/>
    <w:rsid w:val="003B0C98"/>
    <w:rsid w:val="003B49FF"/>
    <w:rsid w:val="003B7193"/>
    <w:rsid w:val="003C4F2A"/>
    <w:rsid w:val="003C53CC"/>
    <w:rsid w:val="003C778D"/>
    <w:rsid w:val="003D1967"/>
    <w:rsid w:val="003D2705"/>
    <w:rsid w:val="003D651C"/>
    <w:rsid w:val="003D74B8"/>
    <w:rsid w:val="003D7FAD"/>
    <w:rsid w:val="003E02D3"/>
    <w:rsid w:val="003E068A"/>
    <w:rsid w:val="003F06FE"/>
    <w:rsid w:val="003F0A8F"/>
    <w:rsid w:val="003F72C7"/>
    <w:rsid w:val="0040236B"/>
    <w:rsid w:val="0040345A"/>
    <w:rsid w:val="00406291"/>
    <w:rsid w:val="004078B9"/>
    <w:rsid w:val="00414A26"/>
    <w:rsid w:val="00422626"/>
    <w:rsid w:val="00434B65"/>
    <w:rsid w:val="00436AEA"/>
    <w:rsid w:val="004404E1"/>
    <w:rsid w:val="00454543"/>
    <w:rsid w:val="00457098"/>
    <w:rsid w:val="004622F0"/>
    <w:rsid w:val="00471175"/>
    <w:rsid w:val="00471AB7"/>
    <w:rsid w:val="00471EAE"/>
    <w:rsid w:val="004737E1"/>
    <w:rsid w:val="00474356"/>
    <w:rsid w:val="00481BCC"/>
    <w:rsid w:val="00483E08"/>
    <w:rsid w:val="004866A8"/>
    <w:rsid w:val="00490EE6"/>
    <w:rsid w:val="00494333"/>
    <w:rsid w:val="004956E9"/>
    <w:rsid w:val="00496B51"/>
    <w:rsid w:val="00497D90"/>
    <w:rsid w:val="004A275F"/>
    <w:rsid w:val="004A72DB"/>
    <w:rsid w:val="004B14F0"/>
    <w:rsid w:val="004B44AC"/>
    <w:rsid w:val="004B48D7"/>
    <w:rsid w:val="004C0A4A"/>
    <w:rsid w:val="004D03F2"/>
    <w:rsid w:val="004D46E7"/>
    <w:rsid w:val="004E0AC5"/>
    <w:rsid w:val="004E1758"/>
    <w:rsid w:val="004E534A"/>
    <w:rsid w:val="004E7A7C"/>
    <w:rsid w:val="004F0199"/>
    <w:rsid w:val="004F1EF5"/>
    <w:rsid w:val="00500D49"/>
    <w:rsid w:val="00503973"/>
    <w:rsid w:val="00506622"/>
    <w:rsid w:val="0051094D"/>
    <w:rsid w:val="0051418A"/>
    <w:rsid w:val="00514B53"/>
    <w:rsid w:val="00532501"/>
    <w:rsid w:val="005421BB"/>
    <w:rsid w:val="0054286A"/>
    <w:rsid w:val="00553252"/>
    <w:rsid w:val="00553DD2"/>
    <w:rsid w:val="005568E0"/>
    <w:rsid w:val="00561C7E"/>
    <w:rsid w:val="00563616"/>
    <w:rsid w:val="00563A5D"/>
    <w:rsid w:val="005816B6"/>
    <w:rsid w:val="00582D1E"/>
    <w:rsid w:val="005867A6"/>
    <w:rsid w:val="00592C93"/>
    <w:rsid w:val="00593876"/>
    <w:rsid w:val="00594432"/>
    <w:rsid w:val="00596A0A"/>
    <w:rsid w:val="005A20A2"/>
    <w:rsid w:val="005A2ABC"/>
    <w:rsid w:val="005A3178"/>
    <w:rsid w:val="005A75F3"/>
    <w:rsid w:val="005A77C5"/>
    <w:rsid w:val="005B558E"/>
    <w:rsid w:val="005C7BE5"/>
    <w:rsid w:val="005D4726"/>
    <w:rsid w:val="005E333A"/>
    <w:rsid w:val="005E6718"/>
    <w:rsid w:val="005E737F"/>
    <w:rsid w:val="005F307C"/>
    <w:rsid w:val="005F61A2"/>
    <w:rsid w:val="005F755B"/>
    <w:rsid w:val="00606797"/>
    <w:rsid w:val="0061030D"/>
    <w:rsid w:val="006107F4"/>
    <w:rsid w:val="006108D4"/>
    <w:rsid w:val="006128BE"/>
    <w:rsid w:val="006137CF"/>
    <w:rsid w:val="00616540"/>
    <w:rsid w:val="00616D18"/>
    <w:rsid w:val="00621AA7"/>
    <w:rsid w:val="00624DA2"/>
    <w:rsid w:val="00626C5A"/>
    <w:rsid w:val="00627E3B"/>
    <w:rsid w:val="00630499"/>
    <w:rsid w:val="00630D1F"/>
    <w:rsid w:val="00631311"/>
    <w:rsid w:val="00641DA7"/>
    <w:rsid w:val="0064287B"/>
    <w:rsid w:val="00644B01"/>
    <w:rsid w:val="006452C0"/>
    <w:rsid w:val="00645C4C"/>
    <w:rsid w:val="00650305"/>
    <w:rsid w:val="00651679"/>
    <w:rsid w:val="006525BE"/>
    <w:rsid w:val="00652F69"/>
    <w:rsid w:val="00656166"/>
    <w:rsid w:val="00663B88"/>
    <w:rsid w:val="00664E96"/>
    <w:rsid w:val="00666093"/>
    <w:rsid w:val="006662E5"/>
    <w:rsid w:val="00672E5C"/>
    <w:rsid w:val="0067471F"/>
    <w:rsid w:val="00674B8B"/>
    <w:rsid w:val="006779AD"/>
    <w:rsid w:val="00677A24"/>
    <w:rsid w:val="00680934"/>
    <w:rsid w:val="0069389D"/>
    <w:rsid w:val="006A7342"/>
    <w:rsid w:val="006B0A7C"/>
    <w:rsid w:val="006B14CC"/>
    <w:rsid w:val="006B718B"/>
    <w:rsid w:val="006B7CB4"/>
    <w:rsid w:val="006C1DC2"/>
    <w:rsid w:val="006C542B"/>
    <w:rsid w:val="006D58B3"/>
    <w:rsid w:val="006D726C"/>
    <w:rsid w:val="006E6507"/>
    <w:rsid w:val="006E6DA8"/>
    <w:rsid w:val="006F21BD"/>
    <w:rsid w:val="006F2949"/>
    <w:rsid w:val="006F6357"/>
    <w:rsid w:val="00700FE7"/>
    <w:rsid w:val="00702758"/>
    <w:rsid w:val="00703CD5"/>
    <w:rsid w:val="00704B88"/>
    <w:rsid w:val="00705765"/>
    <w:rsid w:val="007143BD"/>
    <w:rsid w:val="00717D27"/>
    <w:rsid w:val="0072186A"/>
    <w:rsid w:val="00726F07"/>
    <w:rsid w:val="00731867"/>
    <w:rsid w:val="007370A3"/>
    <w:rsid w:val="0074250D"/>
    <w:rsid w:val="00742904"/>
    <w:rsid w:val="0074702E"/>
    <w:rsid w:val="00747FAF"/>
    <w:rsid w:val="007518D3"/>
    <w:rsid w:val="0075192B"/>
    <w:rsid w:val="00753D05"/>
    <w:rsid w:val="007662F1"/>
    <w:rsid w:val="00767009"/>
    <w:rsid w:val="00775F15"/>
    <w:rsid w:val="00781EF3"/>
    <w:rsid w:val="007877B2"/>
    <w:rsid w:val="007944A5"/>
    <w:rsid w:val="00794DA9"/>
    <w:rsid w:val="007B2A49"/>
    <w:rsid w:val="007C503A"/>
    <w:rsid w:val="007C582B"/>
    <w:rsid w:val="007D5489"/>
    <w:rsid w:val="007D6BF4"/>
    <w:rsid w:val="007E26D1"/>
    <w:rsid w:val="007E31F0"/>
    <w:rsid w:val="007E705D"/>
    <w:rsid w:val="007F1280"/>
    <w:rsid w:val="007F2251"/>
    <w:rsid w:val="007F65A7"/>
    <w:rsid w:val="007F7805"/>
    <w:rsid w:val="00800E50"/>
    <w:rsid w:val="00802E25"/>
    <w:rsid w:val="00806703"/>
    <w:rsid w:val="0081003C"/>
    <w:rsid w:val="008108B1"/>
    <w:rsid w:val="008132AB"/>
    <w:rsid w:val="00813E7C"/>
    <w:rsid w:val="00822060"/>
    <w:rsid w:val="008242A6"/>
    <w:rsid w:val="008251E1"/>
    <w:rsid w:val="00832960"/>
    <w:rsid w:val="008405D8"/>
    <w:rsid w:val="0084691E"/>
    <w:rsid w:val="00856F6C"/>
    <w:rsid w:val="00857E62"/>
    <w:rsid w:val="00863404"/>
    <w:rsid w:val="008652A6"/>
    <w:rsid w:val="00866659"/>
    <w:rsid w:val="00866B96"/>
    <w:rsid w:val="00890243"/>
    <w:rsid w:val="00890F94"/>
    <w:rsid w:val="008917ED"/>
    <w:rsid w:val="00892049"/>
    <w:rsid w:val="008A6E4B"/>
    <w:rsid w:val="008B1495"/>
    <w:rsid w:val="008B365E"/>
    <w:rsid w:val="008B3BCC"/>
    <w:rsid w:val="008B4F4E"/>
    <w:rsid w:val="008B5BE8"/>
    <w:rsid w:val="008B793B"/>
    <w:rsid w:val="008C3E9B"/>
    <w:rsid w:val="008C618F"/>
    <w:rsid w:val="008D0802"/>
    <w:rsid w:val="008E5F7E"/>
    <w:rsid w:val="008E7DBF"/>
    <w:rsid w:val="008E7EF6"/>
    <w:rsid w:val="008F0158"/>
    <w:rsid w:val="008F0429"/>
    <w:rsid w:val="008F548F"/>
    <w:rsid w:val="008F6685"/>
    <w:rsid w:val="00905C54"/>
    <w:rsid w:val="00905DBD"/>
    <w:rsid w:val="009066A0"/>
    <w:rsid w:val="00912027"/>
    <w:rsid w:val="009164AD"/>
    <w:rsid w:val="009207C7"/>
    <w:rsid w:val="00922276"/>
    <w:rsid w:val="00930FF3"/>
    <w:rsid w:val="00942467"/>
    <w:rsid w:val="00957B92"/>
    <w:rsid w:val="009607D9"/>
    <w:rsid w:val="00966AC0"/>
    <w:rsid w:val="00967BC5"/>
    <w:rsid w:val="00975BDA"/>
    <w:rsid w:val="00984ECA"/>
    <w:rsid w:val="00986C71"/>
    <w:rsid w:val="00994D79"/>
    <w:rsid w:val="009A0782"/>
    <w:rsid w:val="009C260A"/>
    <w:rsid w:val="009C2865"/>
    <w:rsid w:val="009C2922"/>
    <w:rsid w:val="009D4E8A"/>
    <w:rsid w:val="009D61B0"/>
    <w:rsid w:val="009D6E3C"/>
    <w:rsid w:val="009E7482"/>
    <w:rsid w:val="009F60D4"/>
    <w:rsid w:val="00A022FA"/>
    <w:rsid w:val="00A05113"/>
    <w:rsid w:val="00A06F03"/>
    <w:rsid w:val="00A10017"/>
    <w:rsid w:val="00A1014F"/>
    <w:rsid w:val="00A104E2"/>
    <w:rsid w:val="00A10B91"/>
    <w:rsid w:val="00A1565C"/>
    <w:rsid w:val="00A160D4"/>
    <w:rsid w:val="00A213BE"/>
    <w:rsid w:val="00A24CF0"/>
    <w:rsid w:val="00A30157"/>
    <w:rsid w:val="00A31F73"/>
    <w:rsid w:val="00A411F8"/>
    <w:rsid w:val="00A42DE7"/>
    <w:rsid w:val="00A43B7C"/>
    <w:rsid w:val="00A5194C"/>
    <w:rsid w:val="00A51B34"/>
    <w:rsid w:val="00A53FE8"/>
    <w:rsid w:val="00A563EC"/>
    <w:rsid w:val="00A62374"/>
    <w:rsid w:val="00A71F2D"/>
    <w:rsid w:val="00A740B4"/>
    <w:rsid w:val="00A74B1F"/>
    <w:rsid w:val="00A80D4D"/>
    <w:rsid w:val="00A81129"/>
    <w:rsid w:val="00A82115"/>
    <w:rsid w:val="00A869B4"/>
    <w:rsid w:val="00A931DB"/>
    <w:rsid w:val="00A951C0"/>
    <w:rsid w:val="00AB10D8"/>
    <w:rsid w:val="00AB3E11"/>
    <w:rsid w:val="00AC3E51"/>
    <w:rsid w:val="00AD1424"/>
    <w:rsid w:val="00AD4ABB"/>
    <w:rsid w:val="00AE478E"/>
    <w:rsid w:val="00AE62B2"/>
    <w:rsid w:val="00AE71F3"/>
    <w:rsid w:val="00AF3A67"/>
    <w:rsid w:val="00AF4BA3"/>
    <w:rsid w:val="00B0060C"/>
    <w:rsid w:val="00B01484"/>
    <w:rsid w:val="00B02BA8"/>
    <w:rsid w:val="00B050E7"/>
    <w:rsid w:val="00B10D32"/>
    <w:rsid w:val="00B11F68"/>
    <w:rsid w:val="00B134FA"/>
    <w:rsid w:val="00B13953"/>
    <w:rsid w:val="00B21C8D"/>
    <w:rsid w:val="00B30D3D"/>
    <w:rsid w:val="00B35202"/>
    <w:rsid w:val="00B3772D"/>
    <w:rsid w:val="00B416A1"/>
    <w:rsid w:val="00B42601"/>
    <w:rsid w:val="00B5058B"/>
    <w:rsid w:val="00B50852"/>
    <w:rsid w:val="00B56FF4"/>
    <w:rsid w:val="00B615AA"/>
    <w:rsid w:val="00B6475F"/>
    <w:rsid w:val="00B82F57"/>
    <w:rsid w:val="00B95DC7"/>
    <w:rsid w:val="00BA0A0F"/>
    <w:rsid w:val="00BA0EF9"/>
    <w:rsid w:val="00BA1AF2"/>
    <w:rsid w:val="00BA28E1"/>
    <w:rsid w:val="00BA2D7C"/>
    <w:rsid w:val="00BA339B"/>
    <w:rsid w:val="00BA77AF"/>
    <w:rsid w:val="00BC49F6"/>
    <w:rsid w:val="00BC703F"/>
    <w:rsid w:val="00BE4EEF"/>
    <w:rsid w:val="00BF5379"/>
    <w:rsid w:val="00BF69AE"/>
    <w:rsid w:val="00C0391E"/>
    <w:rsid w:val="00C24C15"/>
    <w:rsid w:val="00C25452"/>
    <w:rsid w:val="00C2589C"/>
    <w:rsid w:val="00C25AAC"/>
    <w:rsid w:val="00C40AA6"/>
    <w:rsid w:val="00C55058"/>
    <w:rsid w:val="00C5538B"/>
    <w:rsid w:val="00C5615F"/>
    <w:rsid w:val="00C57985"/>
    <w:rsid w:val="00C61852"/>
    <w:rsid w:val="00C62232"/>
    <w:rsid w:val="00C65255"/>
    <w:rsid w:val="00C72A11"/>
    <w:rsid w:val="00C737FD"/>
    <w:rsid w:val="00C74F93"/>
    <w:rsid w:val="00C93C82"/>
    <w:rsid w:val="00C972D9"/>
    <w:rsid w:val="00C97BA4"/>
    <w:rsid w:val="00CA56CF"/>
    <w:rsid w:val="00CB1C0C"/>
    <w:rsid w:val="00CB5F1C"/>
    <w:rsid w:val="00CB7DF1"/>
    <w:rsid w:val="00CC6C44"/>
    <w:rsid w:val="00CD382C"/>
    <w:rsid w:val="00CE0216"/>
    <w:rsid w:val="00CE7862"/>
    <w:rsid w:val="00CF0E59"/>
    <w:rsid w:val="00CF1D08"/>
    <w:rsid w:val="00CF1F23"/>
    <w:rsid w:val="00D11926"/>
    <w:rsid w:val="00D12103"/>
    <w:rsid w:val="00D23005"/>
    <w:rsid w:val="00D322E7"/>
    <w:rsid w:val="00D35412"/>
    <w:rsid w:val="00D35727"/>
    <w:rsid w:val="00D568A5"/>
    <w:rsid w:val="00D629FC"/>
    <w:rsid w:val="00D70C44"/>
    <w:rsid w:val="00D744CB"/>
    <w:rsid w:val="00D74B1C"/>
    <w:rsid w:val="00D86E42"/>
    <w:rsid w:val="00DA60FC"/>
    <w:rsid w:val="00DA6878"/>
    <w:rsid w:val="00DB05A8"/>
    <w:rsid w:val="00DB3726"/>
    <w:rsid w:val="00DB5212"/>
    <w:rsid w:val="00DB78C8"/>
    <w:rsid w:val="00DC16CD"/>
    <w:rsid w:val="00DD3D78"/>
    <w:rsid w:val="00DD5760"/>
    <w:rsid w:val="00DD728D"/>
    <w:rsid w:val="00DE758B"/>
    <w:rsid w:val="00E03386"/>
    <w:rsid w:val="00E130F8"/>
    <w:rsid w:val="00E13C4C"/>
    <w:rsid w:val="00E1443C"/>
    <w:rsid w:val="00E20A5F"/>
    <w:rsid w:val="00E20E80"/>
    <w:rsid w:val="00E21C0B"/>
    <w:rsid w:val="00E2368A"/>
    <w:rsid w:val="00E237CC"/>
    <w:rsid w:val="00E23B2E"/>
    <w:rsid w:val="00E27C87"/>
    <w:rsid w:val="00E27F4C"/>
    <w:rsid w:val="00E30D4A"/>
    <w:rsid w:val="00E32F00"/>
    <w:rsid w:val="00E33A4B"/>
    <w:rsid w:val="00E35198"/>
    <w:rsid w:val="00E3639E"/>
    <w:rsid w:val="00E40BAB"/>
    <w:rsid w:val="00E42A46"/>
    <w:rsid w:val="00E47AB8"/>
    <w:rsid w:val="00E53D93"/>
    <w:rsid w:val="00E5535B"/>
    <w:rsid w:val="00E55FA3"/>
    <w:rsid w:val="00E574C9"/>
    <w:rsid w:val="00E60B9B"/>
    <w:rsid w:val="00E63603"/>
    <w:rsid w:val="00E64A0D"/>
    <w:rsid w:val="00E80965"/>
    <w:rsid w:val="00E82CD8"/>
    <w:rsid w:val="00E93381"/>
    <w:rsid w:val="00E97505"/>
    <w:rsid w:val="00EA0BE9"/>
    <w:rsid w:val="00EA50B6"/>
    <w:rsid w:val="00EA70C4"/>
    <w:rsid w:val="00EB0022"/>
    <w:rsid w:val="00EB1F93"/>
    <w:rsid w:val="00EB4B17"/>
    <w:rsid w:val="00EB525B"/>
    <w:rsid w:val="00EB7567"/>
    <w:rsid w:val="00EC6E68"/>
    <w:rsid w:val="00ED26E0"/>
    <w:rsid w:val="00ED7BDC"/>
    <w:rsid w:val="00EE5BBB"/>
    <w:rsid w:val="00EE5D3A"/>
    <w:rsid w:val="00EE7C25"/>
    <w:rsid w:val="00EF4105"/>
    <w:rsid w:val="00EF416A"/>
    <w:rsid w:val="00EF4465"/>
    <w:rsid w:val="00F10548"/>
    <w:rsid w:val="00F13001"/>
    <w:rsid w:val="00F13E3B"/>
    <w:rsid w:val="00F165B9"/>
    <w:rsid w:val="00F20C72"/>
    <w:rsid w:val="00F26376"/>
    <w:rsid w:val="00F27021"/>
    <w:rsid w:val="00F317E2"/>
    <w:rsid w:val="00F32C89"/>
    <w:rsid w:val="00F3543E"/>
    <w:rsid w:val="00F3612D"/>
    <w:rsid w:val="00F36F6C"/>
    <w:rsid w:val="00F41189"/>
    <w:rsid w:val="00F43F6D"/>
    <w:rsid w:val="00F4470A"/>
    <w:rsid w:val="00F63C4D"/>
    <w:rsid w:val="00F66CF7"/>
    <w:rsid w:val="00F75086"/>
    <w:rsid w:val="00F75829"/>
    <w:rsid w:val="00F83BBA"/>
    <w:rsid w:val="00F86627"/>
    <w:rsid w:val="00FA28CE"/>
    <w:rsid w:val="00FA6E33"/>
    <w:rsid w:val="00FB1928"/>
    <w:rsid w:val="00FC4356"/>
    <w:rsid w:val="00FD38AD"/>
    <w:rsid w:val="00FD4A8B"/>
    <w:rsid w:val="00FE48E9"/>
    <w:rsid w:val="00FE76D3"/>
    <w:rsid w:val="00FF39FF"/>
    <w:rsid w:val="00FF4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locked="1" w:uiPriority="0" w:qFormat="1"/>
    <w:lsdException w:name="table of figures" w:uiPriority="0"/>
    <w:lsdException w:name="footnote reference" w:uiPriority="0"/>
    <w:lsdException w:name="annotation reference" w:uiPriority="0"/>
    <w:lsdException w:name="endnote reference" w:uiPriority="0"/>
    <w:lsdException w:name="endnote text" w:uiPriority="0"/>
    <w:lsdException w:name="table of authorities" w:uiPriority="0"/>
    <w:lsdException w:name="macro" w:uiPriority="0"/>
    <w:lsdException w:name="toa heading"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C5A"/>
    <w:pPr>
      <w:spacing w:after="240" w:line="280" w:lineRule="exact"/>
      <w:jc w:val="both"/>
    </w:pPr>
    <w:rPr>
      <w:rFonts w:asciiTheme="minorHAnsi" w:eastAsia="Times New Roman" w:hAnsiTheme="minorHAnsi"/>
      <w:color w:val="000000"/>
      <w:szCs w:val="20"/>
    </w:rPr>
  </w:style>
  <w:style w:type="paragraph" w:styleId="Heading1">
    <w:name w:val="heading 1"/>
    <w:basedOn w:val="HeadingBase"/>
    <w:next w:val="Normal"/>
    <w:link w:val="Heading1Char"/>
    <w:qFormat/>
    <w:rsid w:val="00626C5A"/>
    <w:pPr>
      <w:numPr>
        <w:numId w:val="1"/>
      </w:numPr>
      <w:spacing w:before="720" w:after="360"/>
      <w:outlineLvl w:val="0"/>
    </w:pPr>
    <w:rPr>
      <w:rFonts w:cs="Arial"/>
      <w:bCs/>
      <w:smallCaps/>
      <w:kern w:val="32"/>
      <w:sz w:val="36"/>
      <w:szCs w:val="36"/>
    </w:rPr>
  </w:style>
  <w:style w:type="paragraph" w:styleId="Heading2">
    <w:name w:val="heading 2"/>
    <w:basedOn w:val="HeadingBase"/>
    <w:next w:val="Normal"/>
    <w:link w:val="Heading2Char"/>
    <w:qFormat/>
    <w:rsid w:val="00626C5A"/>
    <w:pPr>
      <w:numPr>
        <w:ilvl w:val="1"/>
        <w:numId w:val="1"/>
      </w:numPr>
      <w:spacing w:before="360" w:after="180"/>
      <w:outlineLvl w:val="1"/>
    </w:pPr>
    <w:rPr>
      <w:rFonts w:cs="Arial"/>
      <w:bCs/>
      <w:iCs/>
      <w:smallCaps/>
      <w:sz w:val="28"/>
      <w:szCs w:val="28"/>
    </w:rPr>
  </w:style>
  <w:style w:type="paragraph" w:styleId="Heading3">
    <w:name w:val="heading 3"/>
    <w:basedOn w:val="HeadingBase"/>
    <w:next w:val="Normal"/>
    <w:link w:val="Heading3Char"/>
    <w:qFormat/>
    <w:rsid w:val="00626C5A"/>
    <w:pPr>
      <w:numPr>
        <w:ilvl w:val="2"/>
        <w:numId w:val="1"/>
      </w:numPr>
      <w:spacing w:before="240" w:after="120"/>
      <w:outlineLvl w:val="2"/>
    </w:pPr>
    <w:rPr>
      <w:rFonts w:cs="Arial"/>
      <w:bCs/>
      <w:sz w:val="28"/>
      <w:szCs w:val="26"/>
    </w:rPr>
  </w:style>
  <w:style w:type="paragraph" w:styleId="Heading4">
    <w:name w:val="heading 4"/>
    <w:basedOn w:val="HeadingBase"/>
    <w:next w:val="Normal"/>
    <w:link w:val="Heading4Char"/>
    <w:qFormat/>
    <w:rsid w:val="00626C5A"/>
    <w:pPr>
      <w:spacing w:before="120" w:after="240"/>
      <w:outlineLvl w:val="3"/>
    </w:pPr>
    <w:rPr>
      <w:b/>
      <w:bCs/>
      <w:sz w:val="26"/>
      <w:szCs w:val="22"/>
    </w:rPr>
  </w:style>
  <w:style w:type="paragraph" w:styleId="Heading5">
    <w:name w:val="heading 5"/>
    <w:basedOn w:val="HeadingBase"/>
    <w:next w:val="Normal"/>
    <w:link w:val="Heading5Char"/>
    <w:qFormat/>
    <w:locked/>
    <w:rsid w:val="00626C5A"/>
    <w:pPr>
      <w:spacing w:after="120"/>
      <w:outlineLvl w:val="4"/>
    </w:pPr>
    <w:rPr>
      <w:b/>
      <w:bCs/>
      <w:iCs/>
      <w:sz w:val="24"/>
    </w:rPr>
  </w:style>
  <w:style w:type="paragraph" w:styleId="Heading6">
    <w:name w:val="heading 6"/>
    <w:basedOn w:val="HeadingBase"/>
    <w:next w:val="Normal"/>
    <w:link w:val="Heading6Char"/>
    <w:qFormat/>
    <w:rsid w:val="00626C5A"/>
    <w:pPr>
      <w:spacing w:after="120"/>
      <w:outlineLvl w:val="5"/>
    </w:pPr>
    <w:rPr>
      <w:bCs/>
      <w:sz w:val="22"/>
      <w:szCs w:val="22"/>
    </w:rPr>
  </w:style>
  <w:style w:type="paragraph" w:styleId="Heading7">
    <w:name w:val="heading 7"/>
    <w:basedOn w:val="HeadingBase"/>
    <w:next w:val="Normal"/>
    <w:link w:val="Heading7Char"/>
    <w:qFormat/>
    <w:rsid w:val="00626C5A"/>
    <w:pPr>
      <w:spacing w:after="120"/>
      <w:outlineLvl w:val="6"/>
    </w:pPr>
    <w:rPr>
      <w:szCs w:val="24"/>
    </w:rPr>
  </w:style>
  <w:style w:type="paragraph" w:styleId="Heading8">
    <w:name w:val="heading 8"/>
    <w:basedOn w:val="HeadingBase"/>
    <w:next w:val="Normal"/>
    <w:link w:val="Heading8Char"/>
    <w:qFormat/>
    <w:locked/>
    <w:rsid w:val="00626C5A"/>
    <w:pPr>
      <w:spacing w:before="60" w:after="60"/>
      <w:jc w:val="center"/>
      <w:outlineLvl w:val="7"/>
    </w:pPr>
    <w:rPr>
      <w:iCs/>
      <w:smallCaps/>
      <w:sz w:val="22"/>
      <w:szCs w:val="24"/>
    </w:rPr>
  </w:style>
  <w:style w:type="paragraph" w:styleId="Heading9">
    <w:name w:val="heading 9"/>
    <w:basedOn w:val="HeadingBase"/>
    <w:next w:val="Normal"/>
    <w:link w:val="Heading9Char"/>
    <w:qFormat/>
    <w:locked/>
    <w:rsid w:val="00626C5A"/>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25C06"/>
    <w:rPr>
      <w:rFonts w:eastAsia="Times New Roman" w:cs="Arial"/>
      <w:bCs/>
      <w:smallCaps/>
      <w:color w:val="342E82"/>
      <w:kern w:val="32"/>
      <w:sz w:val="36"/>
      <w:szCs w:val="36"/>
    </w:rPr>
  </w:style>
  <w:style w:type="character" w:customStyle="1" w:styleId="Heading2Char">
    <w:name w:val="Heading 2 Char"/>
    <w:basedOn w:val="DefaultParagraphFont"/>
    <w:link w:val="Heading2"/>
    <w:locked/>
    <w:rsid w:val="00025C06"/>
    <w:rPr>
      <w:rFonts w:eastAsia="Times New Roman" w:cs="Arial"/>
      <w:bCs/>
      <w:iCs/>
      <w:smallCaps/>
      <w:color w:val="342E82"/>
      <w:sz w:val="28"/>
      <w:szCs w:val="28"/>
    </w:rPr>
  </w:style>
  <w:style w:type="character" w:customStyle="1" w:styleId="Heading3Char">
    <w:name w:val="Heading 3 Char"/>
    <w:basedOn w:val="DefaultParagraphFont"/>
    <w:link w:val="Heading3"/>
    <w:locked/>
    <w:rsid w:val="0069389D"/>
    <w:rPr>
      <w:rFonts w:eastAsia="Times New Roman" w:cs="Arial"/>
      <w:bCs/>
      <w:color w:val="342E82"/>
      <w:sz w:val="28"/>
      <w:szCs w:val="26"/>
    </w:rPr>
  </w:style>
  <w:style w:type="character" w:customStyle="1" w:styleId="Heading4Char">
    <w:name w:val="Heading 4 Char"/>
    <w:basedOn w:val="DefaultParagraphFont"/>
    <w:link w:val="Heading4"/>
    <w:locked/>
    <w:rsid w:val="00626C5A"/>
    <w:rPr>
      <w:rFonts w:eastAsia="Times New Roman"/>
      <w:b/>
      <w:bCs/>
      <w:color w:val="342E82"/>
      <w:sz w:val="26"/>
    </w:rPr>
  </w:style>
  <w:style w:type="character" w:customStyle="1" w:styleId="Heading6Char">
    <w:name w:val="Heading 6 Char"/>
    <w:basedOn w:val="DefaultParagraphFont"/>
    <w:link w:val="Heading6"/>
    <w:locked/>
    <w:rsid w:val="004B14F0"/>
    <w:rPr>
      <w:rFonts w:eastAsia="Times New Roman"/>
      <w:bCs/>
      <w:color w:val="342E82"/>
    </w:rPr>
  </w:style>
  <w:style w:type="character" w:customStyle="1" w:styleId="Heading7Char">
    <w:name w:val="Heading 7 Char"/>
    <w:basedOn w:val="DefaultParagraphFont"/>
    <w:link w:val="Heading7"/>
    <w:locked/>
    <w:rsid w:val="00C65255"/>
    <w:rPr>
      <w:rFonts w:eastAsia="Times New Roman"/>
      <w:color w:val="342E82"/>
      <w:sz w:val="20"/>
      <w:szCs w:val="24"/>
    </w:rPr>
  </w:style>
  <w:style w:type="paragraph" w:customStyle="1" w:styleId="Heading1NotNumbered">
    <w:name w:val="Heading 1 Not Numbered"/>
    <w:basedOn w:val="HeadingBase"/>
    <w:next w:val="Normal"/>
    <w:link w:val="Heading1NotNumberedChar"/>
    <w:rsid w:val="00626C5A"/>
    <w:pPr>
      <w:spacing w:before="720" w:after="360"/>
    </w:pPr>
    <w:rPr>
      <w:smallCaps/>
      <w:sz w:val="36"/>
      <w:szCs w:val="36"/>
    </w:rPr>
  </w:style>
  <w:style w:type="paragraph" w:customStyle="1" w:styleId="Heading2NotNumbered">
    <w:name w:val="Heading 2 Not Numbered"/>
    <w:basedOn w:val="HeadingBase"/>
    <w:next w:val="Normal"/>
    <w:rsid w:val="00626C5A"/>
    <w:pPr>
      <w:spacing w:before="360" w:after="180"/>
    </w:pPr>
    <w:rPr>
      <w:smallCaps/>
      <w:sz w:val="28"/>
      <w:szCs w:val="28"/>
    </w:rPr>
  </w:style>
  <w:style w:type="paragraph" w:customStyle="1" w:styleId="Heading3NotNumbered">
    <w:name w:val="Heading 3 Not Numbered"/>
    <w:basedOn w:val="HeadingBase"/>
    <w:next w:val="Normal"/>
    <w:rsid w:val="00626C5A"/>
    <w:pPr>
      <w:spacing w:before="240" w:after="120"/>
    </w:pPr>
    <w:rPr>
      <w:sz w:val="28"/>
      <w:szCs w:val="26"/>
    </w:rPr>
  </w:style>
  <w:style w:type="character" w:customStyle="1" w:styleId="Heading1NotNumberedChar">
    <w:name w:val="Heading 1 Not Numbered Char"/>
    <w:basedOn w:val="DefaultParagraphFont"/>
    <w:link w:val="Heading1NotNumbered"/>
    <w:locked/>
    <w:rsid w:val="00025C06"/>
    <w:rPr>
      <w:rFonts w:eastAsia="Times New Roman"/>
      <w:smallCaps/>
      <w:color w:val="342E82"/>
      <w:sz w:val="36"/>
      <w:szCs w:val="36"/>
    </w:rPr>
  </w:style>
  <w:style w:type="paragraph" w:customStyle="1" w:styleId="Bullet">
    <w:name w:val="Bullet"/>
    <w:basedOn w:val="Normal"/>
    <w:link w:val="BulletChar"/>
    <w:rsid w:val="00626C5A"/>
    <w:pPr>
      <w:numPr>
        <w:numId w:val="2"/>
      </w:numPr>
      <w:ind w:left="1134" w:hanging="567"/>
    </w:pPr>
  </w:style>
  <w:style w:type="paragraph" w:customStyle="1" w:styleId="Dash">
    <w:name w:val="Dash"/>
    <w:basedOn w:val="Normal"/>
    <w:link w:val="DashChar"/>
    <w:rsid w:val="00626C5A"/>
    <w:pPr>
      <w:numPr>
        <w:ilvl w:val="1"/>
        <w:numId w:val="2"/>
      </w:numPr>
      <w:tabs>
        <w:tab w:val="clear" w:pos="1134"/>
        <w:tab w:val="num" w:pos="360"/>
      </w:tabs>
      <w:ind w:left="1361" w:hanging="397"/>
    </w:pPr>
  </w:style>
  <w:style w:type="paragraph" w:customStyle="1" w:styleId="DoubleDot">
    <w:name w:val="Double Dot"/>
    <w:basedOn w:val="Normal"/>
    <w:link w:val="DoubleDotChar"/>
    <w:rsid w:val="00626C5A"/>
    <w:pPr>
      <w:numPr>
        <w:ilvl w:val="2"/>
        <w:numId w:val="2"/>
      </w:numPr>
      <w:tabs>
        <w:tab w:val="clear" w:pos="1700"/>
        <w:tab w:val="num" w:pos="360"/>
      </w:tabs>
      <w:ind w:left="1758" w:hanging="397"/>
    </w:pPr>
  </w:style>
  <w:style w:type="paragraph" w:customStyle="1" w:styleId="OutlineNumbered1">
    <w:name w:val="Outline Numbered 1"/>
    <w:basedOn w:val="Normal"/>
    <w:link w:val="OutlineNumbered1Char"/>
    <w:rsid w:val="00626C5A"/>
    <w:pPr>
      <w:numPr>
        <w:numId w:val="7"/>
      </w:numPr>
      <w:tabs>
        <w:tab w:val="clear" w:pos="567"/>
        <w:tab w:val="num" w:pos="360"/>
      </w:tabs>
      <w:ind w:left="0" w:firstLine="0"/>
    </w:pPr>
  </w:style>
  <w:style w:type="character" w:customStyle="1" w:styleId="OutlineNumbered1Char">
    <w:name w:val="Outline Numbered 1 Char"/>
    <w:basedOn w:val="DefaultParagraphFont"/>
    <w:link w:val="OutlineNumbered1"/>
    <w:locked/>
    <w:rsid w:val="00025C06"/>
    <w:rPr>
      <w:rFonts w:asciiTheme="minorHAnsi" w:eastAsia="Times New Roman" w:hAnsiTheme="minorHAnsi"/>
      <w:color w:val="000000"/>
      <w:szCs w:val="20"/>
    </w:rPr>
  </w:style>
  <w:style w:type="paragraph" w:customStyle="1" w:styleId="OutlineNumbered2">
    <w:name w:val="Outline Numbered 2"/>
    <w:basedOn w:val="Normal"/>
    <w:link w:val="OutlineNumbered2Char"/>
    <w:rsid w:val="00626C5A"/>
    <w:pPr>
      <w:numPr>
        <w:ilvl w:val="1"/>
        <w:numId w:val="7"/>
      </w:numPr>
      <w:tabs>
        <w:tab w:val="clear" w:pos="1134"/>
        <w:tab w:val="num" w:pos="360"/>
      </w:tabs>
      <w:ind w:left="0" w:firstLine="0"/>
    </w:pPr>
  </w:style>
  <w:style w:type="character" w:customStyle="1" w:styleId="OutlineNumbered2Char">
    <w:name w:val="Outline Numbered 2 Char"/>
    <w:basedOn w:val="DefaultParagraphFont"/>
    <w:link w:val="OutlineNumbered2"/>
    <w:locked/>
    <w:rsid w:val="00025C06"/>
    <w:rPr>
      <w:rFonts w:asciiTheme="minorHAnsi" w:eastAsia="Times New Roman" w:hAnsiTheme="minorHAnsi"/>
      <w:color w:val="000000"/>
      <w:szCs w:val="20"/>
    </w:rPr>
  </w:style>
  <w:style w:type="paragraph" w:customStyle="1" w:styleId="OutlineNumbered3">
    <w:name w:val="Outline Numbered 3"/>
    <w:basedOn w:val="Normal"/>
    <w:link w:val="OutlineNumbered3Char"/>
    <w:rsid w:val="00626C5A"/>
    <w:pPr>
      <w:numPr>
        <w:ilvl w:val="2"/>
        <w:numId w:val="7"/>
      </w:numPr>
    </w:pPr>
  </w:style>
  <w:style w:type="character" w:customStyle="1" w:styleId="OutlineNumbered3Char">
    <w:name w:val="Outline Numbered 3 Char"/>
    <w:basedOn w:val="DefaultParagraphFont"/>
    <w:link w:val="OutlineNumbered3"/>
    <w:locked/>
    <w:rsid w:val="00025C06"/>
    <w:rPr>
      <w:rFonts w:asciiTheme="minorHAnsi" w:eastAsia="Times New Roman" w:hAnsiTheme="minorHAnsi"/>
      <w:color w:val="000000"/>
      <w:szCs w:val="20"/>
    </w:rPr>
  </w:style>
  <w:style w:type="character" w:styleId="CommentReference">
    <w:name w:val="annotation reference"/>
    <w:basedOn w:val="DefaultParagraphFont"/>
    <w:semiHidden/>
    <w:rsid w:val="00626C5A"/>
    <w:rPr>
      <w:sz w:val="16"/>
      <w:szCs w:val="16"/>
    </w:rPr>
  </w:style>
  <w:style w:type="paragraph" w:styleId="CommentText">
    <w:name w:val="annotation text"/>
    <w:basedOn w:val="Normal"/>
    <w:link w:val="CommentTextChar"/>
    <w:rsid w:val="00626C5A"/>
  </w:style>
  <w:style w:type="character" w:customStyle="1" w:styleId="CommentTextChar">
    <w:name w:val="Comment Text Char"/>
    <w:basedOn w:val="DefaultParagraphFont"/>
    <w:link w:val="CommentText"/>
    <w:locked/>
    <w:rsid w:val="00C62232"/>
    <w:rPr>
      <w:rFonts w:asciiTheme="minorHAnsi" w:eastAsia="Times New Roman" w:hAnsiTheme="minorHAnsi"/>
      <w:color w:val="000000"/>
      <w:szCs w:val="20"/>
    </w:rPr>
  </w:style>
  <w:style w:type="paragraph" w:styleId="CommentSubject">
    <w:name w:val="annotation subject"/>
    <w:basedOn w:val="CommentText"/>
    <w:next w:val="CommentText"/>
    <w:link w:val="CommentSubjectChar"/>
    <w:semiHidden/>
    <w:rsid w:val="00626C5A"/>
    <w:rPr>
      <w:b/>
      <w:bCs/>
    </w:rPr>
  </w:style>
  <w:style w:type="character" w:customStyle="1" w:styleId="CommentSubjectChar">
    <w:name w:val="Comment Subject Char"/>
    <w:basedOn w:val="CommentTextChar"/>
    <w:link w:val="CommentSubject"/>
    <w:semiHidden/>
    <w:locked/>
    <w:rsid w:val="00C62232"/>
    <w:rPr>
      <w:rFonts w:asciiTheme="minorHAnsi" w:eastAsia="Times New Roman" w:hAnsiTheme="minorHAnsi"/>
      <w:b/>
      <w:bCs/>
      <w:color w:val="000000"/>
      <w:szCs w:val="20"/>
    </w:rPr>
  </w:style>
  <w:style w:type="paragraph" w:styleId="BalloonText">
    <w:name w:val="Balloon Text"/>
    <w:basedOn w:val="Normal"/>
    <w:link w:val="BalloonTextChar"/>
    <w:semiHidden/>
    <w:rsid w:val="00626C5A"/>
    <w:rPr>
      <w:rFonts w:ascii="Tahoma" w:hAnsi="Tahoma" w:cs="Tahoma"/>
      <w:sz w:val="16"/>
      <w:szCs w:val="16"/>
    </w:rPr>
  </w:style>
  <w:style w:type="character" w:customStyle="1" w:styleId="BalloonTextChar">
    <w:name w:val="Balloon Text Char"/>
    <w:basedOn w:val="DefaultParagraphFont"/>
    <w:link w:val="BalloonText"/>
    <w:semiHidden/>
    <w:locked/>
    <w:rsid w:val="00C62232"/>
    <w:rPr>
      <w:rFonts w:ascii="Tahoma" w:eastAsia="Times New Roman" w:hAnsi="Tahoma" w:cs="Tahoma"/>
      <w:color w:val="000000"/>
      <w:sz w:val="16"/>
      <w:szCs w:val="16"/>
    </w:rPr>
  </w:style>
  <w:style w:type="table" w:styleId="LightShading">
    <w:name w:val="Light Shading"/>
    <w:basedOn w:val="TableNormal"/>
    <w:uiPriority w:val="99"/>
    <w:rsid w:val="00066128"/>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OutlineNumbered5">
    <w:name w:val="Outline Numbered 5"/>
    <w:basedOn w:val="Normal"/>
    <w:rsid w:val="00626C5A"/>
    <w:pPr>
      <w:numPr>
        <w:ilvl w:val="4"/>
        <w:numId w:val="7"/>
      </w:numPr>
    </w:pPr>
  </w:style>
  <w:style w:type="paragraph" w:styleId="Title">
    <w:name w:val="Title"/>
    <w:basedOn w:val="Normal"/>
    <w:next w:val="Normal"/>
    <w:link w:val="TitleChar"/>
    <w:uiPriority w:val="99"/>
    <w:qFormat/>
    <w:rsid w:val="00C6525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C65255"/>
    <w:rPr>
      <w:rFonts w:ascii="Cambria" w:hAnsi="Cambria" w:cs="Times New Roman"/>
      <w:color w:val="17365D"/>
      <w:spacing w:val="5"/>
      <w:kern w:val="28"/>
      <w:sz w:val="52"/>
      <w:szCs w:val="52"/>
      <w:lang w:eastAsia="en-AU"/>
    </w:rPr>
  </w:style>
  <w:style w:type="paragraph" w:styleId="NoSpacing">
    <w:name w:val="No Spacing"/>
    <w:uiPriority w:val="99"/>
    <w:qFormat/>
    <w:rsid w:val="00C65255"/>
    <w:pPr>
      <w:jc w:val="both"/>
    </w:pPr>
    <w:rPr>
      <w:rFonts w:eastAsia="Times New Roman"/>
      <w:color w:val="000000"/>
      <w:szCs w:val="20"/>
    </w:rPr>
  </w:style>
  <w:style w:type="paragraph" w:styleId="Header">
    <w:name w:val="header"/>
    <w:basedOn w:val="HeadingBase"/>
    <w:link w:val="HeaderChar"/>
    <w:rsid w:val="00626C5A"/>
    <w:rPr>
      <w:sz w:val="18"/>
    </w:rPr>
  </w:style>
  <w:style w:type="character" w:customStyle="1" w:styleId="HeaderChar">
    <w:name w:val="Header Char"/>
    <w:basedOn w:val="DefaultParagraphFont"/>
    <w:link w:val="Header"/>
    <w:locked/>
    <w:rsid w:val="00F86627"/>
    <w:rPr>
      <w:rFonts w:eastAsia="Times New Roman"/>
      <w:color w:val="342E82"/>
      <w:sz w:val="18"/>
      <w:szCs w:val="20"/>
    </w:rPr>
  </w:style>
  <w:style w:type="paragraph" w:styleId="Footer">
    <w:name w:val="footer"/>
    <w:basedOn w:val="HeadingBase"/>
    <w:link w:val="FooterChar"/>
    <w:rsid w:val="00626C5A"/>
    <w:rPr>
      <w:sz w:val="18"/>
    </w:rPr>
  </w:style>
  <w:style w:type="character" w:customStyle="1" w:styleId="FooterChar">
    <w:name w:val="Footer Char"/>
    <w:basedOn w:val="DefaultParagraphFont"/>
    <w:link w:val="Footer"/>
    <w:locked/>
    <w:rsid w:val="00F86627"/>
    <w:rPr>
      <w:rFonts w:eastAsia="Times New Roman"/>
      <w:color w:val="342E82"/>
      <w:sz w:val="18"/>
      <w:szCs w:val="20"/>
    </w:rPr>
  </w:style>
  <w:style w:type="paragraph" w:styleId="Revision">
    <w:name w:val="Revision"/>
    <w:hidden/>
    <w:uiPriority w:val="99"/>
    <w:semiHidden/>
    <w:rsid w:val="009D4E8A"/>
    <w:rPr>
      <w:rFonts w:eastAsia="Times New Roman"/>
      <w:color w:val="000000"/>
      <w:szCs w:val="20"/>
    </w:rPr>
  </w:style>
  <w:style w:type="character" w:customStyle="1" w:styleId="BulletChar">
    <w:name w:val="Bullet Char"/>
    <w:basedOn w:val="DefaultParagraphFont"/>
    <w:link w:val="Bullet"/>
    <w:locked/>
    <w:rsid w:val="008E7DBF"/>
    <w:rPr>
      <w:rFonts w:asciiTheme="minorHAnsi" w:eastAsia="Times New Roman" w:hAnsiTheme="minorHAnsi"/>
      <w:color w:val="000000"/>
      <w:szCs w:val="20"/>
    </w:rPr>
  </w:style>
  <w:style w:type="character" w:customStyle="1" w:styleId="DashChar">
    <w:name w:val="Dash Char"/>
    <w:basedOn w:val="DefaultParagraphFont"/>
    <w:link w:val="Dash"/>
    <w:locked/>
    <w:rsid w:val="00942467"/>
    <w:rPr>
      <w:rFonts w:asciiTheme="minorHAnsi" w:eastAsia="Times New Roman" w:hAnsiTheme="minorHAnsi"/>
      <w:color w:val="000000"/>
      <w:szCs w:val="20"/>
    </w:rPr>
  </w:style>
  <w:style w:type="paragraph" w:styleId="FootnoteText">
    <w:name w:val="footnote text"/>
    <w:basedOn w:val="Normal"/>
    <w:link w:val="FootnoteTextChar"/>
    <w:rsid w:val="00626C5A"/>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4F0199"/>
    <w:rPr>
      <w:rFonts w:asciiTheme="minorHAnsi" w:eastAsia="Times New Roman" w:hAnsiTheme="minorHAnsi"/>
      <w:color w:val="000000"/>
      <w:sz w:val="18"/>
      <w:szCs w:val="20"/>
    </w:rPr>
  </w:style>
  <w:style w:type="character" w:styleId="FootnoteReference">
    <w:name w:val="footnote reference"/>
    <w:basedOn w:val="DefaultParagraphFont"/>
    <w:rsid w:val="00626C5A"/>
    <w:rPr>
      <w:vertAlign w:val="superscript"/>
    </w:rPr>
  </w:style>
  <w:style w:type="paragraph" w:customStyle="1" w:styleId="CoverTitleSub">
    <w:name w:val="Cover Title Sub"/>
    <w:basedOn w:val="HeadingBase"/>
    <w:rsid w:val="00626C5A"/>
    <w:pPr>
      <w:spacing w:after="360"/>
      <w:jc w:val="right"/>
    </w:pPr>
    <w:rPr>
      <w:sz w:val="36"/>
    </w:rPr>
  </w:style>
  <w:style w:type="character" w:styleId="PageNumber">
    <w:name w:val="page number"/>
    <w:basedOn w:val="DefaultParagraphFont"/>
    <w:uiPriority w:val="99"/>
    <w:unhideWhenUsed/>
    <w:rsid w:val="004B14F0"/>
  </w:style>
  <w:style w:type="character" w:customStyle="1" w:styleId="A5">
    <w:name w:val="A5"/>
    <w:uiPriority w:val="99"/>
    <w:rsid w:val="00626C5A"/>
    <w:rPr>
      <w:rFonts w:cs="Swiss 721 BT"/>
      <w:color w:val="000000"/>
      <w:sz w:val="20"/>
      <w:szCs w:val="20"/>
    </w:rPr>
  </w:style>
  <w:style w:type="character" w:styleId="Hyperlink">
    <w:name w:val="Hyperlink"/>
    <w:basedOn w:val="DefaultParagraphFont"/>
    <w:rsid w:val="00626C5A"/>
    <w:rPr>
      <w:color w:val="auto"/>
      <w:u w:val="none"/>
    </w:rPr>
  </w:style>
  <w:style w:type="paragraph" w:customStyle="1" w:styleId="ContentsHeading">
    <w:name w:val="Contents Heading"/>
    <w:basedOn w:val="HeadingBase"/>
    <w:next w:val="Normal"/>
    <w:rsid w:val="00626C5A"/>
    <w:pPr>
      <w:spacing w:after="360"/>
    </w:pPr>
    <w:rPr>
      <w:smallCaps/>
      <w:sz w:val="36"/>
      <w:szCs w:val="36"/>
    </w:rPr>
  </w:style>
  <w:style w:type="paragraph" w:styleId="TOC1">
    <w:name w:val="toc 1"/>
    <w:basedOn w:val="HeadingBase"/>
    <w:next w:val="Normal"/>
    <w:uiPriority w:val="39"/>
    <w:locked/>
    <w:rsid w:val="00626C5A"/>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locked/>
    <w:rsid w:val="00626C5A"/>
    <w:pPr>
      <w:tabs>
        <w:tab w:val="left" w:pos="851"/>
        <w:tab w:val="right" w:leader="dot" w:pos="9072"/>
      </w:tabs>
      <w:spacing w:before="40" w:after="20"/>
      <w:ind w:left="1135" w:right="851" w:hanging="851"/>
    </w:pPr>
  </w:style>
  <w:style w:type="paragraph" w:customStyle="1" w:styleId="SingleParagraph">
    <w:name w:val="Single Paragraph"/>
    <w:basedOn w:val="Normal"/>
    <w:link w:val="SingleParagraphChar"/>
    <w:rsid w:val="00626C5A"/>
    <w:pPr>
      <w:spacing w:after="0"/>
    </w:pPr>
  </w:style>
  <w:style w:type="paragraph" w:customStyle="1" w:styleId="TableGraphic">
    <w:name w:val="Table Graphic"/>
    <w:basedOn w:val="HeadingBase"/>
    <w:next w:val="Normal"/>
    <w:rsid w:val="00626C5A"/>
  </w:style>
  <w:style w:type="character" w:customStyle="1" w:styleId="SingleParagraphChar">
    <w:name w:val="Single Paragraph Char"/>
    <w:basedOn w:val="DefaultParagraphFont"/>
    <w:link w:val="SingleParagraph"/>
    <w:rsid w:val="00626C5A"/>
    <w:rPr>
      <w:rFonts w:asciiTheme="minorHAnsi" w:eastAsia="Times New Roman" w:hAnsiTheme="minorHAnsi"/>
      <w:color w:val="000000"/>
      <w:szCs w:val="20"/>
    </w:rPr>
  </w:style>
  <w:style w:type="table" w:styleId="TableGrid">
    <w:name w:val="Table Grid"/>
    <w:basedOn w:val="TableNormal"/>
    <w:locked/>
    <w:rsid w:val="00626C5A"/>
    <w:pPr>
      <w:spacing w:after="240" w:line="260" w:lineRule="exact"/>
      <w:jc w:val="both"/>
    </w:pPr>
    <w:rPr>
      <w:rFonts w:ascii="Times New Roman" w:eastAsia="Times New Roman" w:hAnsi="Times New Roman"/>
      <w:sz w:val="20"/>
      <w:szCs w:val="20"/>
    </w:rPr>
    <w:tblPr>
      <w:tblInd w:w="0" w:type="dxa"/>
      <w:tblCellMar>
        <w:top w:w="0" w:type="dxa"/>
        <w:left w:w="108" w:type="dxa"/>
        <w:bottom w:w="0" w:type="dxa"/>
        <w:right w:w="108" w:type="dxa"/>
      </w:tblCellMar>
    </w:tblPr>
    <w:tcPr>
      <w:shd w:val="clear" w:color="auto" w:fill="E6E6E6"/>
    </w:tcPr>
  </w:style>
  <w:style w:type="paragraph" w:customStyle="1" w:styleId="SecurityClassificationHeader">
    <w:name w:val="Security Classification Header"/>
    <w:link w:val="SecurityClassificationHeaderChar"/>
    <w:rsid w:val="00857E62"/>
    <w:pPr>
      <w:spacing w:before="240" w:after="60"/>
      <w:jc w:val="center"/>
    </w:pPr>
    <w:rPr>
      <w:rFonts w:ascii="Times New Roman" w:eastAsia="Times New Roman" w:hAnsi="Times New Roman"/>
      <w:b/>
      <w:caps/>
      <w:color w:val="000000"/>
      <w:sz w:val="24"/>
      <w:szCs w:val="20"/>
    </w:rPr>
  </w:style>
  <w:style w:type="character" w:customStyle="1" w:styleId="SecurityClassificationHeaderChar">
    <w:name w:val="Security Classification Header Char"/>
    <w:basedOn w:val="HeaderChar"/>
    <w:link w:val="SecurityClassificationHeader"/>
    <w:rsid w:val="00857E62"/>
    <w:rPr>
      <w:rFonts w:ascii="Times New Roman" w:eastAsia="Times New Roman" w:hAnsi="Times New Roman" w:cs="Times New Roman"/>
      <w:b/>
      <w:caps/>
      <w:color w:val="000000"/>
      <w:sz w:val="24"/>
      <w:szCs w:val="20"/>
      <w:lang w:eastAsia="en-AU"/>
    </w:rPr>
  </w:style>
  <w:style w:type="paragraph" w:customStyle="1" w:styleId="SecurityClassificationFooter">
    <w:name w:val="Security Classification Footer"/>
    <w:link w:val="SecurityClassificationFooterChar"/>
    <w:rsid w:val="00857E62"/>
    <w:pPr>
      <w:spacing w:before="60" w:after="240"/>
      <w:jc w:val="center"/>
    </w:pPr>
    <w:rPr>
      <w:rFonts w:ascii="Times New Roman" w:eastAsia="Times New Roman" w:hAnsi="Times New Roman"/>
      <w:b/>
      <w:caps/>
      <w:color w:val="000000"/>
      <w:sz w:val="24"/>
      <w:szCs w:val="20"/>
    </w:rPr>
  </w:style>
  <w:style w:type="character" w:customStyle="1" w:styleId="SecurityClassificationFooterChar">
    <w:name w:val="Security Classification Footer Char"/>
    <w:basedOn w:val="HeaderChar"/>
    <w:link w:val="SecurityClassificationFooter"/>
    <w:rsid w:val="00857E62"/>
    <w:rPr>
      <w:rFonts w:ascii="Times New Roman" w:eastAsia="Times New Roman" w:hAnsi="Times New Roman" w:cs="Times New Roman"/>
      <w:b/>
      <w:caps/>
      <w:color w:val="000000"/>
      <w:sz w:val="24"/>
      <w:szCs w:val="20"/>
      <w:lang w:eastAsia="en-AU"/>
    </w:rPr>
  </w:style>
  <w:style w:type="paragraph" w:customStyle="1" w:styleId="DLMSecurityHeader">
    <w:name w:val="DLM Security Header"/>
    <w:link w:val="DLMSecurityHeaderChar"/>
    <w:rsid w:val="00857E62"/>
    <w:pPr>
      <w:spacing w:before="60" w:after="240"/>
      <w:jc w:val="center"/>
    </w:pPr>
    <w:rPr>
      <w:rFonts w:ascii="Times New Roman" w:eastAsia="Times New Roman" w:hAnsi="Times New Roman"/>
      <w:b/>
      <w:caps/>
      <w:color w:val="000000"/>
      <w:sz w:val="24"/>
      <w:szCs w:val="20"/>
    </w:rPr>
  </w:style>
  <w:style w:type="character" w:customStyle="1" w:styleId="DLMSecurityHeaderChar">
    <w:name w:val="DLM Security Header Char"/>
    <w:basedOn w:val="HeaderChar"/>
    <w:link w:val="DLMSecurityHeader"/>
    <w:rsid w:val="00857E62"/>
    <w:rPr>
      <w:rFonts w:ascii="Times New Roman" w:eastAsia="Times New Roman" w:hAnsi="Times New Roman" w:cs="Times New Roman"/>
      <w:b/>
      <w:caps/>
      <w:color w:val="000000"/>
      <w:sz w:val="24"/>
      <w:szCs w:val="20"/>
      <w:lang w:eastAsia="en-AU"/>
    </w:rPr>
  </w:style>
  <w:style w:type="paragraph" w:customStyle="1" w:styleId="DLMSecurityFooter">
    <w:name w:val="DLM Security Footer"/>
    <w:link w:val="DLMSecurityFooterChar"/>
    <w:rsid w:val="00857E62"/>
    <w:pPr>
      <w:spacing w:before="240" w:after="60"/>
      <w:jc w:val="center"/>
    </w:pPr>
    <w:rPr>
      <w:rFonts w:ascii="Times New Roman" w:eastAsia="Times New Roman" w:hAnsi="Times New Roman"/>
      <w:b/>
      <w:caps/>
      <w:color w:val="000000"/>
      <w:sz w:val="24"/>
      <w:szCs w:val="20"/>
    </w:rPr>
  </w:style>
  <w:style w:type="character" w:customStyle="1" w:styleId="DLMSecurityFooterChar">
    <w:name w:val="DLM Security Footer Char"/>
    <w:basedOn w:val="HeaderChar"/>
    <w:link w:val="DLMSecurityFooter"/>
    <w:rsid w:val="00857E62"/>
    <w:rPr>
      <w:rFonts w:ascii="Times New Roman" w:eastAsia="Times New Roman" w:hAnsi="Times New Roman" w:cs="Times New Roman"/>
      <w:b/>
      <w:caps/>
      <w:color w:val="000000"/>
      <w:sz w:val="24"/>
      <w:szCs w:val="20"/>
      <w:lang w:eastAsia="en-AU"/>
    </w:rPr>
  </w:style>
  <w:style w:type="character" w:customStyle="1" w:styleId="DoubleDotChar">
    <w:name w:val="Double Dot Char"/>
    <w:link w:val="DoubleDot"/>
    <w:locked/>
    <w:rsid w:val="00046913"/>
    <w:rPr>
      <w:rFonts w:asciiTheme="minorHAnsi" w:eastAsia="Times New Roman" w:hAnsiTheme="minorHAnsi"/>
      <w:color w:val="000000"/>
      <w:szCs w:val="20"/>
    </w:rPr>
  </w:style>
  <w:style w:type="numbering" w:customStyle="1" w:styleId="Bulletlist">
    <w:name w:val="Bullet list"/>
    <w:rsid w:val="00046913"/>
    <w:pPr>
      <w:numPr>
        <w:numId w:val="5"/>
      </w:numPr>
    </w:pPr>
  </w:style>
  <w:style w:type="character" w:customStyle="1" w:styleId="Heading5Char">
    <w:name w:val="Heading 5 Char"/>
    <w:basedOn w:val="DefaultParagraphFont"/>
    <w:link w:val="Heading5"/>
    <w:rsid w:val="00626C5A"/>
    <w:rPr>
      <w:rFonts w:eastAsia="Times New Roman"/>
      <w:b/>
      <w:bCs/>
      <w:iCs/>
      <w:color w:val="342E82"/>
      <w:sz w:val="24"/>
      <w:szCs w:val="20"/>
    </w:rPr>
  </w:style>
  <w:style w:type="character" w:customStyle="1" w:styleId="Heading8Char">
    <w:name w:val="Heading 8 Char"/>
    <w:basedOn w:val="DefaultParagraphFont"/>
    <w:link w:val="Heading8"/>
    <w:rsid w:val="008E7DBF"/>
    <w:rPr>
      <w:rFonts w:eastAsia="Times New Roman"/>
      <w:iCs/>
      <w:smallCaps/>
      <w:color w:val="342E82"/>
      <w:szCs w:val="24"/>
    </w:rPr>
  </w:style>
  <w:style w:type="character" w:customStyle="1" w:styleId="Heading9Char">
    <w:name w:val="Heading 9 Char"/>
    <w:basedOn w:val="DefaultParagraphFont"/>
    <w:link w:val="Heading9"/>
    <w:rsid w:val="008E7DBF"/>
    <w:rPr>
      <w:rFonts w:ascii="Arial Bold" w:eastAsia="Times New Roman" w:hAnsi="Arial Bold" w:cs="Arial"/>
      <w:b/>
      <w:smallCaps/>
      <w:color w:val="342E82"/>
      <w:sz w:val="24"/>
    </w:rPr>
  </w:style>
  <w:style w:type="character" w:customStyle="1" w:styleId="BoldandItalic">
    <w:name w:val="Bold and Italic"/>
    <w:basedOn w:val="DefaultParagraphFont"/>
    <w:rsid w:val="00626C5A"/>
    <w:rPr>
      <w:rFonts w:ascii="Calibri" w:hAnsi="Calibri"/>
      <w:b/>
      <w:i/>
    </w:rPr>
  </w:style>
  <w:style w:type="paragraph" w:customStyle="1" w:styleId="TableColumnHeadingBase">
    <w:name w:val="Table Column Heading Base"/>
    <w:basedOn w:val="Normal"/>
    <w:rsid w:val="00626C5A"/>
    <w:pPr>
      <w:spacing w:before="40" w:after="40" w:line="240" w:lineRule="auto"/>
    </w:pPr>
    <w:rPr>
      <w:b/>
      <w:color w:val="342E82"/>
      <w:sz w:val="16"/>
    </w:rPr>
  </w:style>
  <w:style w:type="paragraph" w:customStyle="1" w:styleId="AlphaParagraph">
    <w:name w:val="Alpha Paragraph"/>
    <w:basedOn w:val="Normal"/>
    <w:rsid w:val="00626C5A"/>
    <w:pPr>
      <w:numPr>
        <w:numId w:val="8"/>
      </w:numPr>
    </w:pPr>
  </w:style>
  <w:style w:type="paragraph" w:customStyle="1" w:styleId="HeadingBase">
    <w:name w:val="Heading Base"/>
    <w:next w:val="Normal"/>
    <w:rsid w:val="00626C5A"/>
    <w:pPr>
      <w:keepNext/>
    </w:pPr>
    <w:rPr>
      <w:rFonts w:eastAsia="Times New Roman"/>
      <w:color w:val="342E82"/>
      <w:sz w:val="20"/>
      <w:szCs w:val="20"/>
    </w:rPr>
  </w:style>
  <w:style w:type="paragraph" w:customStyle="1" w:styleId="AppendixHeading">
    <w:name w:val="Appendix Heading"/>
    <w:basedOn w:val="HeadingBase"/>
    <w:next w:val="Normal"/>
    <w:rsid w:val="00626C5A"/>
    <w:pPr>
      <w:spacing w:before="720" w:after="360"/>
      <w:outlineLvl w:val="0"/>
    </w:pPr>
    <w:rPr>
      <w:b/>
      <w:smallCaps/>
      <w:sz w:val="36"/>
      <w:szCs w:val="36"/>
    </w:rPr>
  </w:style>
  <w:style w:type="character" w:customStyle="1" w:styleId="Bold">
    <w:name w:val="Bold"/>
    <w:basedOn w:val="DefaultParagraphFont"/>
    <w:rsid w:val="00626C5A"/>
    <w:rPr>
      <w:b/>
    </w:rPr>
  </w:style>
  <w:style w:type="paragraph" w:customStyle="1" w:styleId="BoxHeading">
    <w:name w:val="Box Heading"/>
    <w:basedOn w:val="HeadingBase"/>
    <w:next w:val="BoxText"/>
    <w:rsid w:val="00626C5A"/>
    <w:pPr>
      <w:spacing w:before="240" w:after="120"/>
    </w:pPr>
    <w:rPr>
      <w:b/>
      <w:sz w:val="22"/>
    </w:rPr>
  </w:style>
  <w:style w:type="paragraph" w:customStyle="1" w:styleId="BoxTextBase">
    <w:name w:val="Box Text Base"/>
    <w:basedOn w:val="Normal"/>
    <w:rsid w:val="00626C5A"/>
  </w:style>
  <w:style w:type="paragraph" w:customStyle="1" w:styleId="ChartandTableFootnoteAlpha">
    <w:name w:val="Chart and Table Footnote Alpha"/>
    <w:rsid w:val="00626C5A"/>
    <w:pPr>
      <w:numPr>
        <w:numId w:val="9"/>
      </w:numPr>
      <w:tabs>
        <w:tab w:val="clear" w:pos="283"/>
        <w:tab w:val="num" w:pos="360"/>
      </w:tabs>
      <w:ind w:left="0" w:firstLine="0"/>
      <w:jc w:val="both"/>
    </w:pPr>
    <w:rPr>
      <w:rFonts w:ascii="Arial" w:eastAsia="Times New Roman" w:hAnsi="Arial"/>
      <w:color w:val="000000"/>
      <w:sz w:val="16"/>
      <w:szCs w:val="16"/>
    </w:rPr>
  </w:style>
  <w:style w:type="paragraph" w:customStyle="1" w:styleId="ChartGraphic">
    <w:name w:val="Chart Graphic"/>
    <w:basedOn w:val="HeadingBase"/>
    <w:next w:val="Normal"/>
    <w:rsid w:val="00626C5A"/>
    <w:pPr>
      <w:jc w:val="center"/>
    </w:pPr>
  </w:style>
  <w:style w:type="paragraph" w:customStyle="1" w:styleId="ChartMainHeading">
    <w:name w:val="Chart Main Heading"/>
    <w:basedOn w:val="HeadingBase"/>
    <w:next w:val="ChartGraphic"/>
    <w:rsid w:val="00626C5A"/>
    <w:pPr>
      <w:spacing w:after="20"/>
      <w:jc w:val="center"/>
    </w:pPr>
    <w:rPr>
      <w:b/>
      <w:sz w:val="22"/>
    </w:rPr>
  </w:style>
  <w:style w:type="paragraph" w:customStyle="1" w:styleId="ChartorTableNote">
    <w:name w:val="Chart or Table Note"/>
    <w:next w:val="Normal"/>
    <w:rsid w:val="00626C5A"/>
    <w:pPr>
      <w:jc w:val="both"/>
    </w:pPr>
    <w:rPr>
      <w:rFonts w:ascii="Arial" w:eastAsia="Times New Roman" w:hAnsi="Arial"/>
      <w:color w:val="000000"/>
      <w:sz w:val="16"/>
      <w:szCs w:val="20"/>
    </w:rPr>
  </w:style>
  <w:style w:type="paragraph" w:customStyle="1" w:styleId="ChartSecondHeading">
    <w:name w:val="Chart Second Heading"/>
    <w:basedOn w:val="HeadingBase"/>
    <w:next w:val="ChartGraphic"/>
    <w:rsid w:val="00626C5A"/>
    <w:pPr>
      <w:spacing w:after="20"/>
      <w:jc w:val="center"/>
    </w:pPr>
  </w:style>
  <w:style w:type="paragraph" w:customStyle="1" w:styleId="Classification">
    <w:name w:val="Classification"/>
    <w:basedOn w:val="HeadingBase"/>
    <w:next w:val="Footer"/>
    <w:semiHidden/>
    <w:rsid w:val="00626C5A"/>
    <w:pPr>
      <w:spacing w:after="120"/>
      <w:jc w:val="center"/>
    </w:pPr>
    <w:rPr>
      <w:b/>
      <w:smallCaps/>
    </w:rPr>
  </w:style>
  <w:style w:type="paragraph" w:customStyle="1" w:styleId="CoverTitleMain">
    <w:name w:val="Cover Title Main"/>
    <w:basedOn w:val="HeadingBase"/>
    <w:next w:val="Normal"/>
    <w:rsid w:val="00626C5A"/>
    <w:pPr>
      <w:spacing w:after="480"/>
    </w:pPr>
    <w:rPr>
      <w:b/>
      <w:sz w:val="48"/>
    </w:rPr>
  </w:style>
  <w:style w:type="paragraph" w:customStyle="1" w:styleId="FooterCentered">
    <w:name w:val="Footer Centered"/>
    <w:basedOn w:val="Footer"/>
    <w:rsid w:val="00626C5A"/>
    <w:pPr>
      <w:jc w:val="center"/>
    </w:pPr>
  </w:style>
  <w:style w:type="paragraph" w:customStyle="1" w:styleId="FooterEven">
    <w:name w:val="Footer Even"/>
    <w:basedOn w:val="Footer"/>
    <w:rsid w:val="00626C5A"/>
  </w:style>
  <w:style w:type="paragraph" w:customStyle="1" w:styleId="FooterOdd">
    <w:name w:val="Footer Odd"/>
    <w:basedOn w:val="Footer"/>
    <w:rsid w:val="00626C5A"/>
    <w:pPr>
      <w:jc w:val="right"/>
    </w:pPr>
  </w:style>
  <w:style w:type="character" w:customStyle="1" w:styleId="FramedFooter">
    <w:name w:val="Framed Footer"/>
    <w:rsid w:val="00626C5A"/>
    <w:rPr>
      <w:rFonts w:ascii="Arial" w:hAnsi="Arial"/>
      <w:color w:val="342E82"/>
      <w:sz w:val="18"/>
    </w:rPr>
  </w:style>
  <w:style w:type="character" w:customStyle="1" w:styleId="FramedHeader">
    <w:name w:val="Framed Header"/>
    <w:basedOn w:val="DefaultParagraphFont"/>
    <w:rsid w:val="00626C5A"/>
    <w:rPr>
      <w:rFonts w:ascii="Arial" w:hAnsi="Arial"/>
      <w:dstrike w:val="0"/>
      <w:color w:val="342E82"/>
      <w:sz w:val="18"/>
      <w:vertAlign w:val="baseline"/>
    </w:rPr>
  </w:style>
  <w:style w:type="paragraph" w:customStyle="1" w:styleId="HeaderEven">
    <w:name w:val="Header Even"/>
    <w:basedOn w:val="Header"/>
    <w:rsid w:val="00626C5A"/>
  </w:style>
  <w:style w:type="paragraph" w:customStyle="1" w:styleId="HeaderOdd">
    <w:name w:val="Header Odd"/>
    <w:basedOn w:val="Header"/>
    <w:rsid w:val="00626C5A"/>
    <w:pPr>
      <w:jc w:val="right"/>
    </w:pPr>
  </w:style>
  <w:style w:type="paragraph" w:styleId="NormalIndent">
    <w:name w:val="Normal Indent"/>
    <w:basedOn w:val="Normal"/>
    <w:rsid w:val="00626C5A"/>
    <w:pPr>
      <w:ind w:left="567"/>
    </w:pPr>
    <w:rPr>
      <w:i/>
    </w:rPr>
  </w:style>
  <w:style w:type="paragraph" w:customStyle="1" w:styleId="RecommendationHeading">
    <w:name w:val="Recommendation Heading"/>
    <w:basedOn w:val="HeadingBase"/>
    <w:next w:val="RecommendationText"/>
    <w:rsid w:val="00626C5A"/>
    <w:pPr>
      <w:spacing w:before="120" w:after="240"/>
    </w:pPr>
    <w:rPr>
      <w:b/>
      <w:sz w:val="22"/>
    </w:rPr>
  </w:style>
  <w:style w:type="paragraph" w:customStyle="1" w:styleId="RecommendationTextBase">
    <w:name w:val="Recommendation Text Base"/>
    <w:basedOn w:val="Normal"/>
    <w:rsid w:val="00626C5A"/>
    <w:pPr>
      <w:spacing w:before="120" w:after="120"/>
    </w:pPr>
  </w:style>
  <w:style w:type="paragraph" w:customStyle="1" w:styleId="RecommendationText">
    <w:name w:val="Recommendation Text"/>
    <w:basedOn w:val="RecommendationTextBase"/>
    <w:rsid w:val="00626C5A"/>
  </w:style>
  <w:style w:type="paragraph" w:customStyle="1" w:styleId="TableTextBase">
    <w:name w:val="Table Text Base"/>
    <w:rsid w:val="00626C5A"/>
    <w:pPr>
      <w:spacing w:before="40" w:after="40"/>
    </w:pPr>
    <w:rPr>
      <w:rFonts w:asciiTheme="minorHAnsi" w:eastAsia="Times New Roman" w:hAnsiTheme="minorHAnsi"/>
      <w:color w:val="000000"/>
      <w:sz w:val="16"/>
      <w:szCs w:val="20"/>
    </w:rPr>
  </w:style>
  <w:style w:type="paragraph" w:customStyle="1" w:styleId="TableColumnHeadingCentred">
    <w:name w:val="Table Column Heading Centred"/>
    <w:basedOn w:val="TableColumnHeadingBase"/>
    <w:rsid w:val="00626C5A"/>
    <w:pPr>
      <w:jc w:val="center"/>
    </w:pPr>
  </w:style>
  <w:style w:type="paragraph" w:customStyle="1" w:styleId="TableColumnHeadingLeft">
    <w:name w:val="Table Column Heading Left"/>
    <w:basedOn w:val="TableColumnHeadingBase"/>
    <w:rsid w:val="00626C5A"/>
  </w:style>
  <w:style w:type="paragraph" w:customStyle="1" w:styleId="TableColumnHeadingRight">
    <w:name w:val="Table Column Heading Right"/>
    <w:basedOn w:val="TableColumnHeadingBase"/>
    <w:rsid w:val="00626C5A"/>
    <w:pPr>
      <w:jc w:val="right"/>
    </w:pPr>
  </w:style>
  <w:style w:type="paragraph" w:customStyle="1" w:styleId="TableMainHeading">
    <w:name w:val="Table Main Heading"/>
    <w:basedOn w:val="HeadingBase"/>
    <w:next w:val="TableGraphic"/>
    <w:rsid w:val="00626C5A"/>
    <w:pPr>
      <w:spacing w:after="20"/>
    </w:pPr>
    <w:rPr>
      <w:b/>
      <w:sz w:val="22"/>
    </w:rPr>
  </w:style>
  <w:style w:type="paragraph" w:customStyle="1" w:styleId="TableMainHeadingContd">
    <w:name w:val="Table Main Heading Contd"/>
    <w:basedOn w:val="HeadingBase"/>
    <w:next w:val="TableGraphic"/>
    <w:rsid w:val="00626C5A"/>
    <w:pPr>
      <w:pageBreakBefore/>
      <w:spacing w:after="20"/>
    </w:pPr>
    <w:rPr>
      <w:b/>
      <w:sz w:val="22"/>
    </w:rPr>
  </w:style>
  <w:style w:type="paragraph" w:customStyle="1" w:styleId="TableSecondHeading">
    <w:name w:val="Table Second Heading"/>
    <w:basedOn w:val="HeadingBase"/>
    <w:next w:val="TableGraphic"/>
    <w:rsid w:val="00626C5A"/>
    <w:pPr>
      <w:spacing w:after="20"/>
    </w:pPr>
  </w:style>
  <w:style w:type="paragraph" w:customStyle="1" w:styleId="TableTextCentered">
    <w:name w:val="Table Text Centered"/>
    <w:basedOn w:val="TableTextBase"/>
    <w:rsid w:val="00626C5A"/>
    <w:pPr>
      <w:jc w:val="center"/>
    </w:pPr>
  </w:style>
  <w:style w:type="paragraph" w:customStyle="1" w:styleId="TableTextIndented">
    <w:name w:val="Table Text Indented"/>
    <w:basedOn w:val="TableTextBase"/>
    <w:rsid w:val="00626C5A"/>
    <w:pPr>
      <w:ind w:left="284"/>
    </w:pPr>
  </w:style>
  <w:style w:type="paragraph" w:customStyle="1" w:styleId="TableTextLeft">
    <w:name w:val="Table Text Left"/>
    <w:basedOn w:val="TableTextBase"/>
    <w:rsid w:val="00626C5A"/>
  </w:style>
  <w:style w:type="paragraph" w:customStyle="1" w:styleId="TableTextRight">
    <w:name w:val="Table Text Right"/>
    <w:basedOn w:val="TableTextBase"/>
    <w:rsid w:val="00626C5A"/>
    <w:pPr>
      <w:jc w:val="right"/>
    </w:pPr>
  </w:style>
  <w:style w:type="paragraph" w:styleId="TOC3">
    <w:name w:val="toc 3"/>
    <w:basedOn w:val="Normal"/>
    <w:next w:val="Normal"/>
    <w:locked/>
    <w:rsid w:val="00626C5A"/>
    <w:pPr>
      <w:tabs>
        <w:tab w:val="right" w:leader="dot" w:pos="9072"/>
      </w:tabs>
      <w:spacing w:before="20" w:after="0" w:line="240" w:lineRule="auto"/>
      <w:ind w:left="284" w:right="851"/>
    </w:pPr>
  </w:style>
  <w:style w:type="paragraph" w:styleId="TOC4">
    <w:name w:val="toc 4"/>
    <w:basedOn w:val="Normal"/>
    <w:next w:val="Normal"/>
    <w:locked/>
    <w:rsid w:val="00626C5A"/>
    <w:pPr>
      <w:tabs>
        <w:tab w:val="right" w:leader="dot" w:pos="9072"/>
      </w:tabs>
      <w:spacing w:after="0" w:line="240" w:lineRule="auto"/>
      <w:ind w:left="284" w:right="851"/>
    </w:pPr>
  </w:style>
  <w:style w:type="character" w:customStyle="1" w:styleId="italic">
    <w:name w:val="italic"/>
    <w:basedOn w:val="DefaultParagraphFont"/>
    <w:rsid w:val="00626C5A"/>
    <w:rPr>
      <w:i/>
    </w:rPr>
  </w:style>
  <w:style w:type="paragraph" w:customStyle="1" w:styleId="OneLevelNumberedParagraph">
    <w:name w:val="One Level Numbered Paragraph"/>
    <w:basedOn w:val="Normal"/>
    <w:rsid w:val="00626C5A"/>
    <w:pPr>
      <w:numPr>
        <w:numId w:val="13"/>
      </w:numPr>
    </w:pPr>
  </w:style>
  <w:style w:type="paragraph" w:customStyle="1" w:styleId="BoxText">
    <w:name w:val="Box Text"/>
    <w:basedOn w:val="BoxTextBase"/>
    <w:rsid w:val="00626C5A"/>
  </w:style>
  <w:style w:type="paragraph" w:customStyle="1" w:styleId="BoxBullet">
    <w:name w:val="Box Bullet"/>
    <w:basedOn w:val="BoxTextBase"/>
    <w:rsid w:val="00626C5A"/>
    <w:pPr>
      <w:numPr>
        <w:numId w:val="12"/>
      </w:numPr>
    </w:pPr>
  </w:style>
  <w:style w:type="paragraph" w:customStyle="1" w:styleId="BoxDash">
    <w:name w:val="Box Dash"/>
    <w:basedOn w:val="Normal"/>
    <w:rsid w:val="00626C5A"/>
    <w:pPr>
      <w:numPr>
        <w:ilvl w:val="1"/>
        <w:numId w:val="12"/>
      </w:numPr>
    </w:pPr>
  </w:style>
  <w:style w:type="paragraph" w:customStyle="1" w:styleId="BoxDoubleDot">
    <w:name w:val="Box Double Dot"/>
    <w:basedOn w:val="BoxTextBase"/>
    <w:rsid w:val="00626C5A"/>
    <w:pPr>
      <w:numPr>
        <w:ilvl w:val="2"/>
        <w:numId w:val="12"/>
      </w:numPr>
    </w:pPr>
  </w:style>
  <w:style w:type="paragraph" w:customStyle="1" w:styleId="RecommendationBullet">
    <w:name w:val="Recommendation Bullet"/>
    <w:basedOn w:val="RecommendationTextBase"/>
    <w:rsid w:val="00626C5A"/>
    <w:pPr>
      <w:numPr>
        <w:numId w:val="14"/>
      </w:numPr>
    </w:pPr>
  </w:style>
  <w:style w:type="paragraph" w:customStyle="1" w:styleId="RecommendationDash">
    <w:name w:val="Recommendation Dash"/>
    <w:basedOn w:val="RecommendationTextBase"/>
    <w:rsid w:val="00626C5A"/>
    <w:pPr>
      <w:numPr>
        <w:ilvl w:val="1"/>
        <w:numId w:val="14"/>
      </w:numPr>
    </w:pPr>
  </w:style>
  <w:style w:type="paragraph" w:customStyle="1" w:styleId="RecommendationDoubleDot">
    <w:name w:val="Recommendation Double Dot"/>
    <w:basedOn w:val="RecommendationTextBase"/>
    <w:rsid w:val="00626C5A"/>
    <w:pPr>
      <w:numPr>
        <w:ilvl w:val="2"/>
        <w:numId w:val="14"/>
      </w:numPr>
    </w:pPr>
  </w:style>
  <w:style w:type="character" w:styleId="FollowedHyperlink">
    <w:name w:val="FollowedHyperlink"/>
    <w:basedOn w:val="DefaultParagraphFont"/>
    <w:rsid w:val="00626C5A"/>
    <w:rPr>
      <w:color w:val="auto"/>
      <w:u w:val="none"/>
    </w:rPr>
  </w:style>
  <w:style w:type="paragraph" w:customStyle="1" w:styleId="Heading4NotNumbered">
    <w:name w:val="Heading 4 Not Numbered"/>
    <w:basedOn w:val="HeadingBase"/>
    <w:rsid w:val="00626C5A"/>
    <w:pPr>
      <w:spacing w:before="120" w:after="120"/>
      <w:outlineLvl w:val="3"/>
    </w:pPr>
    <w:rPr>
      <w:b/>
      <w:sz w:val="26"/>
    </w:rPr>
  </w:style>
  <w:style w:type="paragraph" w:styleId="Caption">
    <w:name w:val="caption"/>
    <w:basedOn w:val="Normal"/>
    <w:next w:val="Normal"/>
    <w:qFormat/>
    <w:locked/>
    <w:rsid w:val="00626C5A"/>
    <w:rPr>
      <w:b/>
      <w:bCs/>
    </w:rPr>
  </w:style>
  <w:style w:type="paragraph" w:styleId="DocumentMap">
    <w:name w:val="Document Map"/>
    <w:basedOn w:val="Normal"/>
    <w:link w:val="DocumentMapChar"/>
    <w:semiHidden/>
    <w:rsid w:val="00626C5A"/>
    <w:pPr>
      <w:shd w:val="clear" w:color="auto" w:fill="000080"/>
    </w:pPr>
    <w:rPr>
      <w:rFonts w:ascii="Tahoma" w:hAnsi="Tahoma" w:cs="Tahoma"/>
    </w:rPr>
  </w:style>
  <w:style w:type="character" w:customStyle="1" w:styleId="DocumentMapChar">
    <w:name w:val="Document Map Char"/>
    <w:basedOn w:val="DefaultParagraphFont"/>
    <w:link w:val="DocumentMap"/>
    <w:semiHidden/>
    <w:rsid w:val="008E7DBF"/>
    <w:rPr>
      <w:rFonts w:ascii="Tahoma" w:eastAsia="Times New Roman" w:hAnsi="Tahoma" w:cs="Tahoma"/>
      <w:color w:val="000000"/>
      <w:szCs w:val="20"/>
      <w:shd w:val="clear" w:color="auto" w:fill="000080"/>
    </w:rPr>
  </w:style>
  <w:style w:type="character" w:styleId="EndnoteReference">
    <w:name w:val="endnote reference"/>
    <w:basedOn w:val="DefaultParagraphFont"/>
    <w:semiHidden/>
    <w:rsid w:val="00626C5A"/>
    <w:rPr>
      <w:vertAlign w:val="superscript"/>
    </w:rPr>
  </w:style>
  <w:style w:type="paragraph" w:styleId="EndnoteText">
    <w:name w:val="endnote text"/>
    <w:basedOn w:val="Normal"/>
    <w:link w:val="EndnoteTextChar"/>
    <w:semiHidden/>
    <w:rsid w:val="00626C5A"/>
  </w:style>
  <w:style w:type="character" w:customStyle="1" w:styleId="EndnoteTextChar">
    <w:name w:val="Endnote Text Char"/>
    <w:basedOn w:val="DefaultParagraphFont"/>
    <w:link w:val="EndnoteText"/>
    <w:semiHidden/>
    <w:rsid w:val="008E7DBF"/>
    <w:rPr>
      <w:rFonts w:asciiTheme="minorHAnsi" w:eastAsia="Times New Roman" w:hAnsiTheme="minorHAnsi"/>
      <w:color w:val="000000"/>
      <w:szCs w:val="20"/>
    </w:rPr>
  </w:style>
  <w:style w:type="paragraph" w:styleId="Index1">
    <w:name w:val="index 1"/>
    <w:basedOn w:val="Normal"/>
    <w:next w:val="Normal"/>
    <w:autoRedefine/>
    <w:semiHidden/>
    <w:rsid w:val="00626C5A"/>
    <w:pPr>
      <w:ind w:left="200" w:hanging="200"/>
    </w:pPr>
  </w:style>
  <w:style w:type="paragraph" w:styleId="Index2">
    <w:name w:val="index 2"/>
    <w:basedOn w:val="Normal"/>
    <w:next w:val="Normal"/>
    <w:autoRedefine/>
    <w:semiHidden/>
    <w:rsid w:val="00626C5A"/>
    <w:pPr>
      <w:ind w:left="400" w:hanging="200"/>
    </w:pPr>
  </w:style>
  <w:style w:type="paragraph" w:styleId="Index3">
    <w:name w:val="index 3"/>
    <w:basedOn w:val="Normal"/>
    <w:next w:val="Normal"/>
    <w:autoRedefine/>
    <w:semiHidden/>
    <w:rsid w:val="00626C5A"/>
    <w:pPr>
      <w:ind w:left="600" w:hanging="200"/>
    </w:pPr>
  </w:style>
  <w:style w:type="paragraph" w:styleId="Index4">
    <w:name w:val="index 4"/>
    <w:basedOn w:val="Normal"/>
    <w:next w:val="Normal"/>
    <w:autoRedefine/>
    <w:semiHidden/>
    <w:rsid w:val="00626C5A"/>
    <w:pPr>
      <w:ind w:left="800" w:hanging="200"/>
    </w:pPr>
  </w:style>
  <w:style w:type="paragraph" w:styleId="Index5">
    <w:name w:val="index 5"/>
    <w:basedOn w:val="Normal"/>
    <w:next w:val="Normal"/>
    <w:autoRedefine/>
    <w:semiHidden/>
    <w:rsid w:val="00626C5A"/>
    <w:pPr>
      <w:ind w:left="1000" w:hanging="200"/>
    </w:pPr>
  </w:style>
  <w:style w:type="paragraph" w:styleId="Index6">
    <w:name w:val="index 6"/>
    <w:basedOn w:val="Normal"/>
    <w:next w:val="Normal"/>
    <w:autoRedefine/>
    <w:semiHidden/>
    <w:rsid w:val="00626C5A"/>
    <w:pPr>
      <w:ind w:left="1200" w:hanging="200"/>
    </w:pPr>
  </w:style>
  <w:style w:type="paragraph" w:styleId="Index7">
    <w:name w:val="index 7"/>
    <w:basedOn w:val="Normal"/>
    <w:next w:val="Normal"/>
    <w:autoRedefine/>
    <w:semiHidden/>
    <w:rsid w:val="00626C5A"/>
    <w:pPr>
      <w:ind w:left="1400" w:hanging="200"/>
    </w:pPr>
  </w:style>
  <w:style w:type="paragraph" w:styleId="Index8">
    <w:name w:val="index 8"/>
    <w:basedOn w:val="Normal"/>
    <w:next w:val="Normal"/>
    <w:autoRedefine/>
    <w:semiHidden/>
    <w:rsid w:val="00626C5A"/>
    <w:pPr>
      <w:ind w:left="1600" w:hanging="200"/>
    </w:pPr>
  </w:style>
  <w:style w:type="paragraph" w:styleId="Index9">
    <w:name w:val="index 9"/>
    <w:basedOn w:val="Normal"/>
    <w:next w:val="Normal"/>
    <w:autoRedefine/>
    <w:semiHidden/>
    <w:rsid w:val="00626C5A"/>
    <w:pPr>
      <w:ind w:left="1800" w:hanging="200"/>
    </w:pPr>
  </w:style>
  <w:style w:type="paragraph" w:styleId="IndexHeading">
    <w:name w:val="index heading"/>
    <w:basedOn w:val="Normal"/>
    <w:next w:val="Index1"/>
    <w:semiHidden/>
    <w:rsid w:val="00626C5A"/>
    <w:rPr>
      <w:rFonts w:cs="Arial"/>
      <w:b/>
      <w:bCs/>
    </w:rPr>
  </w:style>
  <w:style w:type="paragraph" w:styleId="MacroText">
    <w:name w:val="macro"/>
    <w:link w:val="MacroTextChar"/>
    <w:semiHidden/>
    <w:rsid w:val="00626C5A"/>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rPr>
  </w:style>
  <w:style w:type="character" w:customStyle="1" w:styleId="MacroTextChar">
    <w:name w:val="Macro Text Char"/>
    <w:basedOn w:val="DefaultParagraphFont"/>
    <w:link w:val="MacroText"/>
    <w:semiHidden/>
    <w:rsid w:val="008E7DBF"/>
    <w:rPr>
      <w:rFonts w:ascii="Courier New" w:eastAsia="Times New Roman" w:hAnsi="Courier New" w:cs="Courier New"/>
      <w:color w:val="000000"/>
      <w:sz w:val="20"/>
      <w:szCs w:val="20"/>
    </w:rPr>
  </w:style>
  <w:style w:type="paragraph" w:styleId="TableofAuthorities">
    <w:name w:val="table of authorities"/>
    <w:basedOn w:val="Normal"/>
    <w:next w:val="Normal"/>
    <w:rsid w:val="00626C5A"/>
    <w:pPr>
      <w:ind w:left="200" w:hanging="200"/>
    </w:pPr>
  </w:style>
  <w:style w:type="paragraph" w:styleId="TableofFigures">
    <w:name w:val="table of figures"/>
    <w:basedOn w:val="Normal"/>
    <w:next w:val="Normal"/>
    <w:rsid w:val="00626C5A"/>
  </w:style>
  <w:style w:type="paragraph" w:styleId="TOAHeading">
    <w:name w:val="toa heading"/>
    <w:basedOn w:val="Normal"/>
    <w:next w:val="Normal"/>
    <w:semiHidden/>
    <w:rsid w:val="00626C5A"/>
    <w:pPr>
      <w:spacing w:before="120"/>
    </w:pPr>
    <w:rPr>
      <w:rFonts w:cs="Arial"/>
      <w:b/>
      <w:bCs/>
      <w:sz w:val="24"/>
      <w:szCs w:val="24"/>
    </w:rPr>
  </w:style>
  <w:style w:type="paragraph" w:styleId="TOC5">
    <w:name w:val="toc 5"/>
    <w:basedOn w:val="Normal"/>
    <w:next w:val="Normal"/>
    <w:autoRedefine/>
    <w:locked/>
    <w:rsid w:val="00626C5A"/>
    <w:pPr>
      <w:ind w:left="800"/>
    </w:pPr>
  </w:style>
  <w:style w:type="paragraph" w:styleId="TOC6">
    <w:name w:val="toc 6"/>
    <w:basedOn w:val="Normal"/>
    <w:next w:val="Normal"/>
    <w:autoRedefine/>
    <w:locked/>
    <w:rsid w:val="00626C5A"/>
    <w:pPr>
      <w:ind w:left="1000"/>
    </w:pPr>
  </w:style>
  <w:style w:type="paragraph" w:styleId="TOC7">
    <w:name w:val="toc 7"/>
    <w:basedOn w:val="Normal"/>
    <w:next w:val="Normal"/>
    <w:autoRedefine/>
    <w:locked/>
    <w:rsid w:val="00626C5A"/>
    <w:pPr>
      <w:ind w:left="1200"/>
    </w:pPr>
  </w:style>
  <w:style w:type="paragraph" w:styleId="TOC8">
    <w:name w:val="toc 8"/>
    <w:basedOn w:val="Normal"/>
    <w:next w:val="Normal"/>
    <w:autoRedefine/>
    <w:locked/>
    <w:rsid w:val="00626C5A"/>
    <w:pPr>
      <w:ind w:left="1400"/>
    </w:pPr>
  </w:style>
  <w:style w:type="paragraph" w:styleId="TOC9">
    <w:name w:val="toc 9"/>
    <w:basedOn w:val="Normal"/>
    <w:next w:val="Normal"/>
    <w:autoRedefine/>
    <w:locked/>
    <w:rsid w:val="00626C5A"/>
    <w:pPr>
      <w:ind w:left="1600"/>
    </w:pPr>
  </w:style>
  <w:style w:type="paragraph" w:customStyle="1" w:styleId="Heading5NotNumbered">
    <w:name w:val="Heading 5 Not Numbered"/>
    <w:basedOn w:val="HeadingBase"/>
    <w:rsid w:val="00626C5A"/>
    <w:pPr>
      <w:spacing w:after="120"/>
      <w:outlineLvl w:val="4"/>
    </w:pPr>
    <w:rPr>
      <w:b/>
      <w:sz w:val="24"/>
    </w:rPr>
  </w:style>
  <w:style w:type="table" w:customStyle="1" w:styleId="OptionsTable">
    <w:name w:val="Options Table"/>
    <w:basedOn w:val="TableNormal"/>
    <w:rsid w:val="00626C5A"/>
    <w:rPr>
      <w:rFonts w:ascii="Times New Roman" w:eastAsia="Times New Roman" w:hAnsi="Times New Roman"/>
      <w:sz w:val="20"/>
      <w:szCs w:val="20"/>
    </w:rPr>
    <w:tblPr>
      <w:tblStyleRowBandSize w:val="1"/>
      <w:tblInd w:w="0" w:type="dxa"/>
      <w:tblBorders>
        <w:insideH w:val="single" w:sz="12" w:space="0" w:color="FFFFFF"/>
        <w:insideV w:val="single" w:sz="12" w:space="0" w:color="FFFFFF"/>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Romannumeral">
    <w:name w:val="Roman numeral"/>
    <w:basedOn w:val="Normal"/>
    <w:rsid w:val="00626C5A"/>
    <w:pPr>
      <w:numPr>
        <w:numId w:val="25"/>
      </w:numPr>
    </w:pPr>
  </w:style>
  <w:style w:type="paragraph" w:customStyle="1" w:styleId="OutlineNumbered4">
    <w:name w:val="Outline Numbered 4"/>
    <w:basedOn w:val="Normal"/>
    <w:rsid w:val="00626C5A"/>
  </w:style>
  <w:style w:type="paragraph" w:customStyle="1" w:styleId="Crest">
    <w:name w:val="Crest"/>
    <w:basedOn w:val="Header"/>
    <w:rsid w:val="00626C5A"/>
    <w:pPr>
      <w:spacing w:after="480"/>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locked="1" w:uiPriority="0" w:qFormat="1"/>
    <w:lsdException w:name="table of figures" w:uiPriority="0"/>
    <w:lsdException w:name="footnote reference" w:uiPriority="0"/>
    <w:lsdException w:name="annotation reference" w:uiPriority="0"/>
    <w:lsdException w:name="endnote reference" w:uiPriority="0"/>
    <w:lsdException w:name="endnote text" w:uiPriority="0"/>
    <w:lsdException w:name="table of authorities" w:uiPriority="0"/>
    <w:lsdException w:name="macro" w:uiPriority="0"/>
    <w:lsdException w:name="toa heading"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C5A"/>
    <w:pPr>
      <w:spacing w:after="240" w:line="280" w:lineRule="exact"/>
      <w:jc w:val="both"/>
    </w:pPr>
    <w:rPr>
      <w:rFonts w:asciiTheme="minorHAnsi" w:eastAsia="Times New Roman" w:hAnsiTheme="minorHAnsi"/>
      <w:color w:val="000000"/>
      <w:szCs w:val="20"/>
    </w:rPr>
  </w:style>
  <w:style w:type="paragraph" w:styleId="Heading1">
    <w:name w:val="heading 1"/>
    <w:basedOn w:val="HeadingBase"/>
    <w:next w:val="Normal"/>
    <w:link w:val="Heading1Char"/>
    <w:qFormat/>
    <w:rsid w:val="00626C5A"/>
    <w:pPr>
      <w:numPr>
        <w:numId w:val="1"/>
      </w:numPr>
      <w:spacing w:before="720" w:after="360"/>
      <w:outlineLvl w:val="0"/>
    </w:pPr>
    <w:rPr>
      <w:rFonts w:cs="Arial"/>
      <w:bCs/>
      <w:smallCaps/>
      <w:kern w:val="32"/>
      <w:sz w:val="36"/>
      <w:szCs w:val="36"/>
    </w:rPr>
  </w:style>
  <w:style w:type="paragraph" w:styleId="Heading2">
    <w:name w:val="heading 2"/>
    <w:basedOn w:val="HeadingBase"/>
    <w:next w:val="Normal"/>
    <w:link w:val="Heading2Char"/>
    <w:qFormat/>
    <w:rsid w:val="00626C5A"/>
    <w:pPr>
      <w:numPr>
        <w:ilvl w:val="1"/>
        <w:numId w:val="1"/>
      </w:numPr>
      <w:spacing w:before="360" w:after="180"/>
      <w:outlineLvl w:val="1"/>
    </w:pPr>
    <w:rPr>
      <w:rFonts w:cs="Arial"/>
      <w:bCs/>
      <w:iCs/>
      <w:smallCaps/>
      <w:sz w:val="28"/>
      <w:szCs w:val="28"/>
    </w:rPr>
  </w:style>
  <w:style w:type="paragraph" w:styleId="Heading3">
    <w:name w:val="heading 3"/>
    <w:basedOn w:val="HeadingBase"/>
    <w:next w:val="Normal"/>
    <w:link w:val="Heading3Char"/>
    <w:qFormat/>
    <w:rsid w:val="00626C5A"/>
    <w:pPr>
      <w:numPr>
        <w:ilvl w:val="2"/>
        <w:numId w:val="1"/>
      </w:numPr>
      <w:spacing w:before="240" w:after="120"/>
      <w:outlineLvl w:val="2"/>
    </w:pPr>
    <w:rPr>
      <w:rFonts w:cs="Arial"/>
      <w:bCs/>
      <w:sz w:val="28"/>
      <w:szCs w:val="26"/>
    </w:rPr>
  </w:style>
  <w:style w:type="paragraph" w:styleId="Heading4">
    <w:name w:val="heading 4"/>
    <w:basedOn w:val="HeadingBase"/>
    <w:next w:val="Normal"/>
    <w:link w:val="Heading4Char"/>
    <w:qFormat/>
    <w:rsid w:val="00626C5A"/>
    <w:pPr>
      <w:spacing w:before="120" w:after="240"/>
      <w:outlineLvl w:val="3"/>
    </w:pPr>
    <w:rPr>
      <w:b/>
      <w:bCs/>
      <w:sz w:val="26"/>
      <w:szCs w:val="22"/>
    </w:rPr>
  </w:style>
  <w:style w:type="paragraph" w:styleId="Heading5">
    <w:name w:val="heading 5"/>
    <w:basedOn w:val="HeadingBase"/>
    <w:next w:val="Normal"/>
    <w:link w:val="Heading5Char"/>
    <w:qFormat/>
    <w:locked/>
    <w:rsid w:val="00626C5A"/>
    <w:pPr>
      <w:spacing w:after="120"/>
      <w:outlineLvl w:val="4"/>
    </w:pPr>
    <w:rPr>
      <w:b/>
      <w:bCs/>
      <w:iCs/>
      <w:sz w:val="24"/>
    </w:rPr>
  </w:style>
  <w:style w:type="paragraph" w:styleId="Heading6">
    <w:name w:val="heading 6"/>
    <w:basedOn w:val="HeadingBase"/>
    <w:next w:val="Normal"/>
    <w:link w:val="Heading6Char"/>
    <w:qFormat/>
    <w:rsid w:val="00626C5A"/>
    <w:pPr>
      <w:spacing w:after="120"/>
      <w:outlineLvl w:val="5"/>
    </w:pPr>
    <w:rPr>
      <w:bCs/>
      <w:sz w:val="22"/>
      <w:szCs w:val="22"/>
    </w:rPr>
  </w:style>
  <w:style w:type="paragraph" w:styleId="Heading7">
    <w:name w:val="heading 7"/>
    <w:basedOn w:val="HeadingBase"/>
    <w:next w:val="Normal"/>
    <w:link w:val="Heading7Char"/>
    <w:qFormat/>
    <w:rsid w:val="00626C5A"/>
    <w:pPr>
      <w:spacing w:after="120"/>
      <w:outlineLvl w:val="6"/>
    </w:pPr>
    <w:rPr>
      <w:szCs w:val="24"/>
    </w:rPr>
  </w:style>
  <w:style w:type="paragraph" w:styleId="Heading8">
    <w:name w:val="heading 8"/>
    <w:basedOn w:val="HeadingBase"/>
    <w:next w:val="Normal"/>
    <w:link w:val="Heading8Char"/>
    <w:qFormat/>
    <w:locked/>
    <w:rsid w:val="00626C5A"/>
    <w:pPr>
      <w:spacing w:before="60" w:after="60"/>
      <w:jc w:val="center"/>
      <w:outlineLvl w:val="7"/>
    </w:pPr>
    <w:rPr>
      <w:iCs/>
      <w:smallCaps/>
      <w:sz w:val="22"/>
      <w:szCs w:val="24"/>
    </w:rPr>
  </w:style>
  <w:style w:type="paragraph" w:styleId="Heading9">
    <w:name w:val="heading 9"/>
    <w:basedOn w:val="HeadingBase"/>
    <w:next w:val="Normal"/>
    <w:link w:val="Heading9Char"/>
    <w:qFormat/>
    <w:locked/>
    <w:rsid w:val="00626C5A"/>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25C06"/>
    <w:rPr>
      <w:rFonts w:eastAsia="Times New Roman" w:cs="Arial"/>
      <w:bCs/>
      <w:smallCaps/>
      <w:color w:val="342E82"/>
      <w:kern w:val="32"/>
      <w:sz w:val="36"/>
      <w:szCs w:val="36"/>
    </w:rPr>
  </w:style>
  <w:style w:type="character" w:customStyle="1" w:styleId="Heading2Char">
    <w:name w:val="Heading 2 Char"/>
    <w:basedOn w:val="DefaultParagraphFont"/>
    <w:link w:val="Heading2"/>
    <w:locked/>
    <w:rsid w:val="00025C06"/>
    <w:rPr>
      <w:rFonts w:eastAsia="Times New Roman" w:cs="Arial"/>
      <w:bCs/>
      <w:iCs/>
      <w:smallCaps/>
      <w:color w:val="342E82"/>
      <w:sz w:val="28"/>
      <w:szCs w:val="28"/>
    </w:rPr>
  </w:style>
  <w:style w:type="character" w:customStyle="1" w:styleId="Heading3Char">
    <w:name w:val="Heading 3 Char"/>
    <w:basedOn w:val="DefaultParagraphFont"/>
    <w:link w:val="Heading3"/>
    <w:locked/>
    <w:rsid w:val="0069389D"/>
    <w:rPr>
      <w:rFonts w:eastAsia="Times New Roman" w:cs="Arial"/>
      <w:bCs/>
      <w:color w:val="342E82"/>
      <w:sz w:val="28"/>
      <w:szCs w:val="26"/>
    </w:rPr>
  </w:style>
  <w:style w:type="character" w:customStyle="1" w:styleId="Heading4Char">
    <w:name w:val="Heading 4 Char"/>
    <w:basedOn w:val="DefaultParagraphFont"/>
    <w:link w:val="Heading4"/>
    <w:locked/>
    <w:rsid w:val="00626C5A"/>
    <w:rPr>
      <w:rFonts w:eastAsia="Times New Roman"/>
      <w:b/>
      <w:bCs/>
      <w:color w:val="342E82"/>
      <w:sz w:val="26"/>
    </w:rPr>
  </w:style>
  <w:style w:type="character" w:customStyle="1" w:styleId="Heading6Char">
    <w:name w:val="Heading 6 Char"/>
    <w:basedOn w:val="DefaultParagraphFont"/>
    <w:link w:val="Heading6"/>
    <w:locked/>
    <w:rsid w:val="004B14F0"/>
    <w:rPr>
      <w:rFonts w:eastAsia="Times New Roman"/>
      <w:bCs/>
      <w:color w:val="342E82"/>
    </w:rPr>
  </w:style>
  <w:style w:type="character" w:customStyle="1" w:styleId="Heading7Char">
    <w:name w:val="Heading 7 Char"/>
    <w:basedOn w:val="DefaultParagraphFont"/>
    <w:link w:val="Heading7"/>
    <w:locked/>
    <w:rsid w:val="00C65255"/>
    <w:rPr>
      <w:rFonts w:eastAsia="Times New Roman"/>
      <w:color w:val="342E82"/>
      <w:sz w:val="20"/>
      <w:szCs w:val="24"/>
    </w:rPr>
  </w:style>
  <w:style w:type="paragraph" w:customStyle="1" w:styleId="Heading1NotNumbered">
    <w:name w:val="Heading 1 Not Numbered"/>
    <w:basedOn w:val="HeadingBase"/>
    <w:next w:val="Normal"/>
    <w:link w:val="Heading1NotNumberedChar"/>
    <w:rsid w:val="00626C5A"/>
    <w:pPr>
      <w:spacing w:before="720" w:after="360"/>
    </w:pPr>
    <w:rPr>
      <w:smallCaps/>
      <w:sz w:val="36"/>
      <w:szCs w:val="36"/>
    </w:rPr>
  </w:style>
  <w:style w:type="paragraph" w:customStyle="1" w:styleId="Heading2NotNumbered">
    <w:name w:val="Heading 2 Not Numbered"/>
    <w:basedOn w:val="HeadingBase"/>
    <w:next w:val="Normal"/>
    <w:rsid w:val="00626C5A"/>
    <w:pPr>
      <w:spacing w:before="360" w:after="180"/>
    </w:pPr>
    <w:rPr>
      <w:smallCaps/>
      <w:sz w:val="28"/>
      <w:szCs w:val="28"/>
    </w:rPr>
  </w:style>
  <w:style w:type="paragraph" w:customStyle="1" w:styleId="Heading3NotNumbered">
    <w:name w:val="Heading 3 Not Numbered"/>
    <w:basedOn w:val="HeadingBase"/>
    <w:next w:val="Normal"/>
    <w:rsid w:val="00626C5A"/>
    <w:pPr>
      <w:spacing w:before="240" w:after="120"/>
    </w:pPr>
    <w:rPr>
      <w:sz w:val="28"/>
      <w:szCs w:val="26"/>
    </w:rPr>
  </w:style>
  <w:style w:type="character" w:customStyle="1" w:styleId="Heading1NotNumberedChar">
    <w:name w:val="Heading 1 Not Numbered Char"/>
    <w:basedOn w:val="DefaultParagraphFont"/>
    <w:link w:val="Heading1NotNumbered"/>
    <w:locked/>
    <w:rsid w:val="00025C06"/>
    <w:rPr>
      <w:rFonts w:eastAsia="Times New Roman"/>
      <w:smallCaps/>
      <w:color w:val="342E82"/>
      <w:sz w:val="36"/>
      <w:szCs w:val="36"/>
    </w:rPr>
  </w:style>
  <w:style w:type="paragraph" w:customStyle="1" w:styleId="Bullet">
    <w:name w:val="Bullet"/>
    <w:basedOn w:val="Normal"/>
    <w:link w:val="BulletChar"/>
    <w:rsid w:val="00626C5A"/>
    <w:pPr>
      <w:numPr>
        <w:numId w:val="2"/>
      </w:numPr>
      <w:ind w:left="1134" w:hanging="567"/>
    </w:pPr>
  </w:style>
  <w:style w:type="paragraph" w:customStyle="1" w:styleId="Dash">
    <w:name w:val="Dash"/>
    <w:basedOn w:val="Normal"/>
    <w:link w:val="DashChar"/>
    <w:rsid w:val="00626C5A"/>
    <w:pPr>
      <w:numPr>
        <w:ilvl w:val="1"/>
        <w:numId w:val="2"/>
      </w:numPr>
      <w:tabs>
        <w:tab w:val="clear" w:pos="1134"/>
        <w:tab w:val="num" w:pos="360"/>
      </w:tabs>
      <w:ind w:left="1361" w:hanging="397"/>
    </w:pPr>
  </w:style>
  <w:style w:type="paragraph" w:customStyle="1" w:styleId="DoubleDot">
    <w:name w:val="Double Dot"/>
    <w:basedOn w:val="Normal"/>
    <w:link w:val="DoubleDotChar"/>
    <w:rsid w:val="00626C5A"/>
    <w:pPr>
      <w:numPr>
        <w:ilvl w:val="2"/>
        <w:numId w:val="2"/>
      </w:numPr>
      <w:tabs>
        <w:tab w:val="clear" w:pos="1700"/>
        <w:tab w:val="num" w:pos="360"/>
      </w:tabs>
      <w:ind w:left="1758" w:hanging="397"/>
    </w:pPr>
  </w:style>
  <w:style w:type="paragraph" w:customStyle="1" w:styleId="OutlineNumbered1">
    <w:name w:val="Outline Numbered 1"/>
    <w:basedOn w:val="Normal"/>
    <w:link w:val="OutlineNumbered1Char"/>
    <w:rsid w:val="00626C5A"/>
    <w:pPr>
      <w:numPr>
        <w:numId w:val="7"/>
      </w:numPr>
      <w:tabs>
        <w:tab w:val="clear" w:pos="567"/>
        <w:tab w:val="num" w:pos="360"/>
      </w:tabs>
      <w:ind w:left="0" w:firstLine="0"/>
    </w:pPr>
  </w:style>
  <w:style w:type="character" w:customStyle="1" w:styleId="OutlineNumbered1Char">
    <w:name w:val="Outline Numbered 1 Char"/>
    <w:basedOn w:val="DefaultParagraphFont"/>
    <w:link w:val="OutlineNumbered1"/>
    <w:locked/>
    <w:rsid w:val="00025C06"/>
    <w:rPr>
      <w:rFonts w:asciiTheme="minorHAnsi" w:eastAsia="Times New Roman" w:hAnsiTheme="minorHAnsi"/>
      <w:color w:val="000000"/>
      <w:szCs w:val="20"/>
    </w:rPr>
  </w:style>
  <w:style w:type="paragraph" w:customStyle="1" w:styleId="OutlineNumbered2">
    <w:name w:val="Outline Numbered 2"/>
    <w:basedOn w:val="Normal"/>
    <w:link w:val="OutlineNumbered2Char"/>
    <w:rsid w:val="00626C5A"/>
    <w:pPr>
      <w:numPr>
        <w:ilvl w:val="1"/>
        <w:numId w:val="7"/>
      </w:numPr>
      <w:tabs>
        <w:tab w:val="clear" w:pos="1134"/>
        <w:tab w:val="num" w:pos="360"/>
      </w:tabs>
      <w:ind w:left="0" w:firstLine="0"/>
    </w:pPr>
  </w:style>
  <w:style w:type="character" w:customStyle="1" w:styleId="OutlineNumbered2Char">
    <w:name w:val="Outline Numbered 2 Char"/>
    <w:basedOn w:val="DefaultParagraphFont"/>
    <w:link w:val="OutlineNumbered2"/>
    <w:locked/>
    <w:rsid w:val="00025C06"/>
    <w:rPr>
      <w:rFonts w:asciiTheme="minorHAnsi" w:eastAsia="Times New Roman" w:hAnsiTheme="minorHAnsi"/>
      <w:color w:val="000000"/>
      <w:szCs w:val="20"/>
    </w:rPr>
  </w:style>
  <w:style w:type="paragraph" w:customStyle="1" w:styleId="OutlineNumbered3">
    <w:name w:val="Outline Numbered 3"/>
    <w:basedOn w:val="Normal"/>
    <w:link w:val="OutlineNumbered3Char"/>
    <w:rsid w:val="00626C5A"/>
    <w:pPr>
      <w:numPr>
        <w:ilvl w:val="2"/>
        <w:numId w:val="7"/>
      </w:numPr>
    </w:pPr>
  </w:style>
  <w:style w:type="character" w:customStyle="1" w:styleId="OutlineNumbered3Char">
    <w:name w:val="Outline Numbered 3 Char"/>
    <w:basedOn w:val="DefaultParagraphFont"/>
    <w:link w:val="OutlineNumbered3"/>
    <w:locked/>
    <w:rsid w:val="00025C06"/>
    <w:rPr>
      <w:rFonts w:asciiTheme="minorHAnsi" w:eastAsia="Times New Roman" w:hAnsiTheme="minorHAnsi"/>
      <w:color w:val="000000"/>
      <w:szCs w:val="20"/>
    </w:rPr>
  </w:style>
  <w:style w:type="character" w:styleId="CommentReference">
    <w:name w:val="annotation reference"/>
    <w:basedOn w:val="DefaultParagraphFont"/>
    <w:semiHidden/>
    <w:rsid w:val="00626C5A"/>
    <w:rPr>
      <w:sz w:val="16"/>
      <w:szCs w:val="16"/>
    </w:rPr>
  </w:style>
  <w:style w:type="paragraph" w:styleId="CommentText">
    <w:name w:val="annotation text"/>
    <w:basedOn w:val="Normal"/>
    <w:link w:val="CommentTextChar"/>
    <w:rsid w:val="00626C5A"/>
  </w:style>
  <w:style w:type="character" w:customStyle="1" w:styleId="CommentTextChar">
    <w:name w:val="Comment Text Char"/>
    <w:basedOn w:val="DefaultParagraphFont"/>
    <w:link w:val="CommentText"/>
    <w:locked/>
    <w:rsid w:val="00C62232"/>
    <w:rPr>
      <w:rFonts w:asciiTheme="minorHAnsi" w:eastAsia="Times New Roman" w:hAnsiTheme="minorHAnsi"/>
      <w:color w:val="000000"/>
      <w:szCs w:val="20"/>
    </w:rPr>
  </w:style>
  <w:style w:type="paragraph" w:styleId="CommentSubject">
    <w:name w:val="annotation subject"/>
    <w:basedOn w:val="CommentText"/>
    <w:next w:val="CommentText"/>
    <w:link w:val="CommentSubjectChar"/>
    <w:semiHidden/>
    <w:rsid w:val="00626C5A"/>
    <w:rPr>
      <w:b/>
      <w:bCs/>
    </w:rPr>
  </w:style>
  <w:style w:type="character" w:customStyle="1" w:styleId="CommentSubjectChar">
    <w:name w:val="Comment Subject Char"/>
    <w:basedOn w:val="CommentTextChar"/>
    <w:link w:val="CommentSubject"/>
    <w:semiHidden/>
    <w:locked/>
    <w:rsid w:val="00C62232"/>
    <w:rPr>
      <w:rFonts w:asciiTheme="minorHAnsi" w:eastAsia="Times New Roman" w:hAnsiTheme="minorHAnsi"/>
      <w:b/>
      <w:bCs/>
      <w:color w:val="000000"/>
      <w:szCs w:val="20"/>
    </w:rPr>
  </w:style>
  <w:style w:type="paragraph" w:styleId="BalloonText">
    <w:name w:val="Balloon Text"/>
    <w:basedOn w:val="Normal"/>
    <w:link w:val="BalloonTextChar"/>
    <w:semiHidden/>
    <w:rsid w:val="00626C5A"/>
    <w:rPr>
      <w:rFonts w:ascii="Tahoma" w:hAnsi="Tahoma" w:cs="Tahoma"/>
      <w:sz w:val="16"/>
      <w:szCs w:val="16"/>
    </w:rPr>
  </w:style>
  <w:style w:type="character" w:customStyle="1" w:styleId="BalloonTextChar">
    <w:name w:val="Balloon Text Char"/>
    <w:basedOn w:val="DefaultParagraphFont"/>
    <w:link w:val="BalloonText"/>
    <w:semiHidden/>
    <w:locked/>
    <w:rsid w:val="00C62232"/>
    <w:rPr>
      <w:rFonts w:ascii="Tahoma" w:eastAsia="Times New Roman" w:hAnsi="Tahoma" w:cs="Tahoma"/>
      <w:color w:val="000000"/>
      <w:sz w:val="16"/>
      <w:szCs w:val="16"/>
    </w:rPr>
  </w:style>
  <w:style w:type="table" w:styleId="LightShading">
    <w:name w:val="Light Shading"/>
    <w:basedOn w:val="TableNormal"/>
    <w:uiPriority w:val="99"/>
    <w:rsid w:val="00066128"/>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OutlineNumbered5">
    <w:name w:val="Outline Numbered 5"/>
    <w:basedOn w:val="Normal"/>
    <w:rsid w:val="00626C5A"/>
    <w:pPr>
      <w:numPr>
        <w:ilvl w:val="4"/>
        <w:numId w:val="7"/>
      </w:numPr>
    </w:pPr>
  </w:style>
  <w:style w:type="paragraph" w:styleId="Title">
    <w:name w:val="Title"/>
    <w:basedOn w:val="Normal"/>
    <w:next w:val="Normal"/>
    <w:link w:val="TitleChar"/>
    <w:uiPriority w:val="99"/>
    <w:qFormat/>
    <w:rsid w:val="00C6525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C65255"/>
    <w:rPr>
      <w:rFonts w:ascii="Cambria" w:hAnsi="Cambria" w:cs="Times New Roman"/>
      <w:color w:val="17365D"/>
      <w:spacing w:val="5"/>
      <w:kern w:val="28"/>
      <w:sz w:val="52"/>
      <w:szCs w:val="52"/>
      <w:lang w:eastAsia="en-AU"/>
    </w:rPr>
  </w:style>
  <w:style w:type="paragraph" w:styleId="NoSpacing">
    <w:name w:val="No Spacing"/>
    <w:uiPriority w:val="99"/>
    <w:qFormat/>
    <w:rsid w:val="00C65255"/>
    <w:pPr>
      <w:jc w:val="both"/>
    </w:pPr>
    <w:rPr>
      <w:rFonts w:eastAsia="Times New Roman"/>
      <w:color w:val="000000"/>
      <w:szCs w:val="20"/>
    </w:rPr>
  </w:style>
  <w:style w:type="paragraph" w:styleId="Header">
    <w:name w:val="header"/>
    <w:basedOn w:val="HeadingBase"/>
    <w:link w:val="HeaderChar"/>
    <w:rsid w:val="00626C5A"/>
    <w:rPr>
      <w:sz w:val="18"/>
    </w:rPr>
  </w:style>
  <w:style w:type="character" w:customStyle="1" w:styleId="HeaderChar">
    <w:name w:val="Header Char"/>
    <w:basedOn w:val="DefaultParagraphFont"/>
    <w:link w:val="Header"/>
    <w:locked/>
    <w:rsid w:val="00F86627"/>
    <w:rPr>
      <w:rFonts w:eastAsia="Times New Roman"/>
      <w:color w:val="342E82"/>
      <w:sz w:val="18"/>
      <w:szCs w:val="20"/>
    </w:rPr>
  </w:style>
  <w:style w:type="paragraph" w:styleId="Footer">
    <w:name w:val="footer"/>
    <w:basedOn w:val="HeadingBase"/>
    <w:link w:val="FooterChar"/>
    <w:rsid w:val="00626C5A"/>
    <w:rPr>
      <w:sz w:val="18"/>
    </w:rPr>
  </w:style>
  <w:style w:type="character" w:customStyle="1" w:styleId="FooterChar">
    <w:name w:val="Footer Char"/>
    <w:basedOn w:val="DefaultParagraphFont"/>
    <w:link w:val="Footer"/>
    <w:locked/>
    <w:rsid w:val="00F86627"/>
    <w:rPr>
      <w:rFonts w:eastAsia="Times New Roman"/>
      <w:color w:val="342E82"/>
      <w:sz w:val="18"/>
      <w:szCs w:val="20"/>
    </w:rPr>
  </w:style>
  <w:style w:type="paragraph" w:styleId="Revision">
    <w:name w:val="Revision"/>
    <w:hidden/>
    <w:uiPriority w:val="99"/>
    <w:semiHidden/>
    <w:rsid w:val="009D4E8A"/>
    <w:rPr>
      <w:rFonts w:eastAsia="Times New Roman"/>
      <w:color w:val="000000"/>
      <w:szCs w:val="20"/>
    </w:rPr>
  </w:style>
  <w:style w:type="character" w:customStyle="1" w:styleId="BulletChar">
    <w:name w:val="Bullet Char"/>
    <w:basedOn w:val="DefaultParagraphFont"/>
    <w:link w:val="Bullet"/>
    <w:locked/>
    <w:rsid w:val="008E7DBF"/>
    <w:rPr>
      <w:rFonts w:asciiTheme="minorHAnsi" w:eastAsia="Times New Roman" w:hAnsiTheme="minorHAnsi"/>
      <w:color w:val="000000"/>
      <w:szCs w:val="20"/>
    </w:rPr>
  </w:style>
  <w:style w:type="character" w:customStyle="1" w:styleId="DashChar">
    <w:name w:val="Dash Char"/>
    <w:basedOn w:val="DefaultParagraphFont"/>
    <w:link w:val="Dash"/>
    <w:locked/>
    <w:rsid w:val="00942467"/>
    <w:rPr>
      <w:rFonts w:asciiTheme="minorHAnsi" w:eastAsia="Times New Roman" w:hAnsiTheme="minorHAnsi"/>
      <w:color w:val="000000"/>
      <w:szCs w:val="20"/>
    </w:rPr>
  </w:style>
  <w:style w:type="paragraph" w:styleId="FootnoteText">
    <w:name w:val="footnote text"/>
    <w:basedOn w:val="Normal"/>
    <w:link w:val="FootnoteTextChar"/>
    <w:rsid w:val="00626C5A"/>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4F0199"/>
    <w:rPr>
      <w:rFonts w:asciiTheme="minorHAnsi" w:eastAsia="Times New Roman" w:hAnsiTheme="minorHAnsi"/>
      <w:color w:val="000000"/>
      <w:sz w:val="18"/>
      <w:szCs w:val="20"/>
    </w:rPr>
  </w:style>
  <w:style w:type="character" w:styleId="FootnoteReference">
    <w:name w:val="footnote reference"/>
    <w:basedOn w:val="DefaultParagraphFont"/>
    <w:rsid w:val="00626C5A"/>
    <w:rPr>
      <w:vertAlign w:val="superscript"/>
    </w:rPr>
  </w:style>
  <w:style w:type="paragraph" w:customStyle="1" w:styleId="CoverTitleSub">
    <w:name w:val="Cover Title Sub"/>
    <w:basedOn w:val="HeadingBase"/>
    <w:rsid w:val="00626C5A"/>
    <w:pPr>
      <w:spacing w:after="360"/>
      <w:jc w:val="right"/>
    </w:pPr>
    <w:rPr>
      <w:sz w:val="36"/>
    </w:rPr>
  </w:style>
  <w:style w:type="character" w:styleId="PageNumber">
    <w:name w:val="page number"/>
    <w:basedOn w:val="DefaultParagraphFont"/>
    <w:uiPriority w:val="99"/>
    <w:unhideWhenUsed/>
    <w:rsid w:val="004B14F0"/>
  </w:style>
  <w:style w:type="character" w:customStyle="1" w:styleId="A5">
    <w:name w:val="A5"/>
    <w:uiPriority w:val="99"/>
    <w:rsid w:val="00626C5A"/>
    <w:rPr>
      <w:rFonts w:cs="Swiss 721 BT"/>
      <w:color w:val="000000"/>
      <w:sz w:val="20"/>
      <w:szCs w:val="20"/>
    </w:rPr>
  </w:style>
  <w:style w:type="character" w:styleId="Hyperlink">
    <w:name w:val="Hyperlink"/>
    <w:basedOn w:val="DefaultParagraphFont"/>
    <w:rsid w:val="00626C5A"/>
    <w:rPr>
      <w:color w:val="auto"/>
      <w:u w:val="none"/>
    </w:rPr>
  </w:style>
  <w:style w:type="paragraph" w:customStyle="1" w:styleId="ContentsHeading">
    <w:name w:val="Contents Heading"/>
    <w:basedOn w:val="HeadingBase"/>
    <w:next w:val="Normal"/>
    <w:rsid w:val="00626C5A"/>
    <w:pPr>
      <w:spacing w:after="360"/>
    </w:pPr>
    <w:rPr>
      <w:smallCaps/>
      <w:sz w:val="36"/>
      <w:szCs w:val="36"/>
    </w:rPr>
  </w:style>
  <w:style w:type="paragraph" w:styleId="TOC1">
    <w:name w:val="toc 1"/>
    <w:basedOn w:val="HeadingBase"/>
    <w:next w:val="Normal"/>
    <w:uiPriority w:val="39"/>
    <w:locked/>
    <w:rsid w:val="00626C5A"/>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locked/>
    <w:rsid w:val="00626C5A"/>
    <w:pPr>
      <w:tabs>
        <w:tab w:val="left" w:pos="851"/>
        <w:tab w:val="right" w:leader="dot" w:pos="9072"/>
      </w:tabs>
      <w:spacing w:before="40" w:after="20"/>
      <w:ind w:left="1135" w:right="851" w:hanging="851"/>
    </w:pPr>
  </w:style>
  <w:style w:type="paragraph" w:customStyle="1" w:styleId="SingleParagraph">
    <w:name w:val="Single Paragraph"/>
    <w:basedOn w:val="Normal"/>
    <w:link w:val="SingleParagraphChar"/>
    <w:rsid w:val="00626C5A"/>
    <w:pPr>
      <w:spacing w:after="0"/>
    </w:pPr>
  </w:style>
  <w:style w:type="paragraph" w:customStyle="1" w:styleId="TableGraphic">
    <w:name w:val="Table Graphic"/>
    <w:basedOn w:val="HeadingBase"/>
    <w:next w:val="Normal"/>
    <w:rsid w:val="00626C5A"/>
  </w:style>
  <w:style w:type="character" w:customStyle="1" w:styleId="SingleParagraphChar">
    <w:name w:val="Single Paragraph Char"/>
    <w:basedOn w:val="DefaultParagraphFont"/>
    <w:link w:val="SingleParagraph"/>
    <w:rsid w:val="00626C5A"/>
    <w:rPr>
      <w:rFonts w:asciiTheme="minorHAnsi" w:eastAsia="Times New Roman" w:hAnsiTheme="minorHAnsi"/>
      <w:color w:val="000000"/>
      <w:szCs w:val="20"/>
    </w:rPr>
  </w:style>
  <w:style w:type="table" w:styleId="TableGrid">
    <w:name w:val="Table Grid"/>
    <w:basedOn w:val="TableNormal"/>
    <w:locked/>
    <w:rsid w:val="00626C5A"/>
    <w:pPr>
      <w:spacing w:after="240" w:line="260" w:lineRule="exact"/>
      <w:jc w:val="both"/>
    </w:pPr>
    <w:rPr>
      <w:rFonts w:ascii="Times New Roman" w:eastAsia="Times New Roman" w:hAnsi="Times New Roman"/>
      <w:sz w:val="20"/>
      <w:szCs w:val="20"/>
    </w:rPr>
    <w:tblPr>
      <w:tblInd w:w="0" w:type="dxa"/>
      <w:tblCellMar>
        <w:top w:w="0" w:type="dxa"/>
        <w:left w:w="108" w:type="dxa"/>
        <w:bottom w:w="0" w:type="dxa"/>
        <w:right w:w="108" w:type="dxa"/>
      </w:tblCellMar>
    </w:tblPr>
    <w:tcPr>
      <w:shd w:val="clear" w:color="auto" w:fill="E6E6E6"/>
    </w:tcPr>
  </w:style>
  <w:style w:type="paragraph" w:customStyle="1" w:styleId="SecurityClassificationHeader">
    <w:name w:val="Security Classification Header"/>
    <w:link w:val="SecurityClassificationHeaderChar"/>
    <w:rsid w:val="00857E62"/>
    <w:pPr>
      <w:spacing w:before="240" w:after="60"/>
      <w:jc w:val="center"/>
    </w:pPr>
    <w:rPr>
      <w:rFonts w:ascii="Times New Roman" w:eastAsia="Times New Roman" w:hAnsi="Times New Roman"/>
      <w:b/>
      <w:caps/>
      <w:color w:val="000000"/>
      <w:sz w:val="24"/>
      <w:szCs w:val="20"/>
    </w:rPr>
  </w:style>
  <w:style w:type="character" w:customStyle="1" w:styleId="SecurityClassificationHeaderChar">
    <w:name w:val="Security Classification Header Char"/>
    <w:basedOn w:val="HeaderChar"/>
    <w:link w:val="SecurityClassificationHeader"/>
    <w:rsid w:val="00857E62"/>
    <w:rPr>
      <w:rFonts w:ascii="Times New Roman" w:eastAsia="Times New Roman" w:hAnsi="Times New Roman" w:cs="Times New Roman"/>
      <w:b/>
      <w:caps/>
      <w:color w:val="000000"/>
      <w:sz w:val="24"/>
      <w:szCs w:val="20"/>
      <w:lang w:eastAsia="en-AU"/>
    </w:rPr>
  </w:style>
  <w:style w:type="paragraph" w:customStyle="1" w:styleId="SecurityClassificationFooter">
    <w:name w:val="Security Classification Footer"/>
    <w:link w:val="SecurityClassificationFooterChar"/>
    <w:rsid w:val="00857E62"/>
    <w:pPr>
      <w:spacing w:before="60" w:after="240"/>
      <w:jc w:val="center"/>
    </w:pPr>
    <w:rPr>
      <w:rFonts w:ascii="Times New Roman" w:eastAsia="Times New Roman" w:hAnsi="Times New Roman"/>
      <w:b/>
      <w:caps/>
      <w:color w:val="000000"/>
      <w:sz w:val="24"/>
      <w:szCs w:val="20"/>
    </w:rPr>
  </w:style>
  <w:style w:type="character" w:customStyle="1" w:styleId="SecurityClassificationFooterChar">
    <w:name w:val="Security Classification Footer Char"/>
    <w:basedOn w:val="HeaderChar"/>
    <w:link w:val="SecurityClassificationFooter"/>
    <w:rsid w:val="00857E62"/>
    <w:rPr>
      <w:rFonts w:ascii="Times New Roman" w:eastAsia="Times New Roman" w:hAnsi="Times New Roman" w:cs="Times New Roman"/>
      <w:b/>
      <w:caps/>
      <w:color w:val="000000"/>
      <w:sz w:val="24"/>
      <w:szCs w:val="20"/>
      <w:lang w:eastAsia="en-AU"/>
    </w:rPr>
  </w:style>
  <w:style w:type="paragraph" w:customStyle="1" w:styleId="DLMSecurityHeader">
    <w:name w:val="DLM Security Header"/>
    <w:link w:val="DLMSecurityHeaderChar"/>
    <w:rsid w:val="00857E62"/>
    <w:pPr>
      <w:spacing w:before="60" w:after="240"/>
      <w:jc w:val="center"/>
    </w:pPr>
    <w:rPr>
      <w:rFonts w:ascii="Times New Roman" w:eastAsia="Times New Roman" w:hAnsi="Times New Roman"/>
      <w:b/>
      <w:caps/>
      <w:color w:val="000000"/>
      <w:sz w:val="24"/>
      <w:szCs w:val="20"/>
    </w:rPr>
  </w:style>
  <w:style w:type="character" w:customStyle="1" w:styleId="DLMSecurityHeaderChar">
    <w:name w:val="DLM Security Header Char"/>
    <w:basedOn w:val="HeaderChar"/>
    <w:link w:val="DLMSecurityHeader"/>
    <w:rsid w:val="00857E62"/>
    <w:rPr>
      <w:rFonts w:ascii="Times New Roman" w:eastAsia="Times New Roman" w:hAnsi="Times New Roman" w:cs="Times New Roman"/>
      <w:b/>
      <w:caps/>
      <w:color w:val="000000"/>
      <w:sz w:val="24"/>
      <w:szCs w:val="20"/>
      <w:lang w:eastAsia="en-AU"/>
    </w:rPr>
  </w:style>
  <w:style w:type="paragraph" w:customStyle="1" w:styleId="DLMSecurityFooter">
    <w:name w:val="DLM Security Footer"/>
    <w:link w:val="DLMSecurityFooterChar"/>
    <w:rsid w:val="00857E62"/>
    <w:pPr>
      <w:spacing w:before="240" w:after="60"/>
      <w:jc w:val="center"/>
    </w:pPr>
    <w:rPr>
      <w:rFonts w:ascii="Times New Roman" w:eastAsia="Times New Roman" w:hAnsi="Times New Roman"/>
      <w:b/>
      <w:caps/>
      <w:color w:val="000000"/>
      <w:sz w:val="24"/>
      <w:szCs w:val="20"/>
    </w:rPr>
  </w:style>
  <w:style w:type="character" w:customStyle="1" w:styleId="DLMSecurityFooterChar">
    <w:name w:val="DLM Security Footer Char"/>
    <w:basedOn w:val="HeaderChar"/>
    <w:link w:val="DLMSecurityFooter"/>
    <w:rsid w:val="00857E62"/>
    <w:rPr>
      <w:rFonts w:ascii="Times New Roman" w:eastAsia="Times New Roman" w:hAnsi="Times New Roman" w:cs="Times New Roman"/>
      <w:b/>
      <w:caps/>
      <w:color w:val="000000"/>
      <w:sz w:val="24"/>
      <w:szCs w:val="20"/>
      <w:lang w:eastAsia="en-AU"/>
    </w:rPr>
  </w:style>
  <w:style w:type="character" w:customStyle="1" w:styleId="DoubleDotChar">
    <w:name w:val="Double Dot Char"/>
    <w:link w:val="DoubleDot"/>
    <w:locked/>
    <w:rsid w:val="00046913"/>
    <w:rPr>
      <w:rFonts w:asciiTheme="minorHAnsi" w:eastAsia="Times New Roman" w:hAnsiTheme="minorHAnsi"/>
      <w:color w:val="000000"/>
      <w:szCs w:val="20"/>
    </w:rPr>
  </w:style>
  <w:style w:type="numbering" w:customStyle="1" w:styleId="Bulletlist">
    <w:name w:val="Bullet list"/>
    <w:rsid w:val="00046913"/>
    <w:pPr>
      <w:numPr>
        <w:numId w:val="5"/>
      </w:numPr>
    </w:pPr>
  </w:style>
  <w:style w:type="character" w:customStyle="1" w:styleId="Heading5Char">
    <w:name w:val="Heading 5 Char"/>
    <w:basedOn w:val="DefaultParagraphFont"/>
    <w:link w:val="Heading5"/>
    <w:rsid w:val="00626C5A"/>
    <w:rPr>
      <w:rFonts w:eastAsia="Times New Roman"/>
      <w:b/>
      <w:bCs/>
      <w:iCs/>
      <w:color w:val="342E82"/>
      <w:sz w:val="24"/>
      <w:szCs w:val="20"/>
    </w:rPr>
  </w:style>
  <w:style w:type="character" w:customStyle="1" w:styleId="Heading8Char">
    <w:name w:val="Heading 8 Char"/>
    <w:basedOn w:val="DefaultParagraphFont"/>
    <w:link w:val="Heading8"/>
    <w:rsid w:val="008E7DBF"/>
    <w:rPr>
      <w:rFonts w:eastAsia="Times New Roman"/>
      <w:iCs/>
      <w:smallCaps/>
      <w:color w:val="342E82"/>
      <w:szCs w:val="24"/>
    </w:rPr>
  </w:style>
  <w:style w:type="character" w:customStyle="1" w:styleId="Heading9Char">
    <w:name w:val="Heading 9 Char"/>
    <w:basedOn w:val="DefaultParagraphFont"/>
    <w:link w:val="Heading9"/>
    <w:rsid w:val="008E7DBF"/>
    <w:rPr>
      <w:rFonts w:ascii="Arial Bold" w:eastAsia="Times New Roman" w:hAnsi="Arial Bold" w:cs="Arial"/>
      <w:b/>
      <w:smallCaps/>
      <w:color w:val="342E82"/>
      <w:sz w:val="24"/>
    </w:rPr>
  </w:style>
  <w:style w:type="character" w:customStyle="1" w:styleId="BoldandItalic">
    <w:name w:val="Bold and Italic"/>
    <w:basedOn w:val="DefaultParagraphFont"/>
    <w:rsid w:val="00626C5A"/>
    <w:rPr>
      <w:rFonts w:ascii="Calibri" w:hAnsi="Calibri"/>
      <w:b/>
      <w:i/>
    </w:rPr>
  </w:style>
  <w:style w:type="paragraph" w:customStyle="1" w:styleId="TableColumnHeadingBase">
    <w:name w:val="Table Column Heading Base"/>
    <w:basedOn w:val="Normal"/>
    <w:rsid w:val="00626C5A"/>
    <w:pPr>
      <w:spacing w:before="40" w:after="40" w:line="240" w:lineRule="auto"/>
    </w:pPr>
    <w:rPr>
      <w:b/>
      <w:color w:val="342E82"/>
      <w:sz w:val="16"/>
    </w:rPr>
  </w:style>
  <w:style w:type="paragraph" w:customStyle="1" w:styleId="AlphaParagraph">
    <w:name w:val="Alpha Paragraph"/>
    <w:basedOn w:val="Normal"/>
    <w:rsid w:val="00626C5A"/>
    <w:pPr>
      <w:numPr>
        <w:numId w:val="8"/>
      </w:numPr>
    </w:pPr>
  </w:style>
  <w:style w:type="paragraph" w:customStyle="1" w:styleId="HeadingBase">
    <w:name w:val="Heading Base"/>
    <w:next w:val="Normal"/>
    <w:rsid w:val="00626C5A"/>
    <w:pPr>
      <w:keepNext/>
    </w:pPr>
    <w:rPr>
      <w:rFonts w:eastAsia="Times New Roman"/>
      <w:color w:val="342E82"/>
      <w:sz w:val="20"/>
      <w:szCs w:val="20"/>
    </w:rPr>
  </w:style>
  <w:style w:type="paragraph" w:customStyle="1" w:styleId="AppendixHeading">
    <w:name w:val="Appendix Heading"/>
    <w:basedOn w:val="HeadingBase"/>
    <w:next w:val="Normal"/>
    <w:rsid w:val="00626C5A"/>
    <w:pPr>
      <w:spacing w:before="720" w:after="360"/>
      <w:outlineLvl w:val="0"/>
    </w:pPr>
    <w:rPr>
      <w:b/>
      <w:smallCaps/>
      <w:sz w:val="36"/>
      <w:szCs w:val="36"/>
    </w:rPr>
  </w:style>
  <w:style w:type="character" w:customStyle="1" w:styleId="Bold">
    <w:name w:val="Bold"/>
    <w:basedOn w:val="DefaultParagraphFont"/>
    <w:rsid w:val="00626C5A"/>
    <w:rPr>
      <w:b/>
    </w:rPr>
  </w:style>
  <w:style w:type="paragraph" w:customStyle="1" w:styleId="BoxHeading">
    <w:name w:val="Box Heading"/>
    <w:basedOn w:val="HeadingBase"/>
    <w:next w:val="BoxText"/>
    <w:rsid w:val="00626C5A"/>
    <w:pPr>
      <w:spacing w:before="240" w:after="120"/>
    </w:pPr>
    <w:rPr>
      <w:b/>
      <w:sz w:val="22"/>
    </w:rPr>
  </w:style>
  <w:style w:type="paragraph" w:customStyle="1" w:styleId="BoxTextBase">
    <w:name w:val="Box Text Base"/>
    <w:basedOn w:val="Normal"/>
    <w:rsid w:val="00626C5A"/>
  </w:style>
  <w:style w:type="paragraph" w:customStyle="1" w:styleId="ChartandTableFootnoteAlpha">
    <w:name w:val="Chart and Table Footnote Alpha"/>
    <w:rsid w:val="00626C5A"/>
    <w:pPr>
      <w:numPr>
        <w:numId w:val="9"/>
      </w:numPr>
      <w:tabs>
        <w:tab w:val="clear" w:pos="283"/>
        <w:tab w:val="num" w:pos="360"/>
      </w:tabs>
      <w:ind w:left="0" w:firstLine="0"/>
      <w:jc w:val="both"/>
    </w:pPr>
    <w:rPr>
      <w:rFonts w:ascii="Arial" w:eastAsia="Times New Roman" w:hAnsi="Arial"/>
      <w:color w:val="000000"/>
      <w:sz w:val="16"/>
      <w:szCs w:val="16"/>
    </w:rPr>
  </w:style>
  <w:style w:type="paragraph" w:customStyle="1" w:styleId="ChartGraphic">
    <w:name w:val="Chart Graphic"/>
    <w:basedOn w:val="HeadingBase"/>
    <w:next w:val="Normal"/>
    <w:rsid w:val="00626C5A"/>
    <w:pPr>
      <w:jc w:val="center"/>
    </w:pPr>
  </w:style>
  <w:style w:type="paragraph" w:customStyle="1" w:styleId="ChartMainHeading">
    <w:name w:val="Chart Main Heading"/>
    <w:basedOn w:val="HeadingBase"/>
    <w:next w:val="ChartGraphic"/>
    <w:rsid w:val="00626C5A"/>
    <w:pPr>
      <w:spacing w:after="20"/>
      <w:jc w:val="center"/>
    </w:pPr>
    <w:rPr>
      <w:b/>
      <w:sz w:val="22"/>
    </w:rPr>
  </w:style>
  <w:style w:type="paragraph" w:customStyle="1" w:styleId="ChartorTableNote">
    <w:name w:val="Chart or Table Note"/>
    <w:next w:val="Normal"/>
    <w:rsid w:val="00626C5A"/>
    <w:pPr>
      <w:jc w:val="both"/>
    </w:pPr>
    <w:rPr>
      <w:rFonts w:ascii="Arial" w:eastAsia="Times New Roman" w:hAnsi="Arial"/>
      <w:color w:val="000000"/>
      <w:sz w:val="16"/>
      <w:szCs w:val="20"/>
    </w:rPr>
  </w:style>
  <w:style w:type="paragraph" w:customStyle="1" w:styleId="ChartSecondHeading">
    <w:name w:val="Chart Second Heading"/>
    <w:basedOn w:val="HeadingBase"/>
    <w:next w:val="ChartGraphic"/>
    <w:rsid w:val="00626C5A"/>
    <w:pPr>
      <w:spacing w:after="20"/>
      <w:jc w:val="center"/>
    </w:pPr>
  </w:style>
  <w:style w:type="paragraph" w:customStyle="1" w:styleId="Classification">
    <w:name w:val="Classification"/>
    <w:basedOn w:val="HeadingBase"/>
    <w:next w:val="Footer"/>
    <w:semiHidden/>
    <w:rsid w:val="00626C5A"/>
    <w:pPr>
      <w:spacing w:after="120"/>
      <w:jc w:val="center"/>
    </w:pPr>
    <w:rPr>
      <w:b/>
      <w:smallCaps/>
    </w:rPr>
  </w:style>
  <w:style w:type="paragraph" w:customStyle="1" w:styleId="CoverTitleMain">
    <w:name w:val="Cover Title Main"/>
    <w:basedOn w:val="HeadingBase"/>
    <w:next w:val="Normal"/>
    <w:rsid w:val="00626C5A"/>
    <w:pPr>
      <w:spacing w:after="480"/>
    </w:pPr>
    <w:rPr>
      <w:b/>
      <w:sz w:val="48"/>
    </w:rPr>
  </w:style>
  <w:style w:type="paragraph" w:customStyle="1" w:styleId="FooterCentered">
    <w:name w:val="Footer Centered"/>
    <w:basedOn w:val="Footer"/>
    <w:rsid w:val="00626C5A"/>
    <w:pPr>
      <w:jc w:val="center"/>
    </w:pPr>
  </w:style>
  <w:style w:type="paragraph" w:customStyle="1" w:styleId="FooterEven">
    <w:name w:val="Footer Even"/>
    <w:basedOn w:val="Footer"/>
    <w:rsid w:val="00626C5A"/>
  </w:style>
  <w:style w:type="paragraph" w:customStyle="1" w:styleId="FooterOdd">
    <w:name w:val="Footer Odd"/>
    <w:basedOn w:val="Footer"/>
    <w:rsid w:val="00626C5A"/>
    <w:pPr>
      <w:jc w:val="right"/>
    </w:pPr>
  </w:style>
  <w:style w:type="character" w:customStyle="1" w:styleId="FramedFooter">
    <w:name w:val="Framed Footer"/>
    <w:rsid w:val="00626C5A"/>
    <w:rPr>
      <w:rFonts w:ascii="Arial" w:hAnsi="Arial"/>
      <w:color w:val="342E82"/>
      <w:sz w:val="18"/>
    </w:rPr>
  </w:style>
  <w:style w:type="character" w:customStyle="1" w:styleId="FramedHeader">
    <w:name w:val="Framed Header"/>
    <w:basedOn w:val="DefaultParagraphFont"/>
    <w:rsid w:val="00626C5A"/>
    <w:rPr>
      <w:rFonts w:ascii="Arial" w:hAnsi="Arial"/>
      <w:dstrike w:val="0"/>
      <w:color w:val="342E82"/>
      <w:sz w:val="18"/>
      <w:vertAlign w:val="baseline"/>
    </w:rPr>
  </w:style>
  <w:style w:type="paragraph" w:customStyle="1" w:styleId="HeaderEven">
    <w:name w:val="Header Even"/>
    <w:basedOn w:val="Header"/>
    <w:rsid w:val="00626C5A"/>
  </w:style>
  <w:style w:type="paragraph" w:customStyle="1" w:styleId="HeaderOdd">
    <w:name w:val="Header Odd"/>
    <w:basedOn w:val="Header"/>
    <w:rsid w:val="00626C5A"/>
    <w:pPr>
      <w:jc w:val="right"/>
    </w:pPr>
  </w:style>
  <w:style w:type="paragraph" w:styleId="NormalIndent">
    <w:name w:val="Normal Indent"/>
    <w:basedOn w:val="Normal"/>
    <w:rsid w:val="00626C5A"/>
    <w:pPr>
      <w:ind w:left="567"/>
    </w:pPr>
    <w:rPr>
      <w:i/>
    </w:rPr>
  </w:style>
  <w:style w:type="paragraph" w:customStyle="1" w:styleId="RecommendationHeading">
    <w:name w:val="Recommendation Heading"/>
    <w:basedOn w:val="HeadingBase"/>
    <w:next w:val="RecommendationText"/>
    <w:rsid w:val="00626C5A"/>
    <w:pPr>
      <w:spacing w:before="120" w:after="240"/>
    </w:pPr>
    <w:rPr>
      <w:b/>
      <w:sz w:val="22"/>
    </w:rPr>
  </w:style>
  <w:style w:type="paragraph" w:customStyle="1" w:styleId="RecommendationTextBase">
    <w:name w:val="Recommendation Text Base"/>
    <w:basedOn w:val="Normal"/>
    <w:rsid w:val="00626C5A"/>
    <w:pPr>
      <w:spacing w:before="120" w:after="120"/>
    </w:pPr>
  </w:style>
  <w:style w:type="paragraph" w:customStyle="1" w:styleId="RecommendationText">
    <w:name w:val="Recommendation Text"/>
    <w:basedOn w:val="RecommendationTextBase"/>
    <w:rsid w:val="00626C5A"/>
  </w:style>
  <w:style w:type="paragraph" w:customStyle="1" w:styleId="TableTextBase">
    <w:name w:val="Table Text Base"/>
    <w:rsid w:val="00626C5A"/>
    <w:pPr>
      <w:spacing w:before="40" w:after="40"/>
    </w:pPr>
    <w:rPr>
      <w:rFonts w:asciiTheme="minorHAnsi" w:eastAsia="Times New Roman" w:hAnsiTheme="minorHAnsi"/>
      <w:color w:val="000000"/>
      <w:sz w:val="16"/>
      <w:szCs w:val="20"/>
    </w:rPr>
  </w:style>
  <w:style w:type="paragraph" w:customStyle="1" w:styleId="TableColumnHeadingCentred">
    <w:name w:val="Table Column Heading Centred"/>
    <w:basedOn w:val="TableColumnHeadingBase"/>
    <w:rsid w:val="00626C5A"/>
    <w:pPr>
      <w:jc w:val="center"/>
    </w:pPr>
  </w:style>
  <w:style w:type="paragraph" w:customStyle="1" w:styleId="TableColumnHeadingLeft">
    <w:name w:val="Table Column Heading Left"/>
    <w:basedOn w:val="TableColumnHeadingBase"/>
    <w:rsid w:val="00626C5A"/>
  </w:style>
  <w:style w:type="paragraph" w:customStyle="1" w:styleId="TableColumnHeadingRight">
    <w:name w:val="Table Column Heading Right"/>
    <w:basedOn w:val="TableColumnHeadingBase"/>
    <w:rsid w:val="00626C5A"/>
    <w:pPr>
      <w:jc w:val="right"/>
    </w:pPr>
  </w:style>
  <w:style w:type="paragraph" w:customStyle="1" w:styleId="TableMainHeading">
    <w:name w:val="Table Main Heading"/>
    <w:basedOn w:val="HeadingBase"/>
    <w:next w:val="TableGraphic"/>
    <w:rsid w:val="00626C5A"/>
    <w:pPr>
      <w:spacing w:after="20"/>
    </w:pPr>
    <w:rPr>
      <w:b/>
      <w:sz w:val="22"/>
    </w:rPr>
  </w:style>
  <w:style w:type="paragraph" w:customStyle="1" w:styleId="TableMainHeadingContd">
    <w:name w:val="Table Main Heading Contd"/>
    <w:basedOn w:val="HeadingBase"/>
    <w:next w:val="TableGraphic"/>
    <w:rsid w:val="00626C5A"/>
    <w:pPr>
      <w:pageBreakBefore/>
      <w:spacing w:after="20"/>
    </w:pPr>
    <w:rPr>
      <w:b/>
      <w:sz w:val="22"/>
    </w:rPr>
  </w:style>
  <w:style w:type="paragraph" w:customStyle="1" w:styleId="TableSecondHeading">
    <w:name w:val="Table Second Heading"/>
    <w:basedOn w:val="HeadingBase"/>
    <w:next w:val="TableGraphic"/>
    <w:rsid w:val="00626C5A"/>
    <w:pPr>
      <w:spacing w:after="20"/>
    </w:pPr>
  </w:style>
  <w:style w:type="paragraph" w:customStyle="1" w:styleId="TableTextCentered">
    <w:name w:val="Table Text Centered"/>
    <w:basedOn w:val="TableTextBase"/>
    <w:rsid w:val="00626C5A"/>
    <w:pPr>
      <w:jc w:val="center"/>
    </w:pPr>
  </w:style>
  <w:style w:type="paragraph" w:customStyle="1" w:styleId="TableTextIndented">
    <w:name w:val="Table Text Indented"/>
    <w:basedOn w:val="TableTextBase"/>
    <w:rsid w:val="00626C5A"/>
    <w:pPr>
      <w:ind w:left="284"/>
    </w:pPr>
  </w:style>
  <w:style w:type="paragraph" w:customStyle="1" w:styleId="TableTextLeft">
    <w:name w:val="Table Text Left"/>
    <w:basedOn w:val="TableTextBase"/>
    <w:rsid w:val="00626C5A"/>
  </w:style>
  <w:style w:type="paragraph" w:customStyle="1" w:styleId="TableTextRight">
    <w:name w:val="Table Text Right"/>
    <w:basedOn w:val="TableTextBase"/>
    <w:rsid w:val="00626C5A"/>
    <w:pPr>
      <w:jc w:val="right"/>
    </w:pPr>
  </w:style>
  <w:style w:type="paragraph" w:styleId="TOC3">
    <w:name w:val="toc 3"/>
    <w:basedOn w:val="Normal"/>
    <w:next w:val="Normal"/>
    <w:locked/>
    <w:rsid w:val="00626C5A"/>
    <w:pPr>
      <w:tabs>
        <w:tab w:val="right" w:leader="dot" w:pos="9072"/>
      </w:tabs>
      <w:spacing w:before="20" w:after="0" w:line="240" w:lineRule="auto"/>
      <w:ind w:left="284" w:right="851"/>
    </w:pPr>
  </w:style>
  <w:style w:type="paragraph" w:styleId="TOC4">
    <w:name w:val="toc 4"/>
    <w:basedOn w:val="Normal"/>
    <w:next w:val="Normal"/>
    <w:locked/>
    <w:rsid w:val="00626C5A"/>
    <w:pPr>
      <w:tabs>
        <w:tab w:val="right" w:leader="dot" w:pos="9072"/>
      </w:tabs>
      <w:spacing w:after="0" w:line="240" w:lineRule="auto"/>
      <w:ind w:left="284" w:right="851"/>
    </w:pPr>
  </w:style>
  <w:style w:type="character" w:customStyle="1" w:styleId="italic">
    <w:name w:val="italic"/>
    <w:basedOn w:val="DefaultParagraphFont"/>
    <w:rsid w:val="00626C5A"/>
    <w:rPr>
      <w:i/>
    </w:rPr>
  </w:style>
  <w:style w:type="paragraph" w:customStyle="1" w:styleId="OneLevelNumberedParagraph">
    <w:name w:val="One Level Numbered Paragraph"/>
    <w:basedOn w:val="Normal"/>
    <w:rsid w:val="00626C5A"/>
    <w:pPr>
      <w:numPr>
        <w:numId w:val="13"/>
      </w:numPr>
    </w:pPr>
  </w:style>
  <w:style w:type="paragraph" w:customStyle="1" w:styleId="BoxText">
    <w:name w:val="Box Text"/>
    <w:basedOn w:val="BoxTextBase"/>
    <w:rsid w:val="00626C5A"/>
  </w:style>
  <w:style w:type="paragraph" w:customStyle="1" w:styleId="BoxBullet">
    <w:name w:val="Box Bullet"/>
    <w:basedOn w:val="BoxTextBase"/>
    <w:rsid w:val="00626C5A"/>
    <w:pPr>
      <w:numPr>
        <w:numId w:val="12"/>
      </w:numPr>
    </w:pPr>
  </w:style>
  <w:style w:type="paragraph" w:customStyle="1" w:styleId="BoxDash">
    <w:name w:val="Box Dash"/>
    <w:basedOn w:val="Normal"/>
    <w:rsid w:val="00626C5A"/>
    <w:pPr>
      <w:numPr>
        <w:ilvl w:val="1"/>
        <w:numId w:val="12"/>
      </w:numPr>
    </w:pPr>
  </w:style>
  <w:style w:type="paragraph" w:customStyle="1" w:styleId="BoxDoubleDot">
    <w:name w:val="Box Double Dot"/>
    <w:basedOn w:val="BoxTextBase"/>
    <w:rsid w:val="00626C5A"/>
    <w:pPr>
      <w:numPr>
        <w:ilvl w:val="2"/>
        <w:numId w:val="12"/>
      </w:numPr>
    </w:pPr>
  </w:style>
  <w:style w:type="paragraph" w:customStyle="1" w:styleId="RecommendationBullet">
    <w:name w:val="Recommendation Bullet"/>
    <w:basedOn w:val="RecommendationTextBase"/>
    <w:rsid w:val="00626C5A"/>
    <w:pPr>
      <w:numPr>
        <w:numId w:val="14"/>
      </w:numPr>
    </w:pPr>
  </w:style>
  <w:style w:type="paragraph" w:customStyle="1" w:styleId="RecommendationDash">
    <w:name w:val="Recommendation Dash"/>
    <w:basedOn w:val="RecommendationTextBase"/>
    <w:rsid w:val="00626C5A"/>
    <w:pPr>
      <w:numPr>
        <w:ilvl w:val="1"/>
        <w:numId w:val="14"/>
      </w:numPr>
    </w:pPr>
  </w:style>
  <w:style w:type="paragraph" w:customStyle="1" w:styleId="RecommendationDoubleDot">
    <w:name w:val="Recommendation Double Dot"/>
    <w:basedOn w:val="RecommendationTextBase"/>
    <w:rsid w:val="00626C5A"/>
    <w:pPr>
      <w:numPr>
        <w:ilvl w:val="2"/>
        <w:numId w:val="14"/>
      </w:numPr>
    </w:pPr>
  </w:style>
  <w:style w:type="character" w:styleId="FollowedHyperlink">
    <w:name w:val="FollowedHyperlink"/>
    <w:basedOn w:val="DefaultParagraphFont"/>
    <w:rsid w:val="00626C5A"/>
    <w:rPr>
      <w:color w:val="auto"/>
      <w:u w:val="none"/>
    </w:rPr>
  </w:style>
  <w:style w:type="paragraph" w:customStyle="1" w:styleId="Heading4NotNumbered">
    <w:name w:val="Heading 4 Not Numbered"/>
    <w:basedOn w:val="HeadingBase"/>
    <w:rsid w:val="00626C5A"/>
    <w:pPr>
      <w:spacing w:before="120" w:after="120"/>
      <w:outlineLvl w:val="3"/>
    </w:pPr>
    <w:rPr>
      <w:b/>
      <w:sz w:val="26"/>
    </w:rPr>
  </w:style>
  <w:style w:type="paragraph" w:styleId="Caption">
    <w:name w:val="caption"/>
    <w:basedOn w:val="Normal"/>
    <w:next w:val="Normal"/>
    <w:qFormat/>
    <w:locked/>
    <w:rsid w:val="00626C5A"/>
    <w:rPr>
      <w:b/>
      <w:bCs/>
    </w:rPr>
  </w:style>
  <w:style w:type="paragraph" w:styleId="DocumentMap">
    <w:name w:val="Document Map"/>
    <w:basedOn w:val="Normal"/>
    <w:link w:val="DocumentMapChar"/>
    <w:semiHidden/>
    <w:rsid w:val="00626C5A"/>
    <w:pPr>
      <w:shd w:val="clear" w:color="auto" w:fill="000080"/>
    </w:pPr>
    <w:rPr>
      <w:rFonts w:ascii="Tahoma" w:hAnsi="Tahoma" w:cs="Tahoma"/>
    </w:rPr>
  </w:style>
  <w:style w:type="character" w:customStyle="1" w:styleId="DocumentMapChar">
    <w:name w:val="Document Map Char"/>
    <w:basedOn w:val="DefaultParagraphFont"/>
    <w:link w:val="DocumentMap"/>
    <w:semiHidden/>
    <w:rsid w:val="008E7DBF"/>
    <w:rPr>
      <w:rFonts w:ascii="Tahoma" w:eastAsia="Times New Roman" w:hAnsi="Tahoma" w:cs="Tahoma"/>
      <w:color w:val="000000"/>
      <w:szCs w:val="20"/>
      <w:shd w:val="clear" w:color="auto" w:fill="000080"/>
    </w:rPr>
  </w:style>
  <w:style w:type="character" w:styleId="EndnoteReference">
    <w:name w:val="endnote reference"/>
    <w:basedOn w:val="DefaultParagraphFont"/>
    <w:semiHidden/>
    <w:rsid w:val="00626C5A"/>
    <w:rPr>
      <w:vertAlign w:val="superscript"/>
    </w:rPr>
  </w:style>
  <w:style w:type="paragraph" w:styleId="EndnoteText">
    <w:name w:val="endnote text"/>
    <w:basedOn w:val="Normal"/>
    <w:link w:val="EndnoteTextChar"/>
    <w:semiHidden/>
    <w:rsid w:val="00626C5A"/>
  </w:style>
  <w:style w:type="character" w:customStyle="1" w:styleId="EndnoteTextChar">
    <w:name w:val="Endnote Text Char"/>
    <w:basedOn w:val="DefaultParagraphFont"/>
    <w:link w:val="EndnoteText"/>
    <w:semiHidden/>
    <w:rsid w:val="008E7DBF"/>
    <w:rPr>
      <w:rFonts w:asciiTheme="minorHAnsi" w:eastAsia="Times New Roman" w:hAnsiTheme="minorHAnsi"/>
      <w:color w:val="000000"/>
      <w:szCs w:val="20"/>
    </w:rPr>
  </w:style>
  <w:style w:type="paragraph" w:styleId="Index1">
    <w:name w:val="index 1"/>
    <w:basedOn w:val="Normal"/>
    <w:next w:val="Normal"/>
    <w:autoRedefine/>
    <w:semiHidden/>
    <w:rsid w:val="00626C5A"/>
    <w:pPr>
      <w:ind w:left="200" w:hanging="200"/>
    </w:pPr>
  </w:style>
  <w:style w:type="paragraph" w:styleId="Index2">
    <w:name w:val="index 2"/>
    <w:basedOn w:val="Normal"/>
    <w:next w:val="Normal"/>
    <w:autoRedefine/>
    <w:semiHidden/>
    <w:rsid w:val="00626C5A"/>
    <w:pPr>
      <w:ind w:left="400" w:hanging="200"/>
    </w:pPr>
  </w:style>
  <w:style w:type="paragraph" w:styleId="Index3">
    <w:name w:val="index 3"/>
    <w:basedOn w:val="Normal"/>
    <w:next w:val="Normal"/>
    <w:autoRedefine/>
    <w:semiHidden/>
    <w:rsid w:val="00626C5A"/>
    <w:pPr>
      <w:ind w:left="600" w:hanging="200"/>
    </w:pPr>
  </w:style>
  <w:style w:type="paragraph" w:styleId="Index4">
    <w:name w:val="index 4"/>
    <w:basedOn w:val="Normal"/>
    <w:next w:val="Normal"/>
    <w:autoRedefine/>
    <w:semiHidden/>
    <w:rsid w:val="00626C5A"/>
    <w:pPr>
      <w:ind w:left="800" w:hanging="200"/>
    </w:pPr>
  </w:style>
  <w:style w:type="paragraph" w:styleId="Index5">
    <w:name w:val="index 5"/>
    <w:basedOn w:val="Normal"/>
    <w:next w:val="Normal"/>
    <w:autoRedefine/>
    <w:semiHidden/>
    <w:rsid w:val="00626C5A"/>
    <w:pPr>
      <w:ind w:left="1000" w:hanging="200"/>
    </w:pPr>
  </w:style>
  <w:style w:type="paragraph" w:styleId="Index6">
    <w:name w:val="index 6"/>
    <w:basedOn w:val="Normal"/>
    <w:next w:val="Normal"/>
    <w:autoRedefine/>
    <w:semiHidden/>
    <w:rsid w:val="00626C5A"/>
    <w:pPr>
      <w:ind w:left="1200" w:hanging="200"/>
    </w:pPr>
  </w:style>
  <w:style w:type="paragraph" w:styleId="Index7">
    <w:name w:val="index 7"/>
    <w:basedOn w:val="Normal"/>
    <w:next w:val="Normal"/>
    <w:autoRedefine/>
    <w:semiHidden/>
    <w:rsid w:val="00626C5A"/>
    <w:pPr>
      <w:ind w:left="1400" w:hanging="200"/>
    </w:pPr>
  </w:style>
  <w:style w:type="paragraph" w:styleId="Index8">
    <w:name w:val="index 8"/>
    <w:basedOn w:val="Normal"/>
    <w:next w:val="Normal"/>
    <w:autoRedefine/>
    <w:semiHidden/>
    <w:rsid w:val="00626C5A"/>
    <w:pPr>
      <w:ind w:left="1600" w:hanging="200"/>
    </w:pPr>
  </w:style>
  <w:style w:type="paragraph" w:styleId="Index9">
    <w:name w:val="index 9"/>
    <w:basedOn w:val="Normal"/>
    <w:next w:val="Normal"/>
    <w:autoRedefine/>
    <w:semiHidden/>
    <w:rsid w:val="00626C5A"/>
    <w:pPr>
      <w:ind w:left="1800" w:hanging="200"/>
    </w:pPr>
  </w:style>
  <w:style w:type="paragraph" w:styleId="IndexHeading">
    <w:name w:val="index heading"/>
    <w:basedOn w:val="Normal"/>
    <w:next w:val="Index1"/>
    <w:semiHidden/>
    <w:rsid w:val="00626C5A"/>
    <w:rPr>
      <w:rFonts w:cs="Arial"/>
      <w:b/>
      <w:bCs/>
    </w:rPr>
  </w:style>
  <w:style w:type="paragraph" w:styleId="MacroText">
    <w:name w:val="macro"/>
    <w:link w:val="MacroTextChar"/>
    <w:semiHidden/>
    <w:rsid w:val="00626C5A"/>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rPr>
  </w:style>
  <w:style w:type="character" w:customStyle="1" w:styleId="MacroTextChar">
    <w:name w:val="Macro Text Char"/>
    <w:basedOn w:val="DefaultParagraphFont"/>
    <w:link w:val="MacroText"/>
    <w:semiHidden/>
    <w:rsid w:val="008E7DBF"/>
    <w:rPr>
      <w:rFonts w:ascii="Courier New" w:eastAsia="Times New Roman" w:hAnsi="Courier New" w:cs="Courier New"/>
      <w:color w:val="000000"/>
      <w:sz w:val="20"/>
      <w:szCs w:val="20"/>
    </w:rPr>
  </w:style>
  <w:style w:type="paragraph" w:styleId="TableofAuthorities">
    <w:name w:val="table of authorities"/>
    <w:basedOn w:val="Normal"/>
    <w:next w:val="Normal"/>
    <w:rsid w:val="00626C5A"/>
    <w:pPr>
      <w:ind w:left="200" w:hanging="200"/>
    </w:pPr>
  </w:style>
  <w:style w:type="paragraph" w:styleId="TableofFigures">
    <w:name w:val="table of figures"/>
    <w:basedOn w:val="Normal"/>
    <w:next w:val="Normal"/>
    <w:rsid w:val="00626C5A"/>
  </w:style>
  <w:style w:type="paragraph" w:styleId="TOAHeading">
    <w:name w:val="toa heading"/>
    <w:basedOn w:val="Normal"/>
    <w:next w:val="Normal"/>
    <w:semiHidden/>
    <w:rsid w:val="00626C5A"/>
    <w:pPr>
      <w:spacing w:before="120"/>
    </w:pPr>
    <w:rPr>
      <w:rFonts w:cs="Arial"/>
      <w:b/>
      <w:bCs/>
      <w:sz w:val="24"/>
      <w:szCs w:val="24"/>
    </w:rPr>
  </w:style>
  <w:style w:type="paragraph" w:styleId="TOC5">
    <w:name w:val="toc 5"/>
    <w:basedOn w:val="Normal"/>
    <w:next w:val="Normal"/>
    <w:autoRedefine/>
    <w:locked/>
    <w:rsid w:val="00626C5A"/>
    <w:pPr>
      <w:ind w:left="800"/>
    </w:pPr>
  </w:style>
  <w:style w:type="paragraph" w:styleId="TOC6">
    <w:name w:val="toc 6"/>
    <w:basedOn w:val="Normal"/>
    <w:next w:val="Normal"/>
    <w:autoRedefine/>
    <w:locked/>
    <w:rsid w:val="00626C5A"/>
    <w:pPr>
      <w:ind w:left="1000"/>
    </w:pPr>
  </w:style>
  <w:style w:type="paragraph" w:styleId="TOC7">
    <w:name w:val="toc 7"/>
    <w:basedOn w:val="Normal"/>
    <w:next w:val="Normal"/>
    <w:autoRedefine/>
    <w:locked/>
    <w:rsid w:val="00626C5A"/>
    <w:pPr>
      <w:ind w:left="1200"/>
    </w:pPr>
  </w:style>
  <w:style w:type="paragraph" w:styleId="TOC8">
    <w:name w:val="toc 8"/>
    <w:basedOn w:val="Normal"/>
    <w:next w:val="Normal"/>
    <w:autoRedefine/>
    <w:locked/>
    <w:rsid w:val="00626C5A"/>
    <w:pPr>
      <w:ind w:left="1400"/>
    </w:pPr>
  </w:style>
  <w:style w:type="paragraph" w:styleId="TOC9">
    <w:name w:val="toc 9"/>
    <w:basedOn w:val="Normal"/>
    <w:next w:val="Normal"/>
    <w:autoRedefine/>
    <w:locked/>
    <w:rsid w:val="00626C5A"/>
    <w:pPr>
      <w:ind w:left="1600"/>
    </w:pPr>
  </w:style>
  <w:style w:type="paragraph" w:customStyle="1" w:styleId="Heading5NotNumbered">
    <w:name w:val="Heading 5 Not Numbered"/>
    <w:basedOn w:val="HeadingBase"/>
    <w:rsid w:val="00626C5A"/>
    <w:pPr>
      <w:spacing w:after="120"/>
      <w:outlineLvl w:val="4"/>
    </w:pPr>
    <w:rPr>
      <w:b/>
      <w:sz w:val="24"/>
    </w:rPr>
  </w:style>
  <w:style w:type="table" w:customStyle="1" w:styleId="OptionsTable">
    <w:name w:val="Options Table"/>
    <w:basedOn w:val="TableNormal"/>
    <w:rsid w:val="00626C5A"/>
    <w:rPr>
      <w:rFonts w:ascii="Times New Roman" w:eastAsia="Times New Roman" w:hAnsi="Times New Roman"/>
      <w:sz w:val="20"/>
      <w:szCs w:val="20"/>
    </w:rPr>
    <w:tblPr>
      <w:tblStyleRowBandSize w:val="1"/>
      <w:tblInd w:w="0" w:type="dxa"/>
      <w:tblBorders>
        <w:insideH w:val="single" w:sz="12" w:space="0" w:color="FFFFFF"/>
        <w:insideV w:val="single" w:sz="12" w:space="0" w:color="FFFFFF"/>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Romannumeral">
    <w:name w:val="Roman numeral"/>
    <w:basedOn w:val="Normal"/>
    <w:rsid w:val="00626C5A"/>
    <w:pPr>
      <w:numPr>
        <w:numId w:val="25"/>
      </w:numPr>
    </w:pPr>
  </w:style>
  <w:style w:type="paragraph" w:customStyle="1" w:styleId="OutlineNumbered4">
    <w:name w:val="Outline Numbered 4"/>
    <w:basedOn w:val="Normal"/>
    <w:rsid w:val="00626C5A"/>
  </w:style>
  <w:style w:type="paragraph" w:customStyle="1" w:styleId="Crest">
    <w:name w:val="Crest"/>
    <w:basedOn w:val="Header"/>
    <w:rsid w:val="00626C5A"/>
    <w:pPr>
      <w:spacing w:after="48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566566">
      <w:bodyDiv w:val="1"/>
      <w:marLeft w:val="0"/>
      <w:marRight w:val="0"/>
      <w:marTop w:val="0"/>
      <w:marBottom w:val="0"/>
      <w:divBdr>
        <w:top w:val="none" w:sz="0" w:space="0" w:color="auto"/>
        <w:left w:val="none" w:sz="0" w:space="0" w:color="auto"/>
        <w:bottom w:val="none" w:sz="0" w:space="0" w:color="auto"/>
        <w:right w:val="none" w:sz="0" w:space="0" w:color="auto"/>
      </w:divBdr>
    </w:div>
    <w:div w:id="1522084268">
      <w:bodyDiv w:val="1"/>
      <w:marLeft w:val="0"/>
      <w:marRight w:val="0"/>
      <w:marTop w:val="0"/>
      <w:marBottom w:val="0"/>
      <w:divBdr>
        <w:top w:val="none" w:sz="0" w:space="0" w:color="auto"/>
        <w:left w:val="none" w:sz="0" w:space="0" w:color="auto"/>
        <w:bottom w:val="none" w:sz="0" w:space="0" w:color="auto"/>
        <w:right w:val="none" w:sz="0" w:space="0" w:color="auto"/>
      </w:divBdr>
    </w:div>
    <w:div w:id="194537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itsanhonour.gov.au" TargetMode="External"/><Relationship Id="rId26"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yperlink" Target="mailto:MECgroupreview@treasury.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reativecommons.org/licenses/by/3.0/au/deed.en"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wmf"/><Relationship Id="rId20"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footer" Target="footer6.xm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mailto:medialiaison@treasury.gov.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3.0/au/deed.en" TargetMode="External"/><Relationship Id="rId22" Type="http://schemas.openxmlformats.org/officeDocument/2006/relationships/footer" Target="footer5.xml"/><Relationship Id="rId27" Type="http://schemas.openxmlformats.org/officeDocument/2006/relationships/image" Target="media/image3.png"/><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2497</Words>
  <Characters>14133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Removing the tax advantages available to multiple entry consolidated groups - Issues paper</dc:title>
  <dc:subject/>
  <dc:creator/>
  <cp:keywords/>
  <cp:lastModifiedBy/>
  <cp:revision>1</cp:revision>
  <dcterms:created xsi:type="dcterms:W3CDTF">2013-05-14T07:16:00Z</dcterms:created>
  <dcterms:modified xsi:type="dcterms:W3CDTF">2013-05-14T07:16:00Z</dcterms:modified>
</cp:coreProperties>
</file>