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2C953" w14:textId="77777777" w:rsidR="0024061B" w:rsidRDefault="003A06D6" w:rsidP="003E0F72">
      <w:pPr>
        <w:pStyle w:val="Heading1"/>
        <w:spacing w:before="400"/>
      </w:pPr>
      <w:bookmarkStart w:id="0" w:name="_GoBack"/>
      <w:bookmarkEnd w:id="0"/>
      <w:r>
        <w:t>Executive Summary</w:t>
      </w:r>
    </w:p>
    <w:p w14:paraId="08F259A3" w14:textId="2A52E764" w:rsidR="00C33D08" w:rsidRDefault="00C33D08" w:rsidP="00C33D08">
      <w:r>
        <w:t>Th</w:t>
      </w:r>
      <w:r w:rsidR="0048229B">
        <w:t>is report,</w:t>
      </w:r>
      <w:r>
        <w:t xml:space="preserve"> </w:t>
      </w:r>
      <w:r w:rsidRPr="00C33D08">
        <w:rPr>
          <w:i/>
        </w:rPr>
        <w:t xml:space="preserve">2013 State of Supply Report: </w:t>
      </w:r>
      <w:r w:rsidR="00827B08">
        <w:rPr>
          <w:i/>
        </w:rPr>
        <w:t xml:space="preserve">changes </w:t>
      </w:r>
      <w:r w:rsidR="00D649EC">
        <w:rPr>
          <w:i/>
        </w:rPr>
        <w:t>in how we l</w:t>
      </w:r>
      <w:r w:rsidR="008901B2">
        <w:rPr>
          <w:i/>
        </w:rPr>
        <w:t>ive</w:t>
      </w:r>
      <w:r w:rsidR="0048229B">
        <w:t>, looks at</w:t>
      </w:r>
      <w:r w:rsidR="006F521D">
        <w:t xml:space="preserve"> </w:t>
      </w:r>
      <w:r>
        <w:t xml:space="preserve">market conditions affecting additions to housing supply, changes in housing tenure across dwelling types, the changing pattern of household formation in Australia and </w:t>
      </w:r>
      <w:r w:rsidR="0048229B">
        <w:t xml:space="preserve">the </w:t>
      </w:r>
      <w:r>
        <w:t xml:space="preserve">impact </w:t>
      </w:r>
      <w:r w:rsidR="0048229B">
        <w:t xml:space="preserve">of that changing pattern </w:t>
      </w:r>
      <w:r>
        <w:t>on the assessed balance between housing supply and underlying demand.</w:t>
      </w:r>
    </w:p>
    <w:p w14:paraId="54656595" w14:textId="22F2A468" w:rsidR="00C33D08" w:rsidRDefault="0048229B" w:rsidP="00C33D08">
      <w:r>
        <w:t xml:space="preserve">Around Australia, most </w:t>
      </w:r>
      <w:r w:rsidR="006F521D">
        <w:t xml:space="preserve">housing markets exhibit </w:t>
      </w:r>
      <w:r w:rsidR="00C33D08">
        <w:t xml:space="preserve">dampened demand and </w:t>
      </w:r>
      <w:r w:rsidR="006F521D">
        <w:t>construction rates, reflecting an investment environment of relative uncertainty and risk aversion</w:t>
      </w:r>
      <w:r w:rsidR="00C64DAD">
        <w:t xml:space="preserve">. </w:t>
      </w:r>
      <w:r w:rsidR="00C33D08">
        <w:t>While prices ha</w:t>
      </w:r>
      <w:r w:rsidR="009C53DC">
        <w:t xml:space="preserve">ve edged upward in many places </w:t>
      </w:r>
      <w:r w:rsidR="00C33D08">
        <w:t>(significantly in Darwin)</w:t>
      </w:r>
      <w:r w:rsidR="009C53DC">
        <w:t>,</w:t>
      </w:r>
      <w:r w:rsidR="00C33D08">
        <w:t xml:space="preserve"> relatively low levels of demand continue despite historic</w:t>
      </w:r>
      <w:r>
        <w:t>ally</w:t>
      </w:r>
      <w:r w:rsidR="00C33D08">
        <w:t xml:space="preserve"> low interest rates</w:t>
      </w:r>
      <w:r w:rsidR="00C64DAD">
        <w:t xml:space="preserve">. </w:t>
      </w:r>
      <w:r w:rsidR="00C33D08">
        <w:t>Nationally, residential devel</w:t>
      </w:r>
      <w:r w:rsidR="00A315F4">
        <w:t>opment and building activity have</w:t>
      </w:r>
      <w:r w:rsidR="00C33D08">
        <w:t xml:space="preserve"> increased from the</w:t>
      </w:r>
      <w:r>
        <w:t>ir</w:t>
      </w:r>
      <w:r w:rsidR="00C33D08">
        <w:t xml:space="preserve"> GFC</w:t>
      </w:r>
      <w:r>
        <w:t xml:space="preserve"> </w:t>
      </w:r>
      <w:r w:rsidR="00C33D08">
        <w:t>lows but rem</w:t>
      </w:r>
      <w:r w:rsidR="00764666">
        <w:t>ain</w:t>
      </w:r>
      <w:r w:rsidR="00C33D08">
        <w:t xml:space="preserve"> slightly down on the subsequen</w:t>
      </w:r>
      <w:r w:rsidR="00764666">
        <w:t>t stimulus</w:t>
      </w:r>
      <w:r w:rsidR="00C64DAD">
        <w:noBreakHyphen/>
      </w:r>
      <w:r w:rsidR="00764666">
        <w:t>induced level, and are</w:t>
      </w:r>
      <w:r w:rsidR="00C33D08">
        <w:t xml:space="preserve"> still slow by historic</w:t>
      </w:r>
      <w:r>
        <w:t>al</w:t>
      </w:r>
      <w:r w:rsidR="00C33D08">
        <w:t xml:space="preserve"> comparison. </w:t>
      </w:r>
    </w:p>
    <w:p w14:paraId="50F6D4C7" w14:textId="189E8992" w:rsidR="00C33D08" w:rsidRDefault="0048229B" w:rsidP="00C33D08">
      <w:r>
        <w:t>In the owner occupier sector, o</w:t>
      </w:r>
      <w:r w:rsidR="00C33D08">
        <w:t>verall mortgage commitment data for new dwellings, including those for first home buyers, continue to show subdued market demand</w:t>
      </w:r>
      <w:r w:rsidR="00C64DAD">
        <w:t xml:space="preserve">. </w:t>
      </w:r>
      <w:r w:rsidR="00764666">
        <w:t>Building approval data indicate</w:t>
      </w:r>
      <w:r w:rsidR="00C33D08">
        <w:t xml:space="preserve"> a substantial increase in apartments relative to detached houses, and this is reflected in increased mortgage lending to investment buyers</w:t>
      </w:r>
      <w:r w:rsidR="00C64DAD">
        <w:t xml:space="preserve">. </w:t>
      </w:r>
      <w:r w:rsidR="00C33D08">
        <w:t>Even assuming they continue</w:t>
      </w:r>
      <w:proofErr w:type="gramStart"/>
      <w:r w:rsidR="00C33D08">
        <w:t>,</w:t>
      </w:r>
      <w:proofErr w:type="gramEnd"/>
      <w:r w:rsidR="00C33D08">
        <w:t xml:space="preserve"> these marked changes in apparent demand will result in quite gradual change across the total stock of new and established dwellings, because typical levels of construction add less than 2 per cent to supply each year. </w:t>
      </w:r>
    </w:p>
    <w:p w14:paraId="284DB35B" w14:textId="67527D1B" w:rsidR="0056789A" w:rsidRDefault="00C33D08" w:rsidP="00C33D08">
      <w:r>
        <w:t>Owner occupancy has long been the predominant form of housing tenure in Australia</w:t>
      </w:r>
      <w:r w:rsidR="00C64DAD">
        <w:t xml:space="preserve">. </w:t>
      </w:r>
      <w:r>
        <w:t>Over the decade 2001 to 2011, Census data confirm a small aggregate reduction in owner occupation from 70</w:t>
      </w:r>
      <w:r w:rsidR="00C64DAD">
        <w:t> </w:t>
      </w:r>
      <w:r>
        <w:t>to 69 per cent, with a corresponding increase in rental</w:t>
      </w:r>
      <w:r w:rsidR="00C64DAD">
        <w:t xml:space="preserve">. </w:t>
      </w:r>
      <w:r w:rsidR="00011EC4">
        <w:t>A mix of affordability and lifestyle factors is likely to be influencing the rate of home ownership</w:t>
      </w:r>
      <w:r w:rsidR="001D02A5">
        <w:t xml:space="preserve"> over the decade</w:t>
      </w:r>
      <w:r w:rsidR="0056789A">
        <w:t xml:space="preserve">. </w:t>
      </w:r>
      <w:r>
        <w:t xml:space="preserve">Owner occupation </w:t>
      </w:r>
      <w:r w:rsidR="00011EC4">
        <w:t>is changing</w:t>
      </w:r>
      <w:r w:rsidR="0056789A" w:rsidRPr="0056789A">
        <w:t xml:space="preserve"> inter</w:t>
      </w:r>
      <w:r w:rsidR="00C64DAD">
        <w:noBreakHyphen/>
      </w:r>
      <w:r w:rsidR="0056789A" w:rsidRPr="0056789A">
        <w:t>generationally</w:t>
      </w:r>
      <w:r w:rsidR="0048229B">
        <w:t>,</w:t>
      </w:r>
      <w:r w:rsidR="0056789A" w:rsidRPr="0056789A">
        <w:t xml:space="preserve"> driven by </w:t>
      </w:r>
      <w:r w:rsidR="0048229B">
        <w:t xml:space="preserve">a </w:t>
      </w:r>
      <w:r w:rsidR="0056789A" w:rsidRPr="0056789A">
        <w:t>mix of factors</w:t>
      </w:r>
      <w:r w:rsidR="00C64DAD">
        <w:t xml:space="preserve">. </w:t>
      </w:r>
      <w:r w:rsidR="00011EC4">
        <w:t xml:space="preserve">It </w:t>
      </w:r>
      <w:r>
        <w:t>declined by between two and four percentage points in all adult age groups except 65 years and ove</w:t>
      </w:r>
      <w:r w:rsidR="00C64DAD">
        <w:t>r, where it remained high at 82 </w:t>
      </w:r>
      <w:r>
        <w:t>per</w:t>
      </w:r>
      <w:r w:rsidR="00C64DAD">
        <w:t> </w:t>
      </w:r>
      <w:r>
        <w:t>cent</w:t>
      </w:r>
      <w:r w:rsidR="00C64DAD">
        <w:t xml:space="preserve">. </w:t>
      </w:r>
      <w:r w:rsidR="00011EC4">
        <w:t>This suggests that the overall decline will continue as the present generation of older owners pass on, unless relevant circumstances change significantly.</w:t>
      </w:r>
      <w:r w:rsidR="000335D9">
        <w:t xml:space="preserve"> </w:t>
      </w:r>
    </w:p>
    <w:p w14:paraId="47E67476" w14:textId="64A65CFB" w:rsidR="00C33D08" w:rsidRDefault="00C33D08" w:rsidP="00C33D08">
      <w:r>
        <w:t xml:space="preserve">The data also show that </w:t>
      </w:r>
      <w:r w:rsidR="0056789A">
        <w:t xml:space="preserve">over the decade </w:t>
      </w:r>
      <w:r>
        <w:t>there has been a significant drop in the proportion of dwellings owned outright and an increase in dwellings owned with a mortgage</w:t>
      </w:r>
      <w:r w:rsidR="00C64DAD">
        <w:t xml:space="preserve">. </w:t>
      </w:r>
      <w:r w:rsidR="00011EC4">
        <w:t xml:space="preserve">This could be due </w:t>
      </w:r>
      <w:r>
        <w:t xml:space="preserve">to </w:t>
      </w:r>
      <w:r w:rsidR="00011EC4">
        <w:t xml:space="preserve">a range of factors, such as </w:t>
      </w:r>
      <w:r>
        <w:t xml:space="preserve">home owners </w:t>
      </w:r>
      <w:r w:rsidR="0086716E">
        <w:t xml:space="preserve">borrowing </w:t>
      </w:r>
      <w:r>
        <w:t>against their equity to invest in assets including shares, investment property, holiday homes and home renovations.</w:t>
      </w:r>
    </w:p>
    <w:p w14:paraId="6F0EBADD" w14:textId="629674B3" w:rsidR="00C33D08" w:rsidRDefault="00C33D08" w:rsidP="00C33D08">
      <w:r>
        <w:t>While rental has increased to over 29 per cent of households, the number and proportion renting social housing almost halved</w:t>
      </w:r>
      <w:r w:rsidR="0086716E">
        <w:t>,</w:t>
      </w:r>
      <w:r>
        <w:t xml:space="preserve"> </w:t>
      </w:r>
      <w:r w:rsidR="002D4085">
        <w:t xml:space="preserve">despite burgeoning waiting lists, </w:t>
      </w:r>
      <w:r>
        <w:t xml:space="preserve">from </w:t>
      </w:r>
      <w:r w:rsidR="00D76783">
        <w:t>5.8</w:t>
      </w:r>
      <w:r>
        <w:t xml:space="preserve"> per cent </w:t>
      </w:r>
      <w:r w:rsidR="0086716E">
        <w:t xml:space="preserve">of households in 1998 </w:t>
      </w:r>
      <w:r>
        <w:t xml:space="preserve">to </w:t>
      </w:r>
      <w:r w:rsidR="00D76783">
        <w:t>3.9</w:t>
      </w:r>
      <w:r w:rsidR="00C64DAD">
        <w:t> </w:t>
      </w:r>
      <w:r>
        <w:t xml:space="preserve">per cent </w:t>
      </w:r>
      <w:r w:rsidR="0086716E">
        <w:t>in 2010</w:t>
      </w:r>
      <w:r w:rsidR="00C64DAD">
        <w:t xml:space="preserve">. </w:t>
      </w:r>
      <w:r>
        <w:t xml:space="preserve">The Council has </w:t>
      </w:r>
      <w:r>
        <w:lastRenderedPageBreak/>
        <w:t xml:space="preserve">previously noted that despite the addition of over 20,000 units from the Commonwealth’s stimulatory response to the </w:t>
      </w:r>
      <w:r w:rsidR="002D4085">
        <w:t>global financial crisis</w:t>
      </w:r>
      <w:r>
        <w:t xml:space="preserve">, </w:t>
      </w:r>
      <w:r w:rsidR="002D4085">
        <w:t>social housing’s</w:t>
      </w:r>
      <w:r>
        <w:t xml:space="preserve"> share of housing stock increased little and will decline quickly without continued investment</w:t>
      </w:r>
      <w:r w:rsidR="00C64DAD">
        <w:t xml:space="preserve">. </w:t>
      </w:r>
      <w:r>
        <w:t>A lack of affordable housing obviously has the greatest impact on the more vulnerable in our society who are likely to be long</w:t>
      </w:r>
      <w:r w:rsidR="00C64DAD">
        <w:noBreakHyphen/>
      </w:r>
      <w:r>
        <w:t>term renters and least able to compete in the private market.</w:t>
      </w:r>
    </w:p>
    <w:p w14:paraId="2323B4FC" w14:textId="40DCAD60" w:rsidR="0028290C" w:rsidRDefault="007C21D9" w:rsidP="00C33D08">
      <w:r>
        <w:t>H</w:t>
      </w:r>
      <w:r w:rsidR="00C33D08">
        <w:t xml:space="preserve">ousing consumption </w:t>
      </w:r>
      <w:r>
        <w:t xml:space="preserve">patterns </w:t>
      </w:r>
      <w:r w:rsidR="00C33D08">
        <w:t>and the demand for new dwellings have shifted significantly over the past decade, driven by a range of demographic, cultural and economic factors</w:t>
      </w:r>
      <w:r w:rsidR="00C64DAD">
        <w:t xml:space="preserve">. </w:t>
      </w:r>
      <w:r w:rsidR="00C33D08">
        <w:t>Since 2001, a reversal of the decades</w:t>
      </w:r>
      <w:r w:rsidR="00C64DAD">
        <w:noBreakHyphen/>
      </w:r>
      <w:r w:rsidR="00C33D08">
        <w:t xml:space="preserve">long decline in household size has taken place despite demographic trends such as </w:t>
      </w:r>
      <w:r w:rsidR="002D4085">
        <w:t xml:space="preserve">the </w:t>
      </w:r>
      <w:r w:rsidR="00C33D08">
        <w:t>ageing of the population pushing in the opposite direction</w:t>
      </w:r>
      <w:r w:rsidR="00C64DAD">
        <w:t xml:space="preserve">. </w:t>
      </w:r>
      <w:r w:rsidR="00C33D08">
        <w:t>After adjusting for a changing age and geographic mix, Australians now occupy fewer dwellings per head of population than they used to do</w:t>
      </w:r>
      <w:r w:rsidR="00C64DAD">
        <w:t xml:space="preserve">. </w:t>
      </w:r>
      <w:r w:rsidR="00C33D08">
        <w:t xml:space="preserve">The Council believes that this change has been at least partly driven </w:t>
      </w:r>
      <w:r w:rsidR="001061F7">
        <w:t xml:space="preserve">by </w:t>
      </w:r>
      <w:r w:rsidR="00C33D08">
        <w:t>lags in the recognition of, and response to, changes in the level and locations of population growth exacerbated by rigidities in planning and development approval arrangements in many places</w:t>
      </w:r>
      <w:r w:rsidR="00C64DAD">
        <w:t xml:space="preserve">. </w:t>
      </w:r>
      <w:r w:rsidR="00C33D08">
        <w:t>The resulting deficiency in supply has contributed to rising house prices, mortgage commitments and rents relative to income that have reduced market demand relative to the underlying propensity of the population to form households.</w:t>
      </w:r>
    </w:p>
    <w:p w14:paraId="2BE2F566" w14:textId="1335E88F" w:rsidR="0028290C" w:rsidRDefault="00C33D08" w:rsidP="00C636DB">
      <w:r>
        <w:t xml:space="preserve">If Australians in 2011 had the </w:t>
      </w:r>
      <w:r w:rsidR="0028290C">
        <w:t xml:space="preserve">housing consumption patterns they </w:t>
      </w:r>
      <w:r w:rsidR="002D4085">
        <w:t xml:space="preserve">had </w:t>
      </w:r>
      <w:r w:rsidR="0028290C">
        <w:t>in 2001, they would occupy an additional 28</w:t>
      </w:r>
      <w:r w:rsidR="00E94594">
        <w:t>4</w:t>
      </w:r>
      <w:r w:rsidR="0028290C">
        <w:t>,000 dwellings</w:t>
      </w:r>
      <w:r>
        <w:t xml:space="preserve"> (</w:t>
      </w:r>
      <w:r w:rsidR="00AC7A35" w:rsidRPr="00AC7A35">
        <w:t xml:space="preserve">3 per cent </w:t>
      </w:r>
      <w:r w:rsidR="002D4085">
        <w:t>more than</w:t>
      </w:r>
      <w:r w:rsidR="002D4085" w:rsidRPr="00AC7A35">
        <w:t xml:space="preserve"> </w:t>
      </w:r>
      <w:r w:rsidR="00AC7A35" w:rsidRPr="00AC7A35">
        <w:t>existing supply</w:t>
      </w:r>
      <w:r>
        <w:t>)</w:t>
      </w:r>
      <w:r w:rsidR="00C64DAD">
        <w:t xml:space="preserve">. </w:t>
      </w:r>
      <w:r w:rsidR="0028290C">
        <w:t>However, 2001 seems to have b</w:t>
      </w:r>
      <w:r w:rsidR="00837E1A">
        <w:t>een a high point in Australians</w:t>
      </w:r>
      <w:r w:rsidR="002D4085">
        <w:t>’</w:t>
      </w:r>
      <w:r w:rsidR="0028290C">
        <w:t xml:space="preserve"> housing consumption and using different comparison base years generates significantly different calculations</w:t>
      </w:r>
      <w:r w:rsidR="00C64DAD">
        <w:t xml:space="preserve">. </w:t>
      </w:r>
      <w:r w:rsidR="00C5487B">
        <w:t>B</w:t>
      </w:r>
      <w:r w:rsidR="0028290C">
        <w:t xml:space="preserve">ased on 2006 housing consumption patterns, the gap in 2011 is estimated at </w:t>
      </w:r>
      <w:r w:rsidR="00E94594">
        <w:t>76</w:t>
      </w:r>
      <w:r w:rsidR="0028290C">
        <w:t>,000 dwellings</w:t>
      </w:r>
      <w:r w:rsidR="00C64DAD">
        <w:t xml:space="preserve">. </w:t>
      </w:r>
      <w:r w:rsidR="0028290C">
        <w:t xml:space="preserve">If 1991 housing consumption patterns are the basis for comparison, the gap is </w:t>
      </w:r>
      <w:r w:rsidR="00E94594">
        <w:t>133</w:t>
      </w:r>
      <w:r w:rsidR="0028290C">
        <w:t>,000 dwellings</w:t>
      </w:r>
      <w:r w:rsidR="00C5487B">
        <w:t>.</w:t>
      </w:r>
    </w:p>
    <w:p w14:paraId="3CED1954" w14:textId="7A15C9D6" w:rsidR="00C33D08" w:rsidRDefault="00C33D08" w:rsidP="00C33D08">
      <w:r>
        <w:t>In short, Australians’ rate of housing consumption has declined since 2001, as evidenced by the turn</w:t>
      </w:r>
      <w:r w:rsidR="00C64DAD">
        <w:noBreakHyphen/>
      </w:r>
      <w:r>
        <w:t xml:space="preserve">around in household size. This means </w:t>
      </w:r>
      <w:r w:rsidR="00C5487B">
        <w:t xml:space="preserve">there are </w:t>
      </w:r>
      <w:r>
        <w:t>larger households</w:t>
      </w:r>
      <w:r w:rsidR="00C5487B">
        <w:t>,</w:t>
      </w:r>
      <w:r>
        <w:t xml:space="preserve"> despite a decline in the number of families with children and the average number of children per family, as well as fewer dwellings and households per head of population</w:t>
      </w:r>
      <w:r w:rsidR="00C64DAD">
        <w:t xml:space="preserve">. </w:t>
      </w:r>
      <w:r>
        <w:t>There are several possible explanations for this.</w:t>
      </w:r>
    </w:p>
    <w:p w14:paraId="6EF18C18" w14:textId="37244083" w:rsidR="00C33D08" w:rsidRDefault="00C33D08" w:rsidP="00C33D08">
      <w:r>
        <w:t>One explanation lies in the fact that the supply and price of housing constrain current demand</w:t>
      </w:r>
      <w:r w:rsidR="00C64DAD">
        <w:t xml:space="preserve">. </w:t>
      </w:r>
      <w:r>
        <w:t>Increases in demand take time to be perceived, evaluated as viable business opportunities, and met by the development and construction industries</w:t>
      </w:r>
      <w:r w:rsidR="00C64DAD">
        <w:t xml:space="preserve">. </w:t>
      </w:r>
      <w:r>
        <w:t>Their response to changes in demand may be assisted or limited by access to investment finance, by planning and development approval arrangements as well as by the type, extent and method of financing additional infrastructure</w:t>
      </w:r>
      <w:r w:rsidR="00C64DAD">
        <w:t xml:space="preserve">. </w:t>
      </w:r>
    </w:p>
    <w:p w14:paraId="43987A17" w14:textId="04CBC074" w:rsidR="00C33D08" w:rsidRDefault="00C33D08" w:rsidP="00C33D08">
      <w:r>
        <w:t>Migration also affects the nature of household formation th</w:t>
      </w:r>
      <w:r w:rsidR="00C5487B">
        <w:t>r</w:t>
      </w:r>
      <w:r>
        <w:t xml:space="preserve">ough changes in settlement patterns and financial capacity arising from shifts in the balance between restricted and permanent categories, and in </w:t>
      </w:r>
      <w:r w:rsidR="00C5487B">
        <w:t xml:space="preserve">migrants’ </w:t>
      </w:r>
      <w:r>
        <w:t>education, skills and financial position</w:t>
      </w:r>
      <w:r w:rsidR="00C64DAD">
        <w:t xml:space="preserve">. </w:t>
      </w:r>
    </w:p>
    <w:p w14:paraId="4B90AA7B" w14:textId="17A2D3F9" w:rsidR="00C33D08" w:rsidRDefault="0028290C" w:rsidP="00C33D08">
      <w:r>
        <w:lastRenderedPageBreak/>
        <w:t xml:space="preserve">Another possible </w:t>
      </w:r>
      <w:r w:rsidR="00C33D08">
        <w:t xml:space="preserve">explanation </w:t>
      </w:r>
      <w:r>
        <w:t xml:space="preserve">is </w:t>
      </w:r>
      <w:r w:rsidR="00C33D08">
        <w:t>the phenomenon of younger adults being less likely than in the past to form independent households</w:t>
      </w:r>
      <w:r w:rsidR="00C64DAD">
        <w:t xml:space="preserve">. </w:t>
      </w:r>
      <w:r w:rsidR="00C33D08">
        <w:t xml:space="preserve">This, in turn, </w:t>
      </w:r>
      <w:r w:rsidR="00617E08">
        <w:t>probably</w:t>
      </w:r>
      <w:r w:rsidR="00C33D08">
        <w:t xml:space="preserve"> derive</w:t>
      </w:r>
      <w:r w:rsidR="00617E08">
        <w:t>s</w:t>
      </w:r>
      <w:r w:rsidR="00C33D08">
        <w:t xml:space="preserve"> from a mix of generational change in lifestyle preferences and financial constraint. </w:t>
      </w:r>
    </w:p>
    <w:p w14:paraId="07E920A1" w14:textId="081304C1" w:rsidR="0024061B" w:rsidRPr="00032438" w:rsidRDefault="00C33D08" w:rsidP="00C33D08">
      <w:r>
        <w:t xml:space="preserve">For the National Housing Supply Council, </w:t>
      </w:r>
      <w:r w:rsidR="00617E08">
        <w:t xml:space="preserve">and for </w:t>
      </w:r>
      <w:r>
        <w:t>producers, consumers and governments, the most important question arising from changes in household formation and tenure is the extent to which they result from free choice and an efficient housing market supplemented by effective housing assistance programs, or from remediable deficiencies in policies and processes that diminish the supply and increase the price of the housing that Australians want and need.</w:t>
      </w:r>
    </w:p>
    <w:sectPr w:rsidR="0024061B" w:rsidRPr="00032438" w:rsidSect="0050568C">
      <w:headerReference w:type="even" r:id="rId8"/>
      <w:headerReference w:type="default" r:id="rId9"/>
      <w:footerReference w:type="even" r:id="rId10"/>
      <w:footerReference w:type="default" r:id="rId11"/>
      <w:headerReference w:type="first" r:id="rId12"/>
      <w:footerReference w:type="first" r:id="rId13"/>
      <w:pgSz w:w="11906" w:h="16838"/>
      <w:pgMar w:top="2466" w:right="2098" w:bottom="2466" w:left="2098" w:header="1695" w:footer="1552" w:gutter="0"/>
      <w:pgNumType w:fmt="lowerRoman"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03475" w14:textId="77777777" w:rsidR="0024061B" w:rsidRDefault="0024061B" w:rsidP="00E066AF">
      <w:pPr>
        <w:spacing w:after="0" w:line="240" w:lineRule="auto"/>
      </w:pPr>
      <w:r>
        <w:separator/>
      </w:r>
    </w:p>
  </w:endnote>
  <w:endnote w:type="continuationSeparator" w:id="0">
    <w:p w14:paraId="225DA8B7" w14:textId="77777777" w:rsidR="0024061B" w:rsidRDefault="0024061B" w:rsidP="00E0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12654" w14:textId="4EC414EC" w:rsidR="0050568C" w:rsidRDefault="00D10F87" w:rsidP="00D10F87">
    <w:pPr>
      <w:pStyle w:val="Footer"/>
      <w:jc w:val="right"/>
    </w:pPr>
    <w:r>
      <w:t xml:space="preserve">Page </w:t>
    </w:r>
    <w:r>
      <w:fldChar w:fldCharType="begin"/>
    </w:r>
    <w:r>
      <w:instrText xml:space="preserve"> PAGE   \* MERGEFORMAT </w:instrText>
    </w:r>
    <w:r>
      <w:fldChar w:fldCharType="separate"/>
    </w:r>
    <w:r w:rsidR="008C3FAC">
      <w:rPr>
        <w:noProof/>
      </w:rPr>
      <w:t>vi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9BA6" w14:textId="7E339192" w:rsidR="0024061B" w:rsidRDefault="00C64DAD" w:rsidP="00C64DAD">
    <w:pPr>
      <w:pStyle w:val="Footer"/>
    </w:pPr>
    <w:r>
      <w:t xml:space="preserve">Page </w:t>
    </w:r>
    <w:r w:rsidR="004A2EC4">
      <w:fldChar w:fldCharType="begin"/>
    </w:r>
    <w:r w:rsidR="004A2EC4">
      <w:instrText xml:space="preserve"> PAGE   \* MERGEFORMAT </w:instrText>
    </w:r>
    <w:r w:rsidR="004A2EC4">
      <w:fldChar w:fldCharType="separate"/>
    </w:r>
    <w:r w:rsidR="008C3FAC">
      <w:rPr>
        <w:noProof/>
      </w:rPr>
      <w:t>v</w:t>
    </w:r>
    <w:r w:rsidR="004A2EC4">
      <w:rPr>
        <w:noProof/>
      </w:rPr>
      <w:fldChar w:fldCharType="end"/>
    </w:r>
  </w:p>
  <w:p w14:paraId="1C8B13F0" w14:textId="77777777" w:rsidR="0024061B" w:rsidRPr="00C64DAD" w:rsidRDefault="00240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2AD3C" w14:textId="7213D732" w:rsidR="00C64DAD" w:rsidRDefault="00C64DAD" w:rsidP="00C64DAD">
    <w:pPr>
      <w:pStyle w:val="Footer"/>
      <w:jc w:val="right"/>
    </w:pPr>
    <w:r>
      <w:t xml:space="preserve">Page </w:t>
    </w:r>
    <w:r>
      <w:fldChar w:fldCharType="begin"/>
    </w:r>
    <w:r>
      <w:instrText xml:space="preserve"> PAGE   \* MERGEFORMAT </w:instrText>
    </w:r>
    <w:r>
      <w:fldChar w:fldCharType="separate"/>
    </w:r>
    <w:r w:rsidR="008C3FAC">
      <w:rPr>
        <w:noProof/>
      </w:rPr>
      <w:t>iv</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58234" w14:textId="77777777" w:rsidR="0024061B" w:rsidRDefault="0024061B" w:rsidP="00E066AF">
      <w:pPr>
        <w:spacing w:after="0" w:line="240" w:lineRule="auto"/>
      </w:pPr>
      <w:r>
        <w:separator/>
      </w:r>
    </w:p>
  </w:footnote>
  <w:footnote w:type="continuationSeparator" w:id="0">
    <w:p w14:paraId="4F558C08" w14:textId="77777777" w:rsidR="0024061B" w:rsidRDefault="0024061B" w:rsidP="00E066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B08A" w14:textId="3B09B857" w:rsidR="00D10F87" w:rsidRDefault="00D10F87" w:rsidP="00D10F87">
    <w:pPr>
      <w:pStyle w:val="Header"/>
      <w:jc w:val="left"/>
    </w:pPr>
    <w:r w:rsidRPr="00035DB7">
      <w:t xml:space="preserve">NHSC </w:t>
    </w:r>
    <w:r w:rsidRPr="00035DB7">
      <w:rPr>
        <w:i/>
      </w:rPr>
      <w:t>2013 State of Supply Report: Changes in how we live</w:t>
    </w:r>
    <w:r>
      <w:t xml:space="preserve"> – Executive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3F2F" w14:textId="77777777" w:rsidR="00035DB7" w:rsidRDefault="00035DB7" w:rsidP="00C64DAD">
    <w:pPr>
      <w:pStyle w:val="Header"/>
      <w:jc w:val="left"/>
    </w:pPr>
    <w:r w:rsidRPr="00035DB7">
      <w:t xml:space="preserve">NHSC </w:t>
    </w:r>
    <w:r w:rsidRPr="00035DB7">
      <w:rPr>
        <w:i/>
      </w:rPr>
      <w:t>2013 State of Supply Report: Changes in how we live</w:t>
    </w:r>
    <w:r>
      <w:t xml:space="preserve"> – Executive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68132" w14:textId="77777777" w:rsidR="008C3FAC" w:rsidRDefault="008C3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ED3FC7"/>
    <w:multiLevelType w:val="multilevel"/>
    <w:tmpl w:val="419C4EC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color w:val="A84D0F"/>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C195A59"/>
    <w:multiLevelType w:val="multilevel"/>
    <w:tmpl w:val="3912C9C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C4E5D"/>
    <w:multiLevelType w:val="multilevel"/>
    <w:tmpl w:val="D10E9CF6"/>
    <w:numStyleLink w:val="OneLevelList"/>
  </w:abstractNum>
  <w:abstractNum w:abstractNumId="6">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8">
    <w:nsid w:val="1E6B29F1"/>
    <w:multiLevelType w:val="multilevel"/>
    <w:tmpl w:val="6CD6E99A"/>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color w:val="A84D0F"/>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6A4758"/>
    <w:multiLevelType w:val="hybridMultilevel"/>
    <w:tmpl w:val="799E188C"/>
    <w:lvl w:ilvl="0" w:tplc="DFD6BBB4">
      <w:start w:val="1"/>
      <w:numFmt w:val="bullet"/>
      <w:pStyle w:val="Text-Bullet"/>
      <w:lvlText w:val=""/>
      <w:lvlJc w:val="left"/>
      <w:pPr>
        <w:tabs>
          <w:tab w:val="num" w:pos="357"/>
        </w:tabs>
        <w:ind w:left="357" w:hanging="357"/>
      </w:pPr>
      <w:rPr>
        <w:rFonts w:ascii="Wingdings" w:hAnsi="Wingdings" w:hint="default"/>
        <w:color w:val="6081AB"/>
        <w:sz w:val="1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2B4C39B2"/>
    <w:multiLevelType w:val="multilevel"/>
    <w:tmpl w:val="46A457E4"/>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color w:val="A84D0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nsid w:val="301A1046"/>
    <w:multiLevelType w:val="multilevel"/>
    <w:tmpl w:val="46A457E4"/>
    <w:numStyleLink w:val="TableTextBulletList"/>
  </w:abstractNum>
  <w:abstractNum w:abstractNumId="15">
    <w:nsid w:val="308C2710"/>
    <w:multiLevelType w:val="multilevel"/>
    <w:tmpl w:val="B11CF2B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color w:val="A84D0F"/>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nsid w:val="315F431A"/>
    <w:multiLevelType w:val="multilevel"/>
    <w:tmpl w:val="6CD6E99A"/>
    <w:numStyleLink w:val="RecommendationBulletList"/>
  </w:abstractNum>
  <w:abstractNum w:abstractNumId="18">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160A98"/>
    <w:multiLevelType w:val="hybridMultilevel"/>
    <w:tmpl w:val="2D3CC79C"/>
    <w:lvl w:ilvl="0" w:tplc="0C090001">
      <w:start w:val="1"/>
      <w:numFmt w:val="bullet"/>
      <w:lvlText w:val=""/>
      <w:lvlJc w:val="left"/>
      <w:pPr>
        <w:tabs>
          <w:tab w:val="num" w:pos="360"/>
        </w:tabs>
        <w:ind w:left="360" w:hanging="360"/>
      </w:pPr>
      <w:rPr>
        <w:rFonts w:ascii="Symbol" w:hAnsi="Symbol" w:hint="default"/>
        <w:color w:val="6081AB"/>
        <w:sz w:val="1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F8043F6"/>
    <w:multiLevelType w:val="multilevel"/>
    <w:tmpl w:val="419C4EC0"/>
    <w:numStyleLink w:val="BoxBulletedList"/>
  </w:abstractNum>
  <w:abstractNum w:abstractNumId="22">
    <w:nsid w:val="445B0A7E"/>
    <w:multiLevelType w:val="multilevel"/>
    <w:tmpl w:val="6CD6E99A"/>
    <w:numStyleLink w:val="RecommendationBulletList"/>
  </w:abstractNum>
  <w:abstractNum w:abstractNumId="23">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ABC60E0"/>
    <w:multiLevelType w:val="multilevel"/>
    <w:tmpl w:val="B11CF2B4"/>
    <w:numStyleLink w:val="BulletedList"/>
  </w:abstractNum>
  <w:abstractNum w:abstractNumId="25">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6">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10D2021"/>
    <w:multiLevelType w:val="multilevel"/>
    <w:tmpl w:val="72F8140E"/>
    <w:numStyleLink w:val="OutlineList"/>
  </w:abstractNum>
  <w:abstractNum w:abstractNumId="28">
    <w:nsid w:val="55F73129"/>
    <w:multiLevelType w:val="multilevel"/>
    <w:tmpl w:val="D9A8A212"/>
    <w:numStyleLink w:val="RomanNumeralList"/>
  </w:abstractNum>
  <w:abstractNum w:abstractNumId="29">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0"/>
  </w:num>
  <w:num w:numId="2">
    <w:abstractNumId w:val="20"/>
  </w:num>
  <w:num w:numId="3">
    <w:abstractNumId w:val="3"/>
  </w:num>
  <w:num w:numId="4">
    <w:abstractNumId w:val="34"/>
  </w:num>
  <w:num w:numId="5">
    <w:abstractNumId w:val="26"/>
  </w:num>
  <w:num w:numId="6">
    <w:abstractNumId w:val="13"/>
  </w:num>
  <w:num w:numId="7">
    <w:abstractNumId w:val="29"/>
  </w:num>
  <w:num w:numId="8">
    <w:abstractNumId w:val="25"/>
  </w:num>
  <w:num w:numId="9">
    <w:abstractNumId w:val="9"/>
  </w:num>
  <w:num w:numId="10">
    <w:abstractNumId w:val="32"/>
  </w:num>
  <w:num w:numId="11">
    <w:abstractNumId w:val="7"/>
  </w:num>
  <w:num w:numId="12">
    <w:abstractNumId w:val="16"/>
  </w:num>
  <w:num w:numId="13">
    <w:abstractNumId w:val="30"/>
  </w:num>
  <w:num w:numId="14">
    <w:abstractNumId w:val="11"/>
  </w:num>
  <w:num w:numId="15">
    <w:abstractNumId w:val="33"/>
  </w:num>
  <w:num w:numId="16">
    <w:abstractNumId w:val="31"/>
  </w:num>
  <w:num w:numId="17">
    <w:abstractNumId w:val="15"/>
  </w:num>
  <w:num w:numId="18">
    <w:abstractNumId w:val="1"/>
  </w:num>
  <w:num w:numId="19">
    <w:abstractNumId w:val="6"/>
  </w:num>
  <w:num w:numId="20">
    <w:abstractNumId w:val="23"/>
  </w:num>
  <w:num w:numId="21">
    <w:abstractNumId w:val="0"/>
  </w:num>
  <w:num w:numId="22">
    <w:abstractNumId w:val="19"/>
  </w:num>
  <w:num w:numId="23">
    <w:abstractNumId w:val="4"/>
  </w:num>
  <w:num w:numId="24">
    <w:abstractNumId w:val="8"/>
  </w:num>
  <w:num w:numId="25">
    <w:abstractNumId w:val="2"/>
  </w:num>
  <w:num w:numId="26">
    <w:abstractNumId w:val="5"/>
  </w:num>
  <w:num w:numId="27">
    <w:abstractNumId w:val="27"/>
  </w:num>
  <w:num w:numId="28">
    <w:abstractNumId w:val="22"/>
  </w:num>
  <w:num w:numId="29">
    <w:abstractNumId w:val="28"/>
  </w:num>
  <w:num w:numId="30">
    <w:abstractNumId w:val="18"/>
  </w:num>
  <w:num w:numId="31">
    <w:abstractNumId w:val="1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1"/>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AMO_XmlVersion" w:val="Empty"/>
  </w:docVars>
  <w:rsids>
    <w:rsidRoot w:val="00D85B29"/>
    <w:rsid w:val="00004679"/>
    <w:rsid w:val="000110FD"/>
    <w:rsid w:val="00011EC4"/>
    <w:rsid w:val="00017B39"/>
    <w:rsid w:val="0003080D"/>
    <w:rsid w:val="0003096C"/>
    <w:rsid w:val="00032438"/>
    <w:rsid w:val="000326C0"/>
    <w:rsid w:val="0003357E"/>
    <w:rsid w:val="000335D9"/>
    <w:rsid w:val="00035DB7"/>
    <w:rsid w:val="00043016"/>
    <w:rsid w:val="00051D78"/>
    <w:rsid w:val="00056141"/>
    <w:rsid w:val="00070CDF"/>
    <w:rsid w:val="0007273A"/>
    <w:rsid w:val="000830AB"/>
    <w:rsid w:val="00097805"/>
    <w:rsid w:val="000A559E"/>
    <w:rsid w:val="000A7A48"/>
    <w:rsid w:val="000A7B03"/>
    <w:rsid w:val="000B11FE"/>
    <w:rsid w:val="000B6007"/>
    <w:rsid w:val="000B660D"/>
    <w:rsid w:val="000C0A98"/>
    <w:rsid w:val="000C74A4"/>
    <w:rsid w:val="000D6126"/>
    <w:rsid w:val="000E3EEE"/>
    <w:rsid w:val="000E565B"/>
    <w:rsid w:val="000F423E"/>
    <w:rsid w:val="000F51A7"/>
    <w:rsid w:val="000F783D"/>
    <w:rsid w:val="00100B0F"/>
    <w:rsid w:val="001061F7"/>
    <w:rsid w:val="001106AD"/>
    <w:rsid w:val="001160AB"/>
    <w:rsid w:val="00126420"/>
    <w:rsid w:val="001300C3"/>
    <w:rsid w:val="001308F8"/>
    <w:rsid w:val="0013355F"/>
    <w:rsid w:val="0013582A"/>
    <w:rsid w:val="001413A3"/>
    <w:rsid w:val="001468A7"/>
    <w:rsid w:val="00150053"/>
    <w:rsid w:val="00153848"/>
    <w:rsid w:val="00153849"/>
    <w:rsid w:val="00155329"/>
    <w:rsid w:val="00163A43"/>
    <w:rsid w:val="00163C67"/>
    <w:rsid w:val="0016702B"/>
    <w:rsid w:val="00196AEC"/>
    <w:rsid w:val="001A232F"/>
    <w:rsid w:val="001B59C4"/>
    <w:rsid w:val="001C36D2"/>
    <w:rsid w:val="001D02A5"/>
    <w:rsid w:val="001D13DE"/>
    <w:rsid w:val="001E5DA5"/>
    <w:rsid w:val="001F1F79"/>
    <w:rsid w:val="001F3D86"/>
    <w:rsid w:val="001F74DB"/>
    <w:rsid w:val="001F7A40"/>
    <w:rsid w:val="00203959"/>
    <w:rsid w:val="002130DE"/>
    <w:rsid w:val="0021434F"/>
    <w:rsid w:val="00225614"/>
    <w:rsid w:val="0024061B"/>
    <w:rsid w:val="00242038"/>
    <w:rsid w:val="00245057"/>
    <w:rsid w:val="002458E3"/>
    <w:rsid w:val="00246792"/>
    <w:rsid w:val="00264594"/>
    <w:rsid w:val="002656D8"/>
    <w:rsid w:val="002728B8"/>
    <w:rsid w:val="00277D49"/>
    <w:rsid w:val="0028290C"/>
    <w:rsid w:val="002832DC"/>
    <w:rsid w:val="002A1A5C"/>
    <w:rsid w:val="002A281F"/>
    <w:rsid w:val="002B2EC7"/>
    <w:rsid w:val="002B68C9"/>
    <w:rsid w:val="002D2A42"/>
    <w:rsid w:val="002D3082"/>
    <w:rsid w:val="002D4085"/>
    <w:rsid w:val="002D5F6F"/>
    <w:rsid w:val="002D7D7B"/>
    <w:rsid w:val="002F1B33"/>
    <w:rsid w:val="002F25DD"/>
    <w:rsid w:val="002F2FF6"/>
    <w:rsid w:val="003043A7"/>
    <w:rsid w:val="00325075"/>
    <w:rsid w:val="00341A8D"/>
    <w:rsid w:val="003427C8"/>
    <w:rsid w:val="003478D2"/>
    <w:rsid w:val="00350D3E"/>
    <w:rsid w:val="00351FB4"/>
    <w:rsid w:val="003539F8"/>
    <w:rsid w:val="00353D92"/>
    <w:rsid w:val="00355429"/>
    <w:rsid w:val="00361237"/>
    <w:rsid w:val="00363A4E"/>
    <w:rsid w:val="00365FE9"/>
    <w:rsid w:val="0036656A"/>
    <w:rsid w:val="0038028A"/>
    <w:rsid w:val="00391C7F"/>
    <w:rsid w:val="003932F3"/>
    <w:rsid w:val="003A06D6"/>
    <w:rsid w:val="003A6950"/>
    <w:rsid w:val="003A737A"/>
    <w:rsid w:val="003B076F"/>
    <w:rsid w:val="003C6576"/>
    <w:rsid w:val="003D4B90"/>
    <w:rsid w:val="003E0F72"/>
    <w:rsid w:val="003E144C"/>
    <w:rsid w:val="003E1E42"/>
    <w:rsid w:val="003E7376"/>
    <w:rsid w:val="003E7E2F"/>
    <w:rsid w:val="0040063A"/>
    <w:rsid w:val="00400AE4"/>
    <w:rsid w:val="004062C5"/>
    <w:rsid w:val="00406586"/>
    <w:rsid w:val="0041758D"/>
    <w:rsid w:val="004217F3"/>
    <w:rsid w:val="004221C9"/>
    <w:rsid w:val="004265F5"/>
    <w:rsid w:val="00435DD4"/>
    <w:rsid w:val="004379C1"/>
    <w:rsid w:val="00443AC1"/>
    <w:rsid w:val="00444BC6"/>
    <w:rsid w:val="00452A37"/>
    <w:rsid w:val="00461EB6"/>
    <w:rsid w:val="0046294A"/>
    <w:rsid w:val="00464100"/>
    <w:rsid w:val="00470453"/>
    <w:rsid w:val="0047172C"/>
    <w:rsid w:val="00472476"/>
    <w:rsid w:val="00474EE9"/>
    <w:rsid w:val="0048229B"/>
    <w:rsid w:val="00486441"/>
    <w:rsid w:val="00492236"/>
    <w:rsid w:val="00494F76"/>
    <w:rsid w:val="00497550"/>
    <w:rsid w:val="004A2EC4"/>
    <w:rsid w:val="004A4EF5"/>
    <w:rsid w:val="004A7DF3"/>
    <w:rsid w:val="004C65C3"/>
    <w:rsid w:val="004D2035"/>
    <w:rsid w:val="004D2F51"/>
    <w:rsid w:val="004D3CDD"/>
    <w:rsid w:val="004E0249"/>
    <w:rsid w:val="004F04AA"/>
    <w:rsid w:val="00501501"/>
    <w:rsid w:val="005036F4"/>
    <w:rsid w:val="0050406B"/>
    <w:rsid w:val="0050568C"/>
    <w:rsid w:val="00510276"/>
    <w:rsid w:val="005110FE"/>
    <w:rsid w:val="00524331"/>
    <w:rsid w:val="005261D6"/>
    <w:rsid w:val="005368D0"/>
    <w:rsid w:val="00541D54"/>
    <w:rsid w:val="0054440F"/>
    <w:rsid w:val="005451EF"/>
    <w:rsid w:val="00547C69"/>
    <w:rsid w:val="00553E53"/>
    <w:rsid w:val="00560E53"/>
    <w:rsid w:val="005610B2"/>
    <w:rsid w:val="00563AE4"/>
    <w:rsid w:val="00567718"/>
    <w:rsid w:val="00567833"/>
    <w:rsid w:val="0056789A"/>
    <w:rsid w:val="00571841"/>
    <w:rsid w:val="00573142"/>
    <w:rsid w:val="00574064"/>
    <w:rsid w:val="005767F7"/>
    <w:rsid w:val="00584775"/>
    <w:rsid w:val="0058586E"/>
    <w:rsid w:val="00586296"/>
    <w:rsid w:val="00595DD8"/>
    <w:rsid w:val="00595F22"/>
    <w:rsid w:val="00596603"/>
    <w:rsid w:val="005A2F1E"/>
    <w:rsid w:val="005A699E"/>
    <w:rsid w:val="005B2510"/>
    <w:rsid w:val="005C4CED"/>
    <w:rsid w:val="005C76B1"/>
    <w:rsid w:val="005C76B5"/>
    <w:rsid w:val="005D53B7"/>
    <w:rsid w:val="005D627D"/>
    <w:rsid w:val="005D63FC"/>
    <w:rsid w:val="005D6B97"/>
    <w:rsid w:val="005D6F6A"/>
    <w:rsid w:val="005E1FCA"/>
    <w:rsid w:val="005E2327"/>
    <w:rsid w:val="005E53CE"/>
    <w:rsid w:val="005F0477"/>
    <w:rsid w:val="005F3183"/>
    <w:rsid w:val="00600401"/>
    <w:rsid w:val="00606634"/>
    <w:rsid w:val="00606D14"/>
    <w:rsid w:val="00611C29"/>
    <w:rsid w:val="00611CF8"/>
    <w:rsid w:val="00615703"/>
    <w:rsid w:val="00617E08"/>
    <w:rsid w:val="00627BDE"/>
    <w:rsid w:val="00630D1D"/>
    <w:rsid w:val="0063106B"/>
    <w:rsid w:val="0063179C"/>
    <w:rsid w:val="00634EF9"/>
    <w:rsid w:val="00642809"/>
    <w:rsid w:val="006464D2"/>
    <w:rsid w:val="006561FD"/>
    <w:rsid w:val="006567BA"/>
    <w:rsid w:val="00661633"/>
    <w:rsid w:val="00662E8B"/>
    <w:rsid w:val="006701CA"/>
    <w:rsid w:val="00670F89"/>
    <w:rsid w:val="00673F01"/>
    <w:rsid w:val="00675E56"/>
    <w:rsid w:val="00682495"/>
    <w:rsid w:val="0068276E"/>
    <w:rsid w:val="00682E47"/>
    <w:rsid w:val="006936BB"/>
    <w:rsid w:val="006C1396"/>
    <w:rsid w:val="006C2DFD"/>
    <w:rsid w:val="006C638E"/>
    <w:rsid w:val="006D31CE"/>
    <w:rsid w:val="006D4C30"/>
    <w:rsid w:val="006E00B6"/>
    <w:rsid w:val="006E61D5"/>
    <w:rsid w:val="006E6CEF"/>
    <w:rsid w:val="006F3293"/>
    <w:rsid w:val="006F521D"/>
    <w:rsid w:val="00711851"/>
    <w:rsid w:val="00713693"/>
    <w:rsid w:val="00717C28"/>
    <w:rsid w:val="00721D21"/>
    <w:rsid w:val="00722162"/>
    <w:rsid w:val="007321FA"/>
    <w:rsid w:val="00735331"/>
    <w:rsid w:val="00743743"/>
    <w:rsid w:val="00746743"/>
    <w:rsid w:val="00754DFA"/>
    <w:rsid w:val="007568AA"/>
    <w:rsid w:val="00761DD3"/>
    <w:rsid w:val="0076373A"/>
    <w:rsid w:val="00764666"/>
    <w:rsid w:val="007666A5"/>
    <w:rsid w:val="007676C1"/>
    <w:rsid w:val="00784584"/>
    <w:rsid w:val="00785FCB"/>
    <w:rsid w:val="007875EE"/>
    <w:rsid w:val="0078779C"/>
    <w:rsid w:val="007910FD"/>
    <w:rsid w:val="007A1C31"/>
    <w:rsid w:val="007A3721"/>
    <w:rsid w:val="007A7ED8"/>
    <w:rsid w:val="007B21DF"/>
    <w:rsid w:val="007B5534"/>
    <w:rsid w:val="007C21D9"/>
    <w:rsid w:val="007C2457"/>
    <w:rsid w:val="007C556B"/>
    <w:rsid w:val="007C5C73"/>
    <w:rsid w:val="007D665F"/>
    <w:rsid w:val="007E100A"/>
    <w:rsid w:val="007E1D9B"/>
    <w:rsid w:val="007E1DDF"/>
    <w:rsid w:val="007E20F7"/>
    <w:rsid w:val="007E5E59"/>
    <w:rsid w:val="007E6AE5"/>
    <w:rsid w:val="007F1145"/>
    <w:rsid w:val="007F2514"/>
    <w:rsid w:val="007F4AF9"/>
    <w:rsid w:val="007F763F"/>
    <w:rsid w:val="00803E2E"/>
    <w:rsid w:val="00813D3D"/>
    <w:rsid w:val="00815B07"/>
    <w:rsid w:val="00820107"/>
    <w:rsid w:val="008206B9"/>
    <w:rsid w:val="008230DE"/>
    <w:rsid w:val="008262BA"/>
    <w:rsid w:val="00827B08"/>
    <w:rsid w:val="008316DA"/>
    <w:rsid w:val="00833C4A"/>
    <w:rsid w:val="00833FBC"/>
    <w:rsid w:val="00836EF9"/>
    <w:rsid w:val="00837E1A"/>
    <w:rsid w:val="008412AE"/>
    <w:rsid w:val="00843E84"/>
    <w:rsid w:val="00845B48"/>
    <w:rsid w:val="00850D52"/>
    <w:rsid w:val="00852BCD"/>
    <w:rsid w:val="00854D99"/>
    <w:rsid w:val="00856B52"/>
    <w:rsid w:val="0086232C"/>
    <w:rsid w:val="0086716E"/>
    <w:rsid w:val="00872A64"/>
    <w:rsid w:val="008764C3"/>
    <w:rsid w:val="008858D0"/>
    <w:rsid w:val="00886002"/>
    <w:rsid w:val="00886162"/>
    <w:rsid w:val="00886BE5"/>
    <w:rsid w:val="008901B2"/>
    <w:rsid w:val="00890A84"/>
    <w:rsid w:val="008A73AC"/>
    <w:rsid w:val="008B7A82"/>
    <w:rsid w:val="008C2E4D"/>
    <w:rsid w:val="008C3FAC"/>
    <w:rsid w:val="008D3BFF"/>
    <w:rsid w:val="008E4711"/>
    <w:rsid w:val="008F227C"/>
    <w:rsid w:val="008F3575"/>
    <w:rsid w:val="008F42B8"/>
    <w:rsid w:val="00903196"/>
    <w:rsid w:val="0090718A"/>
    <w:rsid w:val="00910ADE"/>
    <w:rsid w:val="009155A2"/>
    <w:rsid w:val="00924990"/>
    <w:rsid w:val="00933C1B"/>
    <w:rsid w:val="009349A6"/>
    <w:rsid w:val="009357E3"/>
    <w:rsid w:val="00945BA2"/>
    <w:rsid w:val="009474A2"/>
    <w:rsid w:val="00964D25"/>
    <w:rsid w:val="00973C88"/>
    <w:rsid w:val="0098403A"/>
    <w:rsid w:val="00985C72"/>
    <w:rsid w:val="00987DB0"/>
    <w:rsid w:val="0099021B"/>
    <w:rsid w:val="009C53DC"/>
    <w:rsid w:val="009D2C18"/>
    <w:rsid w:val="009D62D5"/>
    <w:rsid w:val="009E098F"/>
    <w:rsid w:val="009E30C3"/>
    <w:rsid w:val="009E37E6"/>
    <w:rsid w:val="009E5A7F"/>
    <w:rsid w:val="009F127B"/>
    <w:rsid w:val="009F2FD4"/>
    <w:rsid w:val="009F4EF8"/>
    <w:rsid w:val="00A137F5"/>
    <w:rsid w:val="00A1490D"/>
    <w:rsid w:val="00A151D1"/>
    <w:rsid w:val="00A22BA7"/>
    <w:rsid w:val="00A315F4"/>
    <w:rsid w:val="00A407F4"/>
    <w:rsid w:val="00A4087B"/>
    <w:rsid w:val="00A46E1B"/>
    <w:rsid w:val="00A53817"/>
    <w:rsid w:val="00A56549"/>
    <w:rsid w:val="00A60FFE"/>
    <w:rsid w:val="00A73DF2"/>
    <w:rsid w:val="00A9061C"/>
    <w:rsid w:val="00A93A4A"/>
    <w:rsid w:val="00AA1802"/>
    <w:rsid w:val="00AB0450"/>
    <w:rsid w:val="00AB53FD"/>
    <w:rsid w:val="00AB5EDD"/>
    <w:rsid w:val="00AB6902"/>
    <w:rsid w:val="00AC2A29"/>
    <w:rsid w:val="00AC7A35"/>
    <w:rsid w:val="00AD02F4"/>
    <w:rsid w:val="00AD3DF9"/>
    <w:rsid w:val="00AD7B02"/>
    <w:rsid w:val="00AE5339"/>
    <w:rsid w:val="00B02750"/>
    <w:rsid w:val="00B04583"/>
    <w:rsid w:val="00B10D0C"/>
    <w:rsid w:val="00B1584F"/>
    <w:rsid w:val="00B1692D"/>
    <w:rsid w:val="00B20007"/>
    <w:rsid w:val="00B21ABF"/>
    <w:rsid w:val="00B2630F"/>
    <w:rsid w:val="00B51D99"/>
    <w:rsid w:val="00B5417C"/>
    <w:rsid w:val="00B62448"/>
    <w:rsid w:val="00B709CA"/>
    <w:rsid w:val="00B753D6"/>
    <w:rsid w:val="00B7554B"/>
    <w:rsid w:val="00B87B5C"/>
    <w:rsid w:val="00B92800"/>
    <w:rsid w:val="00B96EDD"/>
    <w:rsid w:val="00B97672"/>
    <w:rsid w:val="00BA0953"/>
    <w:rsid w:val="00BA15E6"/>
    <w:rsid w:val="00BA1B18"/>
    <w:rsid w:val="00BA691E"/>
    <w:rsid w:val="00BB24BF"/>
    <w:rsid w:val="00BB634B"/>
    <w:rsid w:val="00BC4200"/>
    <w:rsid w:val="00BD5318"/>
    <w:rsid w:val="00BD6C8E"/>
    <w:rsid w:val="00BE34E4"/>
    <w:rsid w:val="00C01EA6"/>
    <w:rsid w:val="00C04BF3"/>
    <w:rsid w:val="00C06AA9"/>
    <w:rsid w:val="00C10437"/>
    <w:rsid w:val="00C10E13"/>
    <w:rsid w:val="00C22518"/>
    <w:rsid w:val="00C2630A"/>
    <w:rsid w:val="00C27ACE"/>
    <w:rsid w:val="00C31E4E"/>
    <w:rsid w:val="00C33D08"/>
    <w:rsid w:val="00C34DDE"/>
    <w:rsid w:val="00C36526"/>
    <w:rsid w:val="00C5423F"/>
    <w:rsid w:val="00C5487B"/>
    <w:rsid w:val="00C5746C"/>
    <w:rsid w:val="00C636DB"/>
    <w:rsid w:val="00C64DAD"/>
    <w:rsid w:val="00C6760A"/>
    <w:rsid w:val="00C74C76"/>
    <w:rsid w:val="00C7553C"/>
    <w:rsid w:val="00C823C1"/>
    <w:rsid w:val="00C85ACA"/>
    <w:rsid w:val="00CA1D6F"/>
    <w:rsid w:val="00CA2C36"/>
    <w:rsid w:val="00CB0F8A"/>
    <w:rsid w:val="00CB2BC5"/>
    <w:rsid w:val="00CB6BE1"/>
    <w:rsid w:val="00CB7BA8"/>
    <w:rsid w:val="00CC012A"/>
    <w:rsid w:val="00CC0144"/>
    <w:rsid w:val="00CC5D2B"/>
    <w:rsid w:val="00CD6F68"/>
    <w:rsid w:val="00CD7934"/>
    <w:rsid w:val="00CF13EE"/>
    <w:rsid w:val="00CF3268"/>
    <w:rsid w:val="00D05D19"/>
    <w:rsid w:val="00D064DC"/>
    <w:rsid w:val="00D06A30"/>
    <w:rsid w:val="00D07F5F"/>
    <w:rsid w:val="00D10F87"/>
    <w:rsid w:val="00D20B96"/>
    <w:rsid w:val="00D26167"/>
    <w:rsid w:val="00D32A7E"/>
    <w:rsid w:val="00D37A83"/>
    <w:rsid w:val="00D416CF"/>
    <w:rsid w:val="00D44261"/>
    <w:rsid w:val="00D4644E"/>
    <w:rsid w:val="00D55029"/>
    <w:rsid w:val="00D649EC"/>
    <w:rsid w:val="00D67CFB"/>
    <w:rsid w:val="00D67D11"/>
    <w:rsid w:val="00D76783"/>
    <w:rsid w:val="00D85B29"/>
    <w:rsid w:val="00DA77DC"/>
    <w:rsid w:val="00DB1815"/>
    <w:rsid w:val="00DB1CF3"/>
    <w:rsid w:val="00DB61D2"/>
    <w:rsid w:val="00DB6D93"/>
    <w:rsid w:val="00DC1B3B"/>
    <w:rsid w:val="00DC4033"/>
    <w:rsid w:val="00DC6502"/>
    <w:rsid w:val="00DC7B9E"/>
    <w:rsid w:val="00DD2BCE"/>
    <w:rsid w:val="00DE2252"/>
    <w:rsid w:val="00DE32DA"/>
    <w:rsid w:val="00DE3CE3"/>
    <w:rsid w:val="00E04687"/>
    <w:rsid w:val="00E066AF"/>
    <w:rsid w:val="00E322E9"/>
    <w:rsid w:val="00E348C1"/>
    <w:rsid w:val="00E37C2D"/>
    <w:rsid w:val="00E4168F"/>
    <w:rsid w:val="00E42B1D"/>
    <w:rsid w:val="00E4590F"/>
    <w:rsid w:val="00E4705F"/>
    <w:rsid w:val="00E50236"/>
    <w:rsid w:val="00E505AD"/>
    <w:rsid w:val="00E53DB0"/>
    <w:rsid w:val="00E607E2"/>
    <w:rsid w:val="00E61127"/>
    <w:rsid w:val="00E6336A"/>
    <w:rsid w:val="00E63456"/>
    <w:rsid w:val="00E67315"/>
    <w:rsid w:val="00E70812"/>
    <w:rsid w:val="00E767E2"/>
    <w:rsid w:val="00E7695F"/>
    <w:rsid w:val="00E7750C"/>
    <w:rsid w:val="00E8243A"/>
    <w:rsid w:val="00E82592"/>
    <w:rsid w:val="00E92936"/>
    <w:rsid w:val="00E94170"/>
    <w:rsid w:val="00E94594"/>
    <w:rsid w:val="00E97F46"/>
    <w:rsid w:val="00EB0905"/>
    <w:rsid w:val="00EB0C69"/>
    <w:rsid w:val="00EB47B2"/>
    <w:rsid w:val="00EB53A7"/>
    <w:rsid w:val="00EC1BB8"/>
    <w:rsid w:val="00EC42E6"/>
    <w:rsid w:val="00EC70E4"/>
    <w:rsid w:val="00ED5743"/>
    <w:rsid w:val="00EE3699"/>
    <w:rsid w:val="00EE4EFC"/>
    <w:rsid w:val="00F04263"/>
    <w:rsid w:val="00F17E95"/>
    <w:rsid w:val="00F22733"/>
    <w:rsid w:val="00F2422F"/>
    <w:rsid w:val="00F25A41"/>
    <w:rsid w:val="00F36836"/>
    <w:rsid w:val="00F40BB6"/>
    <w:rsid w:val="00F43761"/>
    <w:rsid w:val="00F649B3"/>
    <w:rsid w:val="00F65459"/>
    <w:rsid w:val="00F65C1E"/>
    <w:rsid w:val="00F65FBC"/>
    <w:rsid w:val="00F712D1"/>
    <w:rsid w:val="00F808D2"/>
    <w:rsid w:val="00F8573B"/>
    <w:rsid w:val="00F94BD7"/>
    <w:rsid w:val="00FB3B20"/>
    <w:rsid w:val="00FB4C09"/>
    <w:rsid w:val="00FB4D77"/>
    <w:rsid w:val="00FC18E9"/>
    <w:rsid w:val="00FC68EB"/>
    <w:rsid w:val="00FF066C"/>
    <w:rsid w:val="00FF4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50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BA"/>
    <w:pPr>
      <w:spacing w:after="240" w:line="260" w:lineRule="exact"/>
    </w:pPr>
    <w:rPr>
      <w:rFonts w:eastAsia="Times New Roman"/>
      <w:sz w:val="22"/>
    </w:rPr>
  </w:style>
  <w:style w:type="paragraph" w:styleId="Heading1">
    <w:name w:val="heading 1"/>
    <w:basedOn w:val="HeadingBase"/>
    <w:next w:val="Normal"/>
    <w:link w:val="Heading1Char"/>
    <w:qFormat/>
    <w:rsid w:val="006567BA"/>
    <w:pPr>
      <w:spacing w:before="720" w:after="360"/>
      <w:outlineLvl w:val="0"/>
    </w:pPr>
    <w:rPr>
      <w:rFonts w:cs="Arial"/>
      <w:bCs/>
      <w:kern w:val="32"/>
      <w:sz w:val="36"/>
      <w:szCs w:val="36"/>
    </w:rPr>
  </w:style>
  <w:style w:type="paragraph" w:styleId="Heading2">
    <w:name w:val="heading 2"/>
    <w:basedOn w:val="HeadingBase"/>
    <w:next w:val="Normal"/>
    <w:link w:val="Heading2Char"/>
    <w:qFormat/>
    <w:rsid w:val="006567BA"/>
    <w:pPr>
      <w:spacing w:before="360" w:after="240"/>
      <w:outlineLvl w:val="1"/>
    </w:pPr>
    <w:rPr>
      <w:rFonts w:cs="Arial"/>
      <w:bCs/>
      <w:iCs/>
      <w:sz w:val="28"/>
      <w:szCs w:val="28"/>
    </w:rPr>
  </w:style>
  <w:style w:type="paragraph" w:styleId="Heading3">
    <w:name w:val="heading 3"/>
    <w:basedOn w:val="HeadingBase"/>
    <w:next w:val="Normal"/>
    <w:link w:val="Heading3Char"/>
    <w:qFormat/>
    <w:rsid w:val="006567BA"/>
    <w:pPr>
      <w:spacing w:before="240" w:after="180"/>
      <w:outlineLvl w:val="2"/>
    </w:pPr>
    <w:rPr>
      <w:rFonts w:cs="Arial"/>
      <w:bCs/>
      <w:sz w:val="26"/>
      <w:szCs w:val="26"/>
    </w:rPr>
  </w:style>
  <w:style w:type="paragraph" w:styleId="Heading4">
    <w:name w:val="heading 4"/>
    <w:basedOn w:val="HeadingBase"/>
    <w:next w:val="Normal"/>
    <w:link w:val="Heading4Char"/>
    <w:qFormat/>
    <w:locked/>
    <w:rsid w:val="006567BA"/>
    <w:pPr>
      <w:spacing w:before="120" w:after="120"/>
      <w:outlineLvl w:val="3"/>
    </w:pPr>
    <w:rPr>
      <w:b/>
      <w:bCs/>
      <w:i/>
      <w:sz w:val="22"/>
      <w:szCs w:val="22"/>
    </w:rPr>
  </w:style>
  <w:style w:type="paragraph" w:styleId="Heading5">
    <w:name w:val="heading 5"/>
    <w:basedOn w:val="HeadingBase"/>
    <w:next w:val="Normal"/>
    <w:link w:val="Heading5Char"/>
    <w:qFormat/>
    <w:locked/>
    <w:rsid w:val="006567BA"/>
    <w:pPr>
      <w:spacing w:after="120"/>
      <w:outlineLvl w:val="4"/>
    </w:pPr>
    <w:rPr>
      <w:b/>
      <w:bCs/>
      <w:iCs/>
    </w:rPr>
  </w:style>
  <w:style w:type="paragraph" w:styleId="Heading6">
    <w:name w:val="heading 6"/>
    <w:basedOn w:val="HeadingBase"/>
    <w:next w:val="Normal"/>
    <w:link w:val="Heading6Char"/>
    <w:qFormat/>
    <w:locked/>
    <w:rsid w:val="006567BA"/>
    <w:pPr>
      <w:spacing w:after="120"/>
      <w:outlineLvl w:val="5"/>
    </w:pPr>
    <w:rPr>
      <w:bCs/>
      <w:szCs w:val="22"/>
    </w:rPr>
  </w:style>
  <w:style w:type="paragraph" w:styleId="Heading7">
    <w:name w:val="heading 7"/>
    <w:basedOn w:val="HeadingBase"/>
    <w:next w:val="Normal"/>
    <w:link w:val="Heading7Char"/>
    <w:qFormat/>
    <w:locked/>
    <w:rsid w:val="006567BA"/>
    <w:pPr>
      <w:spacing w:after="120"/>
      <w:outlineLvl w:val="6"/>
    </w:pPr>
    <w:rPr>
      <w:szCs w:val="24"/>
    </w:rPr>
  </w:style>
  <w:style w:type="paragraph" w:styleId="Heading8">
    <w:name w:val="heading 8"/>
    <w:basedOn w:val="HeadingBase"/>
    <w:next w:val="Normal"/>
    <w:link w:val="Heading8Char"/>
    <w:qFormat/>
    <w:locked/>
    <w:rsid w:val="006567BA"/>
    <w:pPr>
      <w:spacing w:after="120"/>
      <w:outlineLvl w:val="7"/>
    </w:pPr>
    <w:rPr>
      <w:iCs/>
      <w:szCs w:val="24"/>
    </w:rPr>
  </w:style>
  <w:style w:type="paragraph" w:styleId="Heading9">
    <w:name w:val="heading 9"/>
    <w:basedOn w:val="HeadingBase"/>
    <w:next w:val="Normal"/>
    <w:link w:val="Heading9Char"/>
    <w:qFormat/>
    <w:locked/>
    <w:rsid w:val="006567BA"/>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67BA"/>
    <w:rPr>
      <w:rFonts w:ascii="Arial" w:eastAsia="Times New Roman" w:hAnsi="Arial" w:cs="Arial"/>
      <w:bCs/>
      <w:color w:val="6B478F"/>
      <w:kern w:val="32"/>
      <w:sz w:val="36"/>
      <w:szCs w:val="36"/>
    </w:rPr>
  </w:style>
  <w:style w:type="character" w:customStyle="1" w:styleId="Heading2Char">
    <w:name w:val="Heading 2 Char"/>
    <w:link w:val="Heading2"/>
    <w:locked/>
    <w:rsid w:val="006567BA"/>
    <w:rPr>
      <w:rFonts w:ascii="Arial" w:eastAsia="Times New Roman" w:hAnsi="Arial" w:cs="Arial"/>
      <w:bCs/>
      <w:iCs/>
      <w:color w:val="6B478F"/>
      <w:sz w:val="28"/>
      <w:szCs w:val="28"/>
    </w:rPr>
  </w:style>
  <w:style w:type="character" w:customStyle="1" w:styleId="Heading3Char">
    <w:name w:val="Heading 3 Char"/>
    <w:link w:val="Heading3"/>
    <w:locked/>
    <w:rsid w:val="006567BA"/>
    <w:rPr>
      <w:rFonts w:ascii="Arial" w:eastAsia="Times New Roman" w:hAnsi="Arial" w:cs="Arial"/>
      <w:bCs/>
      <w:color w:val="6B478F"/>
      <w:sz w:val="26"/>
      <w:szCs w:val="26"/>
    </w:rPr>
  </w:style>
  <w:style w:type="paragraph" w:styleId="BalloonText">
    <w:name w:val="Balloon Text"/>
    <w:basedOn w:val="Normal"/>
    <w:link w:val="BalloonTextChar"/>
    <w:semiHidden/>
    <w:rsid w:val="006567BA"/>
    <w:rPr>
      <w:rFonts w:ascii="Tahoma" w:hAnsi="Tahoma" w:cs="Tahoma"/>
      <w:sz w:val="16"/>
      <w:szCs w:val="16"/>
    </w:rPr>
  </w:style>
  <w:style w:type="character" w:customStyle="1" w:styleId="BalloonTextChar">
    <w:name w:val="Balloon Text Char"/>
    <w:link w:val="BalloonText"/>
    <w:semiHidden/>
    <w:locked/>
    <w:rsid w:val="006567BA"/>
    <w:rPr>
      <w:rFonts w:ascii="Tahoma" w:eastAsia="Times New Roman" w:hAnsi="Tahoma" w:cs="Tahoma"/>
      <w:sz w:val="16"/>
      <w:szCs w:val="16"/>
    </w:rPr>
  </w:style>
  <w:style w:type="paragraph" w:styleId="FootnoteText">
    <w:name w:val="footnote text"/>
    <w:basedOn w:val="Normal"/>
    <w:link w:val="FootnoteTextChar"/>
    <w:rsid w:val="006567BA"/>
    <w:pPr>
      <w:tabs>
        <w:tab w:val="left" w:pos="284"/>
      </w:tabs>
      <w:spacing w:after="0" w:line="240" w:lineRule="auto"/>
      <w:ind w:left="284" w:hanging="284"/>
    </w:pPr>
    <w:rPr>
      <w:sz w:val="18"/>
    </w:rPr>
  </w:style>
  <w:style w:type="character" w:customStyle="1" w:styleId="FootnoteTextChar">
    <w:name w:val="Footnote Text Char"/>
    <w:link w:val="FootnoteText"/>
    <w:locked/>
    <w:rsid w:val="006567BA"/>
    <w:rPr>
      <w:rFonts w:eastAsia="Times New Roman"/>
      <w:sz w:val="18"/>
    </w:rPr>
  </w:style>
  <w:style w:type="character" w:styleId="FootnoteReference">
    <w:name w:val="footnote reference"/>
    <w:rsid w:val="006567BA"/>
    <w:rPr>
      <w:vertAlign w:val="superscript"/>
    </w:rPr>
  </w:style>
  <w:style w:type="character" w:styleId="CommentReference">
    <w:name w:val="annotation reference"/>
    <w:semiHidden/>
    <w:rsid w:val="006567BA"/>
    <w:rPr>
      <w:sz w:val="16"/>
      <w:szCs w:val="16"/>
    </w:rPr>
  </w:style>
  <w:style w:type="paragraph" w:styleId="CommentText">
    <w:name w:val="annotation text"/>
    <w:basedOn w:val="Normal"/>
    <w:link w:val="CommentTextChar"/>
    <w:semiHidden/>
    <w:rsid w:val="006567BA"/>
  </w:style>
  <w:style w:type="character" w:customStyle="1" w:styleId="CommentTextChar">
    <w:name w:val="Comment Text Char"/>
    <w:link w:val="CommentText"/>
    <w:semiHidden/>
    <w:locked/>
    <w:rsid w:val="006567BA"/>
    <w:rPr>
      <w:rFonts w:eastAsia="Times New Roman"/>
      <w:sz w:val="22"/>
    </w:rPr>
  </w:style>
  <w:style w:type="paragraph" w:styleId="CommentSubject">
    <w:name w:val="annotation subject"/>
    <w:basedOn w:val="CommentText"/>
    <w:next w:val="CommentText"/>
    <w:link w:val="CommentSubjectChar"/>
    <w:semiHidden/>
    <w:rsid w:val="006567BA"/>
    <w:rPr>
      <w:b/>
      <w:bCs/>
    </w:rPr>
  </w:style>
  <w:style w:type="character" w:customStyle="1" w:styleId="CommentSubjectChar">
    <w:name w:val="Comment Subject Char"/>
    <w:link w:val="CommentSubject"/>
    <w:semiHidden/>
    <w:locked/>
    <w:rsid w:val="006567BA"/>
    <w:rPr>
      <w:rFonts w:eastAsia="Times New Roman"/>
      <w:b/>
      <w:bCs/>
      <w:sz w:val="22"/>
    </w:rPr>
  </w:style>
  <w:style w:type="paragraph" w:customStyle="1" w:styleId="Text-Bullet">
    <w:name w:val="Text - Bullet"/>
    <w:uiPriority w:val="99"/>
    <w:rsid w:val="005036F4"/>
    <w:pPr>
      <w:widowControl w:val="0"/>
      <w:numPr>
        <w:numId w:val="1"/>
      </w:numPr>
      <w:spacing w:after="196" w:line="240" w:lineRule="exact"/>
    </w:pPr>
    <w:rPr>
      <w:rFonts w:ascii="Arial" w:hAnsi="Arial"/>
      <w:sz w:val="18"/>
      <w:szCs w:val="24"/>
      <w:lang w:val="en-US" w:eastAsia="en-US"/>
    </w:rPr>
  </w:style>
  <w:style w:type="character" w:styleId="Hyperlink">
    <w:name w:val="Hyperlink"/>
    <w:rsid w:val="006567BA"/>
    <w:rPr>
      <w:color w:val="auto"/>
      <w:u w:val="none"/>
    </w:rPr>
  </w:style>
  <w:style w:type="paragraph" w:styleId="Revision">
    <w:name w:val="Revision"/>
    <w:hidden/>
    <w:uiPriority w:val="99"/>
    <w:semiHidden/>
    <w:rsid w:val="007F763F"/>
    <w:rPr>
      <w:sz w:val="22"/>
      <w:szCs w:val="22"/>
      <w:lang w:eastAsia="en-US"/>
    </w:rPr>
  </w:style>
  <w:style w:type="paragraph" w:styleId="Header">
    <w:name w:val="header"/>
    <w:basedOn w:val="HeadingBase"/>
    <w:link w:val="HeaderChar"/>
    <w:rsid w:val="006567BA"/>
    <w:pPr>
      <w:jc w:val="center"/>
    </w:pPr>
    <w:rPr>
      <w:sz w:val="22"/>
    </w:rPr>
  </w:style>
  <w:style w:type="character" w:customStyle="1" w:styleId="HeaderChar">
    <w:name w:val="Header Char"/>
    <w:link w:val="Header"/>
    <w:locked/>
    <w:rsid w:val="006567BA"/>
    <w:rPr>
      <w:rFonts w:ascii="Arial" w:eastAsia="Times New Roman" w:hAnsi="Arial"/>
      <w:color w:val="6B478F"/>
      <w:sz w:val="22"/>
    </w:rPr>
  </w:style>
  <w:style w:type="paragraph" w:styleId="Footer">
    <w:name w:val="footer"/>
    <w:basedOn w:val="HeadingBase"/>
    <w:link w:val="FooterChar"/>
    <w:rsid w:val="006567BA"/>
    <w:rPr>
      <w:sz w:val="22"/>
    </w:rPr>
  </w:style>
  <w:style w:type="character" w:customStyle="1" w:styleId="FooterChar">
    <w:name w:val="Footer Char"/>
    <w:link w:val="Footer"/>
    <w:locked/>
    <w:rsid w:val="006567BA"/>
    <w:rPr>
      <w:rFonts w:ascii="Arial" w:eastAsia="Times New Roman" w:hAnsi="Arial"/>
      <w:color w:val="6B478F"/>
      <w:sz w:val="22"/>
    </w:rPr>
  </w:style>
  <w:style w:type="paragraph" w:customStyle="1" w:styleId="Bullet">
    <w:name w:val="Bullet"/>
    <w:basedOn w:val="Normal"/>
    <w:link w:val="BulletChar"/>
    <w:rsid w:val="006567BA"/>
    <w:pPr>
      <w:numPr>
        <w:numId w:val="33"/>
      </w:numPr>
    </w:pPr>
  </w:style>
  <w:style w:type="character" w:customStyle="1" w:styleId="BulletChar">
    <w:name w:val="Bullet Char"/>
    <w:link w:val="Bullet"/>
    <w:rsid w:val="0028290C"/>
    <w:rPr>
      <w:rFonts w:eastAsia="Times New Roman"/>
      <w:sz w:val="22"/>
    </w:rPr>
  </w:style>
  <w:style w:type="paragraph" w:customStyle="1" w:styleId="Dash">
    <w:name w:val="Dash"/>
    <w:basedOn w:val="Normal"/>
    <w:rsid w:val="006567BA"/>
    <w:pPr>
      <w:numPr>
        <w:ilvl w:val="1"/>
        <w:numId w:val="33"/>
      </w:numPr>
    </w:pPr>
  </w:style>
  <w:style w:type="paragraph" w:customStyle="1" w:styleId="DoubleDot">
    <w:name w:val="Double Dot"/>
    <w:basedOn w:val="Normal"/>
    <w:rsid w:val="006567BA"/>
    <w:pPr>
      <w:numPr>
        <w:ilvl w:val="2"/>
        <w:numId w:val="33"/>
      </w:numPr>
    </w:pPr>
  </w:style>
  <w:style w:type="character" w:customStyle="1" w:styleId="Heading4Char">
    <w:name w:val="Heading 4 Char"/>
    <w:link w:val="Heading4"/>
    <w:rsid w:val="006567BA"/>
    <w:rPr>
      <w:rFonts w:ascii="Arial" w:eastAsia="Times New Roman" w:hAnsi="Arial"/>
      <w:b/>
      <w:bCs/>
      <w:i/>
      <w:color w:val="6B478F"/>
      <w:sz w:val="22"/>
      <w:szCs w:val="22"/>
    </w:rPr>
  </w:style>
  <w:style w:type="character" w:customStyle="1" w:styleId="Heading5Char">
    <w:name w:val="Heading 5 Char"/>
    <w:link w:val="Heading5"/>
    <w:rsid w:val="006567BA"/>
    <w:rPr>
      <w:rFonts w:ascii="Arial" w:eastAsia="Times New Roman" w:hAnsi="Arial"/>
      <w:b/>
      <w:bCs/>
      <w:iCs/>
      <w:color w:val="6B478F"/>
    </w:rPr>
  </w:style>
  <w:style w:type="character" w:customStyle="1" w:styleId="Heading6Char">
    <w:name w:val="Heading 6 Char"/>
    <w:link w:val="Heading6"/>
    <w:rsid w:val="006567BA"/>
    <w:rPr>
      <w:rFonts w:ascii="Arial" w:eastAsia="Times New Roman" w:hAnsi="Arial"/>
      <w:bCs/>
      <w:color w:val="6B478F"/>
      <w:szCs w:val="22"/>
    </w:rPr>
  </w:style>
  <w:style w:type="character" w:customStyle="1" w:styleId="Heading7Char">
    <w:name w:val="Heading 7 Char"/>
    <w:link w:val="Heading7"/>
    <w:rsid w:val="006567BA"/>
    <w:rPr>
      <w:rFonts w:ascii="Arial" w:eastAsia="Times New Roman" w:hAnsi="Arial"/>
      <w:color w:val="6B478F"/>
      <w:szCs w:val="24"/>
    </w:rPr>
  </w:style>
  <w:style w:type="character" w:customStyle="1" w:styleId="Heading8Char">
    <w:name w:val="Heading 8 Char"/>
    <w:link w:val="Heading8"/>
    <w:rsid w:val="006567BA"/>
    <w:rPr>
      <w:rFonts w:ascii="Arial" w:eastAsia="Times New Roman" w:hAnsi="Arial"/>
      <w:iCs/>
      <w:color w:val="6B478F"/>
      <w:szCs w:val="24"/>
    </w:rPr>
  </w:style>
  <w:style w:type="character" w:customStyle="1" w:styleId="Heading9Char">
    <w:name w:val="Heading 9 Char"/>
    <w:link w:val="Heading9"/>
    <w:rsid w:val="006567BA"/>
    <w:rPr>
      <w:rFonts w:ascii="Arial" w:eastAsia="Times New Roman" w:hAnsi="Arial" w:cs="Arial"/>
      <w:color w:val="6B478F"/>
      <w:szCs w:val="22"/>
    </w:rPr>
  </w:style>
  <w:style w:type="paragraph" w:customStyle="1" w:styleId="HeadingBase">
    <w:name w:val="Heading Base"/>
    <w:next w:val="Normal"/>
    <w:rsid w:val="006567BA"/>
    <w:pPr>
      <w:keepNext/>
    </w:pPr>
    <w:rPr>
      <w:rFonts w:ascii="Arial" w:eastAsia="Times New Roman" w:hAnsi="Arial"/>
      <w:color w:val="6B478F"/>
    </w:rPr>
  </w:style>
  <w:style w:type="paragraph" w:customStyle="1" w:styleId="ChartGraphic">
    <w:name w:val="Chart Graphic"/>
    <w:basedOn w:val="HeadingBase"/>
    <w:next w:val="Normal"/>
    <w:rsid w:val="006567BA"/>
    <w:pPr>
      <w:jc w:val="center"/>
    </w:pPr>
  </w:style>
  <w:style w:type="paragraph" w:customStyle="1" w:styleId="TableGraphic">
    <w:name w:val="Table Graphic"/>
    <w:basedOn w:val="HeadingBase"/>
    <w:next w:val="Normal"/>
    <w:rsid w:val="006567BA"/>
  </w:style>
  <w:style w:type="paragraph" w:customStyle="1" w:styleId="AlphaParagraph">
    <w:name w:val="Alpha Paragraph"/>
    <w:basedOn w:val="Normal"/>
    <w:qFormat/>
    <w:rsid w:val="006567BA"/>
    <w:pPr>
      <w:numPr>
        <w:numId w:val="20"/>
      </w:numPr>
    </w:pPr>
  </w:style>
  <w:style w:type="paragraph" w:customStyle="1" w:styleId="AppendixHeading">
    <w:name w:val="Appendix Heading"/>
    <w:basedOn w:val="HeadingBase"/>
    <w:next w:val="Normal"/>
    <w:rsid w:val="006567BA"/>
    <w:pPr>
      <w:spacing w:before="720" w:after="360"/>
      <w:outlineLvl w:val="0"/>
    </w:pPr>
    <w:rPr>
      <w:sz w:val="36"/>
      <w:szCs w:val="36"/>
    </w:rPr>
  </w:style>
  <w:style w:type="character" w:customStyle="1" w:styleId="Bold">
    <w:name w:val="Bold"/>
    <w:rsid w:val="006567BA"/>
    <w:rPr>
      <w:b/>
    </w:rPr>
  </w:style>
  <w:style w:type="paragraph" w:customStyle="1" w:styleId="BoxTextBase">
    <w:name w:val="Box Text Base"/>
    <w:basedOn w:val="Normal"/>
    <w:rsid w:val="006567BA"/>
  </w:style>
  <w:style w:type="paragraph" w:customStyle="1" w:styleId="BoxBullet">
    <w:name w:val="Box Bullet"/>
    <w:basedOn w:val="BoxTextBase"/>
    <w:rsid w:val="006567BA"/>
    <w:pPr>
      <w:numPr>
        <w:numId w:val="34"/>
      </w:numPr>
    </w:pPr>
  </w:style>
  <w:style w:type="paragraph" w:customStyle="1" w:styleId="BoxDash">
    <w:name w:val="Box Dash"/>
    <w:basedOn w:val="Normal"/>
    <w:rsid w:val="006567BA"/>
    <w:pPr>
      <w:numPr>
        <w:ilvl w:val="1"/>
        <w:numId w:val="34"/>
      </w:numPr>
    </w:pPr>
  </w:style>
  <w:style w:type="paragraph" w:customStyle="1" w:styleId="BoxDoubleDot">
    <w:name w:val="Box Double Dot"/>
    <w:basedOn w:val="BoxTextBase"/>
    <w:rsid w:val="006567BA"/>
    <w:pPr>
      <w:numPr>
        <w:ilvl w:val="2"/>
        <w:numId w:val="34"/>
      </w:numPr>
    </w:pPr>
  </w:style>
  <w:style w:type="paragraph" w:customStyle="1" w:styleId="BoxHeading">
    <w:name w:val="Box Heading"/>
    <w:basedOn w:val="HeadingBase"/>
    <w:next w:val="Normal"/>
    <w:rsid w:val="006567BA"/>
    <w:pPr>
      <w:spacing w:before="240" w:after="120"/>
    </w:pPr>
    <w:rPr>
      <w:b/>
      <w:sz w:val="22"/>
    </w:rPr>
  </w:style>
  <w:style w:type="paragraph" w:customStyle="1" w:styleId="BoxText">
    <w:name w:val="Box Text"/>
    <w:basedOn w:val="BoxTextBase"/>
    <w:rsid w:val="006567BA"/>
  </w:style>
  <w:style w:type="paragraph" w:styleId="NormalIndent">
    <w:name w:val="Normal Indent"/>
    <w:basedOn w:val="Normal"/>
    <w:rsid w:val="006567BA"/>
    <w:pPr>
      <w:ind w:left="567"/>
    </w:pPr>
  </w:style>
  <w:style w:type="paragraph" w:customStyle="1" w:styleId="ChartandTableFootnoteAlpha">
    <w:name w:val="Chart and Table Footnote Alpha"/>
    <w:rsid w:val="006567BA"/>
    <w:pPr>
      <w:numPr>
        <w:numId w:val="30"/>
      </w:numPr>
      <w:jc w:val="both"/>
    </w:pPr>
    <w:rPr>
      <w:rFonts w:ascii="Arial" w:eastAsia="Times New Roman" w:hAnsi="Arial"/>
      <w:color w:val="000000"/>
      <w:sz w:val="16"/>
      <w:szCs w:val="16"/>
    </w:rPr>
  </w:style>
  <w:style w:type="paragraph" w:customStyle="1" w:styleId="ChartMainHeading">
    <w:name w:val="Chart Main Heading"/>
    <w:basedOn w:val="HeadingBase"/>
    <w:next w:val="ChartGraphic"/>
    <w:rsid w:val="006567BA"/>
    <w:pPr>
      <w:spacing w:after="20"/>
      <w:jc w:val="center"/>
    </w:pPr>
    <w:rPr>
      <w:b/>
      <w:sz w:val="24"/>
    </w:rPr>
  </w:style>
  <w:style w:type="paragraph" w:customStyle="1" w:styleId="ChartorTableNote">
    <w:name w:val="Chart or Table Note"/>
    <w:next w:val="Normal"/>
    <w:rsid w:val="006567BA"/>
    <w:pPr>
      <w:jc w:val="both"/>
    </w:pPr>
    <w:rPr>
      <w:rFonts w:ascii="Arial" w:eastAsia="Times New Roman" w:hAnsi="Arial"/>
      <w:color w:val="000000"/>
      <w:sz w:val="16"/>
    </w:rPr>
  </w:style>
  <w:style w:type="paragraph" w:customStyle="1" w:styleId="ChartSecondHeading">
    <w:name w:val="Chart Second Heading"/>
    <w:basedOn w:val="HeadingBase"/>
    <w:next w:val="ChartGraphic"/>
    <w:rsid w:val="006567BA"/>
    <w:pPr>
      <w:spacing w:after="20"/>
      <w:jc w:val="center"/>
    </w:pPr>
  </w:style>
  <w:style w:type="paragraph" w:customStyle="1" w:styleId="Classification">
    <w:name w:val="Classification"/>
    <w:basedOn w:val="HeadingBase"/>
    <w:next w:val="Footer"/>
    <w:rsid w:val="006567BA"/>
    <w:pPr>
      <w:spacing w:after="120"/>
      <w:jc w:val="center"/>
    </w:pPr>
    <w:rPr>
      <w:b/>
      <w:smallCaps/>
    </w:rPr>
  </w:style>
  <w:style w:type="paragraph" w:customStyle="1" w:styleId="ContentsHeading">
    <w:name w:val="Contents Heading"/>
    <w:basedOn w:val="HeadingBase"/>
    <w:next w:val="Normal"/>
    <w:rsid w:val="006567BA"/>
    <w:pPr>
      <w:spacing w:after="360"/>
    </w:pPr>
    <w:rPr>
      <w:sz w:val="36"/>
      <w:szCs w:val="36"/>
    </w:rPr>
  </w:style>
  <w:style w:type="paragraph" w:customStyle="1" w:styleId="CoverTitleSub">
    <w:name w:val="Cover Title Sub"/>
    <w:basedOn w:val="HeadingBase"/>
    <w:rsid w:val="006567BA"/>
    <w:pPr>
      <w:spacing w:after="360"/>
      <w:jc w:val="center"/>
    </w:pPr>
    <w:rPr>
      <w:sz w:val="36"/>
    </w:rPr>
  </w:style>
  <w:style w:type="paragraph" w:customStyle="1" w:styleId="Covertitlelevel3">
    <w:name w:val="Cover title level 3"/>
    <w:basedOn w:val="CoverTitleSub"/>
    <w:rsid w:val="006567BA"/>
    <w:pPr>
      <w:spacing w:after="120"/>
    </w:pPr>
    <w:rPr>
      <w:sz w:val="28"/>
      <w:szCs w:val="28"/>
    </w:rPr>
  </w:style>
  <w:style w:type="paragraph" w:customStyle="1" w:styleId="CoverTitleMain">
    <w:name w:val="Cover Title Main"/>
    <w:basedOn w:val="HeadingBase"/>
    <w:next w:val="Normal"/>
    <w:rsid w:val="006567BA"/>
    <w:pPr>
      <w:spacing w:after="480"/>
      <w:jc w:val="center"/>
    </w:pPr>
    <w:rPr>
      <w:b/>
      <w:sz w:val="48"/>
    </w:rPr>
  </w:style>
  <w:style w:type="paragraph" w:customStyle="1" w:styleId="Figuregraphic">
    <w:name w:val="Figure graphic"/>
    <w:basedOn w:val="Normal"/>
    <w:rsid w:val="006567BA"/>
    <w:pPr>
      <w:spacing w:line="240" w:lineRule="auto"/>
      <w:jc w:val="center"/>
    </w:pPr>
  </w:style>
  <w:style w:type="paragraph" w:customStyle="1" w:styleId="FigureHeading">
    <w:name w:val="Figure Heading"/>
    <w:basedOn w:val="HeadingBase"/>
    <w:next w:val="Figuregraphic"/>
    <w:rsid w:val="006567BA"/>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6567BA"/>
    <w:pPr>
      <w:spacing w:after="20"/>
      <w:jc w:val="center"/>
    </w:pPr>
  </w:style>
  <w:style w:type="paragraph" w:customStyle="1" w:styleId="TableMainHeading">
    <w:name w:val="Table Main Heading"/>
    <w:basedOn w:val="HeadingBase"/>
    <w:next w:val="TableGraphic"/>
    <w:rsid w:val="006567BA"/>
    <w:pPr>
      <w:spacing w:after="20"/>
    </w:pPr>
    <w:rPr>
      <w:b/>
      <w:sz w:val="22"/>
    </w:rPr>
  </w:style>
  <w:style w:type="paragraph" w:customStyle="1" w:styleId="FooterCentered">
    <w:name w:val="Footer Centered"/>
    <w:basedOn w:val="Footer"/>
    <w:rsid w:val="006567BA"/>
    <w:pPr>
      <w:jc w:val="center"/>
    </w:pPr>
  </w:style>
  <w:style w:type="paragraph" w:customStyle="1" w:styleId="FooterEven">
    <w:name w:val="Footer Even"/>
    <w:basedOn w:val="Footer"/>
    <w:rsid w:val="006567BA"/>
  </w:style>
  <w:style w:type="paragraph" w:customStyle="1" w:styleId="FooterOdd">
    <w:name w:val="Footer Odd"/>
    <w:basedOn w:val="Footer"/>
    <w:rsid w:val="006567BA"/>
    <w:pPr>
      <w:jc w:val="right"/>
    </w:pPr>
  </w:style>
  <w:style w:type="character" w:customStyle="1" w:styleId="FramedFooter">
    <w:name w:val="Framed Footer"/>
    <w:rsid w:val="006567BA"/>
    <w:rPr>
      <w:rFonts w:ascii="Arial" w:hAnsi="Arial"/>
      <w:sz w:val="18"/>
    </w:rPr>
  </w:style>
  <w:style w:type="character" w:customStyle="1" w:styleId="FramedHeader">
    <w:name w:val="Framed Header"/>
    <w:rsid w:val="006567BA"/>
    <w:rPr>
      <w:rFonts w:ascii="Arial" w:hAnsi="Arial"/>
      <w:dstrike w:val="0"/>
      <w:color w:val="auto"/>
      <w:sz w:val="18"/>
      <w:vertAlign w:val="baseline"/>
    </w:rPr>
  </w:style>
  <w:style w:type="paragraph" w:customStyle="1" w:styleId="HeaderEven">
    <w:name w:val="Header Even"/>
    <w:basedOn w:val="Header"/>
    <w:rsid w:val="006567BA"/>
    <w:pPr>
      <w:jc w:val="left"/>
    </w:pPr>
  </w:style>
  <w:style w:type="paragraph" w:customStyle="1" w:styleId="HeaderOdd">
    <w:name w:val="Header Odd"/>
    <w:basedOn w:val="Header"/>
    <w:rsid w:val="006567BA"/>
    <w:pPr>
      <w:jc w:val="right"/>
    </w:pPr>
  </w:style>
  <w:style w:type="character" w:customStyle="1" w:styleId="italic">
    <w:name w:val="italic"/>
    <w:rsid w:val="006567BA"/>
    <w:rPr>
      <w:i/>
    </w:rPr>
  </w:style>
  <w:style w:type="paragraph" w:styleId="NormalWeb">
    <w:name w:val="Normal (Web)"/>
    <w:basedOn w:val="Normal"/>
    <w:rsid w:val="006567BA"/>
    <w:pPr>
      <w:spacing w:line="312" w:lineRule="atLeast"/>
    </w:pPr>
    <w:rPr>
      <w:sz w:val="24"/>
      <w:szCs w:val="24"/>
    </w:rPr>
  </w:style>
  <w:style w:type="paragraph" w:customStyle="1" w:styleId="NormalIndentItalics">
    <w:name w:val="Normal Indent Italics"/>
    <w:basedOn w:val="NormalIndent"/>
    <w:rsid w:val="006567BA"/>
    <w:rPr>
      <w:i/>
    </w:rPr>
  </w:style>
  <w:style w:type="paragraph" w:customStyle="1" w:styleId="OutlineNumbered1">
    <w:name w:val="Outline Numbered 1"/>
    <w:basedOn w:val="Normal"/>
    <w:rsid w:val="006567BA"/>
    <w:pPr>
      <w:numPr>
        <w:numId w:val="27"/>
      </w:numPr>
    </w:pPr>
  </w:style>
  <w:style w:type="paragraph" w:customStyle="1" w:styleId="OneLevelNumberedParagraph">
    <w:name w:val="One Level Numbered Paragraph"/>
    <w:basedOn w:val="Normal"/>
    <w:rsid w:val="006567BA"/>
    <w:pPr>
      <w:numPr>
        <w:numId w:val="26"/>
      </w:numPr>
    </w:pPr>
  </w:style>
  <w:style w:type="paragraph" w:customStyle="1" w:styleId="OutlineNumbered2">
    <w:name w:val="Outline Numbered 2"/>
    <w:basedOn w:val="Normal"/>
    <w:rsid w:val="006567BA"/>
    <w:pPr>
      <w:numPr>
        <w:ilvl w:val="1"/>
        <w:numId w:val="27"/>
      </w:numPr>
    </w:pPr>
  </w:style>
  <w:style w:type="paragraph" w:customStyle="1" w:styleId="OutlineNumbered3">
    <w:name w:val="Outline Numbered 3"/>
    <w:basedOn w:val="Normal"/>
    <w:rsid w:val="006567BA"/>
    <w:pPr>
      <w:numPr>
        <w:ilvl w:val="2"/>
        <w:numId w:val="27"/>
      </w:numPr>
    </w:pPr>
  </w:style>
  <w:style w:type="character" w:styleId="PageNumber">
    <w:name w:val="page number"/>
    <w:rsid w:val="006567BA"/>
    <w:rPr>
      <w:rFonts w:ascii="Arial" w:hAnsi="Arial"/>
      <w:sz w:val="18"/>
    </w:rPr>
  </w:style>
  <w:style w:type="paragraph" w:customStyle="1" w:styleId="Principle">
    <w:name w:val="Principle"/>
    <w:basedOn w:val="Normal"/>
    <w:rsid w:val="006567BA"/>
    <w:pPr>
      <w:keepNext/>
      <w:spacing w:after="60" w:line="240" w:lineRule="auto"/>
      <w:ind w:left="573"/>
    </w:pPr>
    <w:rPr>
      <w:rFonts w:ascii="Book Antiqua" w:hAnsi="Book Antiqua"/>
      <w:i/>
      <w:sz w:val="20"/>
      <w:szCs w:val="22"/>
    </w:rPr>
  </w:style>
  <w:style w:type="paragraph" w:customStyle="1" w:styleId="RecommendationTextBase">
    <w:name w:val="Recommendation Text Base"/>
    <w:basedOn w:val="Normal"/>
    <w:rsid w:val="006567BA"/>
    <w:rPr>
      <w:i/>
    </w:rPr>
  </w:style>
  <w:style w:type="paragraph" w:customStyle="1" w:styleId="RecommendationBullet">
    <w:name w:val="Recommendation Bullet"/>
    <w:basedOn w:val="RecommendationTextBase"/>
    <w:rsid w:val="006567BA"/>
    <w:pPr>
      <w:numPr>
        <w:numId w:val="35"/>
      </w:numPr>
    </w:pPr>
  </w:style>
  <w:style w:type="paragraph" w:customStyle="1" w:styleId="RecommendationDash">
    <w:name w:val="Recommendation Dash"/>
    <w:basedOn w:val="RecommendationTextBase"/>
    <w:rsid w:val="006567BA"/>
    <w:pPr>
      <w:numPr>
        <w:ilvl w:val="1"/>
        <w:numId w:val="35"/>
      </w:numPr>
    </w:pPr>
  </w:style>
  <w:style w:type="paragraph" w:customStyle="1" w:styleId="RecommendationDoubleDot">
    <w:name w:val="Recommendation Double Dot"/>
    <w:basedOn w:val="RecommendationTextBase"/>
    <w:rsid w:val="006567BA"/>
    <w:pPr>
      <w:numPr>
        <w:ilvl w:val="2"/>
        <w:numId w:val="35"/>
      </w:numPr>
    </w:pPr>
  </w:style>
  <w:style w:type="paragraph" w:customStyle="1" w:styleId="RecommendationHeading">
    <w:name w:val="Recommendation Heading"/>
    <w:basedOn w:val="HeadingBase"/>
    <w:next w:val="Normal"/>
    <w:rsid w:val="006567BA"/>
    <w:pPr>
      <w:spacing w:before="120" w:after="240"/>
    </w:pPr>
    <w:rPr>
      <w:b/>
      <w:sz w:val="22"/>
    </w:rPr>
  </w:style>
  <w:style w:type="paragraph" w:customStyle="1" w:styleId="RecommendationText">
    <w:name w:val="Recommendation Text"/>
    <w:basedOn w:val="RecommendationTextBase"/>
    <w:rsid w:val="006567BA"/>
  </w:style>
  <w:style w:type="paragraph" w:customStyle="1" w:styleId="Romannumeral">
    <w:name w:val="Roman numeral"/>
    <w:basedOn w:val="Normal"/>
    <w:rsid w:val="006567BA"/>
    <w:pPr>
      <w:numPr>
        <w:numId w:val="29"/>
      </w:numPr>
    </w:pPr>
  </w:style>
  <w:style w:type="paragraph" w:customStyle="1" w:styleId="SingleParagraph">
    <w:name w:val="Single Paragraph"/>
    <w:basedOn w:val="Normal"/>
    <w:rsid w:val="006567BA"/>
    <w:pPr>
      <w:spacing w:after="0"/>
    </w:pPr>
  </w:style>
  <w:style w:type="paragraph" w:customStyle="1" w:styleId="SingleParagraphIndent">
    <w:name w:val="Single Paragraph Indent"/>
    <w:basedOn w:val="SingleParagraph"/>
    <w:rsid w:val="006567BA"/>
    <w:pPr>
      <w:ind w:left="567"/>
    </w:pPr>
  </w:style>
  <w:style w:type="paragraph" w:customStyle="1" w:styleId="TableSecondHeading">
    <w:name w:val="Table Second Heading"/>
    <w:basedOn w:val="HeadingBase"/>
    <w:next w:val="TableGraphic"/>
    <w:rsid w:val="006567BA"/>
    <w:pPr>
      <w:spacing w:after="20"/>
    </w:pPr>
  </w:style>
  <w:style w:type="paragraph" w:customStyle="1" w:styleId="TableTextBase">
    <w:name w:val="Table Text Base"/>
    <w:rsid w:val="006567BA"/>
    <w:pPr>
      <w:spacing w:before="40" w:after="40"/>
    </w:pPr>
    <w:rPr>
      <w:rFonts w:ascii="Arial" w:eastAsia="Times New Roman" w:hAnsi="Arial"/>
      <w:color w:val="000000"/>
      <w:sz w:val="16"/>
    </w:rPr>
  </w:style>
  <w:style w:type="paragraph" w:customStyle="1" w:styleId="TableColumnHeadingCentred">
    <w:name w:val="Table Column Heading Centred"/>
    <w:basedOn w:val="TableColumnHeadingBase"/>
    <w:rsid w:val="006567BA"/>
    <w:pPr>
      <w:jc w:val="center"/>
    </w:pPr>
  </w:style>
  <w:style w:type="paragraph" w:customStyle="1" w:styleId="TableColumnHeadingBase">
    <w:name w:val="Table Column Heading Base"/>
    <w:basedOn w:val="Normal"/>
    <w:rsid w:val="006567BA"/>
    <w:pPr>
      <w:spacing w:before="40" w:after="40" w:line="240" w:lineRule="auto"/>
    </w:pPr>
    <w:rPr>
      <w:rFonts w:ascii="Arial" w:hAnsi="Arial"/>
      <w:b/>
      <w:sz w:val="16"/>
    </w:rPr>
  </w:style>
  <w:style w:type="paragraph" w:customStyle="1" w:styleId="TableColumnHeadingLeft">
    <w:name w:val="Table Column Heading Left"/>
    <w:basedOn w:val="TableColumnHeadingBase"/>
    <w:rsid w:val="006567BA"/>
    <w:rPr>
      <w:rFonts w:ascii="Calibri" w:hAnsi="Calibri"/>
      <w:sz w:val="18"/>
    </w:rPr>
  </w:style>
  <w:style w:type="paragraph" w:customStyle="1" w:styleId="TableColumnHeadingRight">
    <w:name w:val="Table Column Heading Right"/>
    <w:basedOn w:val="TableColumnHeadingBase"/>
    <w:rsid w:val="006567BA"/>
    <w:pPr>
      <w:jc w:val="right"/>
    </w:pPr>
  </w:style>
  <w:style w:type="table" w:styleId="TableGrid">
    <w:name w:val="Table Grid"/>
    <w:basedOn w:val="TableNormal"/>
    <w:locked/>
    <w:rsid w:val="006567BA"/>
    <w:pPr>
      <w:spacing w:after="240" w:line="260" w:lineRule="exact"/>
      <w:jc w:val="both"/>
    </w:pPr>
    <w:rPr>
      <w:rFonts w:ascii="Times New Roman" w:eastAsia="Times New Roman" w:hAnsi="Times New Roman"/>
    </w:rPr>
    <w:tblPr>
      <w:tblInd w:w="0" w:type="dxa"/>
      <w:tblCellMar>
        <w:top w:w="0" w:type="dxa"/>
        <w:left w:w="108" w:type="dxa"/>
        <w:bottom w:w="0" w:type="dxa"/>
        <w:right w:w="108" w:type="dxa"/>
      </w:tblCellMar>
    </w:tblPr>
    <w:tcPr>
      <w:shd w:val="clear" w:color="auto" w:fill="E6E6E6"/>
    </w:tcPr>
  </w:style>
  <w:style w:type="paragraph" w:customStyle="1" w:styleId="TableMainHeadingContd">
    <w:name w:val="Table Main Heading Contd"/>
    <w:basedOn w:val="HeadingBase"/>
    <w:next w:val="TableGraphic"/>
    <w:rsid w:val="006567BA"/>
    <w:pPr>
      <w:pageBreakBefore/>
      <w:spacing w:after="20"/>
    </w:pPr>
    <w:rPr>
      <w:b/>
      <w:sz w:val="22"/>
    </w:rPr>
  </w:style>
  <w:style w:type="paragraph" w:customStyle="1" w:styleId="TableTextCentered">
    <w:name w:val="Table Text Centered"/>
    <w:basedOn w:val="TableTextBase"/>
    <w:rsid w:val="006567BA"/>
    <w:pPr>
      <w:jc w:val="center"/>
    </w:pPr>
  </w:style>
  <w:style w:type="paragraph" w:customStyle="1" w:styleId="TableTextIndented">
    <w:name w:val="Table Text Indented"/>
    <w:basedOn w:val="TableTextBase"/>
    <w:rsid w:val="006567BA"/>
    <w:pPr>
      <w:ind w:left="284"/>
    </w:pPr>
  </w:style>
  <w:style w:type="paragraph" w:customStyle="1" w:styleId="TableTextLeft">
    <w:name w:val="Table Text Left"/>
    <w:basedOn w:val="TableTextBase"/>
    <w:rsid w:val="006567BA"/>
  </w:style>
  <w:style w:type="paragraph" w:customStyle="1" w:styleId="TableTextRight">
    <w:name w:val="Table Text Right"/>
    <w:basedOn w:val="TableTextBase"/>
    <w:rsid w:val="006567BA"/>
    <w:pPr>
      <w:jc w:val="right"/>
    </w:pPr>
  </w:style>
  <w:style w:type="paragraph" w:styleId="TOC1">
    <w:name w:val="toc 1"/>
    <w:basedOn w:val="HeadingBase"/>
    <w:next w:val="Normal"/>
    <w:locked/>
    <w:rsid w:val="006567BA"/>
    <w:pPr>
      <w:tabs>
        <w:tab w:val="right" w:leader="dot" w:pos="9072"/>
      </w:tabs>
      <w:spacing w:before="180"/>
      <w:ind w:right="851"/>
    </w:pPr>
    <w:rPr>
      <w:b/>
      <w:sz w:val="22"/>
      <w:szCs w:val="22"/>
    </w:rPr>
  </w:style>
  <w:style w:type="paragraph" w:styleId="TOC2">
    <w:name w:val="toc 2"/>
    <w:basedOn w:val="HeadingBase"/>
    <w:next w:val="Normal"/>
    <w:locked/>
    <w:rsid w:val="006567BA"/>
    <w:pPr>
      <w:tabs>
        <w:tab w:val="right" w:leader="dot" w:pos="9072"/>
      </w:tabs>
      <w:spacing w:before="40" w:after="20"/>
      <w:ind w:right="851"/>
    </w:pPr>
    <w:rPr>
      <w:sz w:val="22"/>
    </w:rPr>
  </w:style>
  <w:style w:type="paragraph" w:styleId="TOC3">
    <w:name w:val="toc 3"/>
    <w:basedOn w:val="Normal"/>
    <w:next w:val="Normal"/>
    <w:locked/>
    <w:rsid w:val="006567BA"/>
    <w:pPr>
      <w:tabs>
        <w:tab w:val="right" w:leader="dot" w:pos="9072"/>
      </w:tabs>
      <w:spacing w:before="20" w:after="0" w:line="240" w:lineRule="auto"/>
      <w:ind w:left="284" w:right="851"/>
    </w:pPr>
  </w:style>
  <w:style w:type="paragraph" w:styleId="TOC4">
    <w:name w:val="toc 4"/>
    <w:basedOn w:val="Normal"/>
    <w:next w:val="Normal"/>
    <w:locked/>
    <w:rsid w:val="006567BA"/>
    <w:pPr>
      <w:tabs>
        <w:tab w:val="right" w:leader="dot" w:pos="9072"/>
      </w:tabs>
      <w:spacing w:after="0" w:line="240" w:lineRule="auto"/>
      <w:ind w:left="284" w:right="851"/>
    </w:pPr>
  </w:style>
  <w:style w:type="paragraph" w:styleId="BodyTextIndent2">
    <w:name w:val="Body Text Indent 2"/>
    <w:basedOn w:val="Normal"/>
    <w:link w:val="BodyTextIndent2Char"/>
    <w:rsid w:val="006567BA"/>
    <w:pPr>
      <w:spacing w:after="120" w:line="480" w:lineRule="auto"/>
      <w:ind w:left="283"/>
    </w:pPr>
  </w:style>
  <w:style w:type="character" w:customStyle="1" w:styleId="BodyTextIndent2Char">
    <w:name w:val="Body Text Indent 2 Char"/>
    <w:link w:val="BodyTextIndent2"/>
    <w:rsid w:val="006567BA"/>
    <w:rPr>
      <w:rFonts w:eastAsia="Times New Roman"/>
      <w:sz w:val="22"/>
    </w:rPr>
  </w:style>
  <w:style w:type="character" w:customStyle="1" w:styleId="BoldandItalic">
    <w:name w:val="Bold and Italic"/>
    <w:rsid w:val="006567BA"/>
    <w:rPr>
      <w:rFonts w:ascii="Arial" w:hAnsi="Arial"/>
      <w:b/>
      <w:i/>
    </w:rPr>
  </w:style>
  <w:style w:type="paragraph" w:styleId="Caption">
    <w:name w:val="caption"/>
    <w:basedOn w:val="Normal"/>
    <w:next w:val="Normal"/>
    <w:qFormat/>
    <w:locked/>
    <w:rsid w:val="006567BA"/>
    <w:rPr>
      <w:b/>
      <w:bCs/>
    </w:rPr>
  </w:style>
  <w:style w:type="paragraph" w:styleId="DocumentMap">
    <w:name w:val="Document Map"/>
    <w:basedOn w:val="Normal"/>
    <w:link w:val="DocumentMapChar"/>
    <w:semiHidden/>
    <w:rsid w:val="006567BA"/>
    <w:pPr>
      <w:shd w:val="clear" w:color="auto" w:fill="00CCFF"/>
    </w:pPr>
    <w:rPr>
      <w:rFonts w:ascii="Tahoma" w:hAnsi="Tahoma" w:cs="Tahoma"/>
    </w:rPr>
  </w:style>
  <w:style w:type="character" w:customStyle="1" w:styleId="DocumentMapChar">
    <w:name w:val="Document Map Char"/>
    <w:link w:val="DocumentMap"/>
    <w:semiHidden/>
    <w:rsid w:val="006567BA"/>
    <w:rPr>
      <w:rFonts w:ascii="Tahoma" w:eastAsia="Times New Roman" w:hAnsi="Tahoma" w:cs="Tahoma"/>
      <w:sz w:val="22"/>
      <w:shd w:val="clear" w:color="auto" w:fill="00CCFF"/>
    </w:rPr>
  </w:style>
  <w:style w:type="character" w:styleId="EndnoteReference">
    <w:name w:val="endnote reference"/>
    <w:semiHidden/>
    <w:rsid w:val="006567BA"/>
    <w:rPr>
      <w:vertAlign w:val="superscript"/>
    </w:rPr>
  </w:style>
  <w:style w:type="paragraph" w:styleId="EndnoteText">
    <w:name w:val="endnote text"/>
    <w:basedOn w:val="Normal"/>
    <w:link w:val="EndnoteTextChar"/>
    <w:semiHidden/>
    <w:rsid w:val="006567BA"/>
  </w:style>
  <w:style w:type="character" w:customStyle="1" w:styleId="EndnoteTextChar">
    <w:name w:val="Endnote Text Char"/>
    <w:link w:val="EndnoteText"/>
    <w:semiHidden/>
    <w:rsid w:val="006567BA"/>
    <w:rPr>
      <w:rFonts w:eastAsia="Times New Roman"/>
      <w:sz w:val="22"/>
    </w:rPr>
  </w:style>
  <w:style w:type="character" w:styleId="FollowedHyperlink">
    <w:name w:val="FollowedHyperlink"/>
    <w:rsid w:val="006567BA"/>
    <w:rPr>
      <w:color w:val="auto"/>
      <w:u w:val="none"/>
    </w:rPr>
  </w:style>
  <w:style w:type="paragraph" w:styleId="Index1">
    <w:name w:val="index 1"/>
    <w:basedOn w:val="Normal"/>
    <w:next w:val="Normal"/>
    <w:autoRedefine/>
    <w:semiHidden/>
    <w:rsid w:val="006567BA"/>
    <w:pPr>
      <w:ind w:left="200" w:hanging="200"/>
    </w:pPr>
  </w:style>
  <w:style w:type="paragraph" w:styleId="Index2">
    <w:name w:val="index 2"/>
    <w:basedOn w:val="Normal"/>
    <w:next w:val="Normal"/>
    <w:autoRedefine/>
    <w:semiHidden/>
    <w:rsid w:val="006567BA"/>
    <w:pPr>
      <w:ind w:left="400" w:hanging="200"/>
    </w:pPr>
  </w:style>
  <w:style w:type="paragraph" w:styleId="Index3">
    <w:name w:val="index 3"/>
    <w:basedOn w:val="Normal"/>
    <w:next w:val="Normal"/>
    <w:autoRedefine/>
    <w:semiHidden/>
    <w:rsid w:val="006567BA"/>
    <w:pPr>
      <w:ind w:left="600" w:hanging="200"/>
    </w:pPr>
  </w:style>
  <w:style w:type="paragraph" w:styleId="Index4">
    <w:name w:val="index 4"/>
    <w:basedOn w:val="Normal"/>
    <w:next w:val="Normal"/>
    <w:autoRedefine/>
    <w:semiHidden/>
    <w:rsid w:val="006567BA"/>
    <w:pPr>
      <w:ind w:left="800" w:hanging="200"/>
    </w:pPr>
  </w:style>
  <w:style w:type="paragraph" w:styleId="Index5">
    <w:name w:val="index 5"/>
    <w:basedOn w:val="Normal"/>
    <w:next w:val="Normal"/>
    <w:autoRedefine/>
    <w:semiHidden/>
    <w:rsid w:val="006567BA"/>
    <w:pPr>
      <w:ind w:left="1000" w:hanging="200"/>
    </w:pPr>
  </w:style>
  <w:style w:type="paragraph" w:styleId="Index6">
    <w:name w:val="index 6"/>
    <w:basedOn w:val="Normal"/>
    <w:next w:val="Normal"/>
    <w:autoRedefine/>
    <w:semiHidden/>
    <w:rsid w:val="006567BA"/>
    <w:pPr>
      <w:ind w:left="1200" w:hanging="200"/>
    </w:pPr>
  </w:style>
  <w:style w:type="paragraph" w:styleId="Index7">
    <w:name w:val="index 7"/>
    <w:basedOn w:val="Normal"/>
    <w:next w:val="Normal"/>
    <w:autoRedefine/>
    <w:semiHidden/>
    <w:rsid w:val="006567BA"/>
    <w:pPr>
      <w:ind w:left="1400" w:hanging="200"/>
    </w:pPr>
  </w:style>
  <w:style w:type="paragraph" w:styleId="Index8">
    <w:name w:val="index 8"/>
    <w:basedOn w:val="Normal"/>
    <w:next w:val="Normal"/>
    <w:autoRedefine/>
    <w:semiHidden/>
    <w:rsid w:val="006567BA"/>
    <w:pPr>
      <w:ind w:left="1600" w:hanging="200"/>
    </w:pPr>
  </w:style>
  <w:style w:type="paragraph" w:styleId="Index9">
    <w:name w:val="index 9"/>
    <w:basedOn w:val="Normal"/>
    <w:next w:val="Normal"/>
    <w:autoRedefine/>
    <w:semiHidden/>
    <w:rsid w:val="006567BA"/>
    <w:pPr>
      <w:ind w:left="1800" w:hanging="200"/>
    </w:pPr>
  </w:style>
  <w:style w:type="paragraph" w:styleId="IndexHeading">
    <w:name w:val="index heading"/>
    <w:basedOn w:val="Normal"/>
    <w:next w:val="Index1"/>
    <w:semiHidden/>
    <w:rsid w:val="006567BA"/>
    <w:rPr>
      <w:rFonts w:ascii="Arial" w:hAnsi="Arial" w:cs="Arial"/>
      <w:b/>
      <w:bCs/>
    </w:rPr>
  </w:style>
  <w:style w:type="paragraph" w:styleId="MacroText">
    <w:name w:val="macro"/>
    <w:link w:val="MacroTextChar"/>
    <w:semiHidden/>
    <w:rsid w:val="006567B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rPr>
  </w:style>
  <w:style w:type="character" w:customStyle="1" w:styleId="MacroTextChar">
    <w:name w:val="Macro Text Char"/>
    <w:link w:val="MacroText"/>
    <w:semiHidden/>
    <w:rsid w:val="006567BA"/>
    <w:rPr>
      <w:rFonts w:ascii="Courier New" w:eastAsia="Times New Roman" w:hAnsi="Courier New" w:cs="Courier New"/>
      <w:color w:val="000000"/>
    </w:rPr>
  </w:style>
  <w:style w:type="numbering" w:customStyle="1" w:styleId="OutlineList">
    <w:name w:val="OutlineList"/>
    <w:uiPriority w:val="99"/>
    <w:rsid w:val="006567BA"/>
    <w:pPr>
      <w:numPr>
        <w:numId w:val="23"/>
      </w:numPr>
    </w:pPr>
  </w:style>
  <w:style w:type="paragraph" w:customStyle="1" w:styleId="PictureCentred">
    <w:name w:val="Picture Centred"/>
    <w:basedOn w:val="Normal"/>
    <w:rsid w:val="006567BA"/>
    <w:pPr>
      <w:spacing w:before="120" w:line="240" w:lineRule="atLeast"/>
      <w:jc w:val="center"/>
    </w:pPr>
  </w:style>
  <w:style w:type="paragraph" w:customStyle="1" w:styleId="PictureLeft">
    <w:name w:val="Picture Left"/>
    <w:basedOn w:val="PictureCentred"/>
    <w:rsid w:val="006567BA"/>
    <w:pPr>
      <w:jc w:val="left"/>
    </w:pPr>
  </w:style>
  <w:style w:type="paragraph" w:customStyle="1" w:styleId="PictureIndent">
    <w:name w:val="Picture Indent"/>
    <w:basedOn w:val="PictureLeft"/>
    <w:rsid w:val="006567BA"/>
    <w:pPr>
      <w:ind w:left="284"/>
    </w:pPr>
  </w:style>
  <w:style w:type="paragraph" w:styleId="TableofAuthorities">
    <w:name w:val="table of authorities"/>
    <w:basedOn w:val="Normal"/>
    <w:next w:val="Normal"/>
    <w:rsid w:val="006567BA"/>
    <w:pPr>
      <w:ind w:left="200" w:hanging="200"/>
    </w:pPr>
  </w:style>
  <w:style w:type="paragraph" w:styleId="TableofFigures">
    <w:name w:val="table of figures"/>
    <w:basedOn w:val="Normal"/>
    <w:next w:val="Normal"/>
    <w:rsid w:val="006567BA"/>
  </w:style>
  <w:style w:type="paragraph" w:styleId="TOAHeading">
    <w:name w:val="toa heading"/>
    <w:basedOn w:val="Normal"/>
    <w:next w:val="Normal"/>
    <w:semiHidden/>
    <w:rsid w:val="006567BA"/>
    <w:pPr>
      <w:spacing w:before="120"/>
    </w:pPr>
    <w:rPr>
      <w:rFonts w:ascii="Arial" w:hAnsi="Arial" w:cs="Arial"/>
      <w:b/>
      <w:bCs/>
      <w:sz w:val="24"/>
      <w:szCs w:val="24"/>
    </w:rPr>
  </w:style>
  <w:style w:type="paragraph" w:styleId="TOC5">
    <w:name w:val="toc 5"/>
    <w:basedOn w:val="Normal"/>
    <w:next w:val="Normal"/>
    <w:autoRedefine/>
    <w:locked/>
    <w:rsid w:val="006567BA"/>
    <w:pPr>
      <w:ind w:left="800"/>
    </w:pPr>
  </w:style>
  <w:style w:type="paragraph" w:styleId="TOC6">
    <w:name w:val="toc 6"/>
    <w:basedOn w:val="Normal"/>
    <w:next w:val="Normal"/>
    <w:autoRedefine/>
    <w:locked/>
    <w:rsid w:val="006567BA"/>
    <w:pPr>
      <w:ind w:left="1000"/>
    </w:pPr>
  </w:style>
  <w:style w:type="paragraph" w:styleId="TOC7">
    <w:name w:val="toc 7"/>
    <w:basedOn w:val="Normal"/>
    <w:next w:val="Normal"/>
    <w:autoRedefine/>
    <w:locked/>
    <w:rsid w:val="006567BA"/>
    <w:pPr>
      <w:ind w:left="1200"/>
    </w:pPr>
  </w:style>
  <w:style w:type="paragraph" w:styleId="TOC8">
    <w:name w:val="toc 8"/>
    <w:basedOn w:val="Normal"/>
    <w:next w:val="Normal"/>
    <w:autoRedefine/>
    <w:locked/>
    <w:rsid w:val="006567BA"/>
    <w:pPr>
      <w:ind w:left="1400"/>
    </w:pPr>
  </w:style>
  <w:style w:type="paragraph" w:styleId="TOC9">
    <w:name w:val="toc 9"/>
    <w:basedOn w:val="Normal"/>
    <w:next w:val="Normal"/>
    <w:autoRedefine/>
    <w:locked/>
    <w:rsid w:val="006567BA"/>
    <w:pPr>
      <w:ind w:left="1600"/>
    </w:pPr>
  </w:style>
  <w:style w:type="numbering" w:customStyle="1" w:styleId="BulletedList">
    <w:name w:val="Bulleted List"/>
    <w:uiPriority w:val="99"/>
    <w:rsid w:val="006567BA"/>
    <w:pPr>
      <w:numPr>
        <w:numId w:val="17"/>
      </w:numPr>
    </w:pPr>
  </w:style>
  <w:style w:type="numbering" w:customStyle="1" w:styleId="BoxBulletedList">
    <w:name w:val="Box Bulleted List"/>
    <w:uiPriority w:val="99"/>
    <w:rsid w:val="006567BA"/>
    <w:pPr>
      <w:numPr>
        <w:numId w:val="18"/>
      </w:numPr>
    </w:pPr>
  </w:style>
  <w:style w:type="numbering" w:customStyle="1" w:styleId="AlphaParagraphList">
    <w:name w:val="Alpha Paragraph List"/>
    <w:uiPriority w:val="99"/>
    <w:rsid w:val="006567BA"/>
    <w:pPr>
      <w:numPr>
        <w:numId w:val="20"/>
      </w:numPr>
    </w:pPr>
  </w:style>
  <w:style w:type="numbering" w:customStyle="1" w:styleId="OneLevelList">
    <w:name w:val="OneLevelList"/>
    <w:uiPriority w:val="99"/>
    <w:rsid w:val="006567BA"/>
    <w:pPr>
      <w:numPr>
        <w:numId w:val="22"/>
      </w:numPr>
    </w:pPr>
  </w:style>
  <w:style w:type="numbering" w:customStyle="1" w:styleId="RecommendationBulletList">
    <w:name w:val="RecommendationBulletList"/>
    <w:uiPriority w:val="99"/>
    <w:rsid w:val="006567BA"/>
    <w:pPr>
      <w:numPr>
        <w:numId w:val="24"/>
      </w:numPr>
    </w:pPr>
  </w:style>
  <w:style w:type="numbering" w:customStyle="1" w:styleId="RomanNumeralList">
    <w:name w:val="RomanNumeralList"/>
    <w:uiPriority w:val="99"/>
    <w:rsid w:val="006567BA"/>
    <w:pPr>
      <w:numPr>
        <w:numId w:val="25"/>
      </w:numPr>
    </w:pPr>
  </w:style>
  <w:style w:type="numbering" w:customStyle="1" w:styleId="ChartandTableFootnoteAlphaList">
    <w:name w:val="ChartandTableFootnoteAlphaList"/>
    <w:uiPriority w:val="99"/>
    <w:rsid w:val="006567BA"/>
    <w:pPr>
      <w:numPr>
        <w:numId w:val="30"/>
      </w:numPr>
    </w:pPr>
  </w:style>
  <w:style w:type="paragraph" w:customStyle="1" w:styleId="TableTextBullet">
    <w:name w:val="Table Text Bullet"/>
    <w:basedOn w:val="Normal"/>
    <w:rsid w:val="006567BA"/>
    <w:pPr>
      <w:numPr>
        <w:numId w:val="36"/>
      </w:numPr>
    </w:pPr>
  </w:style>
  <w:style w:type="numbering" w:customStyle="1" w:styleId="TableTextBulletList">
    <w:name w:val="Table Text Bullet List"/>
    <w:uiPriority w:val="99"/>
    <w:rsid w:val="006567BA"/>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oxBulletedList"/>
    <w:pPr>
      <w:numPr>
        <w:numId w:val="18"/>
      </w:numPr>
    </w:pPr>
  </w:style>
  <w:style w:type="numbering" w:customStyle="1" w:styleId="Heading2Char">
    <w:name w:val="RomanNumeralList"/>
    <w:pPr>
      <w:numPr>
        <w:numId w:val="25"/>
      </w:numPr>
    </w:pPr>
  </w:style>
  <w:style w:type="numbering" w:customStyle="1" w:styleId="Heading3Char">
    <w:name w:val="OutlineList"/>
    <w:pPr>
      <w:numPr>
        <w:numId w:val="23"/>
      </w:numPr>
    </w:pPr>
  </w:style>
  <w:style w:type="numbering" w:customStyle="1" w:styleId="BalloonText">
    <w:name w:val="RecommendationBulletList"/>
    <w:pPr>
      <w:numPr>
        <w:numId w:val="24"/>
      </w:numPr>
    </w:pPr>
  </w:style>
  <w:style w:type="numbering" w:customStyle="1" w:styleId="BalloonTextChar">
    <w:name w:val="TableTextBulletList"/>
    <w:pPr>
      <w:numPr>
        <w:numId w:val="31"/>
      </w:numPr>
    </w:pPr>
  </w:style>
  <w:style w:type="numbering" w:customStyle="1" w:styleId="FootnoteText">
    <w:name w:val="BulletedList"/>
    <w:pPr>
      <w:numPr>
        <w:numId w:val="17"/>
      </w:numPr>
    </w:pPr>
  </w:style>
  <w:style w:type="numbering" w:customStyle="1" w:styleId="FootnoteTextChar">
    <w:name w:val="ChartandTableFootnoteAlphaList"/>
    <w:pPr>
      <w:numPr>
        <w:numId w:val="30"/>
      </w:numPr>
    </w:pPr>
  </w:style>
  <w:style w:type="numbering" w:customStyle="1" w:styleId="FootnoteReference">
    <w:name w:val="OneLevelList"/>
    <w:pPr>
      <w:numPr>
        <w:numId w:val="22"/>
      </w:numPr>
    </w:pPr>
  </w:style>
  <w:style w:type="numbering" w:customStyle="1" w:styleId="CommentReference">
    <w:name w:val="AlphaParagraph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State of Supply Report: changes in how we live</vt:lpstr>
    </vt:vector>
  </TitlesOfParts>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Supply Report: changes in how we live</dc:title>
  <dc:subject/>
  <dc:creator/>
  <cp:keywords/>
  <dc:description/>
  <cp:lastModifiedBy/>
  <cp:revision>1</cp:revision>
  <dcterms:created xsi:type="dcterms:W3CDTF">2014-02-19T00:47:00Z</dcterms:created>
  <dcterms:modified xsi:type="dcterms:W3CDTF">2014-02-19T00:48:00Z</dcterms:modified>
</cp:coreProperties>
</file>