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F1" w:rsidRPr="00676AA2" w:rsidRDefault="00901BF1" w:rsidP="00125084">
      <w:pPr>
        <w:pStyle w:val="Title"/>
        <w:tabs>
          <w:tab w:val="left" w:pos="2880"/>
        </w:tabs>
        <w:spacing w:before="0" w:after="0"/>
        <w:rPr>
          <w:rFonts w:ascii="Palatino Linotype" w:hAnsi="Palatino Linotype" w:cstheme="minorHAnsi"/>
          <w:color w:val="FF0000"/>
        </w:rPr>
      </w:pPr>
      <w:bookmarkStart w:id="0" w:name="_GoBack"/>
      <w:bookmarkEnd w:id="0"/>
      <w:r w:rsidRPr="00676AA2">
        <w:rPr>
          <w:rFonts w:ascii="Palatino Linotype" w:hAnsi="Palatino Linotype" w:cstheme="minorHAnsi"/>
          <w:color w:val="FF0000"/>
        </w:rPr>
        <w:t>Submission to the Commonwealth Treasury</w:t>
      </w:r>
    </w:p>
    <w:p w:rsidR="00901BF1" w:rsidRPr="00676AA2" w:rsidRDefault="00901BF1" w:rsidP="00125084">
      <w:pPr>
        <w:pStyle w:val="Title"/>
        <w:spacing w:before="0" w:after="0"/>
        <w:rPr>
          <w:rFonts w:ascii="Palatino Linotype" w:hAnsi="Palatino Linotype" w:cstheme="minorHAnsi"/>
        </w:rPr>
      </w:pPr>
      <w:r w:rsidRPr="00676AA2">
        <w:rPr>
          <w:rFonts w:ascii="Palatino Linotype" w:hAnsi="Palatino Linotype" w:cstheme="minorHAnsi"/>
        </w:rPr>
        <w:t>Proposed Amendments to the Corporations Act</w:t>
      </w:r>
    </w:p>
    <w:p w:rsidR="00901BF1" w:rsidRPr="00676AA2" w:rsidRDefault="00901BF1" w:rsidP="00125084">
      <w:pPr>
        <w:pStyle w:val="Title"/>
        <w:spacing w:before="0" w:after="0"/>
        <w:rPr>
          <w:rFonts w:ascii="Palatino Linotype" w:hAnsi="Palatino Linotype" w:cstheme="minorHAnsi"/>
        </w:rPr>
      </w:pPr>
      <w:r w:rsidRPr="00676AA2">
        <w:rPr>
          <w:rFonts w:ascii="Palatino Linotype" w:hAnsi="Palatino Linotype" w:cstheme="minorHAnsi"/>
        </w:rPr>
        <w:t>Discussion Paper</w:t>
      </w:r>
    </w:p>
    <w:p w:rsidR="00901BF1" w:rsidRPr="00676AA2" w:rsidRDefault="00901BF1" w:rsidP="00125084">
      <w:pPr>
        <w:rPr>
          <w:rFonts w:cstheme="minorHAnsi"/>
        </w:rPr>
      </w:pPr>
    </w:p>
    <w:p w:rsidR="0074665A" w:rsidRPr="00676AA2" w:rsidRDefault="0074665A" w:rsidP="00125084">
      <w:pPr>
        <w:rPr>
          <w:rFonts w:cstheme="minorHAnsi"/>
        </w:rPr>
      </w:pPr>
    </w:p>
    <w:p w:rsidR="00901BF1" w:rsidRPr="00676AA2" w:rsidRDefault="0074665A" w:rsidP="00125084">
      <w:pPr>
        <w:jc w:val="center"/>
        <w:rPr>
          <w:rFonts w:cstheme="minorHAnsi"/>
          <w:b/>
        </w:rPr>
      </w:pPr>
      <w:r w:rsidRPr="00676AA2">
        <w:rPr>
          <w:rFonts w:cstheme="minorHAnsi"/>
          <w:b/>
        </w:rPr>
        <w:t xml:space="preserve">Dr </w:t>
      </w:r>
      <w:r w:rsidR="00901BF1" w:rsidRPr="00676AA2">
        <w:rPr>
          <w:rFonts w:cstheme="minorHAnsi"/>
          <w:b/>
        </w:rPr>
        <w:t>Marina Nehme</w:t>
      </w:r>
    </w:p>
    <w:p w:rsidR="0074665A" w:rsidRPr="00676AA2" w:rsidRDefault="0074665A" w:rsidP="00125084">
      <w:pPr>
        <w:jc w:val="center"/>
        <w:rPr>
          <w:rFonts w:cstheme="minorHAnsi"/>
        </w:rPr>
      </w:pPr>
      <w:r w:rsidRPr="00676AA2">
        <w:rPr>
          <w:rFonts w:cstheme="minorHAnsi"/>
        </w:rPr>
        <w:t>Senior Lecturer</w:t>
      </w:r>
    </w:p>
    <w:p w:rsidR="00901BF1" w:rsidRPr="00676AA2" w:rsidRDefault="00901BF1" w:rsidP="00125084">
      <w:pPr>
        <w:jc w:val="center"/>
        <w:rPr>
          <w:rFonts w:cstheme="minorHAnsi"/>
        </w:rPr>
      </w:pPr>
      <w:smartTag w:uri="urn:schemas-microsoft-com:office:smarttags" w:element="PlaceType">
        <w:r w:rsidRPr="00676AA2">
          <w:rPr>
            <w:rFonts w:cstheme="minorHAnsi"/>
          </w:rPr>
          <w:t>School</w:t>
        </w:r>
      </w:smartTag>
      <w:r w:rsidRPr="00676AA2">
        <w:rPr>
          <w:rFonts w:cstheme="minorHAnsi"/>
        </w:rPr>
        <w:t xml:space="preserve"> of </w:t>
      </w:r>
      <w:smartTag w:uri="urn:schemas-microsoft-com:office:smarttags" w:element="PlaceName">
        <w:r w:rsidRPr="00676AA2">
          <w:rPr>
            <w:rFonts w:cstheme="minorHAnsi"/>
          </w:rPr>
          <w:t>Law-</w:t>
        </w:r>
      </w:smartTag>
      <w:r w:rsidRPr="00676AA2">
        <w:rPr>
          <w:rFonts w:cstheme="minorHAnsi"/>
        </w:rPr>
        <w:t xml:space="preserve"> </w:t>
      </w:r>
      <w:smartTag w:uri="urn:schemas-microsoft-com:office:smarttags" w:element="place">
        <w:smartTag w:uri="urn:schemas-microsoft-com:office:smarttags" w:element="PlaceType">
          <w:r w:rsidRPr="00676AA2">
            <w:rPr>
              <w:rFonts w:cstheme="minorHAnsi"/>
            </w:rPr>
            <w:t>University</w:t>
          </w:r>
        </w:smartTag>
        <w:r w:rsidRPr="00676AA2">
          <w:rPr>
            <w:rFonts w:cstheme="minorHAnsi"/>
          </w:rPr>
          <w:t xml:space="preserve"> of </w:t>
        </w:r>
        <w:smartTag w:uri="urn:schemas-microsoft-com:office:smarttags" w:element="PlaceName">
          <w:r w:rsidRPr="00676AA2">
            <w:rPr>
              <w:rFonts w:cstheme="minorHAnsi"/>
            </w:rPr>
            <w:t>Western Sydney</w:t>
          </w:r>
        </w:smartTag>
      </w:smartTag>
    </w:p>
    <w:p w:rsidR="00901BF1" w:rsidRPr="00676AA2" w:rsidRDefault="00901BF1" w:rsidP="00125084">
      <w:pPr>
        <w:pStyle w:val="Subtitle"/>
        <w:spacing w:after="0"/>
        <w:rPr>
          <w:rFonts w:ascii="Palatino Linotype" w:hAnsi="Palatino Linotype" w:cstheme="minorHAnsi"/>
          <w:sz w:val="24"/>
        </w:rPr>
      </w:pPr>
      <w:r w:rsidRPr="00676AA2">
        <w:rPr>
          <w:rFonts w:ascii="Palatino Linotype" w:hAnsi="Palatino Linotype" w:cstheme="minorHAnsi"/>
          <w:sz w:val="24"/>
        </w:rPr>
        <w:t xml:space="preserve">Web: </w:t>
      </w:r>
      <w:hyperlink r:id="rId9" w:history="1">
        <w:r w:rsidRPr="00676AA2">
          <w:rPr>
            <w:rStyle w:val="Hyperlink"/>
            <w:rFonts w:ascii="Palatino Linotype" w:hAnsi="Palatino Linotype" w:cstheme="minorHAnsi"/>
            <w:sz w:val="24"/>
          </w:rPr>
          <w:t>www.uws.edu.au</w:t>
        </w:r>
      </w:hyperlink>
    </w:p>
    <w:p w:rsidR="00901BF1" w:rsidRPr="00676AA2" w:rsidRDefault="00901BF1" w:rsidP="00125084">
      <w:pPr>
        <w:pStyle w:val="Subtitle"/>
        <w:spacing w:after="0"/>
        <w:rPr>
          <w:rFonts w:ascii="Palatino Linotype" w:hAnsi="Palatino Linotype" w:cstheme="minorHAnsi"/>
          <w:sz w:val="24"/>
        </w:rPr>
      </w:pPr>
      <w:r w:rsidRPr="00676AA2">
        <w:rPr>
          <w:rFonts w:ascii="Palatino Linotype" w:hAnsi="Palatino Linotype" w:cstheme="minorHAnsi"/>
          <w:sz w:val="24"/>
        </w:rPr>
        <w:t>Locked Bag 1797</w:t>
      </w:r>
    </w:p>
    <w:p w:rsidR="00901BF1" w:rsidRPr="00676AA2" w:rsidRDefault="002C57FE" w:rsidP="00125084">
      <w:pPr>
        <w:pStyle w:val="Subtitle"/>
        <w:spacing w:after="0"/>
        <w:rPr>
          <w:rFonts w:ascii="Palatino Linotype" w:hAnsi="Palatino Linotype" w:cstheme="minorHAnsi"/>
          <w:sz w:val="24"/>
        </w:rPr>
      </w:pPr>
      <w:r>
        <w:rPr>
          <w:rFonts w:ascii="Palatino Linotype" w:hAnsi="Palatino Linotype" w:cstheme="minorHAnsi"/>
          <w:sz w:val="24"/>
        </w:rPr>
        <w:t>Penrith South DC NSW 2751</w:t>
      </w:r>
    </w:p>
    <w:p w:rsidR="00901BF1" w:rsidRPr="00676AA2" w:rsidRDefault="00901BF1" w:rsidP="00125084">
      <w:pPr>
        <w:pStyle w:val="Subtitle"/>
        <w:spacing w:after="0"/>
        <w:rPr>
          <w:rFonts w:ascii="Palatino Linotype" w:hAnsi="Palatino Linotype" w:cstheme="minorHAnsi"/>
          <w:sz w:val="24"/>
        </w:rPr>
      </w:pPr>
      <w:r w:rsidRPr="00676AA2">
        <w:rPr>
          <w:rFonts w:ascii="Palatino Linotype" w:hAnsi="Palatino Linotype" w:cstheme="minorHAnsi"/>
          <w:sz w:val="24"/>
        </w:rPr>
        <w:t xml:space="preserve"> </w:t>
      </w:r>
      <w:proofErr w:type="gramStart"/>
      <w:r w:rsidRPr="00676AA2">
        <w:rPr>
          <w:rFonts w:ascii="Palatino Linotype" w:hAnsi="Palatino Linotype" w:cstheme="minorHAnsi"/>
          <w:sz w:val="24"/>
        </w:rPr>
        <w:t>email</w:t>
      </w:r>
      <w:proofErr w:type="gramEnd"/>
      <w:r w:rsidRPr="00676AA2">
        <w:rPr>
          <w:rFonts w:ascii="Palatino Linotype" w:hAnsi="Palatino Linotype" w:cstheme="minorHAnsi"/>
          <w:sz w:val="24"/>
        </w:rPr>
        <w:t xml:space="preserve">: </w:t>
      </w:r>
      <w:hyperlink r:id="rId10" w:history="1">
        <w:r w:rsidR="0074665A" w:rsidRPr="00676AA2">
          <w:rPr>
            <w:rStyle w:val="Hyperlink"/>
            <w:rFonts w:ascii="Palatino Linotype" w:hAnsi="Palatino Linotype" w:cstheme="minorHAnsi"/>
            <w:sz w:val="24"/>
          </w:rPr>
          <w:t>m.nehme@uws.edu.au</w:t>
        </w:r>
      </w:hyperlink>
    </w:p>
    <w:p w:rsidR="0074665A" w:rsidRPr="00676AA2" w:rsidRDefault="0074665A" w:rsidP="00125084">
      <w:pPr>
        <w:pStyle w:val="Subtitle"/>
        <w:spacing w:after="0"/>
        <w:rPr>
          <w:rFonts w:ascii="Palatino Linotype" w:hAnsi="Palatino Linotype" w:cstheme="minorHAnsi"/>
          <w:sz w:val="24"/>
        </w:rPr>
      </w:pPr>
    </w:p>
    <w:p w:rsidR="00901BF1" w:rsidRPr="00676AA2" w:rsidRDefault="00901BF1" w:rsidP="00125084">
      <w:pPr>
        <w:jc w:val="center"/>
        <w:rPr>
          <w:rFonts w:cstheme="minorHAnsi"/>
        </w:rPr>
      </w:pPr>
      <w:r w:rsidRPr="00676AA2">
        <w:rPr>
          <w:rFonts w:cstheme="minorHAnsi"/>
          <w:noProof/>
          <w:lang w:eastAsia="en-AU"/>
        </w:rPr>
        <w:drawing>
          <wp:inline distT="0" distB="0" distL="0" distR="0">
            <wp:extent cx="1619885" cy="9378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619885" cy="937895"/>
                    </a:xfrm>
                    <a:prstGeom prst="rect">
                      <a:avLst/>
                    </a:prstGeom>
                    <a:noFill/>
                  </pic:spPr>
                </pic:pic>
              </a:graphicData>
            </a:graphic>
          </wp:inline>
        </w:drawing>
      </w:r>
    </w:p>
    <w:p w:rsidR="00901BF1" w:rsidRDefault="00901BF1" w:rsidP="00125084">
      <w:pPr>
        <w:rPr>
          <w:rFonts w:cstheme="minorHAnsi"/>
        </w:rPr>
      </w:pPr>
    </w:p>
    <w:p w:rsidR="00676AA2" w:rsidRPr="00676AA2" w:rsidRDefault="00676AA2" w:rsidP="00125084">
      <w:pPr>
        <w:rPr>
          <w:rFonts w:cstheme="minorHAnsi"/>
        </w:rPr>
      </w:pPr>
    </w:p>
    <w:p w:rsidR="00901BF1" w:rsidRPr="00676AA2" w:rsidRDefault="00901BF1" w:rsidP="00125084">
      <w:pPr>
        <w:pStyle w:val="Heading1"/>
        <w:spacing w:before="0" w:after="0"/>
        <w:rPr>
          <w:rFonts w:cstheme="minorHAnsi"/>
          <w:sz w:val="24"/>
          <w:szCs w:val="24"/>
        </w:rPr>
      </w:pPr>
      <w:r w:rsidRPr="00676AA2">
        <w:rPr>
          <w:rFonts w:cstheme="minorHAnsi"/>
          <w:sz w:val="24"/>
          <w:szCs w:val="24"/>
        </w:rPr>
        <w:t>Introduction</w:t>
      </w:r>
    </w:p>
    <w:p w:rsidR="00901BF1" w:rsidRPr="00676AA2" w:rsidRDefault="00901BF1" w:rsidP="00125084">
      <w:pPr>
        <w:rPr>
          <w:rFonts w:cstheme="minorHAnsi"/>
        </w:rPr>
      </w:pPr>
    </w:p>
    <w:p w:rsidR="00901BF1" w:rsidRPr="00676AA2" w:rsidRDefault="00901BF1" w:rsidP="00125084">
      <w:pPr>
        <w:rPr>
          <w:rFonts w:cstheme="minorHAnsi"/>
        </w:rPr>
      </w:pPr>
      <w:r w:rsidRPr="00676AA2">
        <w:rPr>
          <w:rFonts w:cstheme="minorHAnsi"/>
        </w:rPr>
        <w:t>This submission addresses the release of the Commonwealth Tr</w:t>
      </w:r>
      <w:r w:rsidR="00D070BF">
        <w:rPr>
          <w:rFonts w:cstheme="minorHAnsi"/>
        </w:rPr>
        <w:t>easury’s discussion paper,</w:t>
      </w:r>
      <w:r w:rsidRPr="00676AA2">
        <w:rPr>
          <w:rFonts w:cstheme="minorHAnsi"/>
        </w:rPr>
        <w:t xml:space="preserve"> </w:t>
      </w:r>
      <w:r w:rsidRPr="00676AA2">
        <w:rPr>
          <w:rFonts w:cstheme="minorHAnsi"/>
          <w:i/>
        </w:rPr>
        <w:t xml:space="preserve">Proposed Amendments to the Corporations Act </w:t>
      </w:r>
      <w:r w:rsidRPr="00676AA2">
        <w:rPr>
          <w:rFonts w:cstheme="minorHAnsi"/>
        </w:rPr>
        <w:t xml:space="preserve">(2011).  The suggestions </w:t>
      </w:r>
      <w:r w:rsidR="00F01321" w:rsidRPr="00676AA2">
        <w:rPr>
          <w:rFonts w:cstheme="minorHAnsi"/>
        </w:rPr>
        <w:t>focus on the</w:t>
      </w:r>
      <w:r w:rsidR="001A4DD3" w:rsidRPr="00676AA2">
        <w:rPr>
          <w:rFonts w:cstheme="minorHAnsi"/>
        </w:rPr>
        <w:t xml:space="preserve"> test that </w:t>
      </w:r>
      <w:r w:rsidR="00067F6D">
        <w:rPr>
          <w:rFonts w:cstheme="minorHAnsi"/>
        </w:rPr>
        <w:t xml:space="preserve">should </w:t>
      </w:r>
      <w:r w:rsidR="001A1CE6">
        <w:rPr>
          <w:rFonts w:cstheme="minorHAnsi"/>
        </w:rPr>
        <w:t>be applies</w:t>
      </w:r>
      <w:r w:rsidR="00067F6D">
        <w:rPr>
          <w:rFonts w:cstheme="minorHAnsi"/>
        </w:rPr>
        <w:t xml:space="preserve"> when determining whether </w:t>
      </w:r>
      <w:r w:rsidR="001A1CE6">
        <w:rPr>
          <w:rFonts w:cstheme="minorHAnsi"/>
        </w:rPr>
        <w:t xml:space="preserve">or not </w:t>
      </w:r>
      <w:r w:rsidR="00D070BF">
        <w:rPr>
          <w:rFonts w:cstheme="minorHAnsi"/>
        </w:rPr>
        <w:t xml:space="preserve">a company </w:t>
      </w:r>
      <w:r w:rsidR="00F07449">
        <w:rPr>
          <w:rFonts w:cstheme="minorHAnsi"/>
        </w:rPr>
        <w:t>may</w:t>
      </w:r>
      <w:r w:rsidR="001A1CE6">
        <w:rPr>
          <w:rFonts w:cstheme="minorHAnsi"/>
        </w:rPr>
        <w:t xml:space="preserve"> pay dividend</w:t>
      </w:r>
      <w:r w:rsidR="00D070BF">
        <w:rPr>
          <w:rFonts w:cstheme="minorHAnsi"/>
        </w:rPr>
        <w:t xml:space="preserve"> to its member</w:t>
      </w:r>
      <w:r w:rsidR="001A1CE6">
        <w:rPr>
          <w:rFonts w:cstheme="minorHAnsi"/>
        </w:rPr>
        <w:t>s</w:t>
      </w:r>
      <w:r w:rsidR="00067F6D">
        <w:rPr>
          <w:rFonts w:cstheme="minorHAnsi"/>
        </w:rPr>
        <w:t>.</w:t>
      </w:r>
      <w:r w:rsidR="001A4DD3" w:rsidRPr="00676AA2">
        <w:rPr>
          <w:rFonts w:cstheme="minorHAnsi"/>
        </w:rPr>
        <w:t xml:space="preserve"> </w:t>
      </w:r>
    </w:p>
    <w:p w:rsidR="00901BF1" w:rsidRPr="00676AA2" w:rsidRDefault="00901BF1" w:rsidP="00125084">
      <w:pPr>
        <w:rPr>
          <w:rFonts w:cstheme="minorHAnsi"/>
        </w:rPr>
      </w:pPr>
    </w:p>
    <w:p w:rsidR="00901BF1" w:rsidRPr="00676AA2" w:rsidRDefault="00901BF1" w:rsidP="00125084">
      <w:pPr>
        <w:rPr>
          <w:rFonts w:cstheme="minorHAnsi"/>
        </w:rPr>
      </w:pPr>
      <w:r w:rsidRPr="00676AA2">
        <w:rPr>
          <w:rFonts w:cstheme="minorHAnsi"/>
        </w:rPr>
        <w:t>If any of the responses require further expla</w:t>
      </w:r>
      <w:r w:rsidR="004D2AB5" w:rsidRPr="00676AA2">
        <w:rPr>
          <w:rFonts w:cstheme="minorHAnsi"/>
        </w:rPr>
        <w:t>nation please contact Dr Marina Nehme</w:t>
      </w:r>
      <w:r w:rsidRPr="00676AA2">
        <w:rPr>
          <w:rFonts w:cstheme="minorHAnsi"/>
        </w:rPr>
        <w:t xml:space="preserve"> at the UWS School of Law at </w:t>
      </w:r>
      <w:hyperlink r:id="rId12" w:history="1">
        <w:r w:rsidR="004D2AB5" w:rsidRPr="00676AA2">
          <w:rPr>
            <w:rStyle w:val="Hyperlink"/>
            <w:rFonts w:cstheme="minorHAnsi"/>
          </w:rPr>
          <w:t>m.nehme@uws.edu.au</w:t>
        </w:r>
      </w:hyperlink>
      <w:r w:rsidR="004D2AB5" w:rsidRPr="00676AA2">
        <w:rPr>
          <w:rFonts w:cstheme="minorHAnsi"/>
        </w:rPr>
        <w:t xml:space="preserve">. </w:t>
      </w:r>
    </w:p>
    <w:p w:rsidR="00901BF1" w:rsidRPr="00676AA2" w:rsidRDefault="00901BF1" w:rsidP="00125084">
      <w:pPr>
        <w:rPr>
          <w:rFonts w:cstheme="minorHAnsi"/>
        </w:rPr>
      </w:pPr>
    </w:p>
    <w:p w:rsidR="00901BF1" w:rsidRPr="00676AA2" w:rsidRDefault="00901BF1" w:rsidP="00125084">
      <w:pPr>
        <w:pStyle w:val="Heading1"/>
        <w:spacing w:before="0" w:after="0"/>
        <w:rPr>
          <w:rFonts w:cstheme="minorHAnsi"/>
          <w:sz w:val="24"/>
          <w:szCs w:val="24"/>
        </w:rPr>
      </w:pPr>
      <w:r w:rsidRPr="00676AA2">
        <w:rPr>
          <w:rFonts w:cstheme="minorHAnsi"/>
          <w:sz w:val="24"/>
          <w:szCs w:val="24"/>
        </w:rPr>
        <w:t>General Observations:</w:t>
      </w:r>
    </w:p>
    <w:p w:rsidR="00901BF1" w:rsidRPr="00676AA2" w:rsidRDefault="00901BF1" w:rsidP="00125084">
      <w:pPr>
        <w:rPr>
          <w:rFonts w:cstheme="minorHAnsi"/>
        </w:rPr>
      </w:pPr>
    </w:p>
    <w:p w:rsidR="00164321" w:rsidRPr="00676AA2" w:rsidRDefault="00901BF1" w:rsidP="00125084">
      <w:pPr>
        <w:rPr>
          <w:rFonts w:cstheme="minorHAnsi"/>
        </w:rPr>
      </w:pPr>
      <w:r w:rsidRPr="00676AA2">
        <w:rPr>
          <w:rFonts w:cstheme="minorHAnsi"/>
        </w:rPr>
        <w:t>The</w:t>
      </w:r>
      <w:r w:rsidR="001A4DD3" w:rsidRPr="00676AA2">
        <w:rPr>
          <w:rFonts w:cstheme="minorHAnsi"/>
        </w:rPr>
        <w:t xml:space="preserve"> discussion</w:t>
      </w:r>
      <w:r w:rsidRPr="00676AA2">
        <w:rPr>
          <w:rFonts w:cstheme="minorHAnsi"/>
        </w:rPr>
        <w:t xml:space="preserve"> paper, </w:t>
      </w:r>
      <w:r w:rsidR="001A4DD3" w:rsidRPr="00676AA2">
        <w:rPr>
          <w:rFonts w:cstheme="minorHAnsi"/>
          <w:i/>
        </w:rPr>
        <w:t>Proposed Amendments to the Corporations Act</w:t>
      </w:r>
      <w:r w:rsidR="00D070BF">
        <w:rPr>
          <w:rFonts w:cstheme="minorHAnsi"/>
        </w:rPr>
        <w:t xml:space="preserve"> (2011)</w:t>
      </w:r>
      <w:r w:rsidRPr="00676AA2">
        <w:rPr>
          <w:rFonts w:cstheme="minorHAnsi"/>
        </w:rPr>
        <w:t xml:space="preserve">, </w:t>
      </w:r>
      <w:r w:rsidR="001A4DD3" w:rsidRPr="00676AA2">
        <w:rPr>
          <w:rFonts w:cstheme="minorHAnsi"/>
        </w:rPr>
        <w:t xml:space="preserve">considers amending certain provisions in the legislation. </w:t>
      </w:r>
      <w:r w:rsidR="00067F6D">
        <w:rPr>
          <w:rFonts w:cstheme="minorHAnsi"/>
        </w:rPr>
        <w:t>It</w:t>
      </w:r>
      <w:r w:rsidR="00164321" w:rsidRPr="00676AA2">
        <w:rPr>
          <w:rFonts w:cstheme="minorHAnsi"/>
        </w:rPr>
        <w:t xml:space="preserve"> reviews some of the amendments of the </w:t>
      </w:r>
      <w:r w:rsidR="00164321" w:rsidRPr="00676AA2">
        <w:rPr>
          <w:rFonts w:cstheme="minorHAnsi"/>
          <w:i/>
        </w:rPr>
        <w:t xml:space="preserve">Corporations Act 2001 </w:t>
      </w:r>
      <w:r w:rsidR="00164321" w:rsidRPr="00676AA2">
        <w:rPr>
          <w:rFonts w:cstheme="minorHAnsi"/>
        </w:rPr>
        <w:t>(</w:t>
      </w:r>
      <w:proofErr w:type="spellStart"/>
      <w:r w:rsidR="00164321" w:rsidRPr="00676AA2">
        <w:rPr>
          <w:rFonts w:cstheme="minorHAnsi"/>
        </w:rPr>
        <w:t>Cth</w:t>
      </w:r>
      <w:proofErr w:type="spellEnd"/>
      <w:r w:rsidR="00164321" w:rsidRPr="00676AA2">
        <w:rPr>
          <w:rFonts w:cstheme="minorHAnsi"/>
        </w:rPr>
        <w:t>) that took place in June</w:t>
      </w:r>
      <w:r w:rsidR="00067F6D">
        <w:rPr>
          <w:rFonts w:cstheme="minorHAnsi"/>
        </w:rPr>
        <w:t xml:space="preserve"> 2010</w:t>
      </w:r>
      <w:r w:rsidR="00164321" w:rsidRPr="00676AA2">
        <w:rPr>
          <w:rFonts w:cstheme="minorHAnsi"/>
        </w:rPr>
        <w:t>.</w:t>
      </w:r>
    </w:p>
    <w:p w:rsidR="00164321" w:rsidRPr="00676AA2" w:rsidRDefault="00164321" w:rsidP="00125084">
      <w:pPr>
        <w:rPr>
          <w:rFonts w:cstheme="minorHAnsi"/>
        </w:rPr>
      </w:pPr>
    </w:p>
    <w:p w:rsidR="00164321" w:rsidRPr="00676AA2" w:rsidRDefault="00067F6D" w:rsidP="00125084">
      <w:pPr>
        <w:rPr>
          <w:rFonts w:cstheme="minorHAnsi"/>
        </w:rPr>
      </w:pPr>
      <w:r>
        <w:rPr>
          <w:rFonts w:cstheme="minorHAnsi"/>
        </w:rPr>
        <w:t>The following</w:t>
      </w:r>
      <w:r w:rsidR="00164321" w:rsidRPr="00676AA2">
        <w:rPr>
          <w:rFonts w:cstheme="minorHAnsi"/>
        </w:rPr>
        <w:t xml:space="preserve"> submission mainly focu</w:t>
      </w:r>
      <w:r>
        <w:rPr>
          <w:rFonts w:cstheme="minorHAnsi"/>
        </w:rPr>
        <w:t>ses on the test that applies to</w:t>
      </w:r>
      <w:r w:rsidR="00164321" w:rsidRPr="00676AA2">
        <w:rPr>
          <w:rFonts w:cstheme="minorHAnsi"/>
        </w:rPr>
        <w:t xml:space="preserve"> the payment of dividend. The observations in this submission can be summarised as follows:</w:t>
      </w:r>
    </w:p>
    <w:p w:rsidR="00901BF1" w:rsidRPr="00676AA2" w:rsidRDefault="00164321" w:rsidP="00125084">
      <w:pPr>
        <w:pStyle w:val="ListParagraph"/>
        <w:numPr>
          <w:ilvl w:val="0"/>
          <w:numId w:val="5"/>
        </w:numPr>
        <w:rPr>
          <w:rFonts w:cstheme="minorHAnsi"/>
        </w:rPr>
      </w:pPr>
      <w:r w:rsidRPr="00676AA2">
        <w:rPr>
          <w:rFonts w:cstheme="minorHAnsi"/>
        </w:rPr>
        <w:t>Retaining s 254T but making alteration to the section to deal</w:t>
      </w:r>
      <w:r w:rsidR="001A1CE6">
        <w:rPr>
          <w:rFonts w:cstheme="minorHAnsi"/>
        </w:rPr>
        <w:t xml:space="preserve"> with the concerns </w:t>
      </w:r>
      <w:proofErr w:type="gramStart"/>
      <w:r w:rsidR="001A1CE6">
        <w:rPr>
          <w:rFonts w:cstheme="minorHAnsi"/>
        </w:rPr>
        <w:t>raised</w:t>
      </w:r>
      <w:proofErr w:type="gramEnd"/>
      <w:r w:rsidR="001A1CE6">
        <w:rPr>
          <w:rFonts w:cstheme="minorHAnsi"/>
        </w:rPr>
        <w:t xml:space="preserve"> regarding </w:t>
      </w:r>
      <w:r w:rsidRPr="00676AA2">
        <w:rPr>
          <w:rFonts w:cstheme="minorHAnsi"/>
        </w:rPr>
        <w:t>the a</w:t>
      </w:r>
      <w:r w:rsidR="00067F6D">
        <w:rPr>
          <w:rFonts w:cstheme="minorHAnsi"/>
        </w:rPr>
        <w:t>pplication of this provision</w:t>
      </w:r>
      <w:r w:rsidRPr="00676AA2">
        <w:rPr>
          <w:rFonts w:cstheme="minorHAnsi"/>
        </w:rPr>
        <w:t>.</w:t>
      </w:r>
    </w:p>
    <w:p w:rsidR="00164321" w:rsidRPr="00676AA2" w:rsidRDefault="00164321" w:rsidP="00125084">
      <w:pPr>
        <w:pStyle w:val="ListParagraph"/>
        <w:numPr>
          <w:ilvl w:val="0"/>
          <w:numId w:val="5"/>
        </w:numPr>
        <w:rPr>
          <w:rFonts w:cstheme="minorHAnsi"/>
        </w:rPr>
      </w:pPr>
      <w:r w:rsidRPr="00676AA2">
        <w:rPr>
          <w:rFonts w:cstheme="minorHAnsi"/>
        </w:rPr>
        <w:t>Removing the word declared from s 254T and bringing the terminology used in this section in line with s 254U.</w:t>
      </w:r>
    </w:p>
    <w:p w:rsidR="00164321" w:rsidRPr="00676AA2" w:rsidRDefault="00164321" w:rsidP="00125084">
      <w:pPr>
        <w:pStyle w:val="ListParagraph"/>
        <w:numPr>
          <w:ilvl w:val="0"/>
          <w:numId w:val="5"/>
        </w:numPr>
        <w:rPr>
          <w:rFonts w:cstheme="minorHAnsi"/>
        </w:rPr>
      </w:pPr>
      <w:r w:rsidRPr="00676AA2">
        <w:rPr>
          <w:rFonts w:cstheme="minorHAnsi"/>
        </w:rPr>
        <w:lastRenderedPageBreak/>
        <w:t>Retaining the provisions regarding capital maintenance.</w:t>
      </w:r>
    </w:p>
    <w:p w:rsidR="00676AA2" w:rsidRPr="00676AA2" w:rsidRDefault="00676AA2" w:rsidP="00125084">
      <w:pPr>
        <w:pStyle w:val="ListParagraph"/>
        <w:rPr>
          <w:rFonts w:cstheme="minorHAnsi"/>
        </w:rPr>
      </w:pPr>
    </w:p>
    <w:p w:rsidR="00164321" w:rsidRPr="00676AA2" w:rsidRDefault="001A1CE6" w:rsidP="00125084">
      <w:pPr>
        <w:pStyle w:val="Heading1"/>
        <w:spacing w:before="0" w:after="0"/>
        <w:rPr>
          <w:rFonts w:cstheme="minorHAnsi"/>
          <w:sz w:val="24"/>
          <w:szCs w:val="24"/>
        </w:rPr>
      </w:pPr>
      <w:r>
        <w:rPr>
          <w:rFonts w:cstheme="minorHAnsi"/>
          <w:sz w:val="24"/>
          <w:szCs w:val="24"/>
        </w:rPr>
        <w:t>Test for Payment of Dividend</w:t>
      </w:r>
    </w:p>
    <w:p w:rsidR="00164321" w:rsidRPr="00676AA2" w:rsidRDefault="00164321" w:rsidP="00125084">
      <w:pPr>
        <w:rPr>
          <w:rFonts w:cstheme="minorHAnsi"/>
        </w:rPr>
      </w:pPr>
    </w:p>
    <w:p w:rsidR="0078128D" w:rsidRPr="00676AA2" w:rsidRDefault="0074665A" w:rsidP="00125084">
      <w:pPr>
        <w:rPr>
          <w:rFonts w:cstheme="minorHAnsi"/>
        </w:rPr>
      </w:pPr>
      <w:r w:rsidRPr="00676AA2">
        <w:rPr>
          <w:rFonts w:cstheme="minorHAnsi"/>
        </w:rPr>
        <w:t>Th</w:t>
      </w:r>
      <w:r w:rsidR="004E3642" w:rsidRPr="00676AA2">
        <w:rPr>
          <w:rFonts w:cstheme="minorHAnsi"/>
        </w:rPr>
        <w:t>e payment of dividend characterises the return on investment by shareholders of the company.</w:t>
      </w:r>
      <w:r w:rsidR="0078128D" w:rsidRPr="00676AA2">
        <w:rPr>
          <w:rStyle w:val="FootnoteReference"/>
          <w:rFonts w:cstheme="minorHAnsi"/>
        </w:rPr>
        <w:footnoteReference w:id="1"/>
      </w:r>
      <w:r w:rsidR="004E3642" w:rsidRPr="00676AA2">
        <w:rPr>
          <w:rFonts w:cstheme="minorHAnsi"/>
        </w:rPr>
        <w:t xml:space="preserve"> For a long </w:t>
      </w:r>
      <w:r w:rsidR="00D070BF">
        <w:rPr>
          <w:rFonts w:cstheme="minorHAnsi"/>
        </w:rPr>
        <w:t xml:space="preserve">period of </w:t>
      </w:r>
      <w:r w:rsidR="004E3642" w:rsidRPr="00676AA2">
        <w:rPr>
          <w:rFonts w:cstheme="minorHAnsi"/>
        </w:rPr>
        <w:t>time, the principles go</w:t>
      </w:r>
      <w:r w:rsidR="001A1CE6">
        <w:rPr>
          <w:rFonts w:cstheme="minorHAnsi"/>
        </w:rPr>
        <w:t>verning the payment of dividend</w:t>
      </w:r>
      <w:r w:rsidR="004E3642" w:rsidRPr="00676AA2">
        <w:rPr>
          <w:rFonts w:cstheme="minorHAnsi"/>
        </w:rPr>
        <w:t xml:space="preserve"> were based on the English system which required that dividend should only be paid out of profit.</w:t>
      </w:r>
      <w:r w:rsidR="0078128D" w:rsidRPr="00676AA2">
        <w:rPr>
          <w:rFonts w:cstheme="minorHAnsi"/>
        </w:rPr>
        <w:t xml:space="preserve"> The application of such a test however was problematic. </w:t>
      </w:r>
      <w:r w:rsidR="00CF1BBC" w:rsidRPr="00676AA2">
        <w:rPr>
          <w:rFonts w:cstheme="minorHAnsi"/>
        </w:rPr>
        <w:t>One of the major concerns related to the fact that the word ‘profit</w:t>
      </w:r>
      <w:r w:rsidR="002B5B92" w:rsidRPr="00676AA2">
        <w:rPr>
          <w:rFonts w:cstheme="minorHAnsi"/>
        </w:rPr>
        <w:t>’</w:t>
      </w:r>
      <w:r w:rsidR="00CF1BBC" w:rsidRPr="00676AA2">
        <w:rPr>
          <w:rFonts w:cstheme="minorHAnsi"/>
        </w:rPr>
        <w:t xml:space="preserve"> was not defined</w:t>
      </w:r>
      <w:r w:rsidR="00067F6D">
        <w:rPr>
          <w:rFonts w:cstheme="minorHAnsi"/>
        </w:rPr>
        <w:t>. Further,</w:t>
      </w:r>
      <w:r w:rsidR="002B5B92" w:rsidRPr="00676AA2">
        <w:rPr>
          <w:rFonts w:cstheme="minorHAnsi"/>
        </w:rPr>
        <w:t xml:space="preserve"> the guidance from the court decisions regard</w:t>
      </w:r>
      <w:r w:rsidR="00D070BF">
        <w:rPr>
          <w:rFonts w:cstheme="minorHAnsi"/>
        </w:rPr>
        <w:t>ing the meaning of ‘profit’ was</w:t>
      </w:r>
      <w:r w:rsidR="002B5B92" w:rsidRPr="00676AA2">
        <w:rPr>
          <w:rFonts w:cstheme="minorHAnsi"/>
        </w:rPr>
        <w:t xml:space="preserve"> deemed outdated, complex and not in line with the current accounting standards.</w:t>
      </w:r>
      <w:r w:rsidR="002B5B92" w:rsidRPr="00676AA2">
        <w:rPr>
          <w:rStyle w:val="FootnoteReference"/>
          <w:rFonts w:cstheme="minorHAnsi"/>
        </w:rPr>
        <w:footnoteReference w:id="2"/>
      </w:r>
      <w:r w:rsidR="002B5B92" w:rsidRPr="00676AA2">
        <w:rPr>
          <w:rFonts w:cstheme="minorHAnsi"/>
        </w:rPr>
        <w:t xml:space="preserve"> </w:t>
      </w:r>
    </w:p>
    <w:p w:rsidR="0074665A" w:rsidRPr="00676AA2" w:rsidRDefault="004E3642" w:rsidP="00125084">
      <w:pPr>
        <w:rPr>
          <w:rFonts w:cstheme="minorHAnsi"/>
        </w:rPr>
      </w:pPr>
      <w:r w:rsidRPr="00676AA2">
        <w:rPr>
          <w:rFonts w:cstheme="minorHAnsi"/>
        </w:rPr>
        <w:t xml:space="preserve"> </w:t>
      </w:r>
    </w:p>
    <w:p w:rsidR="002B5B92" w:rsidRPr="00676AA2" w:rsidRDefault="002B5B92" w:rsidP="00125084">
      <w:pPr>
        <w:rPr>
          <w:rFonts w:cstheme="minorHAnsi"/>
        </w:rPr>
      </w:pPr>
      <w:r w:rsidRPr="00676AA2">
        <w:rPr>
          <w:rFonts w:cstheme="minorHAnsi"/>
        </w:rPr>
        <w:t>To remedy these concerns, i</w:t>
      </w:r>
      <w:r w:rsidR="00067F6D">
        <w:rPr>
          <w:rFonts w:cstheme="minorHAnsi"/>
        </w:rPr>
        <w:t>n June 2010, the test for the determination of the payment of dividend</w:t>
      </w:r>
      <w:r w:rsidR="0074665A" w:rsidRPr="00676AA2">
        <w:rPr>
          <w:rFonts w:cstheme="minorHAnsi"/>
        </w:rPr>
        <w:t xml:space="preserve"> was altered. </w:t>
      </w:r>
      <w:r w:rsidRPr="00676AA2">
        <w:rPr>
          <w:rFonts w:cstheme="minorHAnsi"/>
        </w:rPr>
        <w:t xml:space="preserve">Section </w:t>
      </w:r>
      <w:proofErr w:type="gramStart"/>
      <w:r w:rsidRPr="00676AA2">
        <w:rPr>
          <w:rFonts w:cstheme="minorHAnsi"/>
        </w:rPr>
        <w:t>254T(</w:t>
      </w:r>
      <w:proofErr w:type="gramEnd"/>
      <w:r w:rsidRPr="00676AA2">
        <w:rPr>
          <w:rFonts w:cstheme="minorHAnsi"/>
        </w:rPr>
        <w:t>1) now states:</w:t>
      </w:r>
    </w:p>
    <w:p w:rsidR="002B5B92" w:rsidRPr="00676AA2" w:rsidRDefault="002B5B92" w:rsidP="00125084">
      <w:pPr>
        <w:pStyle w:val="subsection"/>
        <w:spacing w:before="0" w:beforeAutospacing="0" w:after="0" w:afterAutospacing="0"/>
        <w:ind w:left="720"/>
        <w:jc w:val="both"/>
        <w:rPr>
          <w:rFonts w:ascii="Palatino Linotype" w:hAnsi="Palatino Linotype" w:cstheme="minorHAnsi"/>
          <w:color w:val="0D0D0D" w:themeColor="text1" w:themeTint="F2"/>
          <w:sz w:val="22"/>
          <w:szCs w:val="22"/>
        </w:rPr>
      </w:pPr>
      <w:r w:rsidRPr="00676AA2">
        <w:rPr>
          <w:rFonts w:ascii="Palatino Linotype" w:hAnsi="Palatino Linotype" w:cstheme="minorHAnsi"/>
          <w:color w:val="0D0D0D" w:themeColor="text1" w:themeTint="F2"/>
          <w:sz w:val="22"/>
          <w:szCs w:val="22"/>
        </w:rPr>
        <w:t xml:space="preserve">A </w:t>
      </w:r>
      <w:r w:rsidRPr="00676AA2">
        <w:rPr>
          <w:rFonts w:ascii="Palatino Linotype" w:hAnsi="Palatino Linotype" w:cstheme="minorHAnsi"/>
          <w:sz w:val="22"/>
          <w:szCs w:val="22"/>
        </w:rPr>
        <w:t>company</w:t>
      </w:r>
      <w:r w:rsidRPr="00676AA2">
        <w:rPr>
          <w:rFonts w:ascii="Palatino Linotype" w:hAnsi="Palatino Linotype" w:cstheme="minorHAnsi"/>
          <w:color w:val="0D0D0D" w:themeColor="text1" w:themeTint="F2"/>
          <w:sz w:val="22"/>
          <w:szCs w:val="22"/>
        </w:rPr>
        <w:t xml:space="preserve"> must not pay a dividend unless: </w:t>
      </w:r>
      <w:r w:rsidRPr="00676AA2">
        <w:rPr>
          <w:rFonts w:ascii="Palatino Linotype" w:hAnsi="Palatino Linotype" w:cstheme="minorHAnsi"/>
          <w:color w:val="0D0D0D" w:themeColor="text1" w:themeTint="F2"/>
          <w:sz w:val="22"/>
          <w:szCs w:val="22"/>
        </w:rPr>
        <w:tab/>
      </w:r>
    </w:p>
    <w:p w:rsidR="002B5B92" w:rsidRPr="00676AA2" w:rsidRDefault="002B5B92" w:rsidP="00125084">
      <w:pPr>
        <w:pStyle w:val="paragraph"/>
        <w:spacing w:before="0" w:beforeAutospacing="0" w:after="0" w:afterAutospacing="0"/>
        <w:ind w:left="720"/>
        <w:jc w:val="both"/>
        <w:rPr>
          <w:rFonts w:ascii="Palatino Linotype" w:hAnsi="Palatino Linotype" w:cstheme="minorHAnsi"/>
          <w:color w:val="0D0D0D" w:themeColor="text1" w:themeTint="F2"/>
          <w:sz w:val="22"/>
          <w:szCs w:val="22"/>
        </w:rPr>
      </w:pPr>
      <w:r w:rsidRPr="00676AA2">
        <w:rPr>
          <w:rFonts w:ascii="Palatino Linotype" w:hAnsi="Palatino Linotype" w:cstheme="minorHAnsi"/>
          <w:color w:val="0D0D0D" w:themeColor="text1" w:themeTint="F2"/>
          <w:sz w:val="22"/>
          <w:szCs w:val="22"/>
        </w:rPr>
        <w:t xml:space="preserve">(a)  </w:t>
      </w:r>
      <w:proofErr w:type="gramStart"/>
      <w:r w:rsidRPr="00676AA2">
        <w:rPr>
          <w:rFonts w:ascii="Palatino Linotype" w:hAnsi="Palatino Linotype" w:cstheme="minorHAnsi"/>
          <w:color w:val="0D0D0D" w:themeColor="text1" w:themeTint="F2"/>
          <w:sz w:val="22"/>
          <w:szCs w:val="22"/>
        </w:rPr>
        <w:t>the</w:t>
      </w:r>
      <w:proofErr w:type="gramEnd"/>
      <w:r w:rsidRPr="00676AA2">
        <w:rPr>
          <w:rFonts w:ascii="Palatino Linotype" w:hAnsi="Palatino Linotype" w:cstheme="minorHAnsi"/>
          <w:color w:val="0D0D0D" w:themeColor="text1" w:themeTint="F2"/>
          <w:sz w:val="22"/>
          <w:szCs w:val="22"/>
        </w:rPr>
        <w:t xml:space="preserve"> </w:t>
      </w:r>
      <w:r w:rsidRPr="00676AA2">
        <w:rPr>
          <w:rFonts w:ascii="Palatino Linotype" w:hAnsi="Palatino Linotype" w:cstheme="minorHAnsi"/>
          <w:sz w:val="22"/>
          <w:szCs w:val="22"/>
        </w:rPr>
        <w:t>company</w:t>
      </w:r>
      <w:r w:rsidRPr="00676AA2">
        <w:rPr>
          <w:rFonts w:ascii="Palatino Linotype" w:hAnsi="Palatino Linotype" w:cstheme="minorHAnsi"/>
          <w:color w:val="0D0D0D" w:themeColor="text1" w:themeTint="F2"/>
          <w:sz w:val="22"/>
          <w:szCs w:val="22"/>
        </w:rPr>
        <w:t xml:space="preserve">'s </w:t>
      </w:r>
      <w:r w:rsidRPr="00676AA2">
        <w:rPr>
          <w:rFonts w:ascii="Palatino Linotype" w:hAnsi="Palatino Linotype" w:cstheme="minorHAnsi"/>
          <w:sz w:val="22"/>
          <w:szCs w:val="22"/>
        </w:rPr>
        <w:t>assets</w:t>
      </w:r>
      <w:r w:rsidRPr="00676AA2">
        <w:rPr>
          <w:rFonts w:ascii="Palatino Linotype" w:hAnsi="Palatino Linotype" w:cstheme="minorHAnsi"/>
          <w:color w:val="0D0D0D" w:themeColor="text1" w:themeTint="F2"/>
          <w:sz w:val="22"/>
          <w:szCs w:val="22"/>
        </w:rPr>
        <w:t xml:space="preserve"> exceed its liabilities immediately before the dividend is declared and the excess is sufficient for the payment of the dividend; and </w:t>
      </w:r>
    </w:p>
    <w:p w:rsidR="002B5B92" w:rsidRPr="00676AA2" w:rsidRDefault="002B5B92" w:rsidP="00125084">
      <w:pPr>
        <w:pStyle w:val="paragraph"/>
        <w:spacing w:before="0" w:beforeAutospacing="0" w:after="0" w:afterAutospacing="0"/>
        <w:ind w:left="720"/>
        <w:jc w:val="both"/>
        <w:rPr>
          <w:rFonts w:ascii="Palatino Linotype" w:hAnsi="Palatino Linotype" w:cstheme="minorHAnsi"/>
          <w:color w:val="0D0D0D" w:themeColor="text1" w:themeTint="F2"/>
          <w:sz w:val="22"/>
          <w:szCs w:val="22"/>
        </w:rPr>
      </w:pPr>
      <w:r w:rsidRPr="00676AA2">
        <w:rPr>
          <w:rFonts w:ascii="Palatino Linotype" w:hAnsi="Palatino Linotype" w:cstheme="minorHAnsi"/>
          <w:color w:val="0D0D0D" w:themeColor="text1" w:themeTint="F2"/>
          <w:sz w:val="22"/>
          <w:szCs w:val="22"/>
        </w:rPr>
        <w:t xml:space="preserve">(b)  </w:t>
      </w:r>
      <w:proofErr w:type="gramStart"/>
      <w:r w:rsidRPr="00676AA2">
        <w:rPr>
          <w:rFonts w:ascii="Palatino Linotype" w:hAnsi="Palatino Linotype" w:cstheme="minorHAnsi"/>
          <w:color w:val="0D0D0D" w:themeColor="text1" w:themeTint="F2"/>
          <w:sz w:val="22"/>
          <w:szCs w:val="22"/>
        </w:rPr>
        <w:t>the</w:t>
      </w:r>
      <w:proofErr w:type="gramEnd"/>
      <w:r w:rsidRPr="00676AA2">
        <w:rPr>
          <w:rFonts w:ascii="Palatino Linotype" w:hAnsi="Palatino Linotype" w:cstheme="minorHAnsi"/>
          <w:color w:val="0D0D0D" w:themeColor="text1" w:themeTint="F2"/>
          <w:sz w:val="22"/>
          <w:szCs w:val="22"/>
        </w:rPr>
        <w:t xml:space="preserve"> payment of the dividend is fair and reasonable to the </w:t>
      </w:r>
      <w:r w:rsidRPr="00676AA2">
        <w:rPr>
          <w:rFonts w:ascii="Palatino Linotype" w:hAnsi="Palatino Linotype" w:cstheme="minorHAnsi"/>
          <w:sz w:val="22"/>
          <w:szCs w:val="22"/>
        </w:rPr>
        <w:t>company</w:t>
      </w:r>
      <w:r w:rsidRPr="00676AA2">
        <w:rPr>
          <w:rFonts w:ascii="Palatino Linotype" w:hAnsi="Palatino Linotype" w:cstheme="minorHAnsi"/>
          <w:color w:val="0D0D0D" w:themeColor="text1" w:themeTint="F2"/>
          <w:sz w:val="22"/>
          <w:szCs w:val="22"/>
        </w:rPr>
        <w:t xml:space="preserve">'s shareholders as a whole; and </w:t>
      </w:r>
    </w:p>
    <w:p w:rsidR="002B5B92" w:rsidRPr="00676AA2" w:rsidRDefault="002B5B92" w:rsidP="00125084">
      <w:pPr>
        <w:pStyle w:val="paragraph"/>
        <w:spacing w:before="0" w:beforeAutospacing="0" w:after="0" w:afterAutospacing="0"/>
        <w:ind w:left="720"/>
        <w:jc w:val="both"/>
        <w:rPr>
          <w:rFonts w:ascii="Palatino Linotype" w:hAnsi="Palatino Linotype" w:cstheme="minorHAnsi"/>
          <w:color w:val="0D0D0D" w:themeColor="text1" w:themeTint="F2"/>
          <w:sz w:val="22"/>
          <w:szCs w:val="22"/>
        </w:rPr>
      </w:pPr>
      <w:r w:rsidRPr="00676AA2">
        <w:rPr>
          <w:rFonts w:ascii="Palatino Linotype" w:hAnsi="Palatino Linotype" w:cstheme="minorHAnsi"/>
          <w:color w:val="0D0D0D" w:themeColor="text1" w:themeTint="F2"/>
          <w:sz w:val="22"/>
          <w:szCs w:val="22"/>
        </w:rPr>
        <w:t xml:space="preserve">(c)  </w:t>
      </w:r>
      <w:proofErr w:type="gramStart"/>
      <w:r w:rsidRPr="00676AA2">
        <w:rPr>
          <w:rFonts w:ascii="Palatino Linotype" w:hAnsi="Palatino Linotype" w:cstheme="minorHAnsi"/>
          <w:color w:val="0D0D0D" w:themeColor="text1" w:themeTint="F2"/>
          <w:sz w:val="22"/>
          <w:szCs w:val="22"/>
        </w:rPr>
        <w:t>the</w:t>
      </w:r>
      <w:proofErr w:type="gramEnd"/>
      <w:r w:rsidRPr="00676AA2">
        <w:rPr>
          <w:rFonts w:ascii="Palatino Linotype" w:hAnsi="Palatino Linotype" w:cstheme="minorHAnsi"/>
          <w:color w:val="0D0D0D" w:themeColor="text1" w:themeTint="F2"/>
          <w:sz w:val="22"/>
          <w:szCs w:val="22"/>
        </w:rPr>
        <w:t xml:space="preserve"> payment of the dividend does not materially prejudice the </w:t>
      </w:r>
      <w:r w:rsidRPr="00676AA2">
        <w:rPr>
          <w:rFonts w:ascii="Palatino Linotype" w:hAnsi="Palatino Linotype" w:cstheme="minorHAnsi"/>
          <w:sz w:val="22"/>
          <w:szCs w:val="22"/>
        </w:rPr>
        <w:t>company</w:t>
      </w:r>
      <w:r w:rsidRPr="00676AA2">
        <w:rPr>
          <w:rFonts w:ascii="Palatino Linotype" w:hAnsi="Palatino Linotype" w:cstheme="minorHAnsi"/>
          <w:color w:val="0D0D0D" w:themeColor="text1" w:themeTint="F2"/>
          <w:sz w:val="22"/>
          <w:szCs w:val="22"/>
        </w:rPr>
        <w:t xml:space="preserve">'s ability to pay its creditors. </w:t>
      </w:r>
    </w:p>
    <w:p w:rsidR="002B5B92" w:rsidRPr="00676AA2" w:rsidRDefault="002B5B92" w:rsidP="00125084">
      <w:pPr>
        <w:rPr>
          <w:rFonts w:cstheme="minorHAnsi"/>
        </w:rPr>
      </w:pPr>
    </w:p>
    <w:p w:rsidR="00125084" w:rsidRDefault="00676AA2" w:rsidP="00125084">
      <w:pPr>
        <w:rPr>
          <w:rFonts w:cstheme="minorHAnsi"/>
        </w:rPr>
      </w:pPr>
      <w:r>
        <w:rPr>
          <w:rFonts w:cstheme="minorHAnsi"/>
        </w:rPr>
        <w:t>Consequently, there was a move away from the profi</w:t>
      </w:r>
      <w:r w:rsidR="001A1CE6">
        <w:rPr>
          <w:rFonts w:cstheme="minorHAnsi"/>
        </w:rPr>
        <w:t>t test. For dividend to be paid</w:t>
      </w:r>
      <w:r>
        <w:rPr>
          <w:rFonts w:cstheme="minorHAnsi"/>
        </w:rPr>
        <w:t xml:space="preserve">, </w:t>
      </w:r>
      <w:r w:rsidR="0078730E">
        <w:rPr>
          <w:rFonts w:cstheme="minorHAnsi"/>
        </w:rPr>
        <w:t xml:space="preserve">all the requirements in s </w:t>
      </w:r>
      <w:proofErr w:type="gramStart"/>
      <w:r w:rsidR="0078730E">
        <w:rPr>
          <w:rFonts w:cstheme="minorHAnsi"/>
        </w:rPr>
        <w:t>254T(</w:t>
      </w:r>
      <w:proofErr w:type="gramEnd"/>
      <w:r w:rsidR="0078730E">
        <w:rPr>
          <w:rFonts w:cstheme="minorHAnsi"/>
        </w:rPr>
        <w:t>1) must have been complied with.</w:t>
      </w:r>
      <w:r>
        <w:rPr>
          <w:rFonts w:cstheme="minorHAnsi"/>
        </w:rPr>
        <w:t xml:space="preserve"> </w:t>
      </w:r>
      <w:r w:rsidR="0074665A" w:rsidRPr="00676AA2">
        <w:rPr>
          <w:rFonts w:cstheme="minorHAnsi"/>
        </w:rPr>
        <w:t xml:space="preserve">However </w:t>
      </w:r>
      <w:r w:rsidR="0078730E">
        <w:rPr>
          <w:rFonts w:cstheme="minorHAnsi"/>
        </w:rPr>
        <w:t>the new test has been subject to criticism</w:t>
      </w:r>
      <w:r w:rsidR="002B5B92" w:rsidRPr="00676AA2">
        <w:rPr>
          <w:rFonts w:cstheme="minorHAnsi"/>
        </w:rPr>
        <w:t>.</w:t>
      </w:r>
      <w:r w:rsidR="0078730E">
        <w:rPr>
          <w:rFonts w:cstheme="minorHAnsi"/>
        </w:rPr>
        <w:t xml:space="preserve"> In addition to the disadvantages of this test which were mentioned in the discussion paper on p</w:t>
      </w:r>
      <w:r w:rsidR="001A1CE6">
        <w:rPr>
          <w:rFonts w:cstheme="minorHAnsi"/>
        </w:rPr>
        <w:t>age</w:t>
      </w:r>
      <w:r w:rsidR="0078730E">
        <w:rPr>
          <w:rFonts w:cstheme="minorHAnsi"/>
        </w:rPr>
        <w:t xml:space="preserve"> 6, other concerns have been raised:</w:t>
      </w:r>
    </w:p>
    <w:p w:rsidR="00164321" w:rsidRDefault="001A1CE6" w:rsidP="00125084">
      <w:pPr>
        <w:pStyle w:val="ListParagraph"/>
        <w:numPr>
          <w:ilvl w:val="0"/>
          <w:numId w:val="6"/>
        </w:numPr>
        <w:rPr>
          <w:rFonts w:cstheme="minorHAnsi"/>
        </w:rPr>
      </w:pPr>
      <w:r>
        <w:rPr>
          <w:rFonts w:cstheme="minorHAnsi"/>
        </w:rPr>
        <w:t>One</w:t>
      </w:r>
      <w:r w:rsidR="0078730E">
        <w:rPr>
          <w:rFonts w:cstheme="minorHAnsi"/>
        </w:rPr>
        <w:t xml:space="preserve"> question that may be raised relates to whether </w:t>
      </w:r>
      <w:r>
        <w:rPr>
          <w:rFonts w:cstheme="minorHAnsi"/>
        </w:rPr>
        <w:t xml:space="preserve">or not </w:t>
      </w:r>
      <w:r w:rsidR="0078730E">
        <w:rPr>
          <w:rFonts w:cstheme="minorHAnsi"/>
        </w:rPr>
        <w:t xml:space="preserve">the new provision requires </w:t>
      </w:r>
      <w:r w:rsidR="00067F6D">
        <w:rPr>
          <w:rFonts w:cstheme="minorHAnsi"/>
        </w:rPr>
        <w:t>the accounting standards to be</w:t>
      </w:r>
      <w:r w:rsidR="0078730E">
        <w:rPr>
          <w:rFonts w:cstheme="minorHAnsi"/>
        </w:rPr>
        <w:t xml:space="preserve"> applied at the time of payment in addition to the time when </w:t>
      </w:r>
      <w:r>
        <w:rPr>
          <w:rFonts w:cstheme="minorHAnsi"/>
        </w:rPr>
        <w:t xml:space="preserve">the </w:t>
      </w:r>
      <w:r w:rsidR="0078730E">
        <w:rPr>
          <w:rFonts w:cstheme="minorHAnsi"/>
        </w:rPr>
        <w:t xml:space="preserve">financial results are signed off on. </w:t>
      </w:r>
      <w:r w:rsidR="00067F6D">
        <w:rPr>
          <w:rFonts w:cstheme="minorHAnsi"/>
        </w:rPr>
        <w:t>If that is the case, w</w:t>
      </w:r>
      <w:r w:rsidR="0078730E">
        <w:rPr>
          <w:rFonts w:cstheme="minorHAnsi"/>
        </w:rPr>
        <w:t>hat account</w:t>
      </w:r>
      <w:r w:rsidR="00067F6D">
        <w:rPr>
          <w:rFonts w:cstheme="minorHAnsi"/>
        </w:rPr>
        <w:t>s</w:t>
      </w:r>
      <w:r w:rsidR="0078730E">
        <w:rPr>
          <w:rFonts w:cstheme="minorHAnsi"/>
        </w:rPr>
        <w:t xml:space="preserve"> should be relied on at the time of payment o</w:t>
      </w:r>
      <w:r w:rsidR="00067F6D">
        <w:rPr>
          <w:rFonts w:cstheme="minorHAnsi"/>
        </w:rPr>
        <w:t>f the dividend? Should these accounts</w:t>
      </w:r>
      <w:r w:rsidR="0078730E">
        <w:rPr>
          <w:rFonts w:cstheme="minorHAnsi"/>
        </w:rPr>
        <w:t xml:space="preserve"> be audited?</w:t>
      </w:r>
      <w:r w:rsidR="00E6072F">
        <w:rPr>
          <w:rStyle w:val="FootnoteReference"/>
          <w:rFonts w:cstheme="minorHAnsi"/>
        </w:rPr>
        <w:footnoteReference w:id="3"/>
      </w:r>
    </w:p>
    <w:p w:rsidR="0078730E" w:rsidRDefault="00E6072F" w:rsidP="00125084">
      <w:pPr>
        <w:pStyle w:val="ListParagraph"/>
        <w:numPr>
          <w:ilvl w:val="0"/>
          <w:numId w:val="6"/>
        </w:numPr>
        <w:rPr>
          <w:rFonts w:cstheme="minorHAnsi"/>
        </w:rPr>
      </w:pPr>
      <w:r>
        <w:rPr>
          <w:rFonts w:cstheme="minorHAnsi"/>
        </w:rPr>
        <w:t xml:space="preserve">The meaning of creditor under s </w:t>
      </w:r>
      <w:proofErr w:type="gramStart"/>
      <w:r>
        <w:rPr>
          <w:rFonts w:cstheme="minorHAnsi"/>
        </w:rPr>
        <w:t>254T(</w:t>
      </w:r>
      <w:proofErr w:type="gramEnd"/>
      <w:r>
        <w:rPr>
          <w:rFonts w:cstheme="minorHAnsi"/>
        </w:rPr>
        <w:t>1)(c)</w:t>
      </w:r>
      <w:r w:rsidR="00D070BF">
        <w:rPr>
          <w:rFonts w:cstheme="minorHAnsi"/>
        </w:rPr>
        <w:t xml:space="preserve"> has raised some queries</w:t>
      </w:r>
      <w:r>
        <w:rPr>
          <w:rFonts w:cstheme="minorHAnsi"/>
        </w:rPr>
        <w:t xml:space="preserve">. Is </w:t>
      </w:r>
      <w:r w:rsidR="00E77BA0">
        <w:rPr>
          <w:rFonts w:cstheme="minorHAnsi"/>
        </w:rPr>
        <w:t>the reference to company’s ‘creditors’ a “reference to the persons who would be entitled to prove in a hypothetical winding up”?</w:t>
      </w:r>
      <w:r w:rsidR="00E77BA0">
        <w:rPr>
          <w:rStyle w:val="FootnoteReference"/>
          <w:rFonts w:cstheme="minorHAnsi"/>
        </w:rPr>
        <w:footnoteReference w:id="4"/>
      </w:r>
    </w:p>
    <w:p w:rsidR="00171347" w:rsidRPr="0078730E" w:rsidRDefault="00171347" w:rsidP="00125084">
      <w:pPr>
        <w:pStyle w:val="ListParagraph"/>
        <w:numPr>
          <w:ilvl w:val="0"/>
          <w:numId w:val="6"/>
        </w:numPr>
        <w:rPr>
          <w:rFonts w:cstheme="minorHAnsi"/>
        </w:rPr>
      </w:pPr>
      <w:r>
        <w:rPr>
          <w:rFonts w:cstheme="minorHAnsi"/>
        </w:rPr>
        <w:lastRenderedPageBreak/>
        <w:t xml:space="preserve">When considering s </w:t>
      </w:r>
      <w:proofErr w:type="gramStart"/>
      <w:r>
        <w:rPr>
          <w:rFonts w:cstheme="minorHAnsi"/>
        </w:rPr>
        <w:t>254T(</w:t>
      </w:r>
      <w:proofErr w:type="gramEnd"/>
      <w:r>
        <w:rPr>
          <w:rFonts w:cstheme="minorHAnsi"/>
        </w:rPr>
        <w:t>1)(b), the followin</w:t>
      </w:r>
      <w:r w:rsidR="001A1CE6">
        <w:rPr>
          <w:rFonts w:cstheme="minorHAnsi"/>
        </w:rPr>
        <w:t>g question may be raised: what w</w:t>
      </w:r>
      <w:r>
        <w:rPr>
          <w:rFonts w:cstheme="minorHAnsi"/>
        </w:rPr>
        <w:t>ould constitute  fairness to the members? For instance, if a company refuses to pay dividend to member</w:t>
      </w:r>
      <w:r w:rsidR="001A1CE6">
        <w:rPr>
          <w:rFonts w:cstheme="minorHAnsi"/>
        </w:rPr>
        <w:t>s</w:t>
      </w:r>
      <w:r>
        <w:rPr>
          <w:rFonts w:cstheme="minorHAnsi"/>
        </w:rPr>
        <w:t xml:space="preserve"> as it wishes to preserve cash and raise its capital, would this be deemed as unfair to shareholders?</w:t>
      </w:r>
      <w:r>
        <w:rPr>
          <w:rStyle w:val="FootnoteReference"/>
          <w:rFonts w:cstheme="minorHAnsi"/>
        </w:rPr>
        <w:footnoteReference w:id="5"/>
      </w:r>
      <w:r>
        <w:rPr>
          <w:rFonts w:cstheme="minorHAnsi"/>
        </w:rPr>
        <w:t xml:space="preserve"> Determining the answer to this question is important as studies have highlighted that retail shareholders may influence which dividend policy the company is going to adopt.</w:t>
      </w:r>
      <w:r>
        <w:rPr>
          <w:rStyle w:val="FootnoteReference"/>
          <w:rFonts w:cstheme="minorHAnsi"/>
        </w:rPr>
        <w:footnoteReference w:id="6"/>
      </w:r>
    </w:p>
    <w:p w:rsidR="00164321" w:rsidRDefault="00164321" w:rsidP="00125084">
      <w:pPr>
        <w:rPr>
          <w:rFonts w:cstheme="minorHAnsi"/>
        </w:rPr>
      </w:pPr>
    </w:p>
    <w:p w:rsidR="001A41C2" w:rsidRDefault="001A1CE6" w:rsidP="00125084">
      <w:pPr>
        <w:rPr>
          <w:rFonts w:cstheme="minorHAnsi"/>
        </w:rPr>
      </w:pPr>
      <w:r>
        <w:rPr>
          <w:rFonts w:cstheme="minorHAnsi"/>
        </w:rPr>
        <w:t xml:space="preserve">The </w:t>
      </w:r>
      <w:r w:rsidR="001A41C2">
        <w:rPr>
          <w:rFonts w:cstheme="minorHAnsi"/>
        </w:rPr>
        <w:t xml:space="preserve">Treasury has identified four options for dealing with the dividend test. This submission supports option 1 with some reservations. </w:t>
      </w:r>
    </w:p>
    <w:p w:rsidR="001A41C2" w:rsidRDefault="001A41C2" w:rsidP="00125084">
      <w:pPr>
        <w:rPr>
          <w:rFonts w:cstheme="minorHAnsi"/>
        </w:rPr>
      </w:pPr>
    </w:p>
    <w:p w:rsidR="001A41C2" w:rsidRPr="00A710C8" w:rsidRDefault="001A41C2" w:rsidP="00125084">
      <w:pPr>
        <w:rPr>
          <w:rFonts w:cstheme="minorHAnsi"/>
          <w:b/>
        </w:rPr>
      </w:pPr>
      <w:r w:rsidRPr="00A710C8">
        <w:rPr>
          <w:rFonts w:cstheme="minorHAnsi"/>
          <w:b/>
          <w:u w:val="single"/>
        </w:rPr>
        <w:t>Option 1</w:t>
      </w:r>
      <w:r w:rsidRPr="00A710C8">
        <w:rPr>
          <w:rFonts w:cstheme="minorHAnsi"/>
          <w:b/>
        </w:rPr>
        <w:t>: retaining section 254T of the Act as currently drafted.</w:t>
      </w:r>
    </w:p>
    <w:p w:rsidR="00994FD5" w:rsidRDefault="00994FD5" w:rsidP="00125084">
      <w:pPr>
        <w:rPr>
          <w:rFonts w:cstheme="minorHAnsi"/>
        </w:rPr>
      </w:pPr>
      <w:r>
        <w:rPr>
          <w:rFonts w:cstheme="minorHAnsi"/>
        </w:rPr>
        <w:t>The</w:t>
      </w:r>
      <w:r w:rsidR="001A41C2">
        <w:rPr>
          <w:rFonts w:cstheme="minorHAnsi"/>
        </w:rPr>
        <w:t xml:space="preserve"> </w:t>
      </w:r>
      <w:r w:rsidR="00B538A9">
        <w:rPr>
          <w:rFonts w:cstheme="minorHAnsi"/>
        </w:rPr>
        <w:t xml:space="preserve">submission supports this option with some reservations. Instead of altering the whole test, a proposal is made to keep the test but </w:t>
      </w:r>
      <w:r w:rsidR="00067F6D">
        <w:rPr>
          <w:rFonts w:cstheme="minorHAnsi"/>
        </w:rPr>
        <w:t>amend</w:t>
      </w:r>
      <w:r w:rsidR="00B538A9">
        <w:rPr>
          <w:rFonts w:cstheme="minorHAnsi"/>
        </w:rPr>
        <w:t xml:space="preserve"> some of the word</w:t>
      </w:r>
      <w:r>
        <w:rPr>
          <w:rFonts w:cstheme="minorHAnsi"/>
        </w:rPr>
        <w:t>ings of the section</w:t>
      </w:r>
      <w:r w:rsidR="00B538A9">
        <w:rPr>
          <w:rFonts w:cstheme="minorHAnsi"/>
        </w:rPr>
        <w:t xml:space="preserve"> to deal with the concerns raised</w:t>
      </w:r>
      <w:r>
        <w:rPr>
          <w:rFonts w:cstheme="minorHAnsi"/>
        </w:rPr>
        <w:t xml:space="preserve"> about the application of this provision</w:t>
      </w:r>
      <w:r w:rsidR="00B538A9">
        <w:rPr>
          <w:rFonts w:cstheme="minorHAnsi"/>
        </w:rPr>
        <w:t>.</w:t>
      </w:r>
    </w:p>
    <w:p w:rsidR="00994FD5" w:rsidRDefault="00994FD5" w:rsidP="00125084">
      <w:pPr>
        <w:rPr>
          <w:rFonts w:cstheme="minorHAnsi"/>
        </w:rPr>
      </w:pPr>
    </w:p>
    <w:p w:rsidR="00994FD5" w:rsidRPr="00994FD5" w:rsidRDefault="00994FD5" w:rsidP="00125084">
      <w:pPr>
        <w:spacing w:line="276" w:lineRule="auto"/>
        <w:rPr>
          <w:rFonts w:cstheme="minorHAnsi"/>
        </w:rPr>
      </w:pPr>
      <w:r w:rsidRPr="00994FD5">
        <w:rPr>
          <w:rFonts w:cstheme="minorHAnsi"/>
        </w:rPr>
        <w:t>Some of the proposed amendments are:</w:t>
      </w:r>
    </w:p>
    <w:p w:rsidR="00994FD5" w:rsidRDefault="00994FD5" w:rsidP="00125084">
      <w:pPr>
        <w:pStyle w:val="ListParagraph"/>
        <w:numPr>
          <w:ilvl w:val="0"/>
          <w:numId w:val="10"/>
        </w:numPr>
        <w:spacing w:line="276" w:lineRule="auto"/>
        <w:rPr>
          <w:rFonts w:cstheme="minorHAnsi"/>
        </w:rPr>
      </w:pPr>
      <w:r>
        <w:rPr>
          <w:rFonts w:cstheme="minorHAnsi"/>
        </w:rPr>
        <w:t xml:space="preserve">A clause may be added in s 254T </w:t>
      </w:r>
      <w:r w:rsidR="00F328EA">
        <w:rPr>
          <w:rFonts w:cstheme="minorHAnsi"/>
        </w:rPr>
        <w:t>regarding</w:t>
      </w:r>
      <w:r>
        <w:rPr>
          <w:rFonts w:cstheme="minorHAnsi"/>
        </w:rPr>
        <w:t xml:space="preserve"> companies that do not currently ha</w:t>
      </w:r>
      <w:r w:rsidR="00F328EA">
        <w:rPr>
          <w:rFonts w:cstheme="minorHAnsi"/>
        </w:rPr>
        <w:t>v</w:t>
      </w:r>
      <w:r>
        <w:rPr>
          <w:rFonts w:cstheme="minorHAnsi"/>
        </w:rPr>
        <w:t>e to comply with some or all of the accounting standards</w:t>
      </w:r>
      <w:r w:rsidR="00067F6D">
        <w:rPr>
          <w:rFonts w:cstheme="minorHAnsi"/>
        </w:rPr>
        <w:t>. Such companies should be able to make an</w:t>
      </w:r>
      <w:r w:rsidR="00F328EA">
        <w:rPr>
          <w:rFonts w:cstheme="minorHAnsi"/>
        </w:rPr>
        <w:t xml:space="preserve"> assess</w:t>
      </w:r>
      <w:r w:rsidR="00067F6D">
        <w:rPr>
          <w:rFonts w:cstheme="minorHAnsi"/>
        </w:rPr>
        <w:t>ment regarding</w:t>
      </w:r>
      <w:r w:rsidR="00F328EA">
        <w:rPr>
          <w:rFonts w:cstheme="minorHAnsi"/>
        </w:rPr>
        <w:t xml:space="preserve"> whether the company’s assets will exceed its liabilities based on the information provided in the financial records of the company.</w:t>
      </w:r>
    </w:p>
    <w:p w:rsidR="00067F6D" w:rsidRDefault="00F328EA" w:rsidP="00125084">
      <w:pPr>
        <w:pStyle w:val="ListParagraph"/>
        <w:numPr>
          <w:ilvl w:val="0"/>
          <w:numId w:val="10"/>
        </w:numPr>
        <w:spacing w:line="276" w:lineRule="auto"/>
        <w:rPr>
          <w:rFonts w:cstheme="minorHAnsi"/>
        </w:rPr>
      </w:pPr>
      <w:r w:rsidRPr="00067F6D">
        <w:rPr>
          <w:rFonts w:cstheme="minorHAnsi"/>
        </w:rPr>
        <w:t xml:space="preserve">The word ‘declared’ should be altered to fall in line with s 254U. </w:t>
      </w:r>
    </w:p>
    <w:p w:rsidR="00F328EA" w:rsidRPr="00067F6D" w:rsidRDefault="00F328EA" w:rsidP="00125084">
      <w:pPr>
        <w:pStyle w:val="ListParagraph"/>
        <w:numPr>
          <w:ilvl w:val="0"/>
          <w:numId w:val="10"/>
        </w:numPr>
        <w:spacing w:line="276" w:lineRule="auto"/>
        <w:rPr>
          <w:rFonts w:cstheme="minorHAnsi"/>
        </w:rPr>
      </w:pPr>
      <w:r w:rsidRPr="00067F6D">
        <w:rPr>
          <w:rFonts w:cstheme="minorHAnsi"/>
        </w:rPr>
        <w:t>Regarding complying with accounting standard, clarification need</w:t>
      </w:r>
      <w:r w:rsidR="00067F6D">
        <w:rPr>
          <w:rFonts w:cstheme="minorHAnsi"/>
        </w:rPr>
        <w:t>s</w:t>
      </w:r>
      <w:r w:rsidRPr="00067F6D">
        <w:rPr>
          <w:rFonts w:cstheme="minorHAnsi"/>
        </w:rPr>
        <w:t xml:space="preserve"> to be made on when the accounting standards should be applied? Should they be applied at the time of payment of dividend in addition to the time when financial results are signed off on? Further, </w:t>
      </w:r>
      <w:r w:rsidR="00067F6D">
        <w:rPr>
          <w:rFonts w:cstheme="minorHAnsi"/>
        </w:rPr>
        <w:t xml:space="preserve">an </w:t>
      </w:r>
      <w:r w:rsidRPr="00067F6D">
        <w:rPr>
          <w:rFonts w:cstheme="minorHAnsi"/>
        </w:rPr>
        <w:t xml:space="preserve">assessment of </w:t>
      </w:r>
      <w:r w:rsidR="00067F6D">
        <w:rPr>
          <w:rFonts w:cstheme="minorHAnsi"/>
        </w:rPr>
        <w:t>the cost of</w:t>
      </w:r>
      <w:r w:rsidRPr="00067F6D">
        <w:rPr>
          <w:rFonts w:cstheme="minorHAnsi"/>
        </w:rPr>
        <w:t xml:space="preserve"> compliance with such provision has to be made.</w:t>
      </w:r>
    </w:p>
    <w:p w:rsidR="00125084" w:rsidRPr="001A1CE6" w:rsidRDefault="00F328EA" w:rsidP="001A1CE6">
      <w:pPr>
        <w:pStyle w:val="ListParagraph"/>
        <w:numPr>
          <w:ilvl w:val="0"/>
          <w:numId w:val="10"/>
        </w:numPr>
        <w:spacing w:line="276" w:lineRule="auto"/>
        <w:rPr>
          <w:rFonts w:cstheme="minorHAnsi"/>
        </w:rPr>
      </w:pPr>
      <w:r>
        <w:rPr>
          <w:rFonts w:cstheme="minorHAnsi"/>
        </w:rPr>
        <w:t>Clarification of the meaning of creditor for the purpose of s 254T may be required.</w:t>
      </w:r>
    </w:p>
    <w:p w:rsidR="00F07449" w:rsidRDefault="00F07449" w:rsidP="00125084">
      <w:pPr>
        <w:pStyle w:val="ListParagraph"/>
        <w:spacing w:line="276" w:lineRule="auto"/>
        <w:rPr>
          <w:rFonts w:cstheme="minorHAnsi"/>
        </w:rPr>
      </w:pPr>
    </w:p>
    <w:p w:rsidR="00F328EA" w:rsidRPr="00A710C8" w:rsidRDefault="00F328EA" w:rsidP="00125084">
      <w:pPr>
        <w:spacing w:line="276" w:lineRule="auto"/>
        <w:rPr>
          <w:rFonts w:cstheme="minorHAnsi"/>
          <w:b/>
        </w:rPr>
      </w:pPr>
      <w:r w:rsidRPr="00A710C8">
        <w:rPr>
          <w:rFonts w:cstheme="minorHAnsi"/>
          <w:b/>
          <w:u w:val="single"/>
        </w:rPr>
        <w:t>Option 2</w:t>
      </w:r>
      <w:r w:rsidRPr="00A710C8">
        <w:rPr>
          <w:rFonts w:cstheme="minorHAnsi"/>
          <w:b/>
        </w:rPr>
        <w:t>: Adopting a solvency test</w:t>
      </w:r>
    </w:p>
    <w:p w:rsidR="00F96F41" w:rsidRDefault="005D1B81" w:rsidP="00125084">
      <w:pPr>
        <w:spacing w:line="276" w:lineRule="auto"/>
        <w:rPr>
          <w:rFonts w:cstheme="minorHAnsi"/>
        </w:rPr>
      </w:pPr>
      <w:r>
        <w:rPr>
          <w:rFonts w:cstheme="minorHAnsi"/>
        </w:rPr>
        <w:t xml:space="preserve">While this test has merits, </w:t>
      </w:r>
      <w:r w:rsidR="00F96F41">
        <w:rPr>
          <w:rFonts w:cstheme="minorHAnsi"/>
        </w:rPr>
        <w:t>altering</w:t>
      </w:r>
      <w:r w:rsidR="003C43B4">
        <w:rPr>
          <w:rFonts w:cstheme="minorHAnsi"/>
        </w:rPr>
        <w:t xml:space="preserve"> s 254T </w:t>
      </w:r>
      <w:r w:rsidR="00F96F41">
        <w:rPr>
          <w:rFonts w:cstheme="minorHAnsi"/>
        </w:rPr>
        <w:t>may lead to uncertainty as the test has been altered recently. The current test under s 254T should remain</w:t>
      </w:r>
      <w:r w:rsidR="00CE5170">
        <w:rPr>
          <w:rFonts w:cstheme="minorHAnsi"/>
        </w:rPr>
        <w:t xml:space="preserve"> in place</w:t>
      </w:r>
      <w:r w:rsidR="00F96F41">
        <w:rPr>
          <w:rFonts w:cstheme="minorHAnsi"/>
        </w:rPr>
        <w:t xml:space="preserve"> with some alteration to deal with the concerns raised by the application of the test. Further, option 2 is not perfect and is also subject to criticisms as noted in the discussion </w:t>
      </w:r>
      <w:r w:rsidR="00F96F41">
        <w:rPr>
          <w:rFonts w:cstheme="minorHAnsi"/>
        </w:rPr>
        <w:lastRenderedPageBreak/>
        <w:t>paper on p</w:t>
      </w:r>
      <w:r w:rsidR="001A1CE6">
        <w:rPr>
          <w:rFonts w:cstheme="minorHAnsi"/>
        </w:rPr>
        <w:t>age</w:t>
      </w:r>
      <w:r w:rsidR="00F96F41">
        <w:rPr>
          <w:rFonts w:cstheme="minorHAnsi"/>
        </w:rPr>
        <w:t xml:space="preserve"> 7. One of the main con</w:t>
      </w:r>
      <w:r w:rsidR="00CE5170">
        <w:rPr>
          <w:rFonts w:cstheme="minorHAnsi"/>
        </w:rPr>
        <w:t>cerns is that the test does not</w:t>
      </w:r>
      <w:r w:rsidR="00F96F41">
        <w:rPr>
          <w:rFonts w:cstheme="minorHAnsi"/>
        </w:rPr>
        <w:t xml:space="preserve"> have an express link with the accounting standards.</w:t>
      </w:r>
    </w:p>
    <w:p w:rsidR="00F96F41" w:rsidRDefault="00F96F41" w:rsidP="00125084">
      <w:pPr>
        <w:spacing w:line="276" w:lineRule="auto"/>
        <w:rPr>
          <w:rFonts w:cstheme="minorHAnsi"/>
        </w:rPr>
      </w:pPr>
    </w:p>
    <w:p w:rsidR="00F96F41" w:rsidRPr="00A710C8" w:rsidRDefault="00F96F41" w:rsidP="00125084">
      <w:pPr>
        <w:spacing w:line="276" w:lineRule="auto"/>
        <w:rPr>
          <w:rFonts w:cstheme="minorHAnsi"/>
          <w:b/>
        </w:rPr>
      </w:pPr>
      <w:r w:rsidRPr="00A710C8">
        <w:rPr>
          <w:rFonts w:cstheme="minorHAnsi"/>
          <w:b/>
          <w:u w:val="single"/>
        </w:rPr>
        <w:t>Option 3</w:t>
      </w:r>
      <w:r w:rsidRPr="00A710C8">
        <w:rPr>
          <w:rFonts w:cstheme="minorHAnsi"/>
          <w:b/>
        </w:rPr>
        <w:t>: Reinstating the profits-based test</w:t>
      </w:r>
    </w:p>
    <w:p w:rsidR="00F96F41" w:rsidRDefault="00F96F41" w:rsidP="00125084">
      <w:pPr>
        <w:spacing w:line="276" w:lineRule="auto"/>
        <w:rPr>
          <w:rFonts w:cstheme="minorHAnsi"/>
        </w:rPr>
      </w:pPr>
      <w:r>
        <w:rPr>
          <w:rFonts w:cstheme="minorHAnsi"/>
        </w:rPr>
        <w:t>The submission reject</w:t>
      </w:r>
      <w:r w:rsidR="001A1CE6">
        <w:rPr>
          <w:rFonts w:cstheme="minorHAnsi"/>
        </w:rPr>
        <w:t>s</w:t>
      </w:r>
      <w:r>
        <w:rPr>
          <w:rFonts w:cstheme="minorHAnsi"/>
        </w:rPr>
        <w:t xml:space="preserve"> such a proposal as the profits-based test i</w:t>
      </w:r>
      <w:r w:rsidR="00CE5170">
        <w:rPr>
          <w:rFonts w:cstheme="minorHAnsi"/>
        </w:rPr>
        <w:t>s problematic</w:t>
      </w:r>
      <w:r>
        <w:rPr>
          <w:rFonts w:cstheme="minorHAnsi"/>
        </w:rPr>
        <w:t xml:space="preserve">. That is why it was </w:t>
      </w:r>
      <w:r w:rsidR="00125084">
        <w:rPr>
          <w:rFonts w:cstheme="minorHAnsi"/>
        </w:rPr>
        <w:t>altered in the first place</w:t>
      </w:r>
      <w:r>
        <w:rPr>
          <w:rFonts w:cstheme="minorHAnsi"/>
        </w:rPr>
        <w:t xml:space="preserve">. Returning to </w:t>
      </w:r>
      <w:r w:rsidR="00125084">
        <w:rPr>
          <w:rFonts w:cstheme="minorHAnsi"/>
        </w:rPr>
        <w:t>this test</w:t>
      </w:r>
      <w:r>
        <w:rPr>
          <w:rFonts w:cstheme="minorHAnsi"/>
        </w:rPr>
        <w:t xml:space="preserve"> will only exacerbate the problems that already existed with the </w:t>
      </w:r>
      <w:r w:rsidR="00125084">
        <w:rPr>
          <w:rFonts w:cstheme="minorHAnsi"/>
        </w:rPr>
        <w:t xml:space="preserve">old system. </w:t>
      </w:r>
    </w:p>
    <w:p w:rsidR="00F96F41" w:rsidRDefault="00F96F41" w:rsidP="00125084">
      <w:pPr>
        <w:spacing w:line="276" w:lineRule="auto"/>
        <w:rPr>
          <w:rFonts w:cstheme="minorHAnsi"/>
        </w:rPr>
      </w:pPr>
    </w:p>
    <w:p w:rsidR="00F96F41" w:rsidRPr="00A710C8" w:rsidRDefault="00F96F41" w:rsidP="00125084">
      <w:pPr>
        <w:spacing w:line="276" w:lineRule="auto"/>
        <w:rPr>
          <w:rFonts w:cstheme="minorHAnsi"/>
          <w:b/>
        </w:rPr>
      </w:pPr>
      <w:r w:rsidRPr="00A710C8">
        <w:rPr>
          <w:rFonts w:cstheme="minorHAnsi"/>
          <w:b/>
          <w:u w:val="single"/>
        </w:rPr>
        <w:t>Option 4:</w:t>
      </w:r>
      <w:r w:rsidRPr="00A710C8">
        <w:rPr>
          <w:rFonts w:cstheme="minorHAnsi"/>
          <w:b/>
        </w:rPr>
        <w:t xml:space="preserve"> </w:t>
      </w:r>
      <w:r w:rsidR="00125084" w:rsidRPr="00A710C8">
        <w:rPr>
          <w:rFonts w:cstheme="minorHAnsi"/>
          <w:b/>
        </w:rPr>
        <w:t>Adopting new arrangements under which a company would have two ways of determinin</w:t>
      </w:r>
      <w:r w:rsidR="00A710C8">
        <w:rPr>
          <w:rFonts w:cstheme="minorHAnsi"/>
          <w:b/>
        </w:rPr>
        <w:t>g whether it could pay dividend</w:t>
      </w:r>
    </w:p>
    <w:p w:rsidR="00125084" w:rsidRDefault="00125084" w:rsidP="00125084">
      <w:pPr>
        <w:spacing w:line="276" w:lineRule="auto"/>
        <w:rPr>
          <w:rFonts w:cstheme="minorHAnsi"/>
        </w:rPr>
      </w:pPr>
      <w:r>
        <w:rPr>
          <w:rFonts w:cstheme="minorHAnsi"/>
        </w:rPr>
        <w:t xml:space="preserve">The submission rejects such a proposal. This option will only lead corporations to choose the option that is more practical to them rather than what may be deemed as a good option. This option basically is the easy option for a legislator to choose if the legislator does not want to make the difficult decision on what test should be applied when determining the dividend payment. </w:t>
      </w:r>
      <w:r w:rsidR="00D070BF">
        <w:rPr>
          <w:rFonts w:cstheme="minorHAnsi"/>
        </w:rPr>
        <w:t>Further,</w:t>
      </w:r>
      <w:r>
        <w:rPr>
          <w:rFonts w:cstheme="minorHAnsi"/>
        </w:rPr>
        <w:t xml:space="preserve"> option </w:t>
      </w:r>
      <w:r w:rsidR="00D070BF">
        <w:rPr>
          <w:rFonts w:cstheme="minorHAnsi"/>
        </w:rPr>
        <w:t xml:space="preserve">4 </w:t>
      </w:r>
      <w:r>
        <w:rPr>
          <w:rFonts w:cstheme="minorHAnsi"/>
        </w:rPr>
        <w:t xml:space="preserve">does not necessarily make good law. One </w:t>
      </w:r>
      <w:r w:rsidR="00625ED7">
        <w:rPr>
          <w:rFonts w:cstheme="minorHAnsi"/>
        </w:rPr>
        <w:t>test</w:t>
      </w:r>
      <w:r>
        <w:rPr>
          <w:rFonts w:cstheme="minorHAnsi"/>
        </w:rPr>
        <w:t xml:space="preserve"> and one test only should be appl</w:t>
      </w:r>
      <w:r w:rsidR="00625ED7">
        <w:rPr>
          <w:rFonts w:cstheme="minorHAnsi"/>
        </w:rPr>
        <w:t>ied to determine when dividend may</w:t>
      </w:r>
      <w:r>
        <w:rPr>
          <w:rFonts w:cstheme="minorHAnsi"/>
        </w:rPr>
        <w:t xml:space="preserve"> be paid.</w:t>
      </w:r>
    </w:p>
    <w:p w:rsidR="00125084" w:rsidRPr="00676AA2" w:rsidRDefault="00125084" w:rsidP="00125084">
      <w:pPr>
        <w:pStyle w:val="ListParagraph"/>
        <w:rPr>
          <w:rFonts w:cstheme="minorHAnsi"/>
        </w:rPr>
      </w:pPr>
    </w:p>
    <w:p w:rsidR="00125084" w:rsidRPr="00676AA2" w:rsidRDefault="00125084" w:rsidP="00125084">
      <w:pPr>
        <w:pStyle w:val="Heading1"/>
        <w:spacing w:before="0" w:after="0"/>
        <w:rPr>
          <w:rFonts w:cstheme="minorHAnsi"/>
          <w:sz w:val="24"/>
          <w:szCs w:val="24"/>
        </w:rPr>
      </w:pPr>
      <w:r>
        <w:rPr>
          <w:rFonts w:cstheme="minorHAnsi"/>
          <w:sz w:val="24"/>
          <w:szCs w:val="24"/>
        </w:rPr>
        <w:t>Use of ‘Declared’</w:t>
      </w:r>
    </w:p>
    <w:p w:rsidR="00125084" w:rsidRDefault="00125084" w:rsidP="00125084">
      <w:pPr>
        <w:spacing w:line="276" w:lineRule="auto"/>
        <w:rPr>
          <w:rFonts w:cstheme="minorHAnsi"/>
        </w:rPr>
      </w:pPr>
    </w:p>
    <w:p w:rsidR="00125084" w:rsidRPr="00F96F41" w:rsidRDefault="00125084" w:rsidP="00125084">
      <w:pPr>
        <w:spacing w:line="276" w:lineRule="auto"/>
        <w:rPr>
          <w:rFonts w:cstheme="minorHAnsi"/>
        </w:rPr>
      </w:pPr>
      <w:r>
        <w:rPr>
          <w:rFonts w:cstheme="minorHAnsi"/>
        </w:rPr>
        <w:t xml:space="preserve">The submission supports the proposal to alter s 254T as the terminology in s </w:t>
      </w:r>
      <w:r w:rsidR="00CE5170">
        <w:rPr>
          <w:rFonts w:cstheme="minorHAnsi"/>
        </w:rPr>
        <w:t>254T should be in line with the one</w:t>
      </w:r>
      <w:r>
        <w:rPr>
          <w:rFonts w:cstheme="minorHAnsi"/>
        </w:rPr>
        <w:t xml:space="preserve"> used in s 254U. This will ensure consistency of the legislation and will lessen the confusion that may arise from the application of these provisions.</w:t>
      </w:r>
    </w:p>
    <w:p w:rsidR="00A710C8" w:rsidRPr="00A710C8" w:rsidRDefault="00A710C8" w:rsidP="00A710C8">
      <w:pPr>
        <w:rPr>
          <w:rFonts w:cstheme="minorHAnsi"/>
        </w:rPr>
      </w:pPr>
    </w:p>
    <w:p w:rsidR="00A710C8" w:rsidRPr="00676AA2" w:rsidRDefault="00A710C8" w:rsidP="00A710C8">
      <w:pPr>
        <w:pStyle w:val="Heading1"/>
        <w:rPr>
          <w:rFonts w:cstheme="minorHAnsi"/>
          <w:sz w:val="24"/>
          <w:szCs w:val="24"/>
        </w:rPr>
      </w:pPr>
      <w:r>
        <w:rPr>
          <w:rFonts w:cstheme="minorHAnsi"/>
          <w:sz w:val="24"/>
          <w:szCs w:val="24"/>
        </w:rPr>
        <w:t>Inter-re</w:t>
      </w:r>
      <w:r w:rsidR="001A1CE6">
        <w:rPr>
          <w:rFonts w:cstheme="minorHAnsi"/>
          <w:sz w:val="24"/>
          <w:szCs w:val="24"/>
        </w:rPr>
        <w:t>lationship between the dividend</w:t>
      </w:r>
      <w:r>
        <w:rPr>
          <w:rFonts w:cstheme="minorHAnsi"/>
          <w:sz w:val="24"/>
          <w:szCs w:val="24"/>
        </w:rPr>
        <w:t xml:space="preserve"> test and capital maintenance provisions</w:t>
      </w:r>
    </w:p>
    <w:p w:rsidR="00A710C8" w:rsidRDefault="00A710C8" w:rsidP="00A710C8">
      <w:pPr>
        <w:rPr>
          <w:rFonts w:cstheme="minorHAnsi"/>
        </w:rPr>
      </w:pPr>
    </w:p>
    <w:p w:rsidR="00A710C8" w:rsidRDefault="00A710C8" w:rsidP="00A710C8">
      <w:pPr>
        <w:rPr>
          <w:rFonts w:cstheme="minorHAnsi"/>
        </w:rPr>
      </w:pPr>
      <w:r>
        <w:rPr>
          <w:rFonts w:cstheme="minorHAnsi"/>
        </w:rPr>
        <w:t xml:space="preserve">The submission does not believe that a legislative amendment is required </w:t>
      </w:r>
      <w:r w:rsidR="00CE5170">
        <w:rPr>
          <w:rFonts w:cstheme="minorHAnsi"/>
        </w:rPr>
        <w:t xml:space="preserve">regarding this matter. </w:t>
      </w:r>
      <w:r>
        <w:rPr>
          <w:rFonts w:cstheme="minorHAnsi"/>
        </w:rPr>
        <w:t>The payment of dividend in contravention to s 254T may lead to a reduction of capital. Further, the payment of dividend may fall under the financial assistance prohibition.</w:t>
      </w:r>
      <w:r>
        <w:rPr>
          <w:rStyle w:val="FootnoteReference"/>
          <w:rFonts w:cstheme="minorHAnsi"/>
        </w:rPr>
        <w:footnoteReference w:id="7"/>
      </w:r>
      <w:r>
        <w:rPr>
          <w:rFonts w:cstheme="minorHAnsi"/>
        </w:rPr>
        <w:t xml:space="preserve"> </w:t>
      </w:r>
    </w:p>
    <w:p w:rsidR="00A710C8" w:rsidRPr="00A710C8" w:rsidRDefault="00A710C8" w:rsidP="00A710C8">
      <w:pPr>
        <w:rPr>
          <w:rFonts w:cstheme="minorHAnsi"/>
        </w:rPr>
      </w:pPr>
    </w:p>
    <w:p w:rsidR="00A710C8" w:rsidRPr="00676AA2" w:rsidRDefault="00A710C8" w:rsidP="00A710C8">
      <w:pPr>
        <w:pStyle w:val="Heading1"/>
        <w:rPr>
          <w:rFonts w:cstheme="minorHAnsi"/>
          <w:sz w:val="24"/>
          <w:szCs w:val="24"/>
        </w:rPr>
      </w:pPr>
      <w:r>
        <w:rPr>
          <w:rFonts w:cstheme="minorHAnsi"/>
          <w:sz w:val="24"/>
          <w:szCs w:val="24"/>
        </w:rPr>
        <w:t>The application of the test to group companies</w:t>
      </w:r>
    </w:p>
    <w:p w:rsidR="00A710C8" w:rsidRDefault="00A710C8" w:rsidP="00125084">
      <w:pPr>
        <w:spacing w:line="276" w:lineRule="auto"/>
        <w:jc w:val="left"/>
        <w:rPr>
          <w:rFonts w:cstheme="minorHAnsi"/>
        </w:rPr>
      </w:pPr>
    </w:p>
    <w:p w:rsidR="00A710C8" w:rsidRDefault="00A710C8" w:rsidP="00125084">
      <w:pPr>
        <w:spacing w:line="276" w:lineRule="auto"/>
        <w:jc w:val="left"/>
        <w:rPr>
          <w:rFonts w:cstheme="minorHAnsi"/>
        </w:rPr>
      </w:pPr>
      <w:r>
        <w:rPr>
          <w:rFonts w:cstheme="minorHAnsi"/>
        </w:rPr>
        <w:t>No comment.</w:t>
      </w:r>
    </w:p>
    <w:p w:rsidR="00A710C8" w:rsidRPr="00A710C8" w:rsidRDefault="00A710C8" w:rsidP="00A710C8">
      <w:pPr>
        <w:rPr>
          <w:rFonts w:cstheme="minorHAnsi"/>
        </w:rPr>
      </w:pPr>
    </w:p>
    <w:p w:rsidR="00A710C8" w:rsidRPr="00676AA2" w:rsidRDefault="00A710C8" w:rsidP="00A710C8">
      <w:pPr>
        <w:pStyle w:val="Heading1"/>
        <w:rPr>
          <w:rFonts w:cstheme="minorHAnsi"/>
          <w:sz w:val="24"/>
          <w:szCs w:val="24"/>
        </w:rPr>
      </w:pPr>
      <w:r>
        <w:rPr>
          <w:rFonts w:cstheme="minorHAnsi"/>
          <w:sz w:val="24"/>
          <w:szCs w:val="24"/>
        </w:rPr>
        <w:lastRenderedPageBreak/>
        <w:t>Conclusion</w:t>
      </w:r>
    </w:p>
    <w:p w:rsidR="00A710C8" w:rsidRDefault="00D16DFD" w:rsidP="00D16DFD">
      <w:pPr>
        <w:spacing w:line="276" w:lineRule="auto"/>
        <w:rPr>
          <w:rFonts w:cstheme="minorHAnsi"/>
        </w:rPr>
      </w:pPr>
      <w:r>
        <w:rPr>
          <w:rFonts w:cstheme="minorHAnsi"/>
        </w:rPr>
        <w:t>The test applied when deciding whether dividend may be paid is a very important test. This test should provide protection to creditors and member</w:t>
      </w:r>
      <w:r w:rsidR="001A1CE6">
        <w:rPr>
          <w:rFonts w:cstheme="minorHAnsi"/>
        </w:rPr>
        <w:t>s of a</w:t>
      </w:r>
      <w:r>
        <w:rPr>
          <w:rFonts w:cstheme="minorHAnsi"/>
        </w:rPr>
        <w:t xml:space="preserve"> company. While the current test suffers from deficiencies, it is better than its predecessor as it allows for the application of a more objective test when determining whether dividend </w:t>
      </w:r>
      <w:r w:rsidR="00625ED7">
        <w:rPr>
          <w:rFonts w:cstheme="minorHAnsi"/>
        </w:rPr>
        <w:t>may</w:t>
      </w:r>
      <w:r>
        <w:rPr>
          <w:rFonts w:cstheme="minorHAnsi"/>
        </w:rPr>
        <w:t xml:space="preserve"> be paid. Consequently, the submission supports the option of retaining the current test. However</w:t>
      </w:r>
      <w:r w:rsidR="00CE5170">
        <w:rPr>
          <w:rFonts w:cstheme="minorHAnsi"/>
        </w:rPr>
        <w:t>,</w:t>
      </w:r>
      <w:r>
        <w:rPr>
          <w:rFonts w:cstheme="minorHAnsi"/>
        </w:rPr>
        <w:t xml:space="preserve"> a proposal is made to make certain alteration</w:t>
      </w:r>
      <w:r w:rsidR="001A1CE6">
        <w:rPr>
          <w:rFonts w:cstheme="minorHAnsi"/>
        </w:rPr>
        <w:t>s</w:t>
      </w:r>
      <w:r>
        <w:rPr>
          <w:rFonts w:cstheme="minorHAnsi"/>
        </w:rPr>
        <w:t xml:space="preserve"> to the test to deal with the concerns raised </w:t>
      </w:r>
      <w:r w:rsidR="00625ED7">
        <w:rPr>
          <w:rFonts w:cstheme="minorHAnsi"/>
        </w:rPr>
        <w:t>regarding</w:t>
      </w:r>
      <w:r>
        <w:rPr>
          <w:rFonts w:cstheme="minorHAnsi"/>
        </w:rPr>
        <w:t xml:space="preserve"> its application. </w:t>
      </w:r>
    </w:p>
    <w:p w:rsidR="00A710C8" w:rsidRDefault="00A710C8" w:rsidP="00125084">
      <w:pPr>
        <w:spacing w:line="276" w:lineRule="auto"/>
        <w:jc w:val="left"/>
        <w:rPr>
          <w:rFonts w:cstheme="minorHAnsi"/>
        </w:rPr>
      </w:pPr>
    </w:p>
    <w:p w:rsidR="00D16DFD" w:rsidRDefault="00D16DFD" w:rsidP="00125084">
      <w:pPr>
        <w:spacing w:line="276" w:lineRule="auto"/>
        <w:jc w:val="left"/>
        <w:rPr>
          <w:rFonts w:cstheme="minorHAnsi"/>
        </w:rPr>
      </w:pPr>
    </w:p>
    <w:p w:rsidR="00D16DFD" w:rsidRDefault="00D16DFD" w:rsidP="00125084">
      <w:pPr>
        <w:spacing w:line="276" w:lineRule="auto"/>
        <w:jc w:val="left"/>
        <w:rPr>
          <w:rFonts w:cstheme="minorHAnsi"/>
        </w:rPr>
      </w:pPr>
      <w:r>
        <w:rPr>
          <w:rFonts w:cstheme="minorHAnsi"/>
        </w:rPr>
        <w:t>Dr Marina Nehme</w:t>
      </w:r>
    </w:p>
    <w:p w:rsidR="00D16DFD" w:rsidRDefault="001A1CE6" w:rsidP="00125084">
      <w:pPr>
        <w:spacing w:line="276" w:lineRule="auto"/>
        <w:jc w:val="left"/>
        <w:rPr>
          <w:rFonts w:cstheme="minorHAnsi"/>
        </w:rPr>
      </w:pPr>
      <w:r>
        <w:rPr>
          <w:rFonts w:cstheme="minorHAnsi"/>
        </w:rPr>
        <w:t>6</w:t>
      </w:r>
      <w:r w:rsidR="00D16DFD">
        <w:rPr>
          <w:rFonts w:cstheme="minorHAnsi"/>
        </w:rPr>
        <w:t xml:space="preserve"> January 2011</w:t>
      </w:r>
    </w:p>
    <w:p w:rsidR="00376A0F" w:rsidRPr="00676AA2" w:rsidRDefault="00376A0F" w:rsidP="00D16DFD">
      <w:pPr>
        <w:spacing w:line="276" w:lineRule="auto"/>
        <w:jc w:val="left"/>
        <w:rPr>
          <w:rFonts w:cstheme="minorHAnsi"/>
        </w:rPr>
      </w:pPr>
    </w:p>
    <w:sectPr w:rsidR="00376A0F" w:rsidRPr="00676AA2" w:rsidSect="00376A0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D7" w:rsidRDefault="00625ED7" w:rsidP="00901BF1">
      <w:r>
        <w:separator/>
      </w:r>
    </w:p>
  </w:endnote>
  <w:endnote w:type="continuationSeparator" w:id="0">
    <w:p w:rsidR="00625ED7" w:rsidRDefault="00625ED7" w:rsidP="009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5437"/>
      <w:docPartObj>
        <w:docPartGallery w:val="Page Numbers (Bottom of Page)"/>
        <w:docPartUnique/>
      </w:docPartObj>
    </w:sdtPr>
    <w:sdtEndPr/>
    <w:sdtContent>
      <w:p w:rsidR="00625ED7" w:rsidRDefault="00EA5014">
        <w:pPr>
          <w:pStyle w:val="Footer"/>
          <w:jc w:val="right"/>
        </w:pPr>
        <w:r>
          <w:fldChar w:fldCharType="begin"/>
        </w:r>
        <w:r>
          <w:instrText xml:space="preserve"> PAGE   \* MERGEFORMAT </w:instrText>
        </w:r>
        <w:r>
          <w:fldChar w:fldCharType="separate"/>
        </w:r>
        <w:r w:rsidR="00F65344">
          <w:rPr>
            <w:noProof/>
          </w:rPr>
          <w:t>1</w:t>
        </w:r>
        <w:r>
          <w:rPr>
            <w:noProof/>
          </w:rPr>
          <w:fldChar w:fldCharType="end"/>
        </w:r>
      </w:p>
    </w:sdtContent>
  </w:sdt>
  <w:p w:rsidR="00625ED7" w:rsidRDefault="00625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D7" w:rsidRDefault="00625ED7" w:rsidP="00901BF1">
      <w:r>
        <w:separator/>
      </w:r>
    </w:p>
  </w:footnote>
  <w:footnote w:type="continuationSeparator" w:id="0">
    <w:p w:rsidR="00625ED7" w:rsidRDefault="00625ED7" w:rsidP="00901BF1">
      <w:r>
        <w:continuationSeparator/>
      </w:r>
    </w:p>
  </w:footnote>
  <w:footnote w:id="1">
    <w:p w:rsidR="00625ED7" w:rsidRPr="0078128D" w:rsidRDefault="00625ED7">
      <w:pPr>
        <w:pStyle w:val="FootnoteText"/>
      </w:pPr>
      <w:r>
        <w:rPr>
          <w:rStyle w:val="FootnoteReference"/>
        </w:rPr>
        <w:footnoteRef/>
      </w:r>
      <w:r>
        <w:t xml:space="preserve"> Kris </w:t>
      </w:r>
      <w:proofErr w:type="spellStart"/>
      <w:r>
        <w:t>Arjunan</w:t>
      </w:r>
      <w:proofErr w:type="spellEnd"/>
      <w:r>
        <w:t xml:space="preserve"> and </w:t>
      </w:r>
      <w:proofErr w:type="spellStart"/>
      <w:r>
        <w:t>Chee</w:t>
      </w:r>
      <w:proofErr w:type="spellEnd"/>
      <w:r>
        <w:t xml:space="preserve"> </w:t>
      </w:r>
      <w:proofErr w:type="spellStart"/>
      <w:r>
        <w:t>Keong</w:t>
      </w:r>
      <w:proofErr w:type="spellEnd"/>
      <w:r>
        <w:t xml:space="preserve"> Low, ‘Dividends: A Comparative Analysis of the Provisions in Hong Kong and Australia’ (1995) 5 </w:t>
      </w:r>
      <w:r>
        <w:rPr>
          <w:i/>
        </w:rPr>
        <w:t xml:space="preserve">Australian Journal of Corporate Law </w:t>
      </w:r>
      <w:r>
        <w:t>455, 455.</w:t>
      </w:r>
    </w:p>
  </w:footnote>
  <w:footnote w:id="2">
    <w:p w:rsidR="00625ED7" w:rsidRPr="002B5B92" w:rsidRDefault="00625ED7">
      <w:pPr>
        <w:pStyle w:val="FootnoteText"/>
      </w:pPr>
      <w:r>
        <w:rPr>
          <w:rStyle w:val="FootnoteReference"/>
        </w:rPr>
        <w:footnoteRef/>
      </w:r>
      <w:r>
        <w:t xml:space="preserve"> Wai-</w:t>
      </w:r>
      <w:proofErr w:type="spellStart"/>
      <w:r>
        <w:t>Meng</w:t>
      </w:r>
      <w:proofErr w:type="spellEnd"/>
      <w:r>
        <w:t xml:space="preserve"> Chan, S </w:t>
      </w:r>
      <w:proofErr w:type="spellStart"/>
      <w:r>
        <w:t>Susela</w:t>
      </w:r>
      <w:proofErr w:type="spellEnd"/>
      <w:r>
        <w:t xml:space="preserve"> Devi, </w:t>
      </w:r>
      <w:proofErr w:type="spellStart"/>
      <w:r>
        <w:t>Sai</w:t>
      </w:r>
      <w:proofErr w:type="spellEnd"/>
      <w:r>
        <w:t xml:space="preserve">-Leong Lee and </w:t>
      </w:r>
      <w:proofErr w:type="spellStart"/>
      <w:r>
        <w:t>Kok</w:t>
      </w:r>
      <w:proofErr w:type="spellEnd"/>
      <w:r>
        <w:t xml:space="preserve">-Thy Ng, ‘Convergence to International Financial Reporting Standards (IFRS): The Need to Tighten the Rule on Divisible Profit’ (2010) 4(17) </w:t>
      </w:r>
      <w:r>
        <w:rPr>
          <w:i/>
        </w:rPr>
        <w:t xml:space="preserve">African Journal of Business and Management </w:t>
      </w:r>
      <w:r>
        <w:t>3588, 3591.</w:t>
      </w:r>
    </w:p>
  </w:footnote>
  <w:footnote w:id="3">
    <w:p w:rsidR="00625ED7" w:rsidRPr="00E6072F" w:rsidRDefault="00625ED7">
      <w:pPr>
        <w:pStyle w:val="FootnoteText"/>
      </w:pPr>
      <w:r>
        <w:rPr>
          <w:rStyle w:val="FootnoteReference"/>
        </w:rPr>
        <w:footnoteRef/>
      </w:r>
      <w:r>
        <w:t xml:space="preserve"> Jason Harris, Anil Hargovan and Michael Adams, </w:t>
      </w:r>
      <w:r>
        <w:rPr>
          <w:i/>
        </w:rPr>
        <w:t xml:space="preserve">Australian Corporate Law </w:t>
      </w:r>
      <w:r>
        <w:t xml:space="preserve">(Lexis </w:t>
      </w:r>
      <w:proofErr w:type="spellStart"/>
      <w:r>
        <w:t>Nexis</w:t>
      </w:r>
      <w:proofErr w:type="spellEnd"/>
      <w:r>
        <w:t>, 3</w:t>
      </w:r>
      <w:r w:rsidRPr="00E6072F">
        <w:rPr>
          <w:vertAlign w:val="superscript"/>
        </w:rPr>
        <w:t>rd</w:t>
      </w:r>
      <w:r>
        <w:t xml:space="preserve"> </w:t>
      </w:r>
      <w:proofErr w:type="spellStart"/>
      <w:proofErr w:type="gramStart"/>
      <w:r>
        <w:t>ed</w:t>
      </w:r>
      <w:proofErr w:type="spellEnd"/>
      <w:proofErr w:type="gramEnd"/>
      <w:r>
        <w:t>, 2011), 644.</w:t>
      </w:r>
    </w:p>
  </w:footnote>
  <w:footnote w:id="4">
    <w:p w:rsidR="00625ED7" w:rsidRPr="00E77BA0" w:rsidRDefault="00625ED7">
      <w:pPr>
        <w:pStyle w:val="FootnoteText"/>
      </w:pPr>
      <w:r>
        <w:rPr>
          <w:rStyle w:val="FootnoteReference"/>
        </w:rPr>
        <w:footnoteRef/>
      </w:r>
      <w:r>
        <w:t xml:space="preserve"> </w:t>
      </w:r>
      <w:r>
        <w:rPr>
          <w:i/>
        </w:rPr>
        <w:t xml:space="preserve">In the Matter of </w:t>
      </w:r>
      <w:proofErr w:type="spellStart"/>
      <w:r>
        <w:rPr>
          <w:i/>
        </w:rPr>
        <w:t>Centr</w:t>
      </w:r>
      <w:proofErr w:type="spellEnd"/>
      <w:r>
        <w:rPr>
          <w:i/>
        </w:rPr>
        <w:t xml:space="preserve"> Properties Limited and CPT Manager Limited in its Capacity as Responsible Entity of Centro Property Trust </w:t>
      </w:r>
      <w:r>
        <w:t>[2011] NSWSC 1171 (5 October 2011), [48].</w:t>
      </w:r>
    </w:p>
  </w:footnote>
  <w:footnote w:id="5">
    <w:p w:rsidR="00625ED7" w:rsidRDefault="00625ED7">
      <w:pPr>
        <w:pStyle w:val="FootnoteText"/>
      </w:pPr>
      <w:r>
        <w:rPr>
          <w:rStyle w:val="FootnoteReference"/>
        </w:rPr>
        <w:footnoteRef/>
      </w:r>
      <w:r>
        <w:t xml:space="preserve"> </w:t>
      </w:r>
      <w:proofErr w:type="gramStart"/>
      <w:r>
        <w:t>Harris, Hargovan and Adams, above n 3, 644.</w:t>
      </w:r>
      <w:proofErr w:type="gramEnd"/>
    </w:p>
  </w:footnote>
  <w:footnote w:id="6">
    <w:p w:rsidR="00625ED7" w:rsidRPr="001A41C2" w:rsidRDefault="00625ED7">
      <w:pPr>
        <w:pStyle w:val="FootnoteText"/>
      </w:pPr>
      <w:r>
        <w:rPr>
          <w:rStyle w:val="FootnoteReference"/>
        </w:rPr>
        <w:footnoteRef/>
      </w:r>
      <w:r>
        <w:t xml:space="preserve"> King </w:t>
      </w:r>
      <w:proofErr w:type="spellStart"/>
      <w:r>
        <w:t>Fuei</w:t>
      </w:r>
      <w:proofErr w:type="spellEnd"/>
      <w:r>
        <w:t xml:space="preserve"> Lee, ‘Retain Minority Shareholders and Corporate Reputation as Determinant of Dividend Policy in Australia’ (2010) 18(4) </w:t>
      </w:r>
      <w:r>
        <w:rPr>
          <w:i/>
        </w:rPr>
        <w:t xml:space="preserve">Pacific-Basin Finance Journal </w:t>
      </w:r>
      <w:r>
        <w:t>351.</w:t>
      </w:r>
    </w:p>
  </w:footnote>
  <w:footnote w:id="7">
    <w:p w:rsidR="00625ED7" w:rsidRPr="00A710C8" w:rsidRDefault="00625ED7">
      <w:pPr>
        <w:pStyle w:val="FootnoteText"/>
      </w:pPr>
      <w:r>
        <w:rPr>
          <w:rStyle w:val="FootnoteReference"/>
        </w:rPr>
        <w:footnoteRef/>
      </w:r>
      <w:r>
        <w:t xml:space="preserve"> See for example: </w:t>
      </w:r>
      <w:r>
        <w:rPr>
          <w:i/>
        </w:rPr>
        <w:t xml:space="preserve">Ventura Investment Management Limited, in the matter of Ventura Investment Limited </w:t>
      </w:r>
      <w:r>
        <w:t>[2011] FCA 721 (20 June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A2965"/>
    <w:multiLevelType w:val="hybridMultilevel"/>
    <w:tmpl w:val="717A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9F71A4"/>
    <w:multiLevelType w:val="hybridMultilevel"/>
    <w:tmpl w:val="FB06E02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
    <w:nsid w:val="36D24F40"/>
    <w:multiLevelType w:val="multilevel"/>
    <w:tmpl w:val="2E04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C93169"/>
    <w:multiLevelType w:val="hybridMultilevel"/>
    <w:tmpl w:val="8732189A"/>
    <w:lvl w:ilvl="0" w:tplc="0C090001">
      <w:start w:val="1"/>
      <w:numFmt w:val="bullet"/>
      <w:lvlText w:val=""/>
      <w:lvlJc w:val="left"/>
      <w:pPr>
        <w:ind w:left="3584" w:hanging="360"/>
      </w:pPr>
      <w:rPr>
        <w:rFonts w:ascii="Symbol" w:hAnsi="Symbol" w:hint="default"/>
      </w:rPr>
    </w:lvl>
    <w:lvl w:ilvl="1" w:tplc="0C090003" w:tentative="1">
      <w:start w:val="1"/>
      <w:numFmt w:val="bullet"/>
      <w:lvlText w:val="o"/>
      <w:lvlJc w:val="left"/>
      <w:pPr>
        <w:ind w:left="4304" w:hanging="360"/>
      </w:pPr>
      <w:rPr>
        <w:rFonts w:ascii="Courier New" w:hAnsi="Courier New" w:cs="Courier New" w:hint="default"/>
      </w:rPr>
    </w:lvl>
    <w:lvl w:ilvl="2" w:tplc="0C090005" w:tentative="1">
      <w:start w:val="1"/>
      <w:numFmt w:val="bullet"/>
      <w:lvlText w:val=""/>
      <w:lvlJc w:val="left"/>
      <w:pPr>
        <w:ind w:left="5024" w:hanging="360"/>
      </w:pPr>
      <w:rPr>
        <w:rFonts w:ascii="Wingdings" w:hAnsi="Wingdings" w:hint="default"/>
      </w:rPr>
    </w:lvl>
    <w:lvl w:ilvl="3" w:tplc="0C090001" w:tentative="1">
      <w:start w:val="1"/>
      <w:numFmt w:val="bullet"/>
      <w:lvlText w:val=""/>
      <w:lvlJc w:val="left"/>
      <w:pPr>
        <w:ind w:left="5744" w:hanging="360"/>
      </w:pPr>
      <w:rPr>
        <w:rFonts w:ascii="Symbol" w:hAnsi="Symbol" w:hint="default"/>
      </w:rPr>
    </w:lvl>
    <w:lvl w:ilvl="4" w:tplc="0C090003" w:tentative="1">
      <w:start w:val="1"/>
      <w:numFmt w:val="bullet"/>
      <w:lvlText w:val="o"/>
      <w:lvlJc w:val="left"/>
      <w:pPr>
        <w:ind w:left="6464" w:hanging="360"/>
      </w:pPr>
      <w:rPr>
        <w:rFonts w:ascii="Courier New" w:hAnsi="Courier New" w:cs="Courier New" w:hint="default"/>
      </w:rPr>
    </w:lvl>
    <w:lvl w:ilvl="5" w:tplc="0C090005" w:tentative="1">
      <w:start w:val="1"/>
      <w:numFmt w:val="bullet"/>
      <w:lvlText w:val=""/>
      <w:lvlJc w:val="left"/>
      <w:pPr>
        <w:ind w:left="7184" w:hanging="360"/>
      </w:pPr>
      <w:rPr>
        <w:rFonts w:ascii="Wingdings" w:hAnsi="Wingdings" w:hint="default"/>
      </w:rPr>
    </w:lvl>
    <w:lvl w:ilvl="6" w:tplc="0C090001" w:tentative="1">
      <w:start w:val="1"/>
      <w:numFmt w:val="bullet"/>
      <w:lvlText w:val=""/>
      <w:lvlJc w:val="left"/>
      <w:pPr>
        <w:ind w:left="7904" w:hanging="360"/>
      </w:pPr>
      <w:rPr>
        <w:rFonts w:ascii="Symbol" w:hAnsi="Symbol" w:hint="default"/>
      </w:rPr>
    </w:lvl>
    <w:lvl w:ilvl="7" w:tplc="0C090003" w:tentative="1">
      <w:start w:val="1"/>
      <w:numFmt w:val="bullet"/>
      <w:lvlText w:val="o"/>
      <w:lvlJc w:val="left"/>
      <w:pPr>
        <w:ind w:left="8624" w:hanging="360"/>
      </w:pPr>
      <w:rPr>
        <w:rFonts w:ascii="Courier New" w:hAnsi="Courier New" w:cs="Courier New" w:hint="default"/>
      </w:rPr>
    </w:lvl>
    <w:lvl w:ilvl="8" w:tplc="0C090005" w:tentative="1">
      <w:start w:val="1"/>
      <w:numFmt w:val="bullet"/>
      <w:lvlText w:val=""/>
      <w:lvlJc w:val="left"/>
      <w:pPr>
        <w:ind w:left="9344" w:hanging="360"/>
      </w:pPr>
      <w:rPr>
        <w:rFonts w:ascii="Wingdings" w:hAnsi="Wingdings" w:hint="default"/>
      </w:rPr>
    </w:lvl>
  </w:abstractNum>
  <w:abstractNum w:abstractNumId="4">
    <w:nsid w:val="3FC80B0D"/>
    <w:multiLevelType w:val="hybridMultilevel"/>
    <w:tmpl w:val="4A02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CD3985"/>
    <w:multiLevelType w:val="hybridMultilevel"/>
    <w:tmpl w:val="60703FCE"/>
    <w:lvl w:ilvl="0" w:tplc="78282E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763666"/>
    <w:multiLevelType w:val="hybridMultilevel"/>
    <w:tmpl w:val="59C0A38A"/>
    <w:lvl w:ilvl="0" w:tplc="0C090001">
      <w:start w:val="1"/>
      <w:numFmt w:val="bullet"/>
      <w:lvlText w:val=""/>
      <w:lvlJc w:val="left"/>
      <w:pPr>
        <w:ind w:left="3584" w:hanging="360"/>
      </w:pPr>
      <w:rPr>
        <w:rFonts w:ascii="Symbol" w:hAnsi="Symbol" w:hint="default"/>
      </w:rPr>
    </w:lvl>
    <w:lvl w:ilvl="1" w:tplc="0C090003" w:tentative="1">
      <w:start w:val="1"/>
      <w:numFmt w:val="bullet"/>
      <w:lvlText w:val="o"/>
      <w:lvlJc w:val="left"/>
      <w:pPr>
        <w:ind w:left="4304" w:hanging="360"/>
      </w:pPr>
      <w:rPr>
        <w:rFonts w:ascii="Courier New" w:hAnsi="Courier New" w:cs="Courier New" w:hint="default"/>
      </w:rPr>
    </w:lvl>
    <w:lvl w:ilvl="2" w:tplc="0C090005" w:tentative="1">
      <w:start w:val="1"/>
      <w:numFmt w:val="bullet"/>
      <w:lvlText w:val=""/>
      <w:lvlJc w:val="left"/>
      <w:pPr>
        <w:ind w:left="5024" w:hanging="360"/>
      </w:pPr>
      <w:rPr>
        <w:rFonts w:ascii="Wingdings" w:hAnsi="Wingdings" w:hint="default"/>
      </w:rPr>
    </w:lvl>
    <w:lvl w:ilvl="3" w:tplc="0C090001" w:tentative="1">
      <w:start w:val="1"/>
      <w:numFmt w:val="bullet"/>
      <w:lvlText w:val=""/>
      <w:lvlJc w:val="left"/>
      <w:pPr>
        <w:ind w:left="5744" w:hanging="360"/>
      </w:pPr>
      <w:rPr>
        <w:rFonts w:ascii="Symbol" w:hAnsi="Symbol" w:hint="default"/>
      </w:rPr>
    </w:lvl>
    <w:lvl w:ilvl="4" w:tplc="0C090003" w:tentative="1">
      <w:start w:val="1"/>
      <w:numFmt w:val="bullet"/>
      <w:lvlText w:val="o"/>
      <w:lvlJc w:val="left"/>
      <w:pPr>
        <w:ind w:left="6464" w:hanging="360"/>
      </w:pPr>
      <w:rPr>
        <w:rFonts w:ascii="Courier New" w:hAnsi="Courier New" w:cs="Courier New" w:hint="default"/>
      </w:rPr>
    </w:lvl>
    <w:lvl w:ilvl="5" w:tplc="0C090005" w:tentative="1">
      <w:start w:val="1"/>
      <w:numFmt w:val="bullet"/>
      <w:lvlText w:val=""/>
      <w:lvlJc w:val="left"/>
      <w:pPr>
        <w:ind w:left="7184" w:hanging="360"/>
      </w:pPr>
      <w:rPr>
        <w:rFonts w:ascii="Wingdings" w:hAnsi="Wingdings" w:hint="default"/>
      </w:rPr>
    </w:lvl>
    <w:lvl w:ilvl="6" w:tplc="0C090001" w:tentative="1">
      <w:start w:val="1"/>
      <w:numFmt w:val="bullet"/>
      <w:lvlText w:val=""/>
      <w:lvlJc w:val="left"/>
      <w:pPr>
        <w:ind w:left="7904" w:hanging="360"/>
      </w:pPr>
      <w:rPr>
        <w:rFonts w:ascii="Symbol" w:hAnsi="Symbol" w:hint="default"/>
      </w:rPr>
    </w:lvl>
    <w:lvl w:ilvl="7" w:tplc="0C090003" w:tentative="1">
      <w:start w:val="1"/>
      <w:numFmt w:val="bullet"/>
      <w:lvlText w:val="o"/>
      <w:lvlJc w:val="left"/>
      <w:pPr>
        <w:ind w:left="8624" w:hanging="360"/>
      </w:pPr>
      <w:rPr>
        <w:rFonts w:ascii="Courier New" w:hAnsi="Courier New" w:cs="Courier New" w:hint="default"/>
      </w:rPr>
    </w:lvl>
    <w:lvl w:ilvl="8" w:tplc="0C090005" w:tentative="1">
      <w:start w:val="1"/>
      <w:numFmt w:val="bullet"/>
      <w:lvlText w:val=""/>
      <w:lvlJc w:val="left"/>
      <w:pPr>
        <w:ind w:left="9344" w:hanging="360"/>
      </w:pPr>
      <w:rPr>
        <w:rFonts w:ascii="Wingdings" w:hAnsi="Wingdings" w:hint="default"/>
      </w:rPr>
    </w:lvl>
  </w:abstractNum>
  <w:abstractNum w:abstractNumId="7">
    <w:nsid w:val="656F2D72"/>
    <w:multiLevelType w:val="multilevel"/>
    <w:tmpl w:val="3A52E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273CC"/>
    <w:multiLevelType w:val="hybridMultilevel"/>
    <w:tmpl w:val="49A22B60"/>
    <w:lvl w:ilvl="0" w:tplc="78282E16">
      <w:numFmt w:val="bullet"/>
      <w:lvlText w:val="-"/>
      <w:lvlJc w:val="left"/>
      <w:pPr>
        <w:ind w:left="830" w:hanging="360"/>
      </w:pPr>
      <w:rPr>
        <w:rFonts w:ascii="Times New Roman" w:eastAsia="Times New Roman" w:hAnsi="Times New Roman" w:cs="Times New Roman"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9">
    <w:nsid w:val="7C506416"/>
    <w:multiLevelType w:val="hybridMultilevel"/>
    <w:tmpl w:val="C10216EC"/>
    <w:lvl w:ilvl="0" w:tplc="0C090001">
      <w:start w:val="1"/>
      <w:numFmt w:val="bullet"/>
      <w:lvlText w:val=""/>
      <w:lvlJc w:val="left"/>
      <w:pPr>
        <w:ind w:left="3584" w:hanging="360"/>
      </w:pPr>
      <w:rPr>
        <w:rFonts w:ascii="Symbol" w:hAnsi="Symbol" w:hint="default"/>
      </w:rPr>
    </w:lvl>
    <w:lvl w:ilvl="1" w:tplc="0C090003" w:tentative="1">
      <w:start w:val="1"/>
      <w:numFmt w:val="bullet"/>
      <w:lvlText w:val="o"/>
      <w:lvlJc w:val="left"/>
      <w:pPr>
        <w:ind w:left="4304" w:hanging="360"/>
      </w:pPr>
      <w:rPr>
        <w:rFonts w:ascii="Courier New" w:hAnsi="Courier New" w:cs="Courier New" w:hint="default"/>
      </w:rPr>
    </w:lvl>
    <w:lvl w:ilvl="2" w:tplc="0C090005" w:tentative="1">
      <w:start w:val="1"/>
      <w:numFmt w:val="bullet"/>
      <w:lvlText w:val=""/>
      <w:lvlJc w:val="left"/>
      <w:pPr>
        <w:ind w:left="5024" w:hanging="360"/>
      </w:pPr>
      <w:rPr>
        <w:rFonts w:ascii="Wingdings" w:hAnsi="Wingdings" w:hint="default"/>
      </w:rPr>
    </w:lvl>
    <w:lvl w:ilvl="3" w:tplc="0C090001" w:tentative="1">
      <w:start w:val="1"/>
      <w:numFmt w:val="bullet"/>
      <w:lvlText w:val=""/>
      <w:lvlJc w:val="left"/>
      <w:pPr>
        <w:ind w:left="5744" w:hanging="360"/>
      </w:pPr>
      <w:rPr>
        <w:rFonts w:ascii="Symbol" w:hAnsi="Symbol" w:hint="default"/>
      </w:rPr>
    </w:lvl>
    <w:lvl w:ilvl="4" w:tplc="0C090003" w:tentative="1">
      <w:start w:val="1"/>
      <w:numFmt w:val="bullet"/>
      <w:lvlText w:val="o"/>
      <w:lvlJc w:val="left"/>
      <w:pPr>
        <w:ind w:left="6464" w:hanging="360"/>
      </w:pPr>
      <w:rPr>
        <w:rFonts w:ascii="Courier New" w:hAnsi="Courier New" w:cs="Courier New" w:hint="default"/>
      </w:rPr>
    </w:lvl>
    <w:lvl w:ilvl="5" w:tplc="0C090005" w:tentative="1">
      <w:start w:val="1"/>
      <w:numFmt w:val="bullet"/>
      <w:lvlText w:val=""/>
      <w:lvlJc w:val="left"/>
      <w:pPr>
        <w:ind w:left="7184" w:hanging="360"/>
      </w:pPr>
      <w:rPr>
        <w:rFonts w:ascii="Wingdings" w:hAnsi="Wingdings" w:hint="default"/>
      </w:rPr>
    </w:lvl>
    <w:lvl w:ilvl="6" w:tplc="0C090001" w:tentative="1">
      <w:start w:val="1"/>
      <w:numFmt w:val="bullet"/>
      <w:lvlText w:val=""/>
      <w:lvlJc w:val="left"/>
      <w:pPr>
        <w:ind w:left="7904" w:hanging="360"/>
      </w:pPr>
      <w:rPr>
        <w:rFonts w:ascii="Symbol" w:hAnsi="Symbol" w:hint="default"/>
      </w:rPr>
    </w:lvl>
    <w:lvl w:ilvl="7" w:tplc="0C090003" w:tentative="1">
      <w:start w:val="1"/>
      <w:numFmt w:val="bullet"/>
      <w:lvlText w:val="o"/>
      <w:lvlJc w:val="left"/>
      <w:pPr>
        <w:ind w:left="8624" w:hanging="360"/>
      </w:pPr>
      <w:rPr>
        <w:rFonts w:ascii="Courier New" w:hAnsi="Courier New" w:cs="Courier New" w:hint="default"/>
      </w:rPr>
    </w:lvl>
    <w:lvl w:ilvl="8" w:tplc="0C090005" w:tentative="1">
      <w:start w:val="1"/>
      <w:numFmt w:val="bullet"/>
      <w:lvlText w:val=""/>
      <w:lvlJc w:val="left"/>
      <w:pPr>
        <w:ind w:left="9344"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0"/>
  </w:num>
  <w:num w:numId="6">
    <w:abstractNumId w:val="1"/>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1BF1"/>
    <w:rsid w:val="00067F6D"/>
    <w:rsid w:val="00125084"/>
    <w:rsid w:val="00164321"/>
    <w:rsid w:val="00171347"/>
    <w:rsid w:val="001A1CE6"/>
    <w:rsid w:val="001A41C2"/>
    <w:rsid w:val="001A4DD3"/>
    <w:rsid w:val="002B0D53"/>
    <w:rsid w:val="002B5B92"/>
    <w:rsid w:val="002C3694"/>
    <w:rsid w:val="002C57FE"/>
    <w:rsid w:val="0036368F"/>
    <w:rsid w:val="00367B48"/>
    <w:rsid w:val="00376A0F"/>
    <w:rsid w:val="003C43B4"/>
    <w:rsid w:val="004D2AB5"/>
    <w:rsid w:val="004E3642"/>
    <w:rsid w:val="00550500"/>
    <w:rsid w:val="005D1B81"/>
    <w:rsid w:val="00625ED7"/>
    <w:rsid w:val="00676AA2"/>
    <w:rsid w:val="007130F1"/>
    <w:rsid w:val="0074665A"/>
    <w:rsid w:val="0078128D"/>
    <w:rsid w:val="0078730E"/>
    <w:rsid w:val="007C1E7B"/>
    <w:rsid w:val="007F70F7"/>
    <w:rsid w:val="00901BF1"/>
    <w:rsid w:val="0096012A"/>
    <w:rsid w:val="00994FD5"/>
    <w:rsid w:val="009A0A37"/>
    <w:rsid w:val="00A710C8"/>
    <w:rsid w:val="00AE7DF9"/>
    <w:rsid w:val="00B538A9"/>
    <w:rsid w:val="00B76DAD"/>
    <w:rsid w:val="00BE5C80"/>
    <w:rsid w:val="00C41DB4"/>
    <w:rsid w:val="00CA08D5"/>
    <w:rsid w:val="00CE5170"/>
    <w:rsid w:val="00CF1BBC"/>
    <w:rsid w:val="00D070BF"/>
    <w:rsid w:val="00D16DFD"/>
    <w:rsid w:val="00E5055A"/>
    <w:rsid w:val="00E6072F"/>
    <w:rsid w:val="00E77BA0"/>
    <w:rsid w:val="00EA5014"/>
    <w:rsid w:val="00EF695E"/>
    <w:rsid w:val="00F01321"/>
    <w:rsid w:val="00F07449"/>
    <w:rsid w:val="00F147D1"/>
    <w:rsid w:val="00F328EA"/>
    <w:rsid w:val="00F65344"/>
    <w:rsid w:val="00F96F41"/>
    <w:rsid w:val="00FA28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F1"/>
    <w:pPr>
      <w:spacing w:after="0" w:line="240" w:lineRule="auto"/>
      <w:jc w:val="both"/>
    </w:pPr>
    <w:rPr>
      <w:rFonts w:ascii="Palatino Linotype" w:eastAsia="Times New Roman" w:hAnsi="Palatino Linotype" w:cs="Times New Roman"/>
      <w:sz w:val="24"/>
      <w:szCs w:val="24"/>
      <w:lang w:eastAsia="en-US"/>
    </w:rPr>
  </w:style>
  <w:style w:type="paragraph" w:styleId="Heading1">
    <w:name w:val="heading 1"/>
    <w:basedOn w:val="Normal"/>
    <w:next w:val="Normal"/>
    <w:link w:val="Heading1Char"/>
    <w:qFormat/>
    <w:rsid w:val="00901BF1"/>
    <w:pPr>
      <w:keepNext/>
      <w:shd w:val="clear" w:color="auto" w:fill="C0C0C0"/>
      <w:spacing w:before="60" w:after="60"/>
      <w:outlineLvl w:val="0"/>
    </w:pPr>
    <w:rPr>
      <w:rFonts w:cs="Arial"/>
      <w:b/>
      <w:bCs/>
      <w:kern w:val="32"/>
      <w:sz w:val="26"/>
      <w:szCs w:val="32"/>
    </w:rPr>
  </w:style>
  <w:style w:type="paragraph" w:styleId="Heading2">
    <w:name w:val="heading 2"/>
    <w:basedOn w:val="Normal"/>
    <w:next w:val="Normal"/>
    <w:link w:val="Heading2Char"/>
    <w:uiPriority w:val="9"/>
    <w:semiHidden/>
    <w:unhideWhenUsed/>
    <w:qFormat/>
    <w:rsid w:val="004D2AB5"/>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zh-TW"/>
    </w:rPr>
  </w:style>
  <w:style w:type="paragraph" w:styleId="Heading5">
    <w:name w:val="heading 5"/>
    <w:basedOn w:val="Normal"/>
    <w:next w:val="Normal"/>
    <w:link w:val="Heading5Char"/>
    <w:uiPriority w:val="9"/>
    <w:semiHidden/>
    <w:unhideWhenUsed/>
    <w:qFormat/>
    <w:rsid w:val="004D2AB5"/>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BF1"/>
    <w:rPr>
      <w:rFonts w:ascii="Palatino Linotype" w:eastAsia="Times New Roman" w:hAnsi="Palatino Linotype" w:cs="Arial"/>
      <w:b/>
      <w:bCs/>
      <w:kern w:val="32"/>
      <w:sz w:val="26"/>
      <w:szCs w:val="32"/>
      <w:shd w:val="clear" w:color="auto" w:fill="C0C0C0"/>
      <w:lang w:eastAsia="en-US"/>
    </w:rPr>
  </w:style>
  <w:style w:type="paragraph" w:styleId="Title">
    <w:name w:val="Title"/>
    <w:basedOn w:val="Normal"/>
    <w:link w:val="TitleChar"/>
    <w:qFormat/>
    <w:rsid w:val="00901BF1"/>
    <w:pPr>
      <w:spacing w:before="240" w:after="60"/>
      <w:jc w:val="center"/>
      <w:outlineLvl w:val="0"/>
    </w:pPr>
    <w:rPr>
      <w:rFonts w:ascii="Garamond" w:hAnsi="Garamond" w:cs="Arial"/>
      <w:b/>
      <w:bCs/>
      <w:kern w:val="28"/>
      <w:sz w:val="36"/>
      <w:szCs w:val="32"/>
    </w:rPr>
  </w:style>
  <w:style w:type="character" w:customStyle="1" w:styleId="TitleChar">
    <w:name w:val="Title Char"/>
    <w:basedOn w:val="DefaultParagraphFont"/>
    <w:link w:val="Title"/>
    <w:rsid w:val="00901BF1"/>
    <w:rPr>
      <w:rFonts w:ascii="Garamond" w:eastAsia="Times New Roman" w:hAnsi="Garamond" w:cs="Arial"/>
      <w:b/>
      <w:bCs/>
      <w:kern w:val="28"/>
      <w:sz w:val="36"/>
      <w:szCs w:val="32"/>
      <w:lang w:eastAsia="en-US"/>
    </w:rPr>
  </w:style>
  <w:style w:type="paragraph" w:styleId="Subtitle">
    <w:name w:val="Subtitle"/>
    <w:basedOn w:val="Normal"/>
    <w:link w:val="SubtitleChar"/>
    <w:qFormat/>
    <w:rsid w:val="00901BF1"/>
    <w:pPr>
      <w:spacing w:after="60"/>
      <w:jc w:val="center"/>
      <w:outlineLvl w:val="1"/>
    </w:pPr>
    <w:rPr>
      <w:rFonts w:ascii="Garamond" w:hAnsi="Garamond" w:cs="Arial"/>
      <w:sz w:val="32"/>
    </w:rPr>
  </w:style>
  <w:style w:type="character" w:customStyle="1" w:styleId="SubtitleChar">
    <w:name w:val="Subtitle Char"/>
    <w:basedOn w:val="DefaultParagraphFont"/>
    <w:link w:val="Subtitle"/>
    <w:rsid w:val="00901BF1"/>
    <w:rPr>
      <w:rFonts w:ascii="Garamond" w:eastAsia="Times New Roman" w:hAnsi="Garamond" w:cs="Arial"/>
      <w:sz w:val="32"/>
      <w:szCs w:val="24"/>
      <w:lang w:eastAsia="en-US"/>
    </w:rPr>
  </w:style>
  <w:style w:type="character" w:styleId="Hyperlink">
    <w:name w:val="Hyperlink"/>
    <w:basedOn w:val="DefaultParagraphFont"/>
    <w:rsid w:val="00901BF1"/>
    <w:rPr>
      <w:color w:val="0000FF"/>
      <w:u w:val="single"/>
    </w:rPr>
  </w:style>
  <w:style w:type="paragraph" w:customStyle="1" w:styleId="defaulttext">
    <w:name w:val="defaulttext"/>
    <w:basedOn w:val="Normal"/>
    <w:rsid w:val="00901BF1"/>
    <w:pPr>
      <w:spacing w:before="100" w:beforeAutospacing="1" w:after="100" w:afterAutospacing="1"/>
      <w:jc w:val="left"/>
    </w:pPr>
    <w:rPr>
      <w:rFonts w:ascii="Times New Roman" w:eastAsia="SimSun" w:hAnsi="Times New Roman"/>
      <w:lang w:eastAsia="zh-CN"/>
    </w:rPr>
  </w:style>
  <w:style w:type="paragraph" w:styleId="BalloonText">
    <w:name w:val="Balloon Text"/>
    <w:basedOn w:val="Normal"/>
    <w:link w:val="BalloonTextChar"/>
    <w:uiPriority w:val="99"/>
    <w:semiHidden/>
    <w:unhideWhenUsed/>
    <w:rsid w:val="00901BF1"/>
    <w:rPr>
      <w:rFonts w:ascii="Tahoma" w:hAnsi="Tahoma" w:cs="Tahoma"/>
      <w:sz w:val="16"/>
      <w:szCs w:val="16"/>
    </w:rPr>
  </w:style>
  <w:style w:type="character" w:customStyle="1" w:styleId="BalloonTextChar">
    <w:name w:val="Balloon Text Char"/>
    <w:basedOn w:val="DefaultParagraphFont"/>
    <w:link w:val="BalloonText"/>
    <w:uiPriority w:val="99"/>
    <w:semiHidden/>
    <w:rsid w:val="00901BF1"/>
    <w:rPr>
      <w:rFonts w:ascii="Tahoma" w:eastAsia="Times New Roman" w:hAnsi="Tahoma" w:cs="Tahoma"/>
      <w:sz w:val="16"/>
      <w:szCs w:val="16"/>
      <w:lang w:eastAsia="en-US"/>
    </w:rPr>
  </w:style>
  <w:style w:type="paragraph" w:styleId="Header">
    <w:name w:val="header"/>
    <w:basedOn w:val="Normal"/>
    <w:link w:val="HeaderChar"/>
    <w:uiPriority w:val="99"/>
    <w:semiHidden/>
    <w:unhideWhenUsed/>
    <w:rsid w:val="00901BF1"/>
    <w:pPr>
      <w:tabs>
        <w:tab w:val="center" w:pos="4513"/>
        <w:tab w:val="right" w:pos="9026"/>
      </w:tabs>
    </w:pPr>
  </w:style>
  <w:style w:type="character" w:customStyle="1" w:styleId="HeaderChar">
    <w:name w:val="Header Char"/>
    <w:basedOn w:val="DefaultParagraphFont"/>
    <w:link w:val="Header"/>
    <w:uiPriority w:val="99"/>
    <w:semiHidden/>
    <w:rsid w:val="00901BF1"/>
    <w:rPr>
      <w:rFonts w:ascii="Palatino Linotype" w:eastAsia="Times New Roman" w:hAnsi="Palatino Linotype" w:cs="Times New Roman"/>
      <w:sz w:val="24"/>
      <w:szCs w:val="24"/>
      <w:lang w:eastAsia="en-US"/>
    </w:rPr>
  </w:style>
  <w:style w:type="paragraph" w:styleId="Footer">
    <w:name w:val="footer"/>
    <w:basedOn w:val="Normal"/>
    <w:link w:val="FooterChar"/>
    <w:uiPriority w:val="99"/>
    <w:unhideWhenUsed/>
    <w:rsid w:val="00901BF1"/>
    <w:pPr>
      <w:tabs>
        <w:tab w:val="center" w:pos="4513"/>
        <w:tab w:val="right" w:pos="9026"/>
      </w:tabs>
    </w:pPr>
  </w:style>
  <w:style w:type="character" w:customStyle="1" w:styleId="FooterChar">
    <w:name w:val="Footer Char"/>
    <w:basedOn w:val="DefaultParagraphFont"/>
    <w:link w:val="Footer"/>
    <w:uiPriority w:val="99"/>
    <w:rsid w:val="00901BF1"/>
    <w:rPr>
      <w:rFonts w:ascii="Palatino Linotype" w:eastAsia="Times New Roman" w:hAnsi="Palatino Linotype" w:cs="Times New Roman"/>
      <w:sz w:val="24"/>
      <w:szCs w:val="24"/>
      <w:lang w:eastAsia="en-US"/>
    </w:rPr>
  </w:style>
  <w:style w:type="character" w:customStyle="1" w:styleId="Heading2Char">
    <w:name w:val="Heading 2 Char"/>
    <w:basedOn w:val="DefaultParagraphFont"/>
    <w:link w:val="Heading2"/>
    <w:uiPriority w:val="9"/>
    <w:semiHidden/>
    <w:rsid w:val="004D2AB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4D2AB5"/>
    <w:rPr>
      <w:rFonts w:asciiTheme="majorHAnsi" w:eastAsiaTheme="majorEastAsia" w:hAnsiTheme="majorHAnsi" w:cstheme="majorBidi"/>
      <w:color w:val="243F60" w:themeColor="accent1" w:themeShade="7F"/>
    </w:rPr>
  </w:style>
  <w:style w:type="paragraph" w:customStyle="1" w:styleId="labelled">
    <w:name w:val="labelled"/>
    <w:basedOn w:val="Normal"/>
    <w:rsid w:val="004D2AB5"/>
    <w:pPr>
      <w:spacing w:before="100" w:beforeAutospacing="1" w:after="100" w:afterAutospacing="1"/>
      <w:jc w:val="left"/>
    </w:pPr>
    <w:rPr>
      <w:rFonts w:ascii="Times New Roman" w:hAnsi="Times New Roman"/>
      <w:lang w:eastAsia="zh-TW"/>
    </w:rPr>
  </w:style>
  <w:style w:type="character" w:customStyle="1" w:styleId="label">
    <w:name w:val="label"/>
    <w:basedOn w:val="DefaultParagraphFont"/>
    <w:rsid w:val="004D2AB5"/>
  </w:style>
  <w:style w:type="character" w:customStyle="1" w:styleId="spc">
    <w:name w:val="spc"/>
    <w:basedOn w:val="DefaultParagraphFont"/>
    <w:rsid w:val="004D2AB5"/>
  </w:style>
  <w:style w:type="character" w:styleId="HTMLDefinition">
    <w:name w:val="HTML Definition"/>
    <w:basedOn w:val="DefaultParagraphFont"/>
    <w:uiPriority w:val="99"/>
    <w:semiHidden/>
    <w:unhideWhenUsed/>
    <w:rsid w:val="004D2AB5"/>
    <w:rPr>
      <w:i/>
      <w:iCs/>
    </w:rPr>
  </w:style>
  <w:style w:type="paragraph" w:styleId="ListParagraph">
    <w:name w:val="List Paragraph"/>
    <w:basedOn w:val="Normal"/>
    <w:uiPriority w:val="34"/>
    <w:qFormat/>
    <w:rsid w:val="00164321"/>
    <w:pPr>
      <w:ind w:left="720"/>
      <w:contextualSpacing/>
    </w:pPr>
  </w:style>
  <w:style w:type="paragraph" w:styleId="FootnoteText">
    <w:name w:val="footnote text"/>
    <w:basedOn w:val="Normal"/>
    <w:link w:val="FootnoteTextChar"/>
    <w:uiPriority w:val="99"/>
    <w:semiHidden/>
    <w:unhideWhenUsed/>
    <w:rsid w:val="0078128D"/>
    <w:rPr>
      <w:sz w:val="20"/>
      <w:szCs w:val="20"/>
    </w:rPr>
  </w:style>
  <w:style w:type="character" w:customStyle="1" w:styleId="FootnoteTextChar">
    <w:name w:val="Footnote Text Char"/>
    <w:basedOn w:val="DefaultParagraphFont"/>
    <w:link w:val="FootnoteText"/>
    <w:uiPriority w:val="99"/>
    <w:semiHidden/>
    <w:rsid w:val="0078128D"/>
    <w:rPr>
      <w:rFonts w:ascii="Palatino Linotype" w:eastAsia="Times New Roman" w:hAnsi="Palatino Linotype" w:cs="Times New Roman"/>
      <w:sz w:val="20"/>
      <w:szCs w:val="20"/>
      <w:lang w:eastAsia="en-US"/>
    </w:rPr>
  </w:style>
  <w:style w:type="character" w:styleId="FootnoteReference">
    <w:name w:val="footnote reference"/>
    <w:basedOn w:val="DefaultParagraphFont"/>
    <w:uiPriority w:val="99"/>
    <w:semiHidden/>
    <w:unhideWhenUsed/>
    <w:rsid w:val="0078128D"/>
    <w:rPr>
      <w:vertAlign w:val="superscript"/>
    </w:rPr>
  </w:style>
  <w:style w:type="paragraph" w:customStyle="1" w:styleId="subsection">
    <w:name w:val="subsection"/>
    <w:basedOn w:val="Normal"/>
    <w:rsid w:val="002B5B92"/>
    <w:pPr>
      <w:spacing w:before="100" w:beforeAutospacing="1" w:after="100" w:afterAutospacing="1"/>
      <w:jc w:val="left"/>
    </w:pPr>
    <w:rPr>
      <w:rFonts w:ascii="Times New Roman" w:hAnsi="Times New Roman"/>
      <w:lang w:eastAsia="en-AU"/>
    </w:rPr>
  </w:style>
  <w:style w:type="paragraph" w:customStyle="1" w:styleId="paragraph">
    <w:name w:val="paragraph"/>
    <w:basedOn w:val="Normal"/>
    <w:rsid w:val="002B5B92"/>
    <w:pPr>
      <w:spacing w:before="100" w:beforeAutospacing="1" w:after="100" w:afterAutospacing="1"/>
      <w:jc w:val="left"/>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nehme@uws.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nehme@uws.edu.au" TargetMode="External"/><Relationship Id="rId4" Type="http://schemas.microsoft.com/office/2007/relationships/stylesWithEffects" Target="stylesWithEffects.xml"/><Relationship Id="rId9" Type="http://schemas.openxmlformats.org/officeDocument/2006/relationships/hyperlink" Target="http://www.uws.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8AB7-C7A4-4465-BF8F-4AC9ED94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Propsed Amendments to the Corporations Act</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Propsed Amendments to the Corporations Act</dc:title>
  <dc:creator/>
  <cp:lastModifiedBy>Schumann, Vicky</cp:lastModifiedBy>
  <cp:revision>3</cp:revision>
  <cp:lastPrinted>2012-01-03T01:02:00Z</cp:lastPrinted>
  <dcterms:created xsi:type="dcterms:W3CDTF">2012-01-27T02:07:00Z</dcterms:created>
  <dcterms:modified xsi:type="dcterms:W3CDTF">2012-04-26T02:10:00Z</dcterms:modified>
</cp:coreProperties>
</file>