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4594"/>
        <w:tblOverlap w:val="never"/>
        <w:tblW w:w="5000" w:type="pct"/>
        <w:tblLayout w:type="fixed"/>
        <w:tblCellMar>
          <w:left w:w="0" w:type="dxa"/>
          <w:right w:w="0" w:type="dxa"/>
        </w:tblCellMar>
        <w:tblLook w:val="04A0" w:firstRow="1" w:lastRow="0" w:firstColumn="1" w:lastColumn="0" w:noHBand="0" w:noVBand="1"/>
      </w:tblPr>
      <w:tblGrid>
        <w:gridCol w:w="9070"/>
      </w:tblGrid>
      <w:tr w:rsidR="00885E8A" w:rsidRPr="001A6413" w14:paraId="0477CE38" w14:textId="77777777">
        <w:tc>
          <w:tcPr>
            <w:tcW w:w="9070" w:type="dxa"/>
          </w:tcPr>
          <w:bookmarkStart w:id="0" w:name="_GoBack"/>
          <w:bookmarkEnd w:id="0"/>
          <w:p w14:paraId="7F894F7B" w14:textId="330789F0" w:rsidR="00F60B0D" w:rsidRDefault="00FA2A0D" w:rsidP="00F60B0D">
            <w:pPr>
              <w:pStyle w:val="Title"/>
            </w:pPr>
            <w:sdt>
              <w:sdtPr>
                <w:alias w:val="Title"/>
                <w:tag w:val=""/>
                <w:id w:val="1129824474"/>
                <w:placeholder>
                  <w:docPart w:val="F407D146E6A844BFA6093BA304791C3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9468A">
                  <w:t>Cross Agency Superannuation Guarantee Working Group</w:t>
                </w:r>
              </w:sdtContent>
            </w:sdt>
          </w:p>
          <w:p w14:paraId="51BB269B" w14:textId="2399D07A" w:rsidR="00885E8A" w:rsidRPr="001A6413" w:rsidRDefault="00885E8A" w:rsidP="00885E8A">
            <w:pPr>
              <w:pStyle w:val="Title"/>
            </w:pPr>
          </w:p>
          <w:p w14:paraId="6C9C7465" w14:textId="77777777" w:rsidR="00795948" w:rsidRDefault="00795948" w:rsidP="001F68D4">
            <w:pPr>
              <w:pStyle w:val="Subtitle"/>
            </w:pPr>
          </w:p>
          <w:p w14:paraId="492A2F84" w14:textId="77777777" w:rsidR="00795948" w:rsidRDefault="00795948" w:rsidP="001F68D4">
            <w:pPr>
              <w:pStyle w:val="Subtitle"/>
            </w:pPr>
          </w:p>
          <w:p w14:paraId="78887A0D" w14:textId="77777777" w:rsidR="00F8609A" w:rsidRPr="00F8609A" w:rsidRDefault="0021686B" w:rsidP="001F68D4">
            <w:pPr>
              <w:pStyle w:val="Subtitle"/>
              <w:rPr>
                <w:b/>
              </w:rPr>
            </w:pPr>
            <w:r w:rsidRPr="00F8609A">
              <w:rPr>
                <w:b/>
              </w:rPr>
              <w:t>Interim</w:t>
            </w:r>
            <w:r w:rsidR="000657D4" w:rsidRPr="00F8609A">
              <w:rPr>
                <w:b/>
              </w:rPr>
              <w:t xml:space="preserve"> </w:t>
            </w:r>
            <w:r w:rsidR="00795948" w:rsidRPr="00F8609A">
              <w:rPr>
                <w:b/>
              </w:rPr>
              <w:t>Report</w:t>
            </w:r>
            <w:r w:rsidR="00F8609A" w:rsidRPr="00F8609A">
              <w:rPr>
                <w:b/>
              </w:rPr>
              <w:t xml:space="preserve"> </w:t>
            </w:r>
          </w:p>
          <w:p w14:paraId="1E8805D1" w14:textId="7CC178D6" w:rsidR="00795948" w:rsidRPr="00F8609A" w:rsidRDefault="00F8609A" w:rsidP="001F68D4">
            <w:pPr>
              <w:pStyle w:val="Subtitle"/>
              <w:rPr>
                <w:sz w:val="32"/>
                <w:szCs w:val="32"/>
              </w:rPr>
            </w:pPr>
            <w:r w:rsidRPr="00F8609A">
              <w:rPr>
                <w:sz w:val="32"/>
                <w:szCs w:val="32"/>
              </w:rPr>
              <w:t>January 2017</w:t>
            </w:r>
            <w:r w:rsidR="00795948" w:rsidRPr="00F8609A">
              <w:rPr>
                <w:sz w:val="32"/>
                <w:szCs w:val="32"/>
              </w:rPr>
              <w:t xml:space="preserve"> </w:t>
            </w:r>
          </w:p>
          <w:p w14:paraId="6353DEDE" w14:textId="77777777" w:rsidR="00795948" w:rsidRDefault="00795948" w:rsidP="001F68D4">
            <w:pPr>
              <w:pStyle w:val="Subtitle"/>
            </w:pPr>
          </w:p>
          <w:p w14:paraId="13C4EAFE" w14:textId="44A303A6" w:rsidR="00885E8A" w:rsidRPr="001A6413" w:rsidRDefault="00885E8A" w:rsidP="001F68D4">
            <w:pPr>
              <w:pStyle w:val="Subtitle"/>
            </w:pPr>
          </w:p>
        </w:tc>
      </w:tr>
    </w:tbl>
    <w:p w14:paraId="032EF9D0" w14:textId="77777777" w:rsidR="00885E8A" w:rsidRDefault="00832C57" w:rsidP="00885E8A">
      <w:pPr>
        <w:jc w:val="right"/>
      </w:pPr>
      <w:r>
        <w:rPr>
          <w:noProof/>
          <w:lang w:eastAsia="en-AU"/>
        </w:rPr>
        <w:drawing>
          <wp:inline distT="0" distB="0" distL="0" distR="0" wp14:anchorId="046B539E" wp14:editId="24739729">
            <wp:extent cx="2971800" cy="723900"/>
            <wp:effectExtent l="0" t="0" r="0" b="0"/>
            <wp:docPr id="2" name="Picture 1" descr="AustGovt_inlin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inline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723900"/>
                    </a:xfrm>
                    <a:prstGeom prst="rect">
                      <a:avLst/>
                    </a:prstGeom>
                    <a:noFill/>
                    <a:ln>
                      <a:noFill/>
                    </a:ln>
                  </pic:spPr>
                </pic:pic>
              </a:graphicData>
            </a:graphic>
          </wp:inline>
        </w:drawing>
      </w:r>
    </w:p>
    <w:p w14:paraId="7BAC2825" w14:textId="77777777" w:rsidR="00885E8A" w:rsidRDefault="00885E8A" w:rsidP="00885E8A">
      <w:pPr>
        <w:tabs>
          <w:tab w:val="left" w:pos="1418"/>
        </w:tabs>
        <w:sectPr w:rsidR="00885E8A">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397" w:footer="454" w:gutter="0"/>
          <w:cols w:space="720"/>
          <w:docGrid w:linePitch="360"/>
        </w:sectPr>
      </w:pPr>
    </w:p>
    <w:p w14:paraId="168D088F" w14:textId="77777777" w:rsidR="00885E8A" w:rsidRPr="00A22E93" w:rsidRDefault="00885E8A" w:rsidP="00CD678D">
      <w:pPr>
        <w:pStyle w:val="TOCHeading1"/>
        <w:spacing w:after="360"/>
      </w:pPr>
      <w:r w:rsidRPr="00A42E4C">
        <w:lastRenderedPageBreak/>
        <w:t>Contents</w:t>
      </w:r>
    </w:p>
    <w:p w14:paraId="5A3AC0D0" w14:textId="44C73536" w:rsidR="003F6A1F" w:rsidRDefault="00885E8A">
      <w:pPr>
        <w:pStyle w:val="TOC1"/>
        <w:rPr>
          <w:rFonts w:asciiTheme="minorHAnsi" w:eastAsiaTheme="minorEastAsia" w:hAnsiTheme="minorHAnsi" w:cstheme="minorBidi"/>
          <w:b w:val="0"/>
          <w:noProof/>
          <w:color w:val="auto"/>
          <w:szCs w:val="22"/>
          <w:lang w:eastAsia="en-AU"/>
        </w:rPr>
      </w:pPr>
      <w:r>
        <w:fldChar w:fldCharType="begin"/>
      </w:r>
      <w:r>
        <w:instrText xml:space="preserve"> TOC \o "1-1" \h \z \t "Heading 2,2" </w:instrText>
      </w:r>
      <w:r>
        <w:fldChar w:fldCharType="separate"/>
      </w:r>
      <w:hyperlink w:anchor="_Toc473635299" w:history="1">
        <w:r w:rsidR="003F6A1F" w:rsidRPr="00CC595F">
          <w:rPr>
            <w:rStyle w:val="Hyperlink"/>
            <w:noProof/>
          </w:rPr>
          <w:t>Executive Summary</w:t>
        </w:r>
        <w:r w:rsidR="003F6A1F">
          <w:rPr>
            <w:noProof/>
            <w:webHidden/>
          </w:rPr>
          <w:tab/>
        </w:r>
        <w:r w:rsidR="003F6A1F">
          <w:rPr>
            <w:noProof/>
            <w:webHidden/>
          </w:rPr>
          <w:fldChar w:fldCharType="begin"/>
        </w:r>
        <w:r w:rsidR="003F6A1F">
          <w:rPr>
            <w:noProof/>
            <w:webHidden/>
          </w:rPr>
          <w:instrText xml:space="preserve"> PAGEREF _Toc473635299 \h </w:instrText>
        </w:r>
        <w:r w:rsidR="003F6A1F">
          <w:rPr>
            <w:noProof/>
            <w:webHidden/>
          </w:rPr>
        </w:r>
        <w:r w:rsidR="003F6A1F">
          <w:rPr>
            <w:noProof/>
            <w:webHidden/>
          </w:rPr>
          <w:fldChar w:fldCharType="separate"/>
        </w:r>
        <w:r w:rsidR="003F6A1F">
          <w:rPr>
            <w:noProof/>
            <w:webHidden/>
          </w:rPr>
          <w:t>3</w:t>
        </w:r>
        <w:r w:rsidR="003F6A1F">
          <w:rPr>
            <w:noProof/>
            <w:webHidden/>
          </w:rPr>
          <w:fldChar w:fldCharType="end"/>
        </w:r>
      </w:hyperlink>
    </w:p>
    <w:p w14:paraId="1B03D2BE" w14:textId="77777777" w:rsidR="003F6A1F" w:rsidRDefault="00FA2A0D">
      <w:pPr>
        <w:pStyle w:val="TOC1"/>
        <w:tabs>
          <w:tab w:val="left" w:pos="1100"/>
        </w:tabs>
        <w:rPr>
          <w:rFonts w:asciiTheme="minorHAnsi" w:eastAsiaTheme="minorEastAsia" w:hAnsiTheme="minorHAnsi" w:cstheme="minorBidi"/>
          <w:b w:val="0"/>
          <w:noProof/>
          <w:color w:val="auto"/>
          <w:szCs w:val="22"/>
          <w:lang w:eastAsia="en-AU"/>
        </w:rPr>
      </w:pPr>
      <w:hyperlink w:anchor="_Toc473635300" w:history="1">
        <w:r w:rsidR="003F6A1F" w:rsidRPr="00CC595F">
          <w:rPr>
            <w:rStyle w:val="Hyperlink"/>
            <w:noProof/>
          </w:rPr>
          <w:t>1.</w:t>
        </w:r>
        <w:r w:rsidR="003F6A1F">
          <w:rPr>
            <w:rFonts w:asciiTheme="minorHAnsi" w:eastAsiaTheme="minorEastAsia" w:hAnsiTheme="minorHAnsi" w:cstheme="minorBidi"/>
            <w:b w:val="0"/>
            <w:noProof/>
            <w:color w:val="auto"/>
            <w:szCs w:val="22"/>
            <w:lang w:eastAsia="en-AU"/>
          </w:rPr>
          <w:tab/>
        </w:r>
        <w:r w:rsidR="003F6A1F" w:rsidRPr="00CC595F">
          <w:rPr>
            <w:rStyle w:val="Hyperlink"/>
            <w:noProof/>
          </w:rPr>
          <w:t>Interim report</w:t>
        </w:r>
        <w:r w:rsidR="003F6A1F">
          <w:rPr>
            <w:noProof/>
            <w:webHidden/>
          </w:rPr>
          <w:tab/>
        </w:r>
        <w:r w:rsidR="003F6A1F">
          <w:rPr>
            <w:noProof/>
            <w:webHidden/>
          </w:rPr>
          <w:fldChar w:fldCharType="begin"/>
        </w:r>
        <w:r w:rsidR="003F6A1F">
          <w:rPr>
            <w:noProof/>
            <w:webHidden/>
          </w:rPr>
          <w:instrText xml:space="preserve"> PAGEREF _Toc473635300 \h </w:instrText>
        </w:r>
        <w:r w:rsidR="003F6A1F">
          <w:rPr>
            <w:noProof/>
            <w:webHidden/>
          </w:rPr>
        </w:r>
        <w:r w:rsidR="003F6A1F">
          <w:rPr>
            <w:noProof/>
            <w:webHidden/>
          </w:rPr>
          <w:fldChar w:fldCharType="separate"/>
        </w:r>
        <w:r w:rsidR="003F6A1F">
          <w:rPr>
            <w:noProof/>
            <w:webHidden/>
          </w:rPr>
          <w:t>6</w:t>
        </w:r>
        <w:r w:rsidR="003F6A1F">
          <w:rPr>
            <w:noProof/>
            <w:webHidden/>
          </w:rPr>
          <w:fldChar w:fldCharType="end"/>
        </w:r>
      </w:hyperlink>
    </w:p>
    <w:p w14:paraId="7CB87B11" w14:textId="77777777" w:rsidR="003F6A1F" w:rsidRDefault="00FA2A0D">
      <w:pPr>
        <w:pStyle w:val="TOC2"/>
        <w:rPr>
          <w:rFonts w:asciiTheme="minorHAnsi" w:eastAsiaTheme="minorEastAsia" w:hAnsiTheme="minorHAnsi" w:cstheme="minorBidi"/>
          <w:noProof/>
          <w:color w:val="auto"/>
          <w:szCs w:val="22"/>
          <w:lang w:eastAsia="en-AU"/>
        </w:rPr>
      </w:pPr>
      <w:hyperlink w:anchor="_Toc473635301" w:history="1">
        <w:r w:rsidR="003F6A1F" w:rsidRPr="00CC595F">
          <w:rPr>
            <w:rStyle w:val="Hyperlink"/>
            <w:noProof/>
          </w:rPr>
          <w:t>Cross Agency Working Group</w:t>
        </w:r>
        <w:r w:rsidR="003F6A1F">
          <w:rPr>
            <w:noProof/>
            <w:webHidden/>
          </w:rPr>
          <w:tab/>
        </w:r>
        <w:r w:rsidR="003F6A1F">
          <w:rPr>
            <w:noProof/>
            <w:webHidden/>
          </w:rPr>
          <w:fldChar w:fldCharType="begin"/>
        </w:r>
        <w:r w:rsidR="003F6A1F">
          <w:rPr>
            <w:noProof/>
            <w:webHidden/>
          </w:rPr>
          <w:instrText xml:space="preserve"> PAGEREF _Toc473635301 \h </w:instrText>
        </w:r>
        <w:r w:rsidR="003F6A1F">
          <w:rPr>
            <w:noProof/>
            <w:webHidden/>
          </w:rPr>
        </w:r>
        <w:r w:rsidR="003F6A1F">
          <w:rPr>
            <w:noProof/>
            <w:webHidden/>
          </w:rPr>
          <w:fldChar w:fldCharType="separate"/>
        </w:r>
        <w:r w:rsidR="003F6A1F">
          <w:rPr>
            <w:noProof/>
            <w:webHidden/>
          </w:rPr>
          <w:t>6</w:t>
        </w:r>
        <w:r w:rsidR="003F6A1F">
          <w:rPr>
            <w:noProof/>
            <w:webHidden/>
          </w:rPr>
          <w:fldChar w:fldCharType="end"/>
        </w:r>
      </w:hyperlink>
    </w:p>
    <w:p w14:paraId="4C563648" w14:textId="77777777" w:rsidR="003F6A1F" w:rsidRDefault="00FA2A0D">
      <w:pPr>
        <w:pStyle w:val="TOC2"/>
        <w:rPr>
          <w:rFonts w:asciiTheme="minorHAnsi" w:eastAsiaTheme="minorEastAsia" w:hAnsiTheme="minorHAnsi" w:cstheme="minorBidi"/>
          <w:noProof/>
          <w:color w:val="auto"/>
          <w:szCs w:val="22"/>
          <w:lang w:eastAsia="en-AU"/>
        </w:rPr>
      </w:pPr>
      <w:hyperlink w:anchor="_Toc473635302" w:history="1">
        <w:r w:rsidR="003F6A1F" w:rsidRPr="00CC595F">
          <w:rPr>
            <w:rStyle w:val="Hyperlink"/>
            <w:noProof/>
          </w:rPr>
          <w:t>Scope</w:t>
        </w:r>
        <w:r w:rsidR="003F6A1F">
          <w:rPr>
            <w:noProof/>
            <w:webHidden/>
          </w:rPr>
          <w:tab/>
        </w:r>
        <w:r w:rsidR="003F6A1F">
          <w:rPr>
            <w:noProof/>
            <w:webHidden/>
          </w:rPr>
          <w:fldChar w:fldCharType="begin"/>
        </w:r>
        <w:r w:rsidR="003F6A1F">
          <w:rPr>
            <w:noProof/>
            <w:webHidden/>
          </w:rPr>
          <w:instrText xml:space="preserve"> PAGEREF _Toc473635302 \h </w:instrText>
        </w:r>
        <w:r w:rsidR="003F6A1F">
          <w:rPr>
            <w:noProof/>
            <w:webHidden/>
          </w:rPr>
        </w:r>
        <w:r w:rsidR="003F6A1F">
          <w:rPr>
            <w:noProof/>
            <w:webHidden/>
          </w:rPr>
          <w:fldChar w:fldCharType="separate"/>
        </w:r>
        <w:r w:rsidR="003F6A1F">
          <w:rPr>
            <w:noProof/>
            <w:webHidden/>
          </w:rPr>
          <w:t>6</w:t>
        </w:r>
        <w:r w:rsidR="003F6A1F">
          <w:rPr>
            <w:noProof/>
            <w:webHidden/>
          </w:rPr>
          <w:fldChar w:fldCharType="end"/>
        </w:r>
      </w:hyperlink>
    </w:p>
    <w:p w14:paraId="226D52C8" w14:textId="77777777" w:rsidR="003F6A1F" w:rsidRDefault="00FA2A0D">
      <w:pPr>
        <w:pStyle w:val="TOC1"/>
        <w:tabs>
          <w:tab w:val="left" w:pos="1100"/>
        </w:tabs>
        <w:rPr>
          <w:rFonts w:asciiTheme="minorHAnsi" w:eastAsiaTheme="minorEastAsia" w:hAnsiTheme="minorHAnsi" w:cstheme="minorBidi"/>
          <w:b w:val="0"/>
          <w:noProof/>
          <w:color w:val="auto"/>
          <w:szCs w:val="22"/>
          <w:lang w:eastAsia="en-AU"/>
        </w:rPr>
      </w:pPr>
      <w:hyperlink w:anchor="_Toc473635303" w:history="1">
        <w:r w:rsidR="003F6A1F" w:rsidRPr="00CC595F">
          <w:rPr>
            <w:rStyle w:val="Hyperlink"/>
            <w:noProof/>
          </w:rPr>
          <w:t>2.</w:t>
        </w:r>
        <w:r w:rsidR="003F6A1F">
          <w:rPr>
            <w:rFonts w:asciiTheme="minorHAnsi" w:eastAsiaTheme="minorEastAsia" w:hAnsiTheme="minorHAnsi" w:cstheme="minorBidi"/>
            <w:b w:val="0"/>
            <w:noProof/>
            <w:color w:val="auto"/>
            <w:szCs w:val="22"/>
            <w:lang w:eastAsia="en-AU"/>
          </w:rPr>
          <w:tab/>
        </w:r>
        <w:r w:rsidR="003F6A1F" w:rsidRPr="00CC595F">
          <w:rPr>
            <w:rStyle w:val="Hyperlink"/>
            <w:noProof/>
          </w:rPr>
          <w:t>Superannuation Guarantee System</w:t>
        </w:r>
        <w:r w:rsidR="003F6A1F">
          <w:rPr>
            <w:noProof/>
            <w:webHidden/>
          </w:rPr>
          <w:tab/>
        </w:r>
        <w:r w:rsidR="003F6A1F">
          <w:rPr>
            <w:noProof/>
            <w:webHidden/>
          </w:rPr>
          <w:fldChar w:fldCharType="begin"/>
        </w:r>
        <w:r w:rsidR="003F6A1F">
          <w:rPr>
            <w:noProof/>
            <w:webHidden/>
          </w:rPr>
          <w:instrText xml:space="preserve"> PAGEREF _Toc473635303 \h </w:instrText>
        </w:r>
        <w:r w:rsidR="003F6A1F">
          <w:rPr>
            <w:noProof/>
            <w:webHidden/>
          </w:rPr>
        </w:r>
        <w:r w:rsidR="003F6A1F">
          <w:rPr>
            <w:noProof/>
            <w:webHidden/>
          </w:rPr>
          <w:fldChar w:fldCharType="separate"/>
        </w:r>
        <w:r w:rsidR="003F6A1F">
          <w:rPr>
            <w:noProof/>
            <w:webHidden/>
          </w:rPr>
          <w:t>7</w:t>
        </w:r>
        <w:r w:rsidR="003F6A1F">
          <w:rPr>
            <w:noProof/>
            <w:webHidden/>
          </w:rPr>
          <w:fldChar w:fldCharType="end"/>
        </w:r>
      </w:hyperlink>
    </w:p>
    <w:p w14:paraId="570D8857" w14:textId="77777777" w:rsidR="003F6A1F" w:rsidRDefault="00FA2A0D">
      <w:pPr>
        <w:pStyle w:val="TOC2"/>
        <w:rPr>
          <w:rFonts w:asciiTheme="minorHAnsi" w:eastAsiaTheme="minorEastAsia" w:hAnsiTheme="minorHAnsi" w:cstheme="minorBidi"/>
          <w:noProof/>
          <w:color w:val="auto"/>
          <w:szCs w:val="22"/>
          <w:lang w:eastAsia="en-AU"/>
        </w:rPr>
      </w:pPr>
      <w:hyperlink w:anchor="_Toc473635304" w:history="1">
        <w:r w:rsidR="003F6A1F" w:rsidRPr="00CC595F">
          <w:rPr>
            <w:rStyle w:val="Hyperlink"/>
            <w:noProof/>
          </w:rPr>
          <w:t>Superannuation Guarantee</w:t>
        </w:r>
        <w:r w:rsidR="003F6A1F">
          <w:rPr>
            <w:noProof/>
            <w:webHidden/>
          </w:rPr>
          <w:tab/>
        </w:r>
        <w:r w:rsidR="003F6A1F">
          <w:rPr>
            <w:noProof/>
            <w:webHidden/>
          </w:rPr>
          <w:fldChar w:fldCharType="begin"/>
        </w:r>
        <w:r w:rsidR="003F6A1F">
          <w:rPr>
            <w:noProof/>
            <w:webHidden/>
          </w:rPr>
          <w:instrText xml:space="preserve"> PAGEREF _Toc473635304 \h </w:instrText>
        </w:r>
        <w:r w:rsidR="003F6A1F">
          <w:rPr>
            <w:noProof/>
            <w:webHidden/>
          </w:rPr>
        </w:r>
        <w:r w:rsidR="003F6A1F">
          <w:rPr>
            <w:noProof/>
            <w:webHidden/>
          </w:rPr>
          <w:fldChar w:fldCharType="separate"/>
        </w:r>
        <w:r w:rsidR="003F6A1F">
          <w:rPr>
            <w:noProof/>
            <w:webHidden/>
          </w:rPr>
          <w:t>7</w:t>
        </w:r>
        <w:r w:rsidR="003F6A1F">
          <w:rPr>
            <w:noProof/>
            <w:webHidden/>
          </w:rPr>
          <w:fldChar w:fldCharType="end"/>
        </w:r>
      </w:hyperlink>
    </w:p>
    <w:p w14:paraId="3D344899" w14:textId="77777777" w:rsidR="003F6A1F" w:rsidRDefault="00FA2A0D">
      <w:pPr>
        <w:pStyle w:val="TOC2"/>
        <w:rPr>
          <w:rFonts w:asciiTheme="minorHAnsi" w:eastAsiaTheme="minorEastAsia" w:hAnsiTheme="minorHAnsi" w:cstheme="minorBidi"/>
          <w:noProof/>
          <w:color w:val="auto"/>
          <w:szCs w:val="22"/>
          <w:lang w:eastAsia="en-AU"/>
        </w:rPr>
      </w:pPr>
      <w:hyperlink w:anchor="_Toc473635305" w:history="1">
        <w:r w:rsidR="003F6A1F" w:rsidRPr="00CC595F">
          <w:rPr>
            <w:rStyle w:val="Hyperlink"/>
            <w:noProof/>
          </w:rPr>
          <w:t>Observations about non</w:t>
        </w:r>
        <w:r w:rsidR="003F6A1F" w:rsidRPr="00CC595F">
          <w:rPr>
            <w:rStyle w:val="Hyperlink"/>
            <w:noProof/>
          </w:rPr>
          <w:noBreakHyphen/>
          <w:t>compliance</w:t>
        </w:r>
        <w:r w:rsidR="003F6A1F">
          <w:rPr>
            <w:noProof/>
            <w:webHidden/>
          </w:rPr>
          <w:tab/>
        </w:r>
        <w:r w:rsidR="003F6A1F">
          <w:rPr>
            <w:noProof/>
            <w:webHidden/>
          </w:rPr>
          <w:fldChar w:fldCharType="begin"/>
        </w:r>
        <w:r w:rsidR="003F6A1F">
          <w:rPr>
            <w:noProof/>
            <w:webHidden/>
          </w:rPr>
          <w:instrText xml:space="preserve"> PAGEREF _Toc473635305 \h </w:instrText>
        </w:r>
        <w:r w:rsidR="003F6A1F">
          <w:rPr>
            <w:noProof/>
            <w:webHidden/>
          </w:rPr>
        </w:r>
        <w:r w:rsidR="003F6A1F">
          <w:rPr>
            <w:noProof/>
            <w:webHidden/>
          </w:rPr>
          <w:fldChar w:fldCharType="separate"/>
        </w:r>
        <w:r w:rsidR="003F6A1F">
          <w:rPr>
            <w:noProof/>
            <w:webHidden/>
          </w:rPr>
          <w:t>7</w:t>
        </w:r>
        <w:r w:rsidR="003F6A1F">
          <w:rPr>
            <w:noProof/>
            <w:webHidden/>
          </w:rPr>
          <w:fldChar w:fldCharType="end"/>
        </w:r>
      </w:hyperlink>
    </w:p>
    <w:p w14:paraId="19D1EB01" w14:textId="77777777" w:rsidR="003F6A1F" w:rsidRDefault="00FA2A0D">
      <w:pPr>
        <w:pStyle w:val="TOC2"/>
        <w:rPr>
          <w:rFonts w:asciiTheme="minorHAnsi" w:eastAsiaTheme="minorEastAsia" w:hAnsiTheme="minorHAnsi" w:cstheme="minorBidi"/>
          <w:noProof/>
          <w:color w:val="auto"/>
          <w:szCs w:val="22"/>
          <w:lang w:eastAsia="en-AU"/>
        </w:rPr>
      </w:pPr>
      <w:hyperlink w:anchor="_Toc473635306" w:history="1">
        <w:r w:rsidR="003F6A1F" w:rsidRPr="00CC595F">
          <w:rPr>
            <w:rStyle w:val="Hyperlink"/>
            <w:noProof/>
          </w:rPr>
          <w:t>Dealing with non</w:t>
        </w:r>
        <w:r w:rsidR="003F6A1F" w:rsidRPr="00CC595F">
          <w:rPr>
            <w:rStyle w:val="Hyperlink"/>
            <w:noProof/>
          </w:rPr>
          <w:noBreakHyphen/>
          <w:t>compliance</w:t>
        </w:r>
        <w:r w:rsidR="003F6A1F">
          <w:rPr>
            <w:noProof/>
            <w:webHidden/>
          </w:rPr>
          <w:tab/>
        </w:r>
        <w:r w:rsidR="003F6A1F">
          <w:rPr>
            <w:noProof/>
            <w:webHidden/>
          </w:rPr>
          <w:fldChar w:fldCharType="begin"/>
        </w:r>
        <w:r w:rsidR="003F6A1F">
          <w:rPr>
            <w:noProof/>
            <w:webHidden/>
          </w:rPr>
          <w:instrText xml:space="preserve"> PAGEREF _Toc473635306 \h </w:instrText>
        </w:r>
        <w:r w:rsidR="003F6A1F">
          <w:rPr>
            <w:noProof/>
            <w:webHidden/>
          </w:rPr>
        </w:r>
        <w:r w:rsidR="003F6A1F">
          <w:rPr>
            <w:noProof/>
            <w:webHidden/>
          </w:rPr>
          <w:fldChar w:fldCharType="separate"/>
        </w:r>
        <w:r w:rsidR="003F6A1F">
          <w:rPr>
            <w:noProof/>
            <w:webHidden/>
          </w:rPr>
          <w:t>9</w:t>
        </w:r>
        <w:r w:rsidR="003F6A1F">
          <w:rPr>
            <w:noProof/>
            <w:webHidden/>
          </w:rPr>
          <w:fldChar w:fldCharType="end"/>
        </w:r>
      </w:hyperlink>
    </w:p>
    <w:p w14:paraId="25313B8A" w14:textId="77777777" w:rsidR="003F6A1F" w:rsidRDefault="00FA2A0D">
      <w:pPr>
        <w:pStyle w:val="TOC2"/>
        <w:rPr>
          <w:rFonts w:asciiTheme="minorHAnsi" w:eastAsiaTheme="minorEastAsia" w:hAnsiTheme="minorHAnsi" w:cstheme="minorBidi"/>
          <w:noProof/>
          <w:color w:val="auto"/>
          <w:szCs w:val="22"/>
          <w:lang w:eastAsia="en-AU"/>
        </w:rPr>
      </w:pPr>
      <w:hyperlink w:anchor="_Toc473635307" w:history="1">
        <w:r w:rsidR="003F6A1F" w:rsidRPr="00CC595F">
          <w:rPr>
            <w:rStyle w:val="Hyperlink"/>
            <w:noProof/>
          </w:rPr>
          <w:t>Systemic challenges and reforms</w:t>
        </w:r>
        <w:r w:rsidR="003F6A1F">
          <w:rPr>
            <w:noProof/>
            <w:webHidden/>
          </w:rPr>
          <w:tab/>
        </w:r>
        <w:r w:rsidR="003F6A1F">
          <w:rPr>
            <w:noProof/>
            <w:webHidden/>
          </w:rPr>
          <w:fldChar w:fldCharType="begin"/>
        </w:r>
        <w:r w:rsidR="003F6A1F">
          <w:rPr>
            <w:noProof/>
            <w:webHidden/>
          </w:rPr>
          <w:instrText xml:space="preserve"> PAGEREF _Toc473635307 \h </w:instrText>
        </w:r>
        <w:r w:rsidR="003F6A1F">
          <w:rPr>
            <w:noProof/>
            <w:webHidden/>
          </w:rPr>
        </w:r>
        <w:r w:rsidR="003F6A1F">
          <w:rPr>
            <w:noProof/>
            <w:webHidden/>
          </w:rPr>
          <w:fldChar w:fldCharType="separate"/>
        </w:r>
        <w:r w:rsidR="003F6A1F">
          <w:rPr>
            <w:noProof/>
            <w:webHidden/>
          </w:rPr>
          <w:t>11</w:t>
        </w:r>
        <w:r w:rsidR="003F6A1F">
          <w:rPr>
            <w:noProof/>
            <w:webHidden/>
          </w:rPr>
          <w:fldChar w:fldCharType="end"/>
        </w:r>
      </w:hyperlink>
    </w:p>
    <w:p w14:paraId="6CC5DD1F" w14:textId="77777777" w:rsidR="003F6A1F" w:rsidRDefault="00FA2A0D">
      <w:pPr>
        <w:pStyle w:val="TOC1"/>
        <w:tabs>
          <w:tab w:val="left" w:pos="1100"/>
        </w:tabs>
        <w:rPr>
          <w:rFonts w:asciiTheme="minorHAnsi" w:eastAsiaTheme="minorEastAsia" w:hAnsiTheme="minorHAnsi" w:cstheme="minorBidi"/>
          <w:b w:val="0"/>
          <w:noProof/>
          <w:color w:val="auto"/>
          <w:szCs w:val="22"/>
          <w:lang w:eastAsia="en-AU"/>
        </w:rPr>
      </w:pPr>
      <w:hyperlink w:anchor="_Toc473635308" w:history="1">
        <w:r w:rsidR="003F6A1F" w:rsidRPr="00CC595F">
          <w:rPr>
            <w:rStyle w:val="Hyperlink"/>
            <w:noProof/>
          </w:rPr>
          <w:t>3.</w:t>
        </w:r>
        <w:r w:rsidR="003F6A1F">
          <w:rPr>
            <w:rFonts w:asciiTheme="minorHAnsi" w:eastAsiaTheme="minorEastAsia" w:hAnsiTheme="minorHAnsi" w:cstheme="minorBidi"/>
            <w:b w:val="0"/>
            <w:noProof/>
            <w:color w:val="auto"/>
            <w:szCs w:val="22"/>
            <w:lang w:eastAsia="en-AU"/>
          </w:rPr>
          <w:tab/>
        </w:r>
        <w:r w:rsidR="003F6A1F" w:rsidRPr="00CC595F">
          <w:rPr>
            <w:rStyle w:val="Hyperlink"/>
            <w:noProof/>
          </w:rPr>
          <w:t>Analysis of ISA’s estimates</w:t>
        </w:r>
        <w:r w:rsidR="003F6A1F">
          <w:rPr>
            <w:noProof/>
            <w:webHidden/>
          </w:rPr>
          <w:tab/>
        </w:r>
        <w:r w:rsidR="003F6A1F">
          <w:rPr>
            <w:noProof/>
            <w:webHidden/>
          </w:rPr>
          <w:fldChar w:fldCharType="begin"/>
        </w:r>
        <w:r w:rsidR="003F6A1F">
          <w:rPr>
            <w:noProof/>
            <w:webHidden/>
          </w:rPr>
          <w:instrText xml:space="preserve"> PAGEREF _Toc473635308 \h </w:instrText>
        </w:r>
        <w:r w:rsidR="003F6A1F">
          <w:rPr>
            <w:noProof/>
            <w:webHidden/>
          </w:rPr>
        </w:r>
        <w:r w:rsidR="003F6A1F">
          <w:rPr>
            <w:noProof/>
            <w:webHidden/>
          </w:rPr>
          <w:fldChar w:fldCharType="separate"/>
        </w:r>
        <w:r w:rsidR="003F6A1F">
          <w:rPr>
            <w:noProof/>
            <w:webHidden/>
          </w:rPr>
          <w:t>14</w:t>
        </w:r>
        <w:r w:rsidR="003F6A1F">
          <w:rPr>
            <w:noProof/>
            <w:webHidden/>
          </w:rPr>
          <w:fldChar w:fldCharType="end"/>
        </w:r>
      </w:hyperlink>
    </w:p>
    <w:p w14:paraId="7DC0CCBE" w14:textId="77777777" w:rsidR="003F6A1F" w:rsidRDefault="00FA2A0D">
      <w:pPr>
        <w:pStyle w:val="TOC2"/>
        <w:rPr>
          <w:rFonts w:asciiTheme="minorHAnsi" w:eastAsiaTheme="minorEastAsia" w:hAnsiTheme="minorHAnsi" w:cstheme="minorBidi"/>
          <w:noProof/>
          <w:color w:val="auto"/>
          <w:szCs w:val="22"/>
          <w:lang w:eastAsia="en-AU"/>
        </w:rPr>
      </w:pPr>
      <w:hyperlink w:anchor="_Toc473635309" w:history="1">
        <w:r w:rsidR="003F6A1F" w:rsidRPr="00CC595F">
          <w:rPr>
            <w:rStyle w:val="Hyperlink"/>
            <w:noProof/>
          </w:rPr>
          <w:t xml:space="preserve">ISA Report estimates of unpaid </w:t>
        </w:r>
        <w:r w:rsidR="003F6A1F" w:rsidRPr="00CC595F">
          <w:rPr>
            <w:rStyle w:val="Hyperlink"/>
            <w:rFonts w:cstheme="minorHAnsi"/>
            <w:noProof/>
          </w:rPr>
          <w:t>superannuation guarantee</w:t>
        </w:r>
        <w:r w:rsidR="003F6A1F">
          <w:rPr>
            <w:noProof/>
            <w:webHidden/>
          </w:rPr>
          <w:tab/>
        </w:r>
        <w:r w:rsidR="003F6A1F">
          <w:rPr>
            <w:noProof/>
            <w:webHidden/>
          </w:rPr>
          <w:fldChar w:fldCharType="begin"/>
        </w:r>
        <w:r w:rsidR="003F6A1F">
          <w:rPr>
            <w:noProof/>
            <w:webHidden/>
          </w:rPr>
          <w:instrText xml:space="preserve"> PAGEREF _Toc473635309 \h </w:instrText>
        </w:r>
        <w:r w:rsidR="003F6A1F">
          <w:rPr>
            <w:noProof/>
            <w:webHidden/>
          </w:rPr>
        </w:r>
        <w:r w:rsidR="003F6A1F">
          <w:rPr>
            <w:noProof/>
            <w:webHidden/>
          </w:rPr>
          <w:fldChar w:fldCharType="separate"/>
        </w:r>
        <w:r w:rsidR="003F6A1F">
          <w:rPr>
            <w:noProof/>
            <w:webHidden/>
          </w:rPr>
          <w:t>14</w:t>
        </w:r>
        <w:r w:rsidR="003F6A1F">
          <w:rPr>
            <w:noProof/>
            <w:webHidden/>
          </w:rPr>
          <w:fldChar w:fldCharType="end"/>
        </w:r>
      </w:hyperlink>
    </w:p>
    <w:p w14:paraId="687B972C" w14:textId="77777777" w:rsidR="003F6A1F" w:rsidRDefault="00FA2A0D">
      <w:pPr>
        <w:pStyle w:val="TOC2"/>
        <w:rPr>
          <w:rFonts w:asciiTheme="minorHAnsi" w:eastAsiaTheme="minorEastAsia" w:hAnsiTheme="minorHAnsi" w:cstheme="minorBidi"/>
          <w:noProof/>
          <w:color w:val="auto"/>
          <w:szCs w:val="22"/>
          <w:lang w:eastAsia="en-AU"/>
        </w:rPr>
      </w:pPr>
      <w:hyperlink w:anchor="_Toc473635310" w:history="1">
        <w:r w:rsidR="003F6A1F" w:rsidRPr="00CC595F">
          <w:rPr>
            <w:rStyle w:val="Hyperlink"/>
            <w:noProof/>
          </w:rPr>
          <w:t>ISA estimates do not fully account for data limitations</w:t>
        </w:r>
        <w:r w:rsidR="003F6A1F">
          <w:rPr>
            <w:noProof/>
            <w:webHidden/>
          </w:rPr>
          <w:tab/>
        </w:r>
        <w:r w:rsidR="003F6A1F">
          <w:rPr>
            <w:noProof/>
            <w:webHidden/>
          </w:rPr>
          <w:fldChar w:fldCharType="begin"/>
        </w:r>
        <w:r w:rsidR="003F6A1F">
          <w:rPr>
            <w:noProof/>
            <w:webHidden/>
          </w:rPr>
          <w:instrText xml:space="preserve"> PAGEREF _Toc473635310 \h </w:instrText>
        </w:r>
        <w:r w:rsidR="003F6A1F">
          <w:rPr>
            <w:noProof/>
            <w:webHidden/>
          </w:rPr>
        </w:r>
        <w:r w:rsidR="003F6A1F">
          <w:rPr>
            <w:noProof/>
            <w:webHidden/>
          </w:rPr>
          <w:fldChar w:fldCharType="separate"/>
        </w:r>
        <w:r w:rsidR="003F6A1F">
          <w:rPr>
            <w:noProof/>
            <w:webHidden/>
          </w:rPr>
          <w:t>15</w:t>
        </w:r>
        <w:r w:rsidR="003F6A1F">
          <w:rPr>
            <w:noProof/>
            <w:webHidden/>
          </w:rPr>
          <w:fldChar w:fldCharType="end"/>
        </w:r>
      </w:hyperlink>
    </w:p>
    <w:p w14:paraId="68636074" w14:textId="77777777" w:rsidR="003F6A1F" w:rsidRDefault="00FA2A0D">
      <w:pPr>
        <w:pStyle w:val="TOC2"/>
        <w:rPr>
          <w:rFonts w:asciiTheme="minorHAnsi" w:eastAsiaTheme="minorEastAsia" w:hAnsiTheme="minorHAnsi" w:cstheme="minorBidi"/>
          <w:noProof/>
          <w:color w:val="auto"/>
          <w:szCs w:val="22"/>
          <w:lang w:eastAsia="en-AU"/>
        </w:rPr>
      </w:pPr>
      <w:hyperlink w:anchor="_Toc473635311" w:history="1">
        <w:r w:rsidR="003F6A1F" w:rsidRPr="00CC595F">
          <w:rPr>
            <w:rStyle w:val="Hyperlink"/>
            <w:noProof/>
          </w:rPr>
          <w:t>ISA estimates are inconsistent with more reliable data</w:t>
        </w:r>
        <w:r w:rsidR="003F6A1F">
          <w:rPr>
            <w:noProof/>
            <w:webHidden/>
          </w:rPr>
          <w:tab/>
        </w:r>
        <w:r w:rsidR="003F6A1F">
          <w:rPr>
            <w:noProof/>
            <w:webHidden/>
          </w:rPr>
          <w:fldChar w:fldCharType="begin"/>
        </w:r>
        <w:r w:rsidR="003F6A1F">
          <w:rPr>
            <w:noProof/>
            <w:webHidden/>
          </w:rPr>
          <w:instrText xml:space="preserve"> PAGEREF _Toc473635311 \h </w:instrText>
        </w:r>
        <w:r w:rsidR="003F6A1F">
          <w:rPr>
            <w:noProof/>
            <w:webHidden/>
          </w:rPr>
        </w:r>
        <w:r w:rsidR="003F6A1F">
          <w:rPr>
            <w:noProof/>
            <w:webHidden/>
          </w:rPr>
          <w:fldChar w:fldCharType="separate"/>
        </w:r>
        <w:r w:rsidR="003F6A1F">
          <w:rPr>
            <w:noProof/>
            <w:webHidden/>
          </w:rPr>
          <w:t>20</w:t>
        </w:r>
        <w:r w:rsidR="003F6A1F">
          <w:rPr>
            <w:noProof/>
            <w:webHidden/>
          </w:rPr>
          <w:fldChar w:fldCharType="end"/>
        </w:r>
      </w:hyperlink>
    </w:p>
    <w:p w14:paraId="47782A71" w14:textId="77777777" w:rsidR="003F6A1F" w:rsidRDefault="00FA2A0D">
      <w:pPr>
        <w:pStyle w:val="TOC1"/>
        <w:tabs>
          <w:tab w:val="left" w:pos="1100"/>
        </w:tabs>
        <w:rPr>
          <w:rFonts w:asciiTheme="minorHAnsi" w:eastAsiaTheme="minorEastAsia" w:hAnsiTheme="minorHAnsi" w:cstheme="minorBidi"/>
          <w:b w:val="0"/>
          <w:noProof/>
          <w:color w:val="auto"/>
          <w:szCs w:val="22"/>
          <w:lang w:eastAsia="en-AU"/>
        </w:rPr>
      </w:pPr>
      <w:hyperlink w:anchor="_Toc473635312" w:history="1">
        <w:r w:rsidR="003F6A1F" w:rsidRPr="00CC595F">
          <w:rPr>
            <w:rStyle w:val="Hyperlink"/>
            <w:noProof/>
          </w:rPr>
          <w:t>4.</w:t>
        </w:r>
        <w:r w:rsidR="003F6A1F">
          <w:rPr>
            <w:rFonts w:asciiTheme="minorHAnsi" w:eastAsiaTheme="minorEastAsia" w:hAnsiTheme="minorHAnsi" w:cstheme="minorBidi"/>
            <w:b w:val="0"/>
            <w:noProof/>
            <w:color w:val="auto"/>
            <w:szCs w:val="22"/>
            <w:lang w:eastAsia="en-AU"/>
          </w:rPr>
          <w:tab/>
        </w:r>
        <w:r w:rsidR="003F6A1F" w:rsidRPr="00CC595F">
          <w:rPr>
            <w:rStyle w:val="Hyperlink"/>
            <w:noProof/>
          </w:rPr>
          <w:t>Analysis: ISA’s recommendations</w:t>
        </w:r>
        <w:r w:rsidR="003F6A1F">
          <w:rPr>
            <w:noProof/>
            <w:webHidden/>
          </w:rPr>
          <w:tab/>
        </w:r>
        <w:r w:rsidR="003F6A1F">
          <w:rPr>
            <w:noProof/>
            <w:webHidden/>
          </w:rPr>
          <w:fldChar w:fldCharType="begin"/>
        </w:r>
        <w:r w:rsidR="003F6A1F">
          <w:rPr>
            <w:noProof/>
            <w:webHidden/>
          </w:rPr>
          <w:instrText xml:space="preserve"> PAGEREF _Toc473635312 \h </w:instrText>
        </w:r>
        <w:r w:rsidR="003F6A1F">
          <w:rPr>
            <w:noProof/>
            <w:webHidden/>
          </w:rPr>
        </w:r>
        <w:r w:rsidR="003F6A1F">
          <w:rPr>
            <w:noProof/>
            <w:webHidden/>
          </w:rPr>
          <w:fldChar w:fldCharType="separate"/>
        </w:r>
        <w:r w:rsidR="003F6A1F">
          <w:rPr>
            <w:noProof/>
            <w:webHidden/>
          </w:rPr>
          <w:t>22</w:t>
        </w:r>
        <w:r w:rsidR="003F6A1F">
          <w:rPr>
            <w:noProof/>
            <w:webHidden/>
          </w:rPr>
          <w:fldChar w:fldCharType="end"/>
        </w:r>
      </w:hyperlink>
    </w:p>
    <w:p w14:paraId="680104E5" w14:textId="77777777" w:rsidR="003F6A1F" w:rsidRDefault="00FA2A0D">
      <w:pPr>
        <w:pStyle w:val="TOC2"/>
        <w:rPr>
          <w:rFonts w:asciiTheme="minorHAnsi" w:eastAsiaTheme="minorEastAsia" w:hAnsiTheme="minorHAnsi" w:cstheme="minorBidi"/>
          <w:noProof/>
          <w:color w:val="auto"/>
          <w:szCs w:val="22"/>
          <w:lang w:eastAsia="en-AU"/>
        </w:rPr>
      </w:pPr>
      <w:hyperlink w:anchor="_Toc473635313" w:history="1">
        <w:r w:rsidR="003F6A1F" w:rsidRPr="00CC595F">
          <w:rPr>
            <w:rStyle w:val="Hyperlink"/>
            <w:b/>
            <w:noProof/>
          </w:rPr>
          <w:t>ISA Recommendation 1</w:t>
        </w:r>
        <w:r w:rsidR="003F6A1F" w:rsidRPr="00CC595F">
          <w:rPr>
            <w:rStyle w:val="Hyperlink"/>
            <w:noProof/>
          </w:rPr>
          <w:t xml:space="preserve">: Requiring real time payment and reporting of </w:t>
        </w:r>
        <w:r w:rsidR="003F6A1F" w:rsidRPr="00CC595F">
          <w:rPr>
            <w:rStyle w:val="Hyperlink"/>
            <w:rFonts w:cs="Arial"/>
            <w:noProof/>
          </w:rPr>
          <w:t>superannuation guarantee</w:t>
        </w:r>
        <w:r w:rsidR="003F6A1F" w:rsidRPr="00CC595F">
          <w:rPr>
            <w:rStyle w:val="Hyperlink"/>
            <w:noProof/>
          </w:rPr>
          <w:t xml:space="preserve"> payments and requiring </w:t>
        </w:r>
        <w:r w:rsidR="003F6A1F" w:rsidRPr="00CC595F">
          <w:rPr>
            <w:rStyle w:val="Hyperlink"/>
            <w:rFonts w:cs="Arial"/>
            <w:noProof/>
          </w:rPr>
          <w:t>superannuation guarantee</w:t>
        </w:r>
        <w:r w:rsidR="003F6A1F" w:rsidRPr="00CC595F">
          <w:rPr>
            <w:rStyle w:val="Hyperlink"/>
            <w:noProof/>
          </w:rPr>
          <w:t xml:space="preserve"> contributions to be paid monthly</w:t>
        </w:r>
        <w:r w:rsidR="003F6A1F">
          <w:rPr>
            <w:noProof/>
            <w:webHidden/>
          </w:rPr>
          <w:tab/>
        </w:r>
        <w:r w:rsidR="003F6A1F">
          <w:rPr>
            <w:noProof/>
            <w:webHidden/>
          </w:rPr>
          <w:fldChar w:fldCharType="begin"/>
        </w:r>
        <w:r w:rsidR="003F6A1F">
          <w:rPr>
            <w:noProof/>
            <w:webHidden/>
          </w:rPr>
          <w:instrText xml:space="preserve"> PAGEREF _Toc473635313 \h </w:instrText>
        </w:r>
        <w:r w:rsidR="003F6A1F">
          <w:rPr>
            <w:noProof/>
            <w:webHidden/>
          </w:rPr>
        </w:r>
        <w:r w:rsidR="003F6A1F">
          <w:rPr>
            <w:noProof/>
            <w:webHidden/>
          </w:rPr>
          <w:fldChar w:fldCharType="separate"/>
        </w:r>
        <w:r w:rsidR="003F6A1F">
          <w:rPr>
            <w:noProof/>
            <w:webHidden/>
          </w:rPr>
          <w:t>22</w:t>
        </w:r>
        <w:r w:rsidR="003F6A1F">
          <w:rPr>
            <w:noProof/>
            <w:webHidden/>
          </w:rPr>
          <w:fldChar w:fldCharType="end"/>
        </w:r>
      </w:hyperlink>
    </w:p>
    <w:p w14:paraId="0A25A8DA" w14:textId="77777777" w:rsidR="003F6A1F" w:rsidRDefault="00FA2A0D">
      <w:pPr>
        <w:pStyle w:val="TOC2"/>
        <w:rPr>
          <w:rFonts w:asciiTheme="minorHAnsi" w:eastAsiaTheme="minorEastAsia" w:hAnsiTheme="minorHAnsi" w:cstheme="minorBidi"/>
          <w:noProof/>
          <w:color w:val="auto"/>
          <w:szCs w:val="22"/>
          <w:lang w:eastAsia="en-AU"/>
        </w:rPr>
      </w:pPr>
      <w:hyperlink w:anchor="_Toc473635314" w:history="1">
        <w:r w:rsidR="003F6A1F" w:rsidRPr="00CC595F">
          <w:rPr>
            <w:rStyle w:val="Hyperlink"/>
            <w:b/>
            <w:noProof/>
          </w:rPr>
          <w:t>ISA Recommendation 2:</w:t>
        </w:r>
        <w:r w:rsidR="003F6A1F" w:rsidRPr="00CC595F">
          <w:rPr>
            <w:rStyle w:val="Hyperlink"/>
            <w:noProof/>
          </w:rPr>
          <w:t xml:space="preserve"> Amending the </w:t>
        </w:r>
        <w:r w:rsidR="003F6A1F" w:rsidRPr="00CC595F">
          <w:rPr>
            <w:rStyle w:val="Hyperlink"/>
            <w:i/>
            <w:noProof/>
          </w:rPr>
          <w:t>Superannuation Guarantee Administration Act 1992</w:t>
        </w:r>
        <w:r w:rsidR="003F6A1F" w:rsidRPr="00CC595F">
          <w:rPr>
            <w:rStyle w:val="Hyperlink"/>
            <w:noProof/>
          </w:rPr>
          <w:t xml:space="preserve"> (SGAA) so that employers cannot count salary sacrifice amounts towards compliance with their obligation to pay superannuation guarantee</w:t>
        </w:r>
        <w:r w:rsidR="003F6A1F">
          <w:rPr>
            <w:noProof/>
            <w:webHidden/>
          </w:rPr>
          <w:tab/>
        </w:r>
        <w:r w:rsidR="003F6A1F">
          <w:rPr>
            <w:noProof/>
            <w:webHidden/>
          </w:rPr>
          <w:fldChar w:fldCharType="begin"/>
        </w:r>
        <w:r w:rsidR="003F6A1F">
          <w:rPr>
            <w:noProof/>
            <w:webHidden/>
          </w:rPr>
          <w:instrText xml:space="preserve"> PAGEREF _Toc473635314 \h </w:instrText>
        </w:r>
        <w:r w:rsidR="003F6A1F">
          <w:rPr>
            <w:noProof/>
            <w:webHidden/>
          </w:rPr>
        </w:r>
        <w:r w:rsidR="003F6A1F">
          <w:rPr>
            <w:noProof/>
            <w:webHidden/>
          </w:rPr>
          <w:fldChar w:fldCharType="separate"/>
        </w:r>
        <w:r w:rsidR="003F6A1F">
          <w:rPr>
            <w:noProof/>
            <w:webHidden/>
          </w:rPr>
          <w:t>25</w:t>
        </w:r>
        <w:r w:rsidR="003F6A1F">
          <w:rPr>
            <w:noProof/>
            <w:webHidden/>
          </w:rPr>
          <w:fldChar w:fldCharType="end"/>
        </w:r>
      </w:hyperlink>
    </w:p>
    <w:p w14:paraId="61CB56A2" w14:textId="77777777" w:rsidR="003F6A1F" w:rsidRDefault="00FA2A0D">
      <w:pPr>
        <w:pStyle w:val="TOC2"/>
        <w:rPr>
          <w:rFonts w:asciiTheme="minorHAnsi" w:eastAsiaTheme="minorEastAsia" w:hAnsiTheme="minorHAnsi" w:cstheme="minorBidi"/>
          <w:noProof/>
          <w:color w:val="auto"/>
          <w:szCs w:val="22"/>
          <w:lang w:eastAsia="en-AU"/>
        </w:rPr>
      </w:pPr>
      <w:hyperlink w:anchor="_Toc473635315" w:history="1">
        <w:r w:rsidR="003F6A1F" w:rsidRPr="00CC595F">
          <w:rPr>
            <w:rStyle w:val="Hyperlink"/>
            <w:b/>
            <w:noProof/>
          </w:rPr>
          <w:t>ISA Recommendation 3:</w:t>
        </w:r>
        <w:r w:rsidR="003F6A1F" w:rsidRPr="00CC595F">
          <w:rPr>
            <w:rStyle w:val="Hyperlink"/>
            <w:noProof/>
          </w:rPr>
          <w:t xml:space="preserve"> Facilitating collection of unpaid superannuation guarantee by superannuation funds directly</w:t>
        </w:r>
        <w:r w:rsidR="003F6A1F">
          <w:rPr>
            <w:noProof/>
            <w:webHidden/>
          </w:rPr>
          <w:tab/>
        </w:r>
        <w:r w:rsidR="003F6A1F">
          <w:rPr>
            <w:noProof/>
            <w:webHidden/>
          </w:rPr>
          <w:fldChar w:fldCharType="begin"/>
        </w:r>
        <w:r w:rsidR="003F6A1F">
          <w:rPr>
            <w:noProof/>
            <w:webHidden/>
          </w:rPr>
          <w:instrText xml:space="preserve"> PAGEREF _Toc473635315 \h </w:instrText>
        </w:r>
        <w:r w:rsidR="003F6A1F">
          <w:rPr>
            <w:noProof/>
            <w:webHidden/>
          </w:rPr>
        </w:r>
        <w:r w:rsidR="003F6A1F">
          <w:rPr>
            <w:noProof/>
            <w:webHidden/>
          </w:rPr>
          <w:fldChar w:fldCharType="separate"/>
        </w:r>
        <w:r w:rsidR="003F6A1F">
          <w:rPr>
            <w:noProof/>
            <w:webHidden/>
          </w:rPr>
          <w:t>27</w:t>
        </w:r>
        <w:r w:rsidR="003F6A1F">
          <w:rPr>
            <w:noProof/>
            <w:webHidden/>
          </w:rPr>
          <w:fldChar w:fldCharType="end"/>
        </w:r>
      </w:hyperlink>
    </w:p>
    <w:p w14:paraId="50C781D5" w14:textId="77777777" w:rsidR="003F6A1F" w:rsidRDefault="00FA2A0D">
      <w:pPr>
        <w:pStyle w:val="TOC2"/>
        <w:rPr>
          <w:rFonts w:asciiTheme="minorHAnsi" w:eastAsiaTheme="minorEastAsia" w:hAnsiTheme="minorHAnsi" w:cstheme="minorBidi"/>
          <w:noProof/>
          <w:color w:val="auto"/>
          <w:szCs w:val="22"/>
          <w:lang w:eastAsia="en-AU"/>
        </w:rPr>
      </w:pPr>
      <w:hyperlink w:anchor="_Toc473635316" w:history="1">
        <w:r w:rsidR="003F6A1F" w:rsidRPr="00CC595F">
          <w:rPr>
            <w:rStyle w:val="Hyperlink"/>
            <w:b/>
            <w:noProof/>
          </w:rPr>
          <w:t>ISA Recommendation 4:</w:t>
        </w:r>
        <w:r w:rsidR="003F6A1F" w:rsidRPr="00CC595F">
          <w:rPr>
            <w:rStyle w:val="Hyperlink"/>
            <w:noProof/>
          </w:rPr>
          <w:t xml:space="preserve"> Measuring and reporting on the extent of the problem</w:t>
        </w:r>
        <w:r w:rsidR="003F6A1F">
          <w:rPr>
            <w:noProof/>
            <w:webHidden/>
          </w:rPr>
          <w:tab/>
        </w:r>
        <w:r w:rsidR="003F6A1F">
          <w:rPr>
            <w:noProof/>
            <w:webHidden/>
          </w:rPr>
          <w:fldChar w:fldCharType="begin"/>
        </w:r>
        <w:r w:rsidR="003F6A1F">
          <w:rPr>
            <w:noProof/>
            <w:webHidden/>
          </w:rPr>
          <w:instrText xml:space="preserve"> PAGEREF _Toc473635316 \h </w:instrText>
        </w:r>
        <w:r w:rsidR="003F6A1F">
          <w:rPr>
            <w:noProof/>
            <w:webHidden/>
          </w:rPr>
        </w:r>
        <w:r w:rsidR="003F6A1F">
          <w:rPr>
            <w:noProof/>
            <w:webHidden/>
          </w:rPr>
          <w:fldChar w:fldCharType="separate"/>
        </w:r>
        <w:r w:rsidR="003F6A1F">
          <w:rPr>
            <w:noProof/>
            <w:webHidden/>
          </w:rPr>
          <w:t>29</w:t>
        </w:r>
        <w:r w:rsidR="003F6A1F">
          <w:rPr>
            <w:noProof/>
            <w:webHidden/>
          </w:rPr>
          <w:fldChar w:fldCharType="end"/>
        </w:r>
      </w:hyperlink>
    </w:p>
    <w:p w14:paraId="10CCA152" w14:textId="77777777" w:rsidR="003F6A1F" w:rsidRDefault="00FA2A0D">
      <w:pPr>
        <w:pStyle w:val="TOC2"/>
        <w:rPr>
          <w:rFonts w:asciiTheme="minorHAnsi" w:eastAsiaTheme="minorEastAsia" w:hAnsiTheme="minorHAnsi" w:cstheme="minorBidi"/>
          <w:noProof/>
          <w:color w:val="auto"/>
          <w:szCs w:val="22"/>
          <w:lang w:eastAsia="en-AU"/>
        </w:rPr>
      </w:pPr>
      <w:hyperlink w:anchor="_Toc473635317" w:history="1">
        <w:r w:rsidR="003F6A1F" w:rsidRPr="00CC595F">
          <w:rPr>
            <w:rStyle w:val="Hyperlink"/>
            <w:b/>
            <w:noProof/>
          </w:rPr>
          <w:t>ISA Recommendation 5:</w:t>
        </w:r>
        <w:r w:rsidR="003F6A1F" w:rsidRPr="00CC595F">
          <w:rPr>
            <w:rStyle w:val="Hyperlink"/>
            <w:noProof/>
          </w:rPr>
          <w:t xml:space="preserve"> Increase ability of regulators to recover unpaid superannuation guarantee</w:t>
        </w:r>
        <w:r w:rsidR="003F6A1F">
          <w:rPr>
            <w:noProof/>
            <w:webHidden/>
          </w:rPr>
          <w:tab/>
        </w:r>
        <w:r w:rsidR="003F6A1F">
          <w:rPr>
            <w:noProof/>
            <w:webHidden/>
          </w:rPr>
          <w:fldChar w:fldCharType="begin"/>
        </w:r>
        <w:r w:rsidR="003F6A1F">
          <w:rPr>
            <w:noProof/>
            <w:webHidden/>
          </w:rPr>
          <w:instrText xml:space="preserve"> PAGEREF _Toc473635317 \h </w:instrText>
        </w:r>
        <w:r w:rsidR="003F6A1F">
          <w:rPr>
            <w:noProof/>
            <w:webHidden/>
          </w:rPr>
        </w:r>
        <w:r w:rsidR="003F6A1F">
          <w:rPr>
            <w:noProof/>
            <w:webHidden/>
          </w:rPr>
          <w:fldChar w:fldCharType="separate"/>
        </w:r>
        <w:r w:rsidR="003F6A1F">
          <w:rPr>
            <w:noProof/>
            <w:webHidden/>
          </w:rPr>
          <w:t>29</w:t>
        </w:r>
        <w:r w:rsidR="003F6A1F">
          <w:rPr>
            <w:noProof/>
            <w:webHidden/>
          </w:rPr>
          <w:fldChar w:fldCharType="end"/>
        </w:r>
      </w:hyperlink>
    </w:p>
    <w:p w14:paraId="15559192" w14:textId="77777777" w:rsidR="003F6A1F" w:rsidRDefault="00FA2A0D">
      <w:pPr>
        <w:pStyle w:val="TOC2"/>
        <w:rPr>
          <w:rFonts w:asciiTheme="minorHAnsi" w:eastAsiaTheme="minorEastAsia" w:hAnsiTheme="minorHAnsi" w:cstheme="minorBidi"/>
          <w:noProof/>
          <w:color w:val="auto"/>
          <w:szCs w:val="22"/>
          <w:lang w:eastAsia="en-AU"/>
        </w:rPr>
      </w:pPr>
      <w:hyperlink w:anchor="_Toc473635318" w:history="1">
        <w:r w:rsidR="003F6A1F" w:rsidRPr="00CC595F">
          <w:rPr>
            <w:rStyle w:val="Hyperlink"/>
            <w:b/>
            <w:noProof/>
          </w:rPr>
          <w:t>ISA Recommendation 6:</w:t>
        </w:r>
        <w:r w:rsidR="003F6A1F" w:rsidRPr="00CC595F">
          <w:rPr>
            <w:rStyle w:val="Hyperlink"/>
            <w:noProof/>
          </w:rPr>
          <w:t xml:space="preserve"> Retaining and using strong penalties</w:t>
        </w:r>
        <w:r w:rsidR="003F6A1F">
          <w:rPr>
            <w:noProof/>
            <w:webHidden/>
          </w:rPr>
          <w:tab/>
        </w:r>
        <w:r w:rsidR="003F6A1F">
          <w:rPr>
            <w:noProof/>
            <w:webHidden/>
          </w:rPr>
          <w:fldChar w:fldCharType="begin"/>
        </w:r>
        <w:r w:rsidR="003F6A1F">
          <w:rPr>
            <w:noProof/>
            <w:webHidden/>
          </w:rPr>
          <w:instrText xml:space="preserve"> PAGEREF _Toc473635318 \h </w:instrText>
        </w:r>
        <w:r w:rsidR="003F6A1F">
          <w:rPr>
            <w:noProof/>
            <w:webHidden/>
          </w:rPr>
        </w:r>
        <w:r w:rsidR="003F6A1F">
          <w:rPr>
            <w:noProof/>
            <w:webHidden/>
          </w:rPr>
          <w:fldChar w:fldCharType="separate"/>
        </w:r>
        <w:r w:rsidR="003F6A1F">
          <w:rPr>
            <w:noProof/>
            <w:webHidden/>
          </w:rPr>
          <w:t>32</w:t>
        </w:r>
        <w:r w:rsidR="003F6A1F">
          <w:rPr>
            <w:noProof/>
            <w:webHidden/>
          </w:rPr>
          <w:fldChar w:fldCharType="end"/>
        </w:r>
      </w:hyperlink>
    </w:p>
    <w:p w14:paraId="0EBE4C28" w14:textId="77777777" w:rsidR="003F6A1F" w:rsidRDefault="00FA2A0D">
      <w:pPr>
        <w:pStyle w:val="TOC2"/>
        <w:rPr>
          <w:rFonts w:asciiTheme="minorHAnsi" w:eastAsiaTheme="minorEastAsia" w:hAnsiTheme="minorHAnsi" w:cstheme="minorBidi"/>
          <w:noProof/>
          <w:color w:val="auto"/>
          <w:szCs w:val="22"/>
          <w:lang w:eastAsia="en-AU"/>
        </w:rPr>
      </w:pPr>
      <w:hyperlink w:anchor="_Toc473635319" w:history="1">
        <w:r w:rsidR="003F6A1F" w:rsidRPr="00CC595F">
          <w:rPr>
            <w:rStyle w:val="Hyperlink"/>
            <w:b/>
            <w:noProof/>
          </w:rPr>
          <w:t>ISA Recommendation 7:</w:t>
        </w:r>
        <w:r w:rsidR="003F6A1F" w:rsidRPr="00CC595F">
          <w:rPr>
            <w:rStyle w:val="Hyperlink"/>
            <w:noProof/>
          </w:rPr>
          <w:t xml:space="preserve"> Extending the safety net for unpaid entitlements in the event of employer insolvency</w:t>
        </w:r>
        <w:r w:rsidR="003F6A1F">
          <w:rPr>
            <w:noProof/>
            <w:webHidden/>
          </w:rPr>
          <w:tab/>
        </w:r>
        <w:r w:rsidR="003F6A1F">
          <w:rPr>
            <w:noProof/>
            <w:webHidden/>
          </w:rPr>
          <w:fldChar w:fldCharType="begin"/>
        </w:r>
        <w:r w:rsidR="003F6A1F">
          <w:rPr>
            <w:noProof/>
            <w:webHidden/>
          </w:rPr>
          <w:instrText xml:space="preserve"> PAGEREF _Toc473635319 \h </w:instrText>
        </w:r>
        <w:r w:rsidR="003F6A1F">
          <w:rPr>
            <w:noProof/>
            <w:webHidden/>
          </w:rPr>
        </w:r>
        <w:r w:rsidR="003F6A1F">
          <w:rPr>
            <w:noProof/>
            <w:webHidden/>
          </w:rPr>
          <w:fldChar w:fldCharType="separate"/>
        </w:r>
        <w:r w:rsidR="003F6A1F">
          <w:rPr>
            <w:noProof/>
            <w:webHidden/>
          </w:rPr>
          <w:t>33</w:t>
        </w:r>
        <w:r w:rsidR="003F6A1F">
          <w:rPr>
            <w:noProof/>
            <w:webHidden/>
          </w:rPr>
          <w:fldChar w:fldCharType="end"/>
        </w:r>
      </w:hyperlink>
    </w:p>
    <w:p w14:paraId="357C6443" w14:textId="77777777" w:rsidR="003F6A1F" w:rsidRDefault="00FA2A0D">
      <w:pPr>
        <w:pStyle w:val="TOC1"/>
        <w:rPr>
          <w:rFonts w:asciiTheme="minorHAnsi" w:eastAsiaTheme="minorEastAsia" w:hAnsiTheme="minorHAnsi" w:cstheme="minorBidi"/>
          <w:b w:val="0"/>
          <w:noProof/>
          <w:color w:val="auto"/>
          <w:szCs w:val="22"/>
          <w:lang w:eastAsia="en-AU"/>
        </w:rPr>
      </w:pPr>
      <w:hyperlink w:anchor="_Toc473635320" w:history="1">
        <w:r w:rsidR="003F6A1F" w:rsidRPr="00CC595F">
          <w:rPr>
            <w:rStyle w:val="Hyperlink"/>
            <w:noProof/>
          </w:rPr>
          <w:t>Appendix 1</w:t>
        </w:r>
        <w:r w:rsidR="003F6A1F">
          <w:rPr>
            <w:noProof/>
            <w:webHidden/>
          </w:rPr>
          <w:tab/>
        </w:r>
        <w:r w:rsidR="003F6A1F">
          <w:rPr>
            <w:noProof/>
            <w:webHidden/>
          </w:rPr>
          <w:fldChar w:fldCharType="begin"/>
        </w:r>
        <w:r w:rsidR="003F6A1F">
          <w:rPr>
            <w:noProof/>
            <w:webHidden/>
          </w:rPr>
          <w:instrText xml:space="preserve"> PAGEREF _Toc473635320 \h </w:instrText>
        </w:r>
        <w:r w:rsidR="003F6A1F">
          <w:rPr>
            <w:noProof/>
            <w:webHidden/>
          </w:rPr>
        </w:r>
        <w:r w:rsidR="003F6A1F">
          <w:rPr>
            <w:noProof/>
            <w:webHidden/>
          </w:rPr>
          <w:fldChar w:fldCharType="separate"/>
        </w:r>
        <w:r w:rsidR="003F6A1F">
          <w:rPr>
            <w:noProof/>
            <w:webHidden/>
          </w:rPr>
          <w:t>36</w:t>
        </w:r>
        <w:r w:rsidR="003F6A1F">
          <w:rPr>
            <w:noProof/>
            <w:webHidden/>
          </w:rPr>
          <w:fldChar w:fldCharType="end"/>
        </w:r>
      </w:hyperlink>
    </w:p>
    <w:p w14:paraId="001F2DFE" w14:textId="77777777" w:rsidR="003F6A1F" w:rsidRDefault="00FA2A0D">
      <w:pPr>
        <w:pStyle w:val="TOC2"/>
        <w:rPr>
          <w:rFonts w:asciiTheme="minorHAnsi" w:eastAsiaTheme="minorEastAsia" w:hAnsiTheme="minorHAnsi" w:cstheme="minorBidi"/>
          <w:noProof/>
          <w:color w:val="auto"/>
          <w:szCs w:val="22"/>
          <w:lang w:eastAsia="en-AU"/>
        </w:rPr>
      </w:pPr>
      <w:hyperlink w:anchor="_Toc473635321" w:history="1">
        <w:r w:rsidR="003F6A1F" w:rsidRPr="00CC595F">
          <w:rPr>
            <w:rStyle w:val="Hyperlink"/>
            <w:noProof/>
          </w:rPr>
          <w:t>Terms of Reference</w:t>
        </w:r>
        <w:r w:rsidR="003F6A1F">
          <w:rPr>
            <w:noProof/>
            <w:webHidden/>
          </w:rPr>
          <w:tab/>
        </w:r>
        <w:r w:rsidR="003F6A1F">
          <w:rPr>
            <w:noProof/>
            <w:webHidden/>
          </w:rPr>
          <w:fldChar w:fldCharType="begin"/>
        </w:r>
        <w:r w:rsidR="003F6A1F">
          <w:rPr>
            <w:noProof/>
            <w:webHidden/>
          </w:rPr>
          <w:instrText xml:space="preserve"> PAGEREF _Toc473635321 \h </w:instrText>
        </w:r>
        <w:r w:rsidR="003F6A1F">
          <w:rPr>
            <w:noProof/>
            <w:webHidden/>
          </w:rPr>
        </w:r>
        <w:r w:rsidR="003F6A1F">
          <w:rPr>
            <w:noProof/>
            <w:webHidden/>
          </w:rPr>
          <w:fldChar w:fldCharType="separate"/>
        </w:r>
        <w:r w:rsidR="003F6A1F">
          <w:rPr>
            <w:noProof/>
            <w:webHidden/>
          </w:rPr>
          <w:t>36</w:t>
        </w:r>
        <w:r w:rsidR="003F6A1F">
          <w:rPr>
            <w:noProof/>
            <w:webHidden/>
          </w:rPr>
          <w:fldChar w:fldCharType="end"/>
        </w:r>
      </w:hyperlink>
    </w:p>
    <w:p w14:paraId="47341FF9" w14:textId="77777777" w:rsidR="003F6A1F" w:rsidRDefault="00FA2A0D">
      <w:pPr>
        <w:pStyle w:val="TOC1"/>
        <w:rPr>
          <w:rFonts w:asciiTheme="minorHAnsi" w:eastAsiaTheme="minorEastAsia" w:hAnsiTheme="minorHAnsi" w:cstheme="minorBidi"/>
          <w:b w:val="0"/>
          <w:noProof/>
          <w:color w:val="auto"/>
          <w:szCs w:val="22"/>
          <w:lang w:eastAsia="en-AU"/>
        </w:rPr>
      </w:pPr>
      <w:hyperlink w:anchor="_Toc473635322" w:history="1">
        <w:r w:rsidR="003F6A1F" w:rsidRPr="00CC595F">
          <w:rPr>
            <w:rStyle w:val="Hyperlink"/>
            <w:noProof/>
          </w:rPr>
          <w:t>Appendix 2</w:t>
        </w:r>
        <w:r w:rsidR="003F6A1F">
          <w:rPr>
            <w:noProof/>
            <w:webHidden/>
          </w:rPr>
          <w:tab/>
        </w:r>
        <w:r w:rsidR="003F6A1F">
          <w:rPr>
            <w:noProof/>
            <w:webHidden/>
          </w:rPr>
          <w:fldChar w:fldCharType="begin"/>
        </w:r>
        <w:r w:rsidR="003F6A1F">
          <w:rPr>
            <w:noProof/>
            <w:webHidden/>
          </w:rPr>
          <w:instrText xml:space="preserve"> PAGEREF _Toc473635322 \h </w:instrText>
        </w:r>
        <w:r w:rsidR="003F6A1F">
          <w:rPr>
            <w:noProof/>
            <w:webHidden/>
          </w:rPr>
        </w:r>
        <w:r w:rsidR="003F6A1F">
          <w:rPr>
            <w:noProof/>
            <w:webHidden/>
          </w:rPr>
          <w:fldChar w:fldCharType="separate"/>
        </w:r>
        <w:r w:rsidR="003F6A1F">
          <w:rPr>
            <w:noProof/>
            <w:webHidden/>
          </w:rPr>
          <w:t>37</w:t>
        </w:r>
        <w:r w:rsidR="003F6A1F">
          <w:rPr>
            <w:noProof/>
            <w:webHidden/>
          </w:rPr>
          <w:fldChar w:fldCharType="end"/>
        </w:r>
      </w:hyperlink>
    </w:p>
    <w:p w14:paraId="35BB5DDD" w14:textId="77777777" w:rsidR="003F6A1F" w:rsidRDefault="00FA2A0D">
      <w:pPr>
        <w:pStyle w:val="TOC2"/>
        <w:rPr>
          <w:rFonts w:asciiTheme="minorHAnsi" w:eastAsiaTheme="minorEastAsia" w:hAnsiTheme="minorHAnsi" w:cstheme="minorBidi"/>
          <w:noProof/>
          <w:color w:val="auto"/>
          <w:szCs w:val="22"/>
          <w:lang w:eastAsia="en-AU"/>
        </w:rPr>
      </w:pPr>
      <w:hyperlink w:anchor="_Toc473635323" w:history="1">
        <w:r w:rsidR="003F6A1F" w:rsidRPr="00CC595F">
          <w:rPr>
            <w:rStyle w:val="Hyperlink"/>
            <w:noProof/>
          </w:rPr>
          <w:t>Cross Agency Working Group Members</w:t>
        </w:r>
        <w:r w:rsidR="003F6A1F">
          <w:rPr>
            <w:noProof/>
            <w:webHidden/>
          </w:rPr>
          <w:tab/>
        </w:r>
        <w:r w:rsidR="003F6A1F">
          <w:rPr>
            <w:noProof/>
            <w:webHidden/>
          </w:rPr>
          <w:fldChar w:fldCharType="begin"/>
        </w:r>
        <w:r w:rsidR="003F6A1F">
          <w:rPr>
            <w:noProof/>
            <w:webHidden/>
          </w:rPr>
          <w:instrText xml:space="preserve"> PAGEREF _Toc473635323 \h </w:instrText>
        </w:r>
        <w:r w:rsidR="003F6A1F">
          <w:rPr>
            <w:noProof/>
            <w:webHidden/>
          </w:rPr>
        </w:r>
        <w:r w:rsidR="003F6A1F">
          <w:rPr>
            <w:noProof/>
            <w:webHidden/>
          </w:rPr>
          <w:fldChar w:fldCharType="separate"/>
        </w:r>
        <w:r w:rsidR="003F6A1F">
          <w:rPr>
            <w:noProof/>
            <w:webHidden/>
          </w:rPr>
          <w:t>37</w:t>
        </w:r>
        <w:r w:rsidR="003F6A1F">
          <w:rPr>
            <w:noProof/>
            <w:webHidden/>
          </w:rPr>
          <w:fldChar w:fldCharType="end"/>
        </w:r>
      </w:hyperlink>
    </w:p>
    <w:p w14:paraId="66F0965F" w14:textId="44C73536" w:rsidR="00885E8A" w:rsidRDefault="00885E8A" w:rsidP="00885E8A">
      <w:r>
        <w:fldChar w:fldCharType="end"/>
      </w:r>
    </w:p>
    <w:p w14:paraId="36C59B05" w14:textId="77777777" w:rsidR="00885E8A" w:rsidRDefault="00885E8A" w:rsidP="00885E8A">
      <w:pPr>
        <w:pStyle w:val="Heading2"/>
        <w:sectPr w:rsidR="00885E8A" w:rsidSect="00CD678D">
          <w:headerReference w:type="default" r:id="rId22"/>
          <w:footerReference w:type="default" r:id="rId23"/>
          <w:headerReference w:type="first" r:id="rId24"/>
          <w:footerReference w:type="first" r:id="rId25"/>
          <w:pgSz w:w="11906" w:h="16838" w:code="9"/>
          <w:pgMar w:top="993" w:right="1418" w:bottom="1418" w:left="1418" w:header="397" w:footer="454" w:gutter="0"/>
          <w:cols w:space="720"/>
          <w:titlePg/>
          <w:docGrid w:linePitch="360"/>
        </w:sectPr>
      </w:pPr>
    </w:p>
    <w:p w14:paraId="55D8E6DB" w14:textId="6FE6F216" w:rsidR="00885E8A" w:rsidRDefault="00F60B0D" w:rsidP="00847AAB">
      <w:pPr>
        <w:pStyle w:val="Heading1"/>
        <w:framePr w:wrap="notBeside"/>
        <w:spacing w:before="0"/>
      </w:pPr>
      <w:bookmarkStart w:id="1" w:name="_Toc473540239"/>
      <w:bookmarkStart w:id="2" w:name="_Toc473554622"/>
      <w:bookmarkStart w:id="3" w:name="_Toc473625440"/>
      <w:bookmarkStart w:id="4" w:name="_Toc473629871"/>
      <w:bookmarkStart w:id="5" w:name="_Toc473631163"/>
      <w:bookmarkStart w:id="6" w:name="_Toc473631457"/>
      <w:bookmarkStart w:id="7" w:name="_Toc473636581"/>
      <w:bookmarkStart w:id="8" w:name="_Toc473635299"/>
      <w:r>
        <w:lastRenderedPageBreak/>
        <w:t>Executive Summary</w:t>
      </w:r>
      <w:bookmarkEnd w:id="1"/>
      <w:bookmarkEnd w:id="2"/>
      <w:bookmarkEnd w:id="3"/>
      <w:bookmarkEnd w:id="4"/>
      <w:bookmarkEnd w:id="5"/>
      <w:bookmarkEnd w:id="6"/>
      <w:bookmarkEnd w:id="7"/>
      <w:bookmarkEnd w:id="8"/>
      <w:r>
        <w:t xml:space="preserve"> </w:t>
      </w:r>
    </w:p>
    <w:p w14:paraId="7D1D49CE" w14:textId="77777777" w:rsidR="00885E8A" w:rsidRDefault="00885E8A" w:rsidP="00885E8A"/>
    <w:p w14:paraId="1EB321BC" w14:textId="69432529" w:rsidR="002F0BBB" w:rsidRPr="00877499" w:rsidRDefault="00795948" w:rsidP="00EC757D">
      <w:pPr>
        <w:spacing w:line="360" w:lineRule="auto"/>
        <w:jc w:val="both"/>
        <w:rPr>
          <w:szCs w:val="22"/>
        </w:rPr>
      </w:pPr>
      <w:r w:rsidRPr="00877499">
        <w:rPr>
          <w:szCs w:val="22"/>
        </w:rPr>
        <w:t>In December 2</w:t>
      </w:r>
      <w:r w:rsidR="00F71E2E" w:rsidRPr="00877499">
        <w:rPr>
          <w:szCs w:val="22"/>
        </w:rPr>
        <w:t>016</w:t>
      </w:r>
      <w:r w:rsidRPr="00877499">
        <w:rPr>
          <w:szCs w:val="22"/>
        </w:rPr>
        <w:t xml:space="preserve"> the Minister for Revenue and Financial Services requested tha</w:t>
      </w:r>
      <w:r w:rsidR="007E2241" w:rsidRPr="00877499">
        <w:rPr>
          <w:szCs w:val="22"/>
        </w:rPr>
        <w:t xml:space="preserve">t </w:t>
      </w:r>
      <w:r w:rsidR="00847AAB" w:rsidRPr="00877499">
        <w:rPr>
          <w:szCs w:val="22"/>
        </w:rPr>
        <w:t xml:space="preserve">a </w:t>
      </w:r>
      <w:r w:rsidR="007E2241" w:rsidRPr="00877499">
        <w:rPr>
          <w:szCs w:val="22"/>
        </w:rPr>
        <w:t xml:space="preserve">Cross Agency Working Group be formed to </w:t>
      </w:r>
      <w:r w:rsidR="009A1889" w:rsidRPr="00877499">
        <w:rPr>
          <w:szCs w:val="22"/>
        </w:rPr>
        <w:t xml:space="preserve">report on </w:t>
      </w:r>
      <w:r w:rsidR="002F0BBB" w:rsidRPr="00877499">
        <w:rPr>
          <w:szCs w:val="22"/>
        </w:rPr>
        <w:t xml:space="preserve">the incidence and nature of non-compliance for </w:t>
      </w:r>
      <w:r w:rsidR="00B8566F">
        <w:rPr>
          <w:szCs w:val="22"/>
        </w:rPr>
        <w:t>s</w:t>
      </w:r>
      <w:r w:rsidR="002F0BBB" w:rsidRPr="00877499">
        <w:rPr>
          <w:szCs w:val="22"/>
        </w:rPr>
        <w:t xml:space="preserve">uperannuation </w:t>
      </w:r>
      <w:r w:rsidR="00B8566F">
        <w:rPr>
          <w:szCs w:val="22"/>
        </w:rPr>
        <w:t>g</w:t>
      </w:r>
      <w:r w:rsidR="002F0BBB" w:rsidRPr="00877499">
        <w:rPr>
          <w:szCs w:val="22"/>
        </w:rPr>
        <w:t>uarantee.</w:t>
      </w:r>
    </w:p>
    <w:p w14:paraId="5EAE27C5" w14:textId="02B457F4" w:rsidR="00795948" w:rsidRPr="00877499" w:rsidRDefault="0021686B" w:rsidP="00EC757D">
      <w:pPr>
        <w:spacing w:line="360" w:lineRule="auto"/>
        <w:jc w:val="both"/>
        <w:rPr>
          <w:szCs w:val="22"/>
        </w:rPr>
      </w:pPr>
      <w:r w:rsidRPr="00877499">
        <w:rPr>
          <w:szCs w:val="22"/>
        </w:rPr>
        <w:t>T</w:t>
      </w:r>
      <w:r w:rsidR="002C7556" w:rsidRPr="00877499">
        <w:rPr>
          <w:szCs w:val="22"/>
        </w:rPr>
        <w:t xml:space="preserve">he </w:t>
      </w:r>
      <w:r w:rsidR="0030782A" w:rsidRPr="00877499">
        <w:rPr>
          <w:szCs w:val="22"/>
        </w:rPr>
        <w:t>terms of r</w:t>
      </w:r>
      <w:r w:rsidR="00847AAB" w:rsidRPr="00877499">
        <w:rPr>
          <w:szCs w:val="22"/>
        </w:rPr>
        <w:t xml:space="preserve">eference for the </w:t>
      </w:r>
      <w:r w:rsidR="0061417A" w:rsidRPr="00877499">
        <w:rPr>
          <w:szCs w:val="22"/>
        </w:rPr>
        <w:t>Working Group</w:t>
      </w:r>
      <w:r w:rsidR="00847AAB" w:rsidRPr="00877499">
        <w:rPr>
          <w:szCs w:val="22"/>
        </w:rPr>
        <w:t xml:space="preserve"> </w:t>
      </w:r>
      <w:r w:rsidR="0061417A" w:rsidRPr="00877499">
        <w:rPr>
          <w:szCs w:val="22"/>
        </w:rPr>
        <w:t xml:space="preserve">sought advice </w:t>
      </w:r>
      <w:r w:rsidR="00161C27" w:rsidRPr="00877499">
        <w:rPr>
          <w:szCs w:val="22"/>
        </w:rPr>
        <w:t>on matters including</w:t>
      </w:r>
      <w:r w:rsidR="00A42E4C">
        <w:rPr>
          <w:szCs w:val="22"/>
        </w:rPr>
        <w:t>:</w:t>
      </w:r>
      <w:r w:rsidR="00161C27" w:rsidRPr="00877499">
        <w:rPr>
          <w:szCs w:val="22"/>
        </w:rPr>
        <w:t xml:space="preserve"> </w:t>
      </w:r>
      <w:r w:rsidR="000D2593" w:rsidRPr="00877499">
        <w:rPr>
          <w:szCs w:val="22"/>
        </w:rPr>
        <w:t>the</w:t>
      </w:r>
      <w:r w:rsidR="00F118CD" w:rsidRPr="00877499">
        <w:rPr>
          <w:szCs w:val="22"/>
        </w:rPr>
        <w:t xml:space="preserve"> ‘fact base’; </w:t>
      </w:r>
      <w:r w:rsidR="0061417A" w:rsidRPr="00877499">
        <w:rPr>
          <w:szCs w:val="22"/>
        </w:rPr>
        <w:t xml:space="preserve">the </w:t>
      </w:r>
      <w:r w:rsidR="000D2593" w:rsidRPr="00877499">
        <w:rPr>
          <w:szCs w:val="22"/>
        </w:rPr>
        <w:t xml:space="preserve">characteristics </w:t>
      </w:r>
      <w:r w:rsidR="00B72632" w:rsidRPr="00877499">
        <w:rPr>
          <w:szCs w:val="22"/>
        </w:rPr>
        <w:t xml:space="preserve">of superannuation guarantee </w:t>
      </w:r>
      <w:r w:rsidR="00795948" w:rsidRPr="00877499">
        <w:rPr>
          <w:szCs w:val="22"/>
        </w:rPr>
        <w:t>non</w:t>
      </w:r>
      <w:r w:rsidR="00795948" w:rsidRPr="00877499">
        <w:rPr>
          <w:szCs w:val="22"/>
        </w:rPr>
        <w:noBreakHyphen/>
        <w:t xml:space="preserve">compliance; </w:t>
      </w:r>
      <w:r w:rsidR="007E0507" w:rsidRPr="00877499">
        <w:rPr>
          <w:szCs w:val="22"/>
        </w:rPr>
        <w:t xml:space="preserve">views on </w:t>
      </w:r>
      <w:r w:rsidR="00795948" w:rsidRPr="00877499">
        <w:rPr>
          <w:szCs w:val="22"/>
        </w:rPr>
        <w:t>administrative options to imp</w:t>
      </w:r>
      <w:r w:rsidR="007E0507" w:rsidRPr="00877499">
        <w:rPr>
          <w:szCs w:val="22"/>
        </w:rPr>
        <w:t>rove compliance and</w:t>
      </w:r>
      <w:r w:rsidR="00847AAB" w:rsidRPr="00877499">
        <w:rPr>
          <w:szCs w:val="22"/>
        </w:rPr>
        <w:t xml:space="preserve"> </w:t>
      </w:r>
      <w:r w:rsidR="007E0507" w:rsidRPr="00877499">
        <w:rPr>
          <w:szCs w:val="22"/>
        </w:rPr>
        <w:t xml:space="preserve">possible </w:t>
      </w:r>
      <w:r w:rsidR="00795948" w:rsidRPr="00877499">
        <w:rPr>
          <w:szCs w:val="22"/>
        </w:rPr>
        <w:t xml:space="preserve">policy </w:t>
      </w:r>
      <w:r w:rsidR="007E0507" w:rsidRPr="00877499">
        <w:rPr>
          <w:szCs w:val="22"/>
        </w:rPr>
        <w:t xml:space="preserve">and legislative </w:t>
      </w:r>
      <w:r w:rsidR="00B72632" w:rsidRPr="00877499">
        <w:rPr>
          <w:szCs w:val="22"/>
        </w:rPr>
        <w:t xml:space="preserve">options to address </w:t>
      </w:r>
      <w:r w:rsidR="00795948" w:rsidRPr="00877499">
        <w:rPr>
          <w:szCs w:val="22"/>
        </w:rPr>
        <w:t>non</w:t>
      </w:r>
      <w:r w:rsidR="00795948" w:rsidRPr="00877499">
        <w:rPr>
          <w:szCs w:val="22"/>
        </w:rPr>
        <w:noBreakHyphen/>
      </w:r>
      <w:r w:rsidR="00F118CD" w:rsidRPr="00877499">
        <w:rPr>
          <w:szCs w:val="22"/>
        </w:rPr>
        <w:t xml:space="preserve">compliance. The Working Group has not consulted with industry or other stakeholders at this stage. </w:t>
      </w:r>
    </w:p>
    <w:p w14:paraId="11087956" w14:textId="4045B36A" w:rsidR="003C0572" w:rsidRPr="00877499" w:rsidRDefault="00EC757D" w:rsidP="00EC757D">
      <w:pPr>
        <w:spacing w:line="360" w:lineRule="auto"/>
        <w:jc w:val="both"/>
        <w:rPr>
          <w:szCs w:val="22"/>
        </w:rPr>
      </w:pPr>
      <w:r w:rsidRPr="00877499">
        <w:rPr>
          <w:szCs w:val="22"/>
        </w:rPr>
        <w:t xml:space="preserve">This </w:t>
      </w:r>
      <w:r w:rsidR="0021686B" w:rsidRPr="00877499">
        <w:rPr>
          <w:szCs w:val="22"/>
        </w:rPr>
        <w:t xml:space="preserve">interim </w:t>
      </w:r>
      <w:r w:rsidRPr="00877499">
        <w:rPr>
          <w:szCs w:val="22"/>
        </w:rPr>
        <w:t xml:space="preserve">report </w:t>
      </w:r>
      <w:r w:rsidR="00141209" w:rsidRPr="00877499">
        <w:rPr>
          <w:szCs w:val="22"/>
        </w:rPr>
        <w:t xml:space="preserve">provides information </w:t>
      </w:r>
      <w:r w:rsidR="000D2593" w:rsidRPr="00877499">
        <w:rPr>
          <w:szCs w:val="22"/>
        </w:rPr>
        <w:t xml:space="preserve">on </w:t>
      </w:r>
      <w:r w:rsidR="00292FE7" w:rsidRPr="00877499">
        <w:rPr>
          <w:szCs w:val="22"/>
        </w:rPr>
        <w:t xml:space="preserve">the operation of </w:t>
      </w:r>
      <w:r w:rsidR="00AF18C7" w:rsidRPr="00877499">
        <w:rPr>
          <w:szCs w:val="22"/>
        </w:rPr>
        <w:t xml:space="preserve">the </w:t>
      </w:r>
      <w:r w:rsidR="00292FE7" w:rsidRPr="00877499">
        <w:rPr>
          <w:szCs w:val="22"/>
        </w:rPr>
        <w:t xml:space="preserve">superannuation guarantee system and observations on the </w:t>
      </w:r>
      <w:r w:rsidR="003A2317" w:rsidRPr="00877499">
        <w:rPr>
          <w:szCs w:val="22"/>
        </w:rPr>
        <w:t>characteristics</w:t>
      </w:r>
      <w:r w:rsidR="00292FE7" w:rsidRPr="00877499">
        <w:rPr>
          <w:szCs w:val="22"/>
        </w:rPr>
        <w:t xml:space="preserve"> and behaviours</w:t>
      </w:r>
      <w:r w:rsidR="00E923AA" w:rsidRPr="00877499">
        <w:rPr>
          <w:szCs w:val="22"/>
        </w:rPr>
        <w:t xml:space="preserve"> of those involved in the </w:t>
      </w:r>
      <w:r w:rsidR="003A2317" w:rsidRPr="00877499">
        <w:rPr>
          <w:szCs w:val="22"/>
        </w:rPr>
        <w:t>non-payment</w:t>
      </w:r>
      <w:r w:rsidR="00E923AA" w:rsidRPr="00877499">
        <w:rPr>
          <w:szCs w:val="22"/>
        </w:rPr>
        <w:t xml:space="preserve"> of superannuation </w:t>
      </w:r>
      <w:r w:rsidR="003A2317" w:rsidRPr="00877499">
        <w:rPr>
          <w:szCs w:val="22"/>
        </w:rPr>
        <w:t>guarantee</w:t>
      </w:r>
      <w:r w:rsidR="00E923AA" w:rsidRPr="00877499">
        <w:rPr>
          <w:szCs w:val="22"/>
        </w:rPr>
        <w:t xml:space="preserve">. </w:t>
      </w:r>
      <w:r w:rsidR="00A46A63" w:rsidRPr="00877499">
        <w:rPr>
          <w:szCs w:val="22"/>
        </w:rPr>
        <w:t xml:space="preserve">This report also provides </w:t>
      </w:r>
      <w:r w:rsidR="00292FE7" w:rsidRPr="00877499">
        <w:rPr>
          <w:szCs w:val="22"/>
        </w:rPr>
        <w:t>comments on</w:t>
      </w:r>
      <w:r w:rsidR="003A2317" w:rsidRPr="00877499">
        <w:rPr>
          <w:szCs w:val="22"/>
        </w:rPr>
        <w:t xml:space="preserve"> </w:t>
      </w:r>
      <w:r w:rsidRPr="00877499">
        <w:rPr>
          <w:szCs w:val="22"/>
        </w:rPr>
        <w:t xml:space="preserve">the policy recommendations raised in the report by Industry Super Australia (ISA) and CBUS titled </w:t>
      </w:r>
      <w:r w:rsidRPr="00877499">
        <w:rPr>
          <w:i/>
          <w:iCs/>
          <w:szCs w:val="22"/>
        </w:rPr>
        <w:t>Overdue: Time for Action on Unpaid Super</w:t>
      </w:r>
      <w:r w:rsidRPr="00877499">
        <w:rPr>
          <w:szCs w:val="22"/>
        </w:rPr>
        <w:t xml:space="preserve"> (‘the </w:t>
      </w:r>
      <w:r w:rsidR="00EE4845" w:rsidRPr="00877499">
        <w:rPr>
          <w:szCs w:val="22"/>
        </w:rPr>
        <w:t>ISA Report</w:t>
      </w:r>
      <w:r w:rsidRPr="00877499">
        <w:rPr>
          <w:szCs w:val="22"/>
        </w:rPr>
        <w:t>’) released in December 2016.</w:t>
      </w:r>
      <w:r w:rsidR="0051271F" w:rsidRPr="00877499">
        <w:rPr>
          <w:szCs w:val="22"/>
        </w:rPr>
        <w:t xml:space="preserve"> The final </w:t>
      </w:r>
      <w:r w:rsidR="007F16F6" w:rsidRPr="00877499">
        <w:rPr>
          <w:szCs w:val="22"/>
        </w:rPr>
        <w:t xml:space="preserve">Working Group </w:t>
      </w:r>
      <w:r w:rsidR="0051271F" w:rsidRPr="00877499">
        <w:rPr>
          <w:szCs w:val="22"/>
        </w:rPr>
        <w:t>report will provide further information a</w:t>
      </w:r>
      <w:r w:rsidR="00A46A63" w:rsidRPr="00877499">
        <w:rPr>
          <w:szCs w:val="22"/>
        </w:rPr>
        <w:t xml:space="preserve">nd </w:t>
      </w:r>
      <w:r w:rsidR="007F16F6" w:rsidRPr="00877499">
        <w:rPr>
          <w:szCs w:val="22"/>
        </w:rPr>
        <w:t xml:space="preserve">specific </w:t>
      </w:r>
      <w:r w:rsidR="00A46A63" w:rsidRPr="00877499">
        <w:rPr>
          <w:szCs w:val="22"/>
        </w:rPr>
        <w:t>advice across the full terms</w:t>
      </w:r>
      <w:r w:rsidR="001D3E2C" w:rsidRPr="00877499">
        <w:rPr>
          <w:szCs w:val="22"/>
        </w:rPr>
        <w:t xml:space="preserve"> </w:t>
      </w:r>
      <w:r w:rsidR="0051271F" w:rsidRPr="00877499">
        <w:rPr>
          <w:szCs w:val="22"/>
        </w:rPr>
        <w:t xml:space="preserve">of reference. </w:t>
      </w:r>
      <w:r w:rsidRPr="00877499">
        <w:rPr>
          <w:szCs w:val="22"/>
        </w:rPr>
        <w:t xml:space="preserve">  </w:t>
      </w:r>
    </w:p>
    <w:p w14:paraId="5F2C4928" w14:textId="4FF579EC" w:rsidR="00EC757D" w:rsidRPr="00877499" w:rsidRDefault="00EC757D" w:rsidP="00EC757D">
      <w:pPr>
        <w:spacing w:line="360" w:lineRule="auto"/>
        <w:jc w:val="both"/>
        <w:rPr>
          <w:szCs w:val="22"/>
        </w:rPr>
      </w:pPr>
      <w:r w:rsidRPr="00877499">
        <w:rPr>
          <w:szCs w:val="22"/>
        </w:rPr>
        <w:t xml:space="preserve">The </w:t>
      </w:r>
      <w:r w:rsidR="00EE4845" w:rsidRPr="00877499">
        <w:rPr>
          <w:szCs w:val="22"/>
        </w:rPr>
        <w:t>ISA Report</w:t>
      </w:r>
      <w:r w:rsidRPr="00877499">
        <w:rPr>
          <w:szCs w:val="22"/>
        </w:rPr>
        <w:t xml:space="preserve"> stated that around 2.</w:t>
      </w:r>
      <w:r w:rsidR="00B60238" w:rsidRPr="00877499">
        <w:rPr>
          <w:szCs w:val="22"/>
        </w:rPr>
        <w:t>1</w:t>
      </w:r>
      <w:r w:rsidR="00B60238">
        <w:rPr>
          <w:szCs w:val="22"/>
        </w:rPr>
        <w:t> </w:t>
      </w:r>
      <w:r w:rsidRPr="00877499">
        <w:rPr>
          <w:szCs w:val="22"/>
        </w:rPr>
        <w:t>million Australians missed out on $2.8</w:t>
      </w:r>
      <w:r w:rsidR="00B60238">
        <w:rPr>
          <w:szCs w:val="22"/>
        </w:rPr>
        <w:t> </w:t>
      </w:r>
      <w:r w:rsidRPr="00877499">
        <w:rPr>
          <w:szCs w:val="22"/>
        </w:rPr>
        <w:t>billion of superannuation a year</w:t>
      </w:r>
      <w:r w:rsidR="000657D4" w:rsidRPr="00877499">
        <w:rPr>
          <w:szCs w:val="22"/>
        </w:rPr>
        <w:t>.</w:t>
      </w:r>
      <w:r w:rsidR="001D6697" w:rsidRPr="00877499">
        <w:rPr>
          <w:rStyle w:val="FootnoteReference"/>
          <w:szCs w:val="22"/>
        </w:rPr>
        <w:footnoteReference w:id="2"/>
      </w:r>
      <w:r w:rsidR="00A00CFF" w:rsidRPr="00877499">
        <w:rPr>
          <w:szCs w:val="22"/>
        </w:rPr>
        <w:t xml:space="preserve"> While of course noting the individual concern this information raises, it does need to be considered in the context of $85.7 billion superannuation payments paid by approximately 880,000 employers on behalf of 11.7 million </w:t>
      </w:r>
      <w:r w:rsidR="000657D4" w:rsidRPr="00877499">
        <w:rPr>
          <w:szCs w:val="22"/>
        </w:rPr>
        <w:t>employees</w:t>
      </w:r>
      <w:r w:rsidR="00A00CFF" w:rsidRPr="00877499">
        <w:rPr>
          <w:szCs w:val="22"/>
        </w:rPr>
        <w:t xml:space="preserve"> </w:t>
      </w:r>
      <w:r w:rsidR="001D3E2C" w:rsidRPr="00877499">
        <w:rPr>
          <w:szCs w:val="22"/>
        </w:rPr>
        <w:t>i</w:t>
      </w:r>
      <w:r w:rsidR="00BC7F34" w:rsidRPr="00877499">
        <w:rPr>
          <w:szCs w:val="22"/>
        </w:rPr>
        <w:t>n 2014-15</w:t>
      </w:r>
      <w:r w:rsidR="00A00CFF" w:rsidRPr="00877499">
        <w:rPr>
          <w:szCs w:val="22"/>
        </w:rPr>
        <w:t>.</w:t>
      </w:r>
      <w:r w:rsidR="000657D4" w:rsidRPr="00877499">
        <w:rPr>
          <w:rStyle w:val="FootnoteReference"/>
          <w:szCs w:val="22"/>
        </w:rPr>
        <w:footnoteReference w:id="3"/>
      </w:r>
      <w:r w:rsidR="00BC7F34" w:rsidRPr="00877499">
        <w:rPr>
          <w:szCs w:val="22"/>
        </w:rPr>
        <w:t xml:space="preserve"> </w:t>
      </w:r>
      <w:r w:rsidR="00B60238" w:rsidRPr="000A50F4">
        <w:t xml:space="preserve">If taken at face value, the ISA estimates imply that compliance with the </w:t>
      </w:r>
      <w:r w:rsidR="002311C1">
        <w:t>superannuation guarantee</w:t>
      </w:r>
      <w:r w:rsidR="00B60238" w:rsidRPr="000A50F4">
        <w:t xml:space="preserve"> system amounts to over 96 per cent </w:t>
      </w:r>
      <w:r w:rsidR="00B60238" w:rsidRPr="002E6645">
        <w:t>of total contributions made into the superannuation system each year</w:t>
      </w:r>
      <w:r w:rsidR="00B60238">
        <w:rPr>
          <w:szCs w:val="22"/>
        </w:rPr>
        <w:t xml:space="preserve">. </w:t>
      </w:r>
      <w:r w:rsidR="003128E9" w:rsidRPr="00877499">
        <w:rPr>
          <w:szCs w:val="22"/>
        </w:rPr>
        <w:t>R</w:t>
      </w:r>
      <w:r w:rsidR="00BC7F34" w:rsidRPr="00877499">
        <w:rPr>
          <w:szCs w:val="22"/>
        </w:rPr>
        <w:t xml:space="preserve">eports of </w:t>
      </w:r>
      <w:r w:rsidR="008B1F40" w:rsidRPr="00877499">
        <w:rPr>
          <w:szCs w:val="22"/>
        </w:rPr>
        <w:t>non-payment</w:t>
      </w:r>
      <w:r w:rsidR="00BC7F34" w:rsidRPr="00877499">
        <w:rPr>
          <w:szCs w:val="22"/>
        </w:rPr>
        <w:t xml:space="preserve"> of superannuation guarantee from employees </w:t>
      </w:r>
      <w:r w:rsidR="008B1F40" w:rsidRPr="00877499">
        <w:rPr>
          <w:szCs w:val="22"/>
        </w:rPr>
        <w:t xml:space="preserve">made </w:t>
      </w:r>
      <w:r w:rsidR="00BC7F34" w:rsidRPr="00877499">
        <w:rPr>
          <w:szCs w:val="22"/>
        </w:rPr>
        <w:t xml:space="preserve">to the ATO involve </w:t>
      </w:r>
      <w:r w:rsidR="00AD730E" w:rsidRPr="00877499">
        <w:rPr>
          <w:szCs w:val="22"/>
        </w:rPr>
        <w:t>two</w:t>
      </w:r>
      <w:r w:rsidR="006D45E1" w:rsidRPr="00877499">
        <w:rPr>
          <w:szCs w:val="22"/>
        </w:rPr>
        <w:t> per cent</w:t>
      </w:r>
      <w:r w:rsidR="00BC7F34" w:rsidRPr="00877499">
        <w:rPr>
          <w:szCs w:val="22"/>
        </w:rPr>
        <w:t xml:space="preserve"> of total employers, while employers that are investigated by the ATO </w:t>
      </w:r>
      <w:r w:rsidR="00426259" w:rsidRPr="00877499">
        <w:rPr>
          <w:szCs w:val="22"/>
        </w:rPr>
        <w:t xml:space="preserve">for non-compliance </w:t>
      </w:r>
      <w:r w:rsidR="00BC7F34" w:rsidRPr="00877499">
        <w:rPr>
          <w:szCs w:val="22"/>
        </w:rPr>
        <w:t xml:space="preserve">represent </w:t>
      </w:r>
      <w:r w:rsidR="00AD730E" w:rsidRPr="00877499">
        <w:rPr>
          <w:szCs w:val="22"/>
        </w:rPr>
        <w:t>one </w:t>
      </w:r>
      <w:r w:rsidR="006D45E1" w:rsidRPr="00877499">
        <w:rPr>
          <w:szCs w:val="22"/>
        </w:rPr>
        <w:t>per cent</w:t>
      </w:r>
      <w:r w:rsidR="00BC7F34" w:rsidRPr="00877499">
        <w:rPr>
          <w:szCs w:val="22"/>
        </w:rPr>
        <w:t xml:space="preserve"> of the estimated 880,000 employers. </w:t>
      </w:r>
      <w:r w:rsidR="002C48F3" w:rsidRPr="00877499">
        <w:rPr>
          <w:szCs w:val="22"/>
        </w:rPr>
        <w:t xml:space="preserve"> </w:t>
      </w:r>
    </w:p>
    <w:p w14:paraId="382EE359" w14:textId="1EEC7AB8" w:rsidR="00DE4EE4" w:rsidRPr="00877499" w:rsidRDefault="001D3E2C" w:rsidP="00EC757D">
      <w:pPr>
        <w:spacing w:line="360" w:lineRule="auto"/>
        <w:jc w:val="both"/>
        <w:rPr>
          <w:szCs w:val="22"/>
        </w:rPr>
      </w:pPr>
      <w:r w:rsidRPr="00877499">
        <w:rPr>
          <w:szCs w:val="22"/>
        </w:rPr>
        <w:t xml:space="preserve">Our </w:t>
      </w:r>
      <w:r w:rsidR="005E58F1" w:rsidRPr="00877499">
        <w:rPr>
          <w:szCs w:val="22"/>
        </w:rPr>
        <w:t xml:space="preserve">preliminary </w:t>
      </w:r>
      <w:r w:rsidRPr="00877499">
        <w:rPr>
          <w:szCs w:val="22"/>
        </w:rPr>
        <w:t>analysis suggests that</w:t>
      </w:r>
      <w:r w:rsidR="00B85A66" w:rsidRPr="00877499">
        <w:rPr>
          <w:szCs w:val="22"/>
        </w:rPr>
        <w:t xml:space="preserve"> the ISA Report</w:t>
      </w:r>
      <w:r w:rsidR="005E58F1" w:rsidRPr="00877499">
        <w:rPr>
          <w:szCs w:val="22"/>
        </w:rPr>
        <w:t xml:space="preserve">, </w:t>
      </w:r>
      <w:r w:rsidRPr="00877499">
        <w:rPr>
          <w:szCs w:val="22"/>
        </w:rPr>
        <w:t>b</w:t>
      </w:r>
      <w:r w:rsidR="00EC757D" w:rsidRPr="00877499">
        <w:rPr>
          <w:szCs w:val="22"/>
        </w:rPr>
        <w:t>y not properly accounting for limitations in the data used,</w:t>
      </w:r>
      <w:r w:rsidR="005E58F1" w:rsidRPr="00877499">
        <w:rPr>
          <w:szCs w:val="22"/>
        </w:rPr>
        <w:t xml:space="preserve"> </w:t>
      </w:r>
      <w:r w:rsidR="00EC757D" w:rsidRPr="00877499">
        <w:rPr>
          <w:szCs w:val="22"/>
        </w:rPr>
        <w:t xml:space="preserve">is likely to have </w:t>
      </w:r>
      <w:r w:rsidR="00AC2E09" w:rsidRPr="00877499">
        <w:rPr>
          <w:szCs w:val="22"/>
        </w:rPr>
        <w:t>significantly</w:t>
      </w:r>
      <w:r w:rsidR="00EC757D" w:rsidRPr="00877499">
        <w:rPr>
          <w:szCs w:val="22"/>
        </w:rPr>
        <w:t xml:space="preserve"> overestimated the number of Australians affected by employers not paying their </w:t>
      </w:r>
      <w:r w:rsidR="007C4FAF" w:rsidRPr="00877499">
        <w:rPr>
          <w:szCs w:val="22"/>
        </w:rPr>
        <w:t xml:space="preserve">superannuation guarantee </w:t>
      </w:r>
      <w:r w:rsidR="00EC757D" w:rsidRPr="00877499">
        <w:rPr>
          <w:szCs w:val="22"/>
        </w:rPr>
        <w:t>entitlements.</w:t>
      </w:r>
      <w:r w:rsidR="005E58F1" w:rsidRPr="00877499">
        <w:rPr>
          <w:szCs w:val="22"/>
        </w:rPr>
        <w:t xml:space="preserve"> </w:t>
      </w:r>
      <w:r w:rsidR="00AF18C7" w:rsidRPr="00877499">
        <w:rPr>
          <w:szCs w:val="22"/>
        </w:rPr>
        <w:t>In particular, modelling contained in this interim report highlights that around 10</w:t>
      </w:r>
      <w:r w:rsidR="000657D4" w:rsidRPr="00877499">
        <w:rPr>
          <w:szCs w:val="22"/>
        </w:rPr>
        <w:t> per cent</w:t>
      </w:r>
      <w:r w:rsidR="00AF18C7" w:rsidRPr="00877499">
        <w:rPr>
          <w:szCs w:val="22"/>
        </w:rPr>
        <w:t xml:space="preserve"> of the workforce, </w:t>
      </w:r>
      <w:r w:rsidR="000657D4" w:rsidRPr="00877499">
        <w:rPr>
          <w:szCs w:val="22"/>
        </w:rPr>
        <w:t>that is</w:t>
      </w:r>
      <w:r w:rsidR="00AF18C7" w:rsidRPr="00877499">
        <w:rPr>
          <w:szCs w:val="22"/>
        </w:rPr>
        <w:t xml:space="preserve"> </w:t>
      </w:r>
      <w:r w:rsidR="000657D4" w:rsidRPr="00877499">
        <w:rPr>
          <w:szCs w:val="22"/>
        </w:rPr>
        <w:t>one </w:t>
      </w:r>
      <w:r w:rsidR="00AF18C7" w:rsidRPr="00877499">
        <w:rPr>
          <w:szCs w:val="22"/>
        </w:rPr>
        <w:t xml:space="preserve">million workers, would be incorrectly flagged as underpaid. </w:t>
      </w:r>
      <w:r w:rsidR="00EC757D" w:rsidRPr="00877499">
        <w:rPr>
          <w:szCs w:val="22"/>
        </w:rPr>
        <w:t xml:space="preserve">The dollar value of unpaid </w:t>
      </w:r>
      <w:r w:rsidR="007C4FAF" w:rsidRPr="00877499">
        <w:rPr>
          <w:szCs w:val="22"/>
        </w:rPr>
        <w:t xml:space="preserve">superannuation guarantee </w:t>
      </w:r>
      <w:r w:rsidR="00FD2DEF" w:rsidRPr="00877499">
        <w:rPr>
          <w:szCs w:val="22"/>
        </w:rPr>
        <w:t xml:space="preserve">contributions </w:t>
      </w:r>
      <w:r w:rsidR="00EC757D" w:rsidRPr="00877499">
        <w:rPr>
          <w:szCs w:val="22"/>
        </w:rPr>
        <w:t xml:space="preserve">is also likely </w:t>
      </w:r>
      <w:r w:rsidR="003221FC">
        <w:rPr>
          <w:szCs w:val="22"/>
        </w:rPr>
        <w:t xml:space="preserve">to be </w:t>
      </w:r>
      <w:r w:rsidR="00EC757D" w:rsidRPr="00877499">
        <w:rPr>
          <w:szCs w:val="22"/>
        </w:rPr>
        <w:t>overestimated</w:t>
      </w:r>
      <w:r w:rsidR="003128E9" w:rsidRPr="00877499">
        <w:rPr>
          <w:szCs w:val="22"/>
        </w:rPr>
        <w:t>.</w:t>
      </w:r>
    </w:p>
    <w:p w14:paraId="10678CAC" w14:textId="07A48402" w:rsidR="001D3E2C" w:rsidRPr="00877499" w:rsidRDefault="00B60238" w:rsidP="0021686B">
      <w:pPr>
        <w:spacing w:line="360" w:lineRule="auto"/>
        <w:jc w:val="both"/>
        <w:rPr>
          <w:szCs w:val="22"/>
        </w:rPr>
      </w:pPr>
      <w:r>
        <w:rPr>
          <w:szCs w:val="22"/>
        </w:rPr>
        <w:t xml:space="preserve">ISA’s estimates of </w:t>
      </w:r>
      <w:r w:rsidR="00DE4EE4" w:rsidRPr="00877499">
        <w:rPr>
          <w:szCs w:val="22"/>
        </w:rPr>
        <w:t xml:space="preserve">the </w:t>
      </w:r>
      <w:r w:rsidR="00EC757D" w:rsidRPr="00877499">
        <w:rPr>
          <w:szCs w:val="22"/>
        </w:rPr>
        <w:t xml:space="preserve">extent to which employers are meeting obligations </w:t>
      </w:r>
      <w:r w:rsidR="00DE4EE4" w:rsidRPr="00877499">
        <w:rPr>
          <w:szCs w:val="22"/>
        </w:rPr>
        <w:t xml:space="preserve">through </w:t>
      </w:r>
      <w:r w:rsidR="00EC757D" w:rsidRPr="00877499">
        <w:rPr>
          <w:szCs w:val="22"/>
        </w:rPr>
        <w:t xml:space="preserve">salary sacrifice amounts </w:t>
      </w:r>
      <w:r>
        <w:rPr>
          <w:szCs w:val="22"/>
        </w:rPr>
        <w:t xml:space="preserve">are affected by the same problems and are </w:t>
      </w:r>
      <w:r w:rsidR="00985B0B" w:rsidRPr="00877499">
        <w:rPr>
          <w:szCs w:val="22"/>
        </w:rPr>
        <w:t xml:space="preserve">not evidenced </w:t>
      </w:r>
      <w:r>
        <w:rPr>
          <w:szCs w:val="22"/>
        </w:rPr>
        <w:t xml:space="preserve">in ATO data. ISA’s views are framed </w:t>
      </w:r>
      <w:r w:rsidR="00985B0B" w:rsidRPr="00877499">
        <w:rPr>
          <w:szCs w:val="22"/>
        </w:rPr>
        <w:t>around an ethical position</w:t>
      </w:r>
      <w:r>
        <w:rPr>
          <w:szCs w:val="22"/>
        </w:rPr>
        <w:t xml:space="preserve">, though such </w:t>
      </w:r>
      <w:r w:rsidR="00985B0B" w:rsidRPr="00877499">
        <w:rPr>
          <w:szCs w:val="22"/>
        </w:rPr>
        <w:t xml:space="preserve">employer </w:t>
      </w:r>
      <w:r>
        <w:rPr>
          <w:szCs w:val="22"/>
        </w:rPr>
        <w:t xml:space="preserve">behaviour is not excluded </w:t>
      </w:r>
      <w:r w:rsidR="00985B0B" w:rsidRPr="00877499">
        <w:rPr>
          <w:szCs w:val="22"/>
        </w:rPr>
        <w:t>under the current superannuation law.</w:t>
      </w:r>
      <w:r w:rsidR="00F65EE8" w:rsidRPr="00877499">
        <w:rPr>
          <w:szCs w:val="22"/>
        </w:rPr>
        <w:t xml:space="preserve"> H</w:t>
      </w:r>
      <w:r w:rsidR="00DE4EE4" w:rsidRPr="00877499">
        <w:rPr>
          <w:szCs w:val="22"/>
        </w:rPr>
        <w:t xml:space="preserve">owever </w:t>
      </w:r>
      <w:r w:rsidR="001D3E2C" w:rsidRPr="00877499">
        <w:rPr>
          <w:szCs w:val="22"/>
        </w:rPr>
        <w:t xml:space="preserve">there may be value in clarifying the policy intent and </w:t>
      </w:r>
      <w:r w:rsidR="00985B0B" w:rsidRPr="00877499">
        <w:rPr>
          <w:szCs w:val="22"/>
        </w:rPr>
        <w:t xml:space="preserve">the </w:t>
      </w:r>
      <w:r w:rsidR="00E0043F" w:rsidRPr="00877499">
        <w:rPr>
          <w:szCs w:val="22"/>
        </w:rPr>
        <w:t>application</w:t>
      </w:r>
      <w:r w:rsidR="00DE4EE4" w:rsidRPr="00877499">
        <w:rPr>
          <w:szCs w:val="22"/>
        </w:rPr>
        <w:t xml:space="preserve"> of </w:t>
      </w:r>
      <w:r w:rsidR="001D3E2C" w:rsidRPr="00877499">
        <w:rPr>
          <w:szCs w:val="22"/>
        </w:rPr>
        <w:t>the law</w:t>
      </w:r>
      <w:r w:rsidR="00985B0B" w:rsidRPr="00877499">
        <w:rPr>
          <w:szCs w:val="22"/>
        </w:rPr>
        <w:t>.</w:t>
      </w:r>
      <w:r w:rsidR="001D3E2C" w:rsidRPr="00877499">
        <w:rPr>
          <w:szCs w:val="22"/>
        </w:rPr>
        <w:t xml:space="preserve"> </w:t>
      </w:r>
    </w:p>
    <w:p w14:paraId="2C045B46" w14:textId="61AEEC7D" w:rsidR="001D3E2C" w:rsidRPr="00877499" w:rsidRDefault="00985B0B" w:rsidP="001D3E2C">
      <w:pPr>
        <w:spacing w:line="360" w:lineRule="auto"/>
        <w:jc w:val="both"/>
        <w:rPr>
          <w:szCs w:val="22"/>
        </w:rPr>
      </w:pPr>
      <w:r w:rsidRPr="00877499">
        <w:rPr>
          <w:szCs w:val="22"/>
        </w:rPr>
        <w:t>B</w:t>
      </w:r>
      <w:r w:rsidR="009C61C6" w:rsidRPr="00877499">
        <w:rPr>
          <w:szCs w:val="22"/>
        </w:rPr>
        <w:t xml:space="preserve">y and large, </w:t>
      </w:r>
      <w:r w:rsidR="001D3E2C" w:rsidRPr="00877499">
        <w:rPr>
          <w:szCs w:val="22"/>
        </w:rPr>
        <w:t xml:space="preserve">the current superannuation </w:t>
      </w:r>
      <w:r w:rsidR="009C61C6" w:rsidRPr="00877499">
        <w:rPr>
          <w:szCs w:val="22"/>
        </w:rPr>
        <w:t>gua</w:t>
      </w:r>
      <w:r w:rsidR="00662BDA" w:rsidRPr="00877499">
        <w:rPr>
          <w:szCs w:val="22"/>
        </w:rPr>
        <w:t>ra</w:t>
      </w:r>
      <w:r w:rsidR="009C61C6" w:rsidRPr="00877499">
        <w:rPr>
          <w:szCs w:val="22"/>
        </w:rPr>
        <w:t>n</w:t>
      </w:r>
      <w:r w:rsidR="00662BDA" w:rsidRPr="00877499">
        <w:rPr>
          <w:szCs w:val="22"/>
        </w:rPr>
        <w:t xml:space="preserve">tee reporting system is based on </w:t>
      </w:r>
      <w:r w:rsidR="001D3E2C" w:rsidRPr="00877499">
        <w:rPr>
          <w:szCs w:val="22"/>
        </w:rPr>
        <w:t xml:space="preserve">employee and </w:t>
      </w:r>
      <w:r w:rsidR="00662BDA" w:rsidRPr="00877499">
        <w:rPr>
          <w:szCs w:val="22"/>
        </w:rPr>
        <w:t xml:space="preserve">employer </w:t>
      </w:r>
      <w:r w:rsidRPr="00877499">
        <w:rPr>
          <w:szCs w:val="22"/>
        </w:rPr>
        <w:t xml:space="preserve">relationships and related </w:t>
      </w:r>
      <w:r w:rsidR="00662BDA" w:rsidRPr="00877499">
        <w:rPr>
          <w:szCs w:val="22"/>
        </w:rPr>
        <w:t xml:space="preserve">reporting obligations. </w:t>
      </w:r>
      <w:r w:rsidR="00EF5DDE" w:rsidRPr="00877499">
        <w:rPr>
          <w:szCs w:val="22"/>
        </w:rPr>
        <w:t>T</w:t>
      </w:r>
      <w:r w:rsidR="001D3E2C" w:rsidRPr="00877499">
        <w:rPr>
          <w:szCs w:val="22"/>
        </w:rPr>
        <w:t xml:space="preserve">he largest employee data set the ATO receives </w:t>
      </w:r>
      <w:r w:rsidR="00EF5DDE" w:rsidRPr="00877499">
        <w:rPr>
          <w:szCs w:val="22"/>
        </w:rPr>
        <w:t xml:space="preserve">on superannuation contributions </w:t>
      </w:r>
      <w:r w:rsidR="001D3E2C" w:rsidRPr="00877499">
        <w:rPr>
          <w:szCs w:val="22"/>
        </w:rPr>
        <w:t xml:space="preserve">is provided through an annual statement from an employee’s superannuation fund. This </w:t>
      </w:r>
      <w:r w:rsidR="001D3E2C" w:rsidRPr="00E0046A">
        <w:rPr>
          <w:iCs/>
          <w:szCs w:val="22"/>
        </w:rPr>
        <w:t>Member Contribution Statement</w:t>
      </w:r>
      <w:r w:rsidR="001D3E2C" w:rsidRPr="00877499">
        <w:rPr>
          <w:i/>
          <w:iCs/>
          <w:szCs w:val="22"/>
        </w:rPr>
        <w:t xml:space="preserve"> </w:t>
      </w:r>
      <w:r w:rsidR="001D3E2C" w:rsidRPr="00877499">
        <w:rPr>
          <w:szCs w:val="22"/>
        </w:rPr>
        <w:t>reports on employee contributions for the previous f</w:t>
      </w:r>
      <w:r w:rsidR="00EF5DDE" w:rsidRPr="00877499">
        <w:rPr>
          <w:szCs w:val="22"/>
        </w:rPr>
        <w:t xml:space="preserve">inancial year. The current </w:t>
      </w:r>
      <w:r w:rsidR="00B60238">
        <w:rPr>
          <w:szCs w:val="22"/>
        </w:rPr>
        <w:t xml:space="preserve">reporting </w:t>
      </w:r>
      <w:r w:rsidR="00EF5DDE" w:rsidRPr="00877499">
        <w:rPr>
          <w:szCs w:val="22"/>
        </w:rPr>
        <w:t xml:space="preserve">arrangements do </w:t>
      </w:r>
      <w:r w:rsidR="00787A93" w:rsidRPr="00877499">
        <w:rPr>
          <w:szCs w:val="22"/>
        </w:rPr>
        <w:t xml:space="preserve">have </w:t>
      </w:r>
      <w:r w:rsidR="00EF5DDE" w:rsidRPr="00877499">
        <w:rPr>
          <w:szCs w:val="22"/>
        </w:rPr>
        <w:t xml:space="preserve">an impact on the visibility and monitoring of patterns of any non-payment of superannuation guarantee due to </w:t>
      </w:r>
      <w:r w:rsidR="00662BDA" w:rsidRPr="00877499">
        <w:rPr>
          <w:szCs w:val="22"/>
        </w:rPr>
        <w:t xml:space="preserve">data </w:t>
      </w:r>
      <w:r w:rsidR="00AF18C7" w:rsidRPr="00877499">
        <w:rPr>
          <w:szCs w:val="22"/>
        </w:rPr>
        <w:t xml:space="preserve">limitations </w:t>
      </w:r>
      <w:r w:rsidR="00787A93" w:rsidRPr="00877499">
        <w:rPr>
          <w:szCs w:val="22"/>
        </w:rPr>
        <w:t>and</w:t>
      </w:r>
      <w:r w:rsidR="00EF5DDE" w:rsidRPr="00877499">
        <w:rPr>
          <w:szCs w:val="22"/>
        </w:rPr>
        <w:t xml:space="preserve"> the annual receipt of data. </w:t>
      </w:r>
      <w:r w:rsidR="00787A93" w:rsidRPr="00877499">
        <w:rPr>
          <w:szCs w:val="22"/>
        </w:rPr>
        <w:t xml:space="preserve"> </w:t>
      </w:r>
    </w:p>
    <w:p w14:paraId="23347F85" w14:textId="7E15B6F2" w:rsidR="00F65EE8" w:rsidRPr="00877499" w:rsidRDefault="00837E61" w:rsidP="00837E61">
      <w:pPr>
        <w:spacing w:line="360" w:lineRule="auto"/>
        <w:jc w:val="both"/>
        <w:rPr>
          <w:szCs w:val="22"/>
        </w:rPr>
      </w:pPr>
      <w:r w:rsidRPr="00877499">
        <w:rPr>
          <w:szCs w:val="22"/>
        </w:rPr>
        <w:t>The ATO is committed to estimating a ‘gap’ for</w:t>
      </w:r>
      <w:r w:rsidR="00847AAB" w:rsidRPr="00877499">
        <w:rPr>
          <w:szCs w:val="22"/>
        </w:rPr>
        <w:t xml:space="preserve"> superannuation guarantee to assist in monitoring</w:t>
      </w:r>
      <w:r w:rsidR="00B8566F">
        <w:rPr>
          <w:szCs w:val="22"/>
        </w:rPr>
        <w:t>,</w:t>
      </w:r>
      <w:r w:rsidR="00847AAB" w:rsidRPr="00877499">
        <w:rPr>
          <w:szCs w:val="22"/>
        </w:rPr>
        <w:t xml:space="preserve"> over time</w:t>
      </w:r>
      <w:r w:rsidR="00B8566F">
        <w:rPr>
          <w:szCs w:val="22"/>
        </w:rPr>
        <w:t>,</w:t>
      </w:r>
      <w:r w:rsidR="00847AAB" w:rsidRPr="00877499">
        <w:rPr>
          <w:szCs w:val="22"/>
        </w:rPr>
        <w:t xml:space="preserve"> the effectiveness of its </w:t>
      </w:r>
      <w:r w:rsidR="00B60238">
        <w:rPr>
          <w:szCs w:val="22"/>
        </w:rPr>
        <w:t xml:space="preserve">compliance </w:t>
      </w:r>
      <w:r w:rsidR="00847AAB" w:rsidRPr="00877499">
        <w:rPr>
          <w:szCs w:val="22"/>
        </w:rPr>
        <w:t>programs</w:t>
      </w:r>
      <w:r w:rsidR="00981C86" w:rsidRPr="00877499">
        <w:rPr>
          <w:szCs w:val="22"/>
        </w:rPr>
        <w:t xml:space="preserve">, </w:t>
      </w:r>
      <w:r w:rsidRPr="00877499">
        <w:rPr>
          <w:szCs w:val="22"/>
        </w:rPr>
        <w:t xml:space="preserve">as part of its </w:t>
      </w:r>
      <w:r w:rsidR="00EF5DDE" w:rsidRPr="00877499">
        <w:rPr>
          <w:szCs w:val="22"/>
        </w:rPr>
        <w:t xml:space="preserve">broader </w:t>
      </w:r>
      <w:r w:rsidRPr="00877499">
        <w:rPr>
          <w:szCs w:val="22"/>
        </w:rPr>
        <w:t xml:space="preserve">analysis of gaps across the taxation </w:t>
      </w:r>
      <w:r w:rsidR="00FD2DEF" w:rsidRPr="00877499">
        <w:rPr>
          <w:szCs w:val="22"/>
        </w:rPr>
        <w:t>system</w:t>
      </w:r>
      <w:r w:rsidR="00847AAB" w:rsidRPr="00877499">
        <w:rPr>
          <w:szCs w:val="22"/>
        </w:rPr>
        <w:t>.</w:t>
      </w:r>
      <w:r w:rsidRPr="00877499">
        <w:rPr>
          <w:szCs w:val="22"/>
        </w:rPr>
        <w:t xml:space="preserve"> </w:t>
      </w:r>
      <w:r w:rsidR="00847AAB" w:rsidRPr="00877499">
        <w:rPr>
          <w:szCs w:val="22"/>
        </w:rPr>
        <w:t>However, t</w:t>
      </w:r>
      <w:r w:rsidRPr="00877499">
        <w:rPr>
          <w:szCs w:val="22"/>
        </w:rPr>
        <w:t xml:space="preserve">he absence of </w:t>
      </w:r>
      <w:r w:rsidR="00B8566F">
        <w:rPr>
          <w:szCs w:val="22"/>
        </w:rPr>
        <w:t xml:space="preserve">a </w:t>
      </w:r>
      <w:r w:rsidR="00EC2D1B" w:rsidRPr="00877499">
        <w:rPr>
          <w:szCs w:val="22"/>
        </w:rPr>
        <w:t xml:space="preserve">specific </w:t>
      </w:r>
      <w:r w:rsidR="00FD2DEF" w:rsidRPr="00877499">
        <w:rPr>
          <w:szCs w:val="22"/>
        </w:rPr>
        <w:t>estimate</w:t>
      </w:r>
      <w:r w:rsidRPr="00877499">
        <w:rPr>
          <w:szCs w:val="22"/>
        </w:rPr>
        <w:t xml:space="preserve"> </w:t>
      </w:r>
      <w:r w:rsidR="00FD2DEF" w:rsidRPr="00877499">
        <w:rPr>
          <w:szCs w:val="22"/>
        </w:rPr>
        <w:t>has not affected the ATO</w:t>
      </w:r>
      <w:r w:rsidR="000A6A49" w:rsidRPr="00877499">
        <w:rPr>
          <w:szCs w:val="22"/>
        </w:rPr>
        <w:t xml:space="preserve"> undertaking ongoing compliance action. This is </w:t>
      </w:r>
      <w:r w:rsidR="00847AAB" w:rsidRPr="00877499">
        <w:rPr>
          <w:szCs w:val="22"/>
        </w:rPr>
        <w:t xml:space="preserve">evidenced by </w:t>
      </w:r>
      <w:r w:rsidR="008C5F58" w:rsidRPr="00877499">
        <w:rPr>
          <w:szCs w:val="22"/>
        </w:rPr>
        <w:t xml:space="preserve">the </w:t>
      </w:r>
      <w:r w:rsidR="000A6A49" w:rsidRPr="00877499">
        <w:rPr>
          <w:szCs w:val="22"/>
        </w:rPr>
        <w:t xml:space="preserve">approximately </w:t>
      </w:r>
      <w:r w:rsidR="007E2241" w:rsidRPr="00877499">
        <w:rPr>
          <w:szCs w:val="22"/>
        </w:rPr>
        <w:t xml:space="preserve">$2 billion </w:t>
      </w:r>
      <w:r w:rsidR="00981C86" w:rsidRPr="00877499">
        <w:rPr>
          <w:szCs w:val="22"/>
        </w:rPr>
        <w:t>that has been transferred to employees’ superannuation fund</w:t>
      </w:r>
      <w:r w:rsidR="00B8566F">
        <w:rPr>
          <w:szCs w:val="22"/>
        </w:rPr>
        <w:t>s</w:t>
      </w:r>
      <w:r w:rsidR="00981C86" w:rsidRPr="00877499">
        <w:rPr>
          <w:szCs w:val="22"/>
        </w:rPr>
        <w:t xml:space="preserve"> since 2010-11 as a result of ATO actions. </w:t>
      </w:r>
      <w:r w:rsidR="000E7B65" w:rsidRPr="00877499">
        <w:rPr>
          <w:szCs w:val="22"/>
        </w:rPr>
        <w:t xml:space="preserve">A range of compliance actions are </w:t>
      </w:r>
      <w:r w:rsidR="00981C86" w:rsidRPr="00877499">
        <w:rPr>
          <w:szCs w:val="22"/>
        </w:rPr>
        <w:t xml:space="preserve">also </w:t>
      </w:r>
      <w:r w:rsidR="000E7B65" w:rsidRPr="00877499">
        <w:rPr>
          <w:szCs w:val="22"/>
        </w:rPr>
        <w:t xml:space="preserve">taken to </w:t>
      </w:r>
      <w:r w:rsidR="00662BDA" w:rsidRPr="00877499">
        <w:rPr>
          <w:szCs w:val="22"/>
        </w:rPr>
        <w:t xml:space="preserve">collect outstanding superannuation guarantee payments </w:t>
      </w:r>
      <w:r w:rsidR="00981C86" w:rsidRPr="00877499">
        <w:rPr>
          <w:szCs w:val="22"/>
        </w:rPr>
        <w:t xml:space="preserve">however, </w:t>
      </w:r>
      <w:r w:rsidR="000E7B65" w:rsidRPr="00877499">
        <w:rPr>
          <w:szCs w:val="22"/>
        </w:rPr>
        <w:t xml:space="preserve">the incidence of </w:t>
      </w:r>
      <w:r w:rsidR="00662BDA" w:rsidRPr="00877499">
        <w:rPr>
          <w:szCs w:val="22"/>
        </w:rPr>
        <w:t>insolvency is a significant</w:t>
      </w:r>
      <w:r w:rsidR="000E7B65" w:rsidRPr="00877499">
        <w:rPr>
          <w:szCs w:val="22"/>
        </w:rPr>
        <w:t xml:space="preserve"> </w:t>
      </w:r>
      <w:r w:rsidR="00981C86" w:rsidRPr="00877499">
        <w:rPr>
          <w:szCs w:val="22"/>
        </w:rPr>
        <w:t xml:space="preserve">barrier </w:t>
      </w:r>
      <w:r w:rsidR="000E7B65" w:rsidRPr="00877499">
        <w:rPr>
          <w:szCs w:val="22"/>
        </w:rPr>
        <w:t xml:space="preserve">to debt </w:t>
      </w:r>
      <w:r w:rsidR="00662BDA" w:rsidRPr="00877499">
        <w:rPr>
          <w:szCs w:val="22"/>
        </w:rPr>
        <w:t>collection</w:t>
      </w:r>
      <w:r w:rsidR="000E7B65" w:rsidRPr="00877499">
        <w:rPr>
          <w:szCs w:val="22"/>
        </w:rPr>
        <w:t xml:space="preserve">. </w:t>
      </w:r>
      <w:r w:rsidR="00662BDA" w:rsidRPr="00877499">
        <w:rPr>
          <w:szCs w:val="22"/>
        </w:rPr>
        <w:t>Indeed some 50</w:t>
      </w:r>
      <w:r w:rsidR="000E5A17" w:rsidRPr="00877499">
        <w:rPr>
          <w:szCs w:val="22"/>
        </w:rPr>
        <w:t xml:space="preserve"> per cent</w:t>
      </w:r>
      <w:r w:rsidR="00662BDA" w:rsidRPr="00877499">
        <w:rPr>
          <w:szCs w:val="22"/>
        </w:rPr>
        <w:t xml:space="preserve"> of all superannuation debt owed to the ATO is subject to insolvency, compared to 19 </w:t>
      </w:r>
      <w:r w:rsidR="000E5A17" w:rsidRPr="00877499">
        <w:rPr>
          <w:szCs w:val="22"/>
        </w:rPr>
        <w:t>per cent</w:t>
      </w:r>
      <w:r w:rsidR="00662BDA" w:rsidRPr="00877499">
        <w:rPr>
          <w:szCs w:val="22"/>
        </w:rPr>
        <w:t xml:space="preserve"> across other ATO debts. </w:t>
      </w:r>
    </w:p>
    <w:p w14:paraId="5C48FC13" w14:textId="5D618623" w:rsidR="00EC757D" w:rsidRPr="00877499" w:rsidRDefault="00557AB2" w:rsidP="00EC757D">
      <w:pPr>
        <w:spacing w:line="360" w:lineRule="auto"/>
        <w:jc w:val="both"/>
        <w:rPr>
          <w:szCs w:val="22"/>
        </w:rPr>
      </w:pPr>
      <w:r w:rsidRPr="00877499">
        <w:rPr>
          <w:szCs w:val="22"/>
        </w:rPr>
        <w:t xml:space="preserve">The </w:t>
      </w:r>
      <w:r w:rsidR="00EE4845" w:rsidRPr="00877499">
        <w:rPr>
          <w:szCs w:val="22"/>
        </w:rPr>
        <w:t>ISA Report</w:t>
      </w:r>
      <w:r w:rsidR="00EC757D" w:rsidRPr="00877499">
        <w:rPr>
          <w:szCs w:val="22"/>
        </w:rPr>
        <w:t xml:space="preserve"> makes a wide range of recommendations, some of which overlap</w:t>
      </w:r>
      <w:r w:rsidR="00AC2E09" w:rsidRPr="00877499">
        <w:rPr>
          <w:szCs w:val="22"/>
        </w:rPr>
        <w:t>,</w:t>
      </w:r>
      <w:r w:rsidR="00EC757D" w:rsidRPr="00877499">
        <w:rPr>
          <w:szCs w:val="22"/>
        </w:rPr>
        <w:t xml:space="preserve"> require more clarification</w:t>
      </w:r>
      <w:r w:rsidR="00AC2E09" w:rsidRPr="00877499">
        <w:rPr>
          <w:szCs w:val="22"/>
        </w:rPr>
        <w:t xml:space="preserve"> or further work</w:t>
      </w:r>
      <w:r w:rsidR="00EC757D" w:rsidRPr="00877499">
        <w:rPr>
          <w:szCs w:val="22"/>
        </w:rPr>
        <w:t xml:space="preserve">. </w:t>
      </w:r>
      <w:r w:rsidRPr="00877499">
        <w:rPr>
          <w:szCs w:val="22"/>
        </w:rPr>
        <w:t>However, t</w:t>
      </w:r>
      <w:r w:rsidR="00EC757D" w:rsidRPr="00877499">
        <w:rPr>
          <w:szCs w:val="22"/>
        </w:rPr>
        <w:t>h</w:t>
      </w:r>
      <w:r w:rsidR="008C5F58" w:rsidRPr="00877499">
        <w:rPr>
          <w:szCs w:val="22"/>
        </w:rPr>
        <w:t xml:space="preserve">e </w:t>
      </w:r>
      <w:r w:rsidR="00EC757D" w:rsidRPr="00877499">
        <w:rPr>
          <w:szCs w:val="22"/>
        </w:rPr>
        <w:t>Working Group</w:t>
      </w:r>
      <w:r w:rsidR="008C5F58" w:rsidRPr="00877499">
        <w:rPr>
          <w:szCs w:val="22"/>
        </w:rPr>
        <w:t xml:space="preserve"> notes</w:t>
      </w:r>
      <w:r w:rsidR="00B60238">
        <w:rPr>
          <w:szCs w:val="22"/>
        </w:rPr>
        <w:t xml:space="preserve"> that </w:t>
      </w:r>
      <w:r w:rsidR="008C5F58" w:rsidRPr="00877499">
        <w:rPr>
          <w:szCs w:val="22"/>
        </w:rPr>
        <w:t xml:space="preserve">to </w:t>
      </w:r>
      <w:r w:rsidR="007B2061" w:rsidRPr="00877499">
        <w:rPr>
          <w:szCs w:val="22"/>
        </w:rPr>
        <w:t>enable</w:t>
      </w:r>
      <w:r w:rsidR="00F65EE8" w:rsidRPr="00877499">
        <w:rPr>
          <w:szCs w:val="22"/>
        </w:rPr>
        <w:t xml:space="preserve"> </w:t>
      </w:r>
      <w:r w:rsidRPr="00877499">
        <w:rPr>
          <w:szCs w:val="22"/>
        </w:rPr>
        <w:t xml:space="preserve">the </w:t>
      </w:r>
      <w:r w:rsidR="00BC4225" w:rsidRPr="00877499">
        <w:rPr>
          <w:szCs w:val="22"/>
        </w:rPr>
        <w:t xml:space="preserve">better </w:t>
      </w:r>
      <w:r w:rsidR="00EC757D" w:rsidRPr="00877499">
        <w:rPr>
          <w:szCs w:val="22"/>
        </w:rPr>
        <w:t>identif</w:t>
      </w:r>
      <w:r w:rsidR="00F65EE8" w:rsidRPr="00877499">
        <w:rPr>
          <w:szCs w:val="22"/>
        </w:rPr>
        <w:t xml:space="preserve">ication of </w:t>
      </w:r>
      <w:r w:rsidR="00EC757D" w:rsidRPr="00877499">
        <w:rPr>
          <w:szCs w:val="22"/>
        </w:rPr>
        <w:t xml:space="preserve">non-compliance </w:t>
      </w:r>
      <w:r w:rsidR="00B60238">
        <w:rPr>
          <w:szCs w:val="22"/>
        </w:rPr>
        <w:t xml:space="preserve">at the individual level </w:t>
      </w:r>
      <w:r w:rsidR="007B2061" w:rsidRPr="00877499">
        <w:rPr>
          <w:szCs w:val="22"/>
        </w:rPr>
        <w:t xml:space="preserve">requires </w:t>
      </w:r>
      <w:r w:rsidR="008C5F58" w:rsidRPr="00877499">
        <w:rPr>
          <w:szCs w:val="22"/>
        </w:rPr>
        <w:t xml:space="preserve">more accurate and timely </w:t>
      </w:r>
      <w:r w:rsidR="00EC757D" w:rsidRPr="00877499">
        <w:rPr>
          <w:szCs w:val="22"/>
        </w:rPr>
        <w:t xml:space="preserve">reporting </w:t>
      </w:r>
      <w:r w:rsidR="00BC4225" w:rsidRPr="00877499">
        <w:rPr>
          <w:szCs w:val="22"/>
        </w:rPr>
        <w:t>of key information</w:t>
      </w:r>
      <w:r w:rsidR="008C5F58" w:rsidRPr="00877499">
        <w:rPr>
          <w:szCs w:val="22"/>
        </w:rPr>
        <w:t xml:space="preserve"> </w:t>
      </w:r>
      <w:r w:rsidR="00AF18C7" w:rsidRPr="00877499">
        <w:rPr>
          <w:szCs w:val="22"/>
        </w:rPr>
        <w:t xml:space="preserve">to </w:t>
      </w:r>
      <w:r w:rsidR="008C5F58" w:rsidRPr="00877499">
        <w:rPr>
          <w:szCs w:val="22"/>
        </w:rPr>
        <w:t>assist the earlier identification of non-payment</w:t>
      </w:r>
      <w:r w:rsidR="00AF18C7" w:rsidRPr="00877499">
        <w:rPr>
          <w:szCs w:val="22"/>
        </w:rPr>
        <w:t>.  Increasing reporting obligations would</w:t>
      </w:r>
      <w:r w:rsidR="00267604" w:rsidRPr="00877499">
        <w:rPr>
          <w:szCs w:val="22"/>
        </w:rPr>
        <w:t xml:space="preserve"> </w:t>
      </w:r>
      <w:r w:rsidR="00B8566F">
        <w:rPr>
          <w:szCs w:val="22"/>
        </w:rPr>
        <w:t xml:space="preserve">increase </w:t>
      </w:r>
      <w:r w:rsidR="000B5C90" w:rsidRPr="00877499">
        <w:rPr>
          <w:szCs w:val="22"/>
        </w:rPr>
        <w:t>compliance cost</w:t>
      </w:r>
      <w:r w:rsidR="00B8566F">
        <w:rPr>
          <w:szCs w:val="22"/>
        </w:rPr>
        <w:t>s</w:t>
      </w:r>
      <w:r w:rsidR="00F65EE8" w:rsidRPr="00877499">
        <w:rPr>
          <w:szCs w:val="22"/>
        </w:rPr>
        <w:t xml:space="preserve"> and would need to be </w:t>
      </w:r>
      <w:r w:rsidR="008C5F58" w:rsidRPr="00877499">
        <w:rPr>
          <w:szCs w:val="22"/>
        </w:rPr>
        <w:t>more fully examined</w:t>
      </w:r>
      <w:r w:rsidR="00F65EE8" w:rsidRPr="00877499">
        <w:rPr>
          <w:szCs w:val="22"/>
        </w:rPr>
        <w:t>. While t</w:t>
      </w:r>
      <w:r w:rsidRPr="00877499">
        <w:rPr>
          <w:szCs w:val="22"/>
        </w:rPr>
        <w:t>he introduction of Single Touch Payroll will achieve a greatly enhanced visibility and reporting of payments</w:t>
      </w:r>
      <w:r w:rsidR="003221FC">
        <w:rPr>
          <w:szCs w:val="22"/>
        </w:rPr>
        <w:t>,</w:t>
      </w:r>
      <w:r w:rsidR="00F65EE8" w:rsidRPr="00877499">
        <w:rPr>
          <w:szCs w:val="22"/>
        </w:rPr>
        <w:t xml:space="preserve"> any expansion would need to be considered in light of</w:t>
      </w:r>
      <w:r w:rsidR="008C5F58" w:rsidRPr="00877499">
        <w:rPr>
          <w:szCs w:val="22"/>
        </w:rPr>
        <w:t xml:space="preserve"> the impost o</w:t>
      </w:r>
      <w:r w:rsidR="00B60238">
        <w:rPr>
          <w:szCs w:val="22"/>
        </w:rPr>
        <w:t>n</w:t>
      </w:r>
      <w:r w:rsidR="008C5F58" w:rsidRPr="00877499">
        <w:rPr>
          <w:szCs w:val="22"/>
        </w:rPr>
        <w:t xml:space="preserve"> small business. </w:t>
      </w:r>
      <w:r w:rsidR="00F65EE8" w:rsidRPr="00877499">
        <w:rPr>
          <w:szCs w:val="22"/>
        </w:rPr>
        <w:t xml:space="preserve">There is currently a pilot evaluation </w:t>
      </w:r>
      <w:r w:rsidR="008C5F58" w:rsidRPr="00877499">
        <w:rPr>
          <w:szCs w:val="22"/>
        </w:rPr>
        <w:t>being conducted by t</w:t>
      </w:r>
      <w:r w:rsidR="00F65EE8" w:rsidRPr="00877499">
        <w:rPr>
          <w:szCs w:val="22"/>
        </w:rPr>
        <w:t>he ATO with small busin</w:t>
      </w:r>
      <w:r w:rsidR="008C5F58" w:rsidRPr="00877499">
        <w:rPr>
          <w:szCs w:val="22"/>
        </w:rPr>
        <w:t>esses due to report in</w:t>
      </w:r>
      <w:r w:rsidR="00B8566F">
        <w:rPr>
          <w:szCs w:val="22"/>
        </w:rPr>
        <w:t>terim findings in</w:t>
      </w:r>
      <w:r w:rsidR="008C5F58" w:rsidRPr="00877499">
        <w:rPr>
          <w:szCs w:val="22"/>
        </w:rPr>
        <w:t xml:space="preserve"> April 2017. </w:t>
      </w:r>
    </w:p>
    <w:p w14:paraId="76FB5DAF" w14:textId="39377D64" w:rsidR="00EC757D" w:rsidRPr="00877499" w:rsidRDefault="00EC757D" w:rsidP="00EC757D">
      <w:pPr>
        <w:spacing w:line="360" w:lineRule="auto"/>
        <w:jc w:val="both"/>
        <w:rPr>
          <w:szCs w:val="22"/>
        </w:rPr>
      </w:pPr>
      <w:r w:rsidRPr="00877499">
        <w:rPr>
          <w:szCs w:val="22"/>
        </w:rPr>
        <w:t xml:space="preserve">The </w:t>
      </w:r>
      <w:r w:rsidR="00EE4845" w:rsidRPr="00877499">
        <w:rPr>
          <w:szCs w:val="22"/>
        </w:rPr>
        <w:t>ISA Report</w:t>
      </w:r>
      <w:r w:rsidRPr="00877499">
        <w:rPr>
          <w:szCs w:val="22"/>
        </w:rPr>
        <w:t xml:space="preserve"> recommends making employers pay </w:t>
      </w:r>
      <w:r w:rsidR="00F65EE8" w:rsidRPr="00877499">
        <w:rPr>
          <w:szCs w:val="22"/>
        </w:rPr>
        <w:t xml:space="preserve">superannuation guarantee </w:t>
      </w:r>
      <w:r w:rsidR="004E0AD7" w:rsidRPr="00877499">
        <w:rPr>
          <w:szCs w:val="22"/>
        </w:rPr>
        <w:t xml:space="preserve">payments monthly. While </w:t>
      </w:r>
      <w:r w:rsidRPr="00877499">
        <w:rPr>
          <w:szCs w:val="22"/>
        </w:rPr>
        <w:t xml:space="preserve">this </w:t>
      </w:r>
      <w:r w:rsidR="00FD2DEF" w:rsidRPr="00877499">
        <w:rPr>
          <w:szCs w:val="22"/>
        </w:rPr>
        <w:t xml:space="preserve">would </w:t>
      </w:r>
      <w:r w:rsidRPr="00877499">
        <w:rPr>
          <w:szCs w:val="22"/>
        </w:rPr>
        <w:t>align</w:t>
      </w:r>
      <w:r w:rsidR="00F65EE8" w:rsidRPr="00877499">
        <w:rPr>
          <w:szCs w:val="22"/>
        </w:rPr>
        <w:t xml:space="preserve"> </w:t>
      </w:r>
      <w:r w:rsidR="00FD2DEF" w:rsidRPr="00877499">
        <w:rPr>
          <w:szCs w:val="22"/>
        </w:rPr>
        <w:t>more closely</w:t>
      </w:r>
      <w:r w:rsidRPr="00877499">
        <w:rPr>
          <w:szCs w:val="22"/>
        </w:rPr>
        <w:t xml:space="preserve"> with wage entitlements, this may provide only </w:t>
      </w:r>
      <w:r w:rsidR="004E0AD7" w:rsidRPr="00877499">
        <w:rPr>
          <w:szCs w:val="22"/>
        </w:rPr>
        <w:t>limited compliance improvements as cash flow for small business remains a significant reason given for the non-payment of employees superannuation contributions.</w:t>
      </w:r>
    </w:p>
    <w:p w14:paraId="2BC5EAF9" w14:textId="2ACFD70E" w:rsidR="00EC757D" w:rsidRPr="00877499" w:rsidRDefault="00651A98" w:rsidP="00EC757D">
      <w:pPr>
        <w:spacing w:line="360" w:lineRule="auto"/>
        <w:jc w:val="both"/>
        <w:rPr>
          <w:szCs w:val="22"/>
        </w:rPr>
      </w:pPr>
      <w:r w:rsidRPr="00877499">
        <w:rPr>
          <w:szCs w:val="22"/>
        </w:rPr>
        <w:t xml:space="preserve">The ISA </w:t>
      </w:r>
      <w:r w:rsidR="00F65EE8" w:rsidRPr="00877499">
        <w:rPr>
          <w:szCs w:val="22"/>
        </w:rPr>
        <w:t xml:space="preserve">Report </w:t>
      </w:r>
      <w:r w:rsidRPr="00877499">
        <w:rPr>
          <w:szCs w:val="22"/>
        </w:rPr>
        <w:t xml:space="preserve">has made a number of recommendations to expand enforcement responsibilities for </w:t>
      </w:r>
      <w:r w:rsidR="002311C1">
        <w:rPr>
          <w:szCs w:val="22"/>
        </w:rPr>
        <w:t>s</w:t>
      </w:r>
      <w:r w:rsidR="00F65EE8" w:rsidRPr="00877499">
        <w:rPr>
          <w:szCs w:val="22"/>
        </w:rPr>
        <w:t xml:space="preserve">uperannuation </w:t>
      </w:r>
      <w:r w:rsidR="002311C1">
        <w:rPr>
          <w:szCs w:val="22"/>
        </w:rPr>
        <w:t>g</w:t>
      </w:r>
      <w:r w:rsidR="00F65EE8" w:rsidRPr="00877499">
        <w:rPr>
          <w:szCs w:val="22"/>
        </w:rPr>
        <w:t xml:space="preserve">uarantee </w:t>
      </w:r>
      <w:r w:rsidRPr="00877499">
        <w:rPr>
          <w:szCs w:val="22"/>
        </w:rPr>
        <w:t>contributions beyond the ATO. Each of these</w:t>
      </w:r>
      <w:r w:rsidR="00837E61" w:rsidRPr="00877499">
        <w:rPr>
          <w:szCs w:val="22"/>
        </w:rPr>
        <w:t xml:space="preserve"> recommendations</w:t>
      </w:r>
      <w:r w:rsidRPr="00877499">
        <w:rPr>
          <w:szCs w:val="22"/>
        </w:rPr>
        <w:t xml:space="preserve"> </w:t>
      </w:r>
      <w:r w:rsidR="00F81BBF" w:rsidRPr="00877499">
        <w:rPr>
          <w:szCs w:val="22"/>
        </w:rPr>
        <w:t>raises</w:t>
      </w:r>
      <w:r w:rsidRPr="00877499">
        <w:rPr>
          <w:szCs w:val="22"/>
        </w:rPr>
        <w:t xml:space="preserve"> a number of issues to do with </w:t>
      </w:r>
      <w:r w:rsidR="00837E61" w:rsidRPr="00877499">
        <w:rPr>
          <w:szCs w:val="22"/>
        </w:rPr>
        <w:t xml:space="preserve">the effectiveness and feasibility of </w:t>
      </w:r>
      <w:r w:rsidR="00EC757D" w:rsidRPr="00877499">
        <w:rPr>
          <w:szCs w:val="22"/>
        </w:rPr>
        <w:t>duplicat</w:t>
      </w:r>
      <w:r w:rsidRPr="00877499">
        <w:rPr>
          <w:szCs w:val="22"/>
        </w:rPr>
        <w:t>ing</w:t>
      </w:r>
      <w:r w:rsidR="00EC757D" w:rsidRPr="00877499">
        <w:rPr>
          <w:szCs w:val="22"/>
        </w:rPr>
        <w:t xml:space="preserve"> the ATO’s</w:t>
      </w:r>
      <w:r w:rsidR="006D570B" w:rsidRPr="00877499">
        <w:rPr>
          <w:szCs w:val="22"/>
        </w:rPr>
        <w:t xml:space="preserve"> compliance and</w:t>
      </w:r>
      <w:r w:rsidR="00EC757D" w:rsidRPr="00877499">
        <w:rPr>
          <w:szCs w:val="22"/>
        </w:rPr>
        <w:t xml:space="preserve"> </w:t>
      </w:r>
      <w:r w:rsidR="00837E61" w:rsidRPr="00877499">
        <w:rPr>
          <w:szCs w:val="22"/>
        </w:rPr>
        <w:t xml:space="preserve">enforcement </w:t>
      </w:r>
      <w:r w:rsidR="00EC757D" w:rsidRPr="00877499">
        <w:rPr>
          <w:szCs w:val="22"/>
        </w:rPr>
        <w:t xml:space="preserve">role. </w:t>
      </w:r>
      <w:r w:rsidR="00837E61" w:rsidRPr="00877499">
        <w:rPr>
          <w:szCs w:val="22"/>
        </w:rPr>
        <w:t xml:space="preserve">While increased resourcing </w:t>
      </w:r>
      <w:r w:rsidR="001B0DDF" w:rsidRPr="00877499">
        <w:rPr>
          <w:szCs w:val="22"/>
        </w:rPr>
        <w:t xml:space="preserve">may </w:t>
      </w:r>
      <w:r w:rsidR="00837E61" w:rsidRPr="00877499">
        <w:rPr>
          <w:szCs w:val="22"/>
        </w:rPr>
        <w:t xml:space="preserve">enable the ATO to do </w:t>
      </w:r>
      <w:r w:rsidR="00C30231" w:rsidRPr="00877499">
        <w:rPr>
          <w:szCs w:val="22"/>
        </w:rPr>
        <w:t>more proactive compliance work and enhance data analytic</w:t>
      </w:r>
      <w:r w:rsidR="00AF18C7" w:rsidRPr="00877499">
        <w:rPr>
          <w:szCs w:val="22"/>
        </w:rPr>
        <w:t>al</w:t>
      </w:r>
      <w:r w:rsidR="00C30231" w:rsidRPr="00877499">
        <w:rPr>
          <w:szCs w:val="22"/>
        </w:rPr>
        <w:t xml:space="preserve"> approaches to predict likely non-compliance, </w:t>
      </w:r>
      <w:r w:rsidR="001B0DDF" w:rsidRPr="00877499">
        <w:rPr>
          <w:szCs w:val="22"/>
        </w:rPr>
        <w:t xml:space="preserve">the current </w:t>
      </w:r>
      <w:r w:rsidR="00AF18C7" w:rsidRPr="00877499">
        <w:rPr>
          <w:szCs w:val="22"/>
        </w:rPr>
        <w:t xml:space="preserve">reporting and </w:t>
      </w:r>
      <w:r w:rsidR="001B0DDF" w:rsidRPr="00877499">
        <w:rPr>
          <w:szCs w:val="22"/>
        </w:rPr>
        <w:t xml:space="preserve">data </w:t>
      </w:r>
      <w:r w:rsidR="00C30231" w:rsidRPr="00877499">
        <w:rPr>
          <w:szCs w:val="22"/>
        </w:rPr>
        <w:t xml:space="preserve">collection mechanisms make it difficult to identify employers who are not paying their employees superannuation contributions. </w:t>
      </w:r>
    </w:p>
    <w:p w14:paraId="3972D377" w14:textId="04A00D21" w:rsidR="00EC757D" w:rsidRPr="00877499" w:rsidRDefault="00FD2DEF" w:rsidP="00EC757D">
      <w:pPr>
        <w:spacing w:line="360" w:lineRule="auto"/>
        <w:jc w:val="both"/>
        <w:rPr>
          <w:szCs w:val="22"/>
        </w:rPr>
      </w:pPr>
      <w:r w:rsidRPr="00877499">
        <w:rPr>
          <w:szCs w:val="22"/>
        </w:rPr>
        <w:t>S</w:t>
      </w:r>
      <w:r w:rsidR="00EC757D" w:rsidRPr="00877499">
        <w:rPr>
          <w:szCs w:val="22"/>
        </w:rPr>
        <w:t xml:space="preserve">trong deterrents and penalties </w:t>
      </w:r>
      <w:r w:rsidRPr="00877499">
        <w:rPr>
          <w:szCs w:val="22"/>
        </w:rPr>
        <w:t>are an important part of any compliance system</w:t>
      </w:r>
      <w:r w:rsidR="00EC757D" w:rsidRPr="00877499">
        <w:rPr>
          <w:szCs w:val="22"/>
        </w:rPr>
        <w:t xml:space="preserve">. </w:t>
      </w:r>
      <w:r w:rsidRPr="00877499">
        <w:rPr>
          <w:szCs w:val="22"/>
        </w:rPr>
        <w:t>There are concerns, ho</w:t>
      </w:r>
      <w:r w:rsidR="00EC757D" w:rsidRPr="00877499">
        <w:rPr>
          <w:szCs w:val="22"/>
        </w:rPr>
        <w:t>wever,</w:t>
      </w:r>
      <w:r w:rsidRPr="00877499">
        <w:rPr>
          <w:szCs w:val="22"/>
        </w:rPr>
        <w:t xml:space="preserve"> that </w:t>
      </w:r>
      <w:r w:rsidR="00EC757D" w:rsidRPr="00877499">
        <w:rPr>
          <w:szCs w:val="22"/>
        </w:rPr>
        <w:t xml:space="preserve">the current </w:t>
      </w:r>
      <w:r w:rsidR="00013ED3">
        <w:rPr>
          <w:szCs w:val="22"/>
        </w:rPr>
        <w:t>S</w:t>
      </w:r>
      <w:r w:rsidR="007C4FAF" w:rsidRPr="00877499">
        <w:rPr>
          <w:szCs w:val="22"/>
        </w:rPr>
        <w:t xml:space="preserve">uperannuation </w:t>
      </w:r>
      <w:r w:rsidR="00013ED3">
        <w:rPr>
          <w:szCs w:val="22"/>
        </w:rPr>
        <w:t>G</w:t>
      </w:r>
      <w:r w:rsidR="007C4FAF" w:rsidRPr="00877499">
        <w:rPr>
          <w:szCs w:val="22"/>
        </w:rPr>
        <w:t xml:space="preserve">uarantee </w:t>
      </w:r>
      <w:r w:rsidR="00013ED3">
        <w:rPr>
          <w:szCs w:val="22"/>
        </w:rPr>
        <w:t>C</w:t>
      </w:r>
      <w:r w:rsidR="00EC757D" w:rsidRPr="00877499">
        <w:rPr>
          <w:szCs w:val="22"/>
        </w:rPr>
        <w:t xml:space="preserve">harge </w:t>
      </w:r>
      <w:r w:rsidR="00013ED3">
        <w:rPr>
          <w:szCs w:val="22"/>
        </w:rPr>
        <w:t xml:space="preserve">(SG Charge) </w:t>
      </w:r>
      <w:r w:rsidR="00EC757D" w:rsidRPr="00877499">
        <w:rPr>
          <w:szCs w:val="22"/>
        </w:rPr>
        <w:t xml:space="preserve">and penalty regime may prevent </w:t>
      </w:r>
      <w:r w:rsidRPr="00877499">
        <w:rPr>
          <w:szCs w:val="22"/>
        </w:rPr>
        <w:t xml:space="preserve">some </w:t>
      </w:r>
      <w:r w:rsidR="00EC757D" w:rsidRPr="00877499">
        <w:rPr>
          <w:szCs w:val="22"/>
        </w:rPr>
        <w:t>employers from coming forward</w:t>
      </w:r>
      <w:r w:rsidR="00BC4225" w:rsidRPr="00877499">
        <w:rPr>
          <w:szCs w:val="22"/>
        </w:rPr>
        <w:t xml:space="preserve"> </w:t>
      </w:r>
      <w:r w:rsidRPr="00877499">
        <w:rPr>
          <w:szCs w:val="22"/>
        </w:rPr>
        <w:t>and addressing non-compliance at an early stage</w:t>
      </w:r>
      <w:r w:rsidR="00F81BBF" w:rsidRPr="00877499">
        <w:rPr>
          <w:szCs w:val="22"/>
        </w:rPr>
        <w:t>.</w:t>
      </w:r>
      <w:r w:rsidRPr="00877499">
        <w:rPr>
          <w:szCs w:val="22"/>
        </w:rPr>
        <w:t xml:space="preserve"> A</w:t>
      </w:r>
      <w:r w:rsidR="00EC757D" w:rsidRPr="00877499">
        <w:rPr>
          <w:szCs w:val="22"/>
        </w:rPr>
        <w:t xml:space="preserve"> more holistic and differentiated approach </w:t>
      </w:r>
      <w:r w:rsidR="00BC4225" w:rsidRPr="00877499">
        <w:rPr>
          <w:szCs w:val="22"/>
        </w:rPr>
        <w:t xml:space="preserve">to </w:t>
      </w:r>
      <w:r w:rsidR="001B0DDF" w:rsidRPr="00877499">
        <w:rPr>
          <w:szCs w:val="22"/>
        </w:rPr>
        <w:t xml:space="preserve">recognise the individual circumstances of </w:t>
      </w:r>
      <w:r w:rsidR="00BC4225" w:rsidRPr="00877499">
        <w:rPr>
          <w:szCs w:val="22"/>
        </w:rPr>
        <w:t>employer</w:t>
      </w:r>
      <w:r w:rsidR="001B0DDF" w:rsidRPr="00877499">
        <w:rPr>
          <w:szCs w:val="22"/>
        </w:rPr>
        <w:t xml:space="preserve">s and to apply </w:t>
      </w:r>
      <w:r w:rsidR="00BC4225" w:rsidRPr="00877499">
        <w:rPr>
          <w:szCs w:val="22"/>
        </w:rPr>
        <w:t xml:space="preserve">deterrents </w:t>
      </w:r>
      <w:r w:rsidRPr="00877499">
        <w:rPr>
          <w:szCs w:val="22"/>
        </w:rPr>
        <w:t>c</w:t>
      </w:r>
      <w:r w:rsidR="00EC757D" w:rsidRPr="00877499">
        <w:rPr>
          <w:szCs w:val="22"/>
        </w:rPr>
        <w:t xml:space="preserve">ould </w:t>
      </w:r>
      <w:r w:rsidRPr="00877499">
        <w:rPr>
          <w:szCs w:val="22"/>
        </w:rPr>
        <w:t>therefore</w:t>
      </w:r>
      <w:r w:rsidR="00EC757D" w:rsidRPr="00877499">
        <w:rPr>
          <w:szCs w:val="22"/>
        </w:rPr>
        <w:t xml:space="preserve"> be explored. Consideration </w:t>
      </w:r>
      <w:r w:rsidRPr="00877499">
        <w:rPr>
          <w:szCs w:val="22"/>
        </w:rPr>
        <w:t>could also</w:t>
      </w:r>
      <w:r w:rsidR="00EC757D" w:rsidRPr="00877499">
        <w:rPr>
          <w:szCs w:val="22"/>
        </w:rPr>
        <w:t xml:space="preserve"> be given to </w:t>
      </w:r>
      <w:r w:rsidR="001B0DDF" w:rsidRPr="00877499">
        <w:rPr>
          <w:szCs w:val="22"/>
        </w:rPr>
        <w:t xml:space="preserve">strengthening legislative aspects </w:t>
      </w:r>
      <w:r w:rsidR="00F81BBF" w:rsidRPr="00877499">
        <w:rPr>
          <w:szCs w:val="22"/>
        </w:rPr>
        <w:t>of</w:t>
      </w:r>
      <w:r w:rsidR="00EC757D" w:rsidRPr="00877499">
        <w:rPr>
          <w:szCs w:val="22"/>
        </w:rPr>
        <w:t xml:space="preserve"> the </w:t>
      </w:r>
      <w:r w:rsidR="001B0DDF" w:rsidRPr="00877499">
        <w:rPr>
          <w:szCs w:val="22"/>
        </w:rPr>
        <w:t xml:space="preserve">current </w:t>
      </w:r>
      <w:r w:rsidR="00EC757D" w:rsidRPr="00877499">
        <w:rPr>
          <w:szCs w:val="22"/>
        </w:rPr>
        <w:t xml:space="preserve">Director Penalty Notice regime which may assist the ATO recover unpaid </w:t>
      </w:r>
      <w:r w:rsidR="007C4FAF" w:rsidRPr="00877499">
        <w:rPr>
          <w:szCs w:val="22"/>
        </w:rPr>
        <w:t xml:space="preserve">superannuation guarantee </w:t>
      </w:r>
      <w:r w:rsidR="001B0DDF" w:rsidRPr="00877499">
        <w:rPr>
          <w:szCs w:val="22"/>
        </w:rPr>
        <w:t>by being able to take action earlier to secure outstanding debts and assets.</w:t>
      </w:r>
    </w:p>
    <w:p w14:paraId="05275FF7" w14:textId="34D8C93C" w:rsidR="00EC757D" w:rsidRPr="00877499" w:rsidRDefault="00A35304" w:rsidP="00EC757D">
      <w:pPr>
        <w:spacing w:line="360" w:lineRule="auto"/>
        <w:jc w:val="both"/>
        <w:rPr>
          <w:szCs w:val="22"/>
        </w:rPr>
      </w:pPr>
      <w:r w:rsidRPr="00877499">
        <w:rPr>
          <w:szCs w:val="22"/>
        </w:rPr>
        <w:t xml:space="preserve">Extending the Fair Entitlements Guarantee to cover </w:t>
      </w:r>
      <w:r w:rsidR="007C4FAF" w:rsidRPr="00877499">
        <w:rPr>
          <w:szCs w:val="22"/>
        </w:rPr>
        <w:t xml:space="preserve">superannuation guarantee </w:t>
      </w:r>
      <w:r w:rsidRPr="00877499">
        <w:rPr>
          <w:szCs w:val="22"/>
        </w:rPr>
        <w:t xml:space="preserve">payments, as suggested by the ISA, would </w:t>
      </w:r>
      <w:r w:rsidR="00EC757D" w:rsidRPr="00877499">
        <w:rPr>
          <w:szCs w:val="22"/>
        </w:rPr>
        <w:t xml:space="preserve">involve significant </w:t>
      </w:r>
      <w:r w:rsidRPr="00877499">
        <w:rPr>
          <w:szCs w:val="22"/>
        </w:rPr>
        <w:t xml:space="preserve">fiscal </w:t>
      </w:r>
      <w:r w:rsidR="00EC757D" w:rsidRPr="00877499">
        <w:rPr>
          <w:szCs w:val="22"/>
        </w:rPr>
        <w:t xml:space="preserve">costs and </w:t>
      </w:r>
      <w:r w:rsidR="00444C96" w:rsidRPr="00877499">
        <w:rPr>
          <w:szCs w:val="22"/>
        </w:rPr>
        <w:t>raises</w:t>
      </w:r>
      <w:r w:rsidRPr="00877499">
        <w:rPr>
          <w:szCs w:val="22"/>
        </w:rPr>
        <w:t xml:space="preserve"> a range of policy issues. Careful consideration would need to be given to any expansion of the Fair Entitlements Guarantee arrangements.</w:t>
      </w:r>
    </w:p>
    <w:p w14:paraId="37F2EA6F" w14:textId="0163D611" w:rsidR="004840AB" w:rsidRPr="00877499" w:rsidRDefault="00EC757D" w:rsidP="00EC757D">
      <w:pPr>
        <w:spacing w:line="360" w:lineRule="auto"/>
        <w:jc w:val="both"/>
        <w:rPr>
          <w:szCs w:val="22"/>
        </w:rPr>
      </w:pPr>
      <w:r w:rsidRPr="00877499">
        <w:rPr>
          <w:szCs w:val="22"/>
        </w:rPr>
        <w:t xml:space="preserve">The </w:t>
      </w:r>
      <w:r w:rsidR="00855016" w:rsidRPr="00877499">
        <w:rPr>
          <w:szCs w:val="22"/>
        </w:rPr>
        <w:t xml:space="preserve">Cross Agency </w:t>
      </w:r>
      <w:r w:rsidR="00A35304" w:rsidRPr="00877499">
        <w:rPr>
          <w:szCs w:val="22"/>
        </w:rPr>
        <w:t>W</w:t>
      </w:r>
      <w:r w:rsidRPr="00877499">
        <w:rPr>
          <w:szCs w:val="22"/>
        </w:rPr>
        <w:t xml:space="preserve">orking </w:t>
      </w:r>
      <w:r w:rsidR="00A35304" w:rsidRPr="00877499">
        <w:rPr>
          <w:szCs w:val="22"/>
        </w:rPr>
        <w:t>G</w:t>
      </w:r>
      <w:r w:rsidRPr="00877499">
        <w:rPr>
          <w:szCs w:val="22"/>
        </w:rPr>
        <w:t xml:space="preserve">roup will provide a full report </w:t>
      </w:r>
      <w:r w:rsidR="00A35304" w:rsidRPr="00877499">
        <w:rPr>
          <w:szCs w:val="22"/>
        </w:rPr>
        <w:t xml:space="preserve">to Government </w:t>
      </w:r>
      <w:r w:rsidRPr="00877499">
        <w:rPr>
          <w:szCs w:val="22"/>
        </w:rPr>
        <w:t>in March 2017</w:t>
      </w:r>
      <w:r w:rsidR="00F118CD" w:rsidRPr="00877499">
        <w:rPr>
          <w:szCs w:val="22"/>
        </w:rPr>
        <w:t xml:space="preserve"> following further examination of </w:t>
      </w:r>
      <w:r w:rsidR="00DE4E8C" w:rsidRPr="00877499">
        <w:rPr>
          <w:szCs w:val="22"/>
        </w:rPr>
        <w:t>the</w:t>
      </w:r>
      <w:r w:rsidR="00F118CD" w:rsidRPr="00877499">
        <w:rPr>
          <w:szCs w:val="22"/>
        </w:rPr>
        <w:t xml:space="preserve"> issues raise</w:t>
      </w:r>
      <w:r w:rsidR="00444C96" w:rsidRPr="00877499">
        <w:rPr>
          <w:szCs w:val="22"/>
        </w:rPr>
        <w:t>d</w:t>
      </w:r>
      <w:r w:rsidR="00F118CD" w:rsidRPr="00877499">
        <w:rPr>
          <w:szCs w:val="22"/>
        </w:rPr>
        <w:t xml:space="preserve"> in this report and in accordance with the terms of reference. </w:t>
      </w:r>
    </w:p>
    <w:p w14:paraId="0882411F" w14:textId="26E7BBAF" w:rsidR="00C84DB7" w:rsidRPr="00877499" w:rsidRDefault="00C84DB7" w:rsidP="00EC757D">
      <w:pPr>
        <w:spacing w:line="360" w:lineRule="auto"/>
        <w:jc w:val="both"/>
        <w:rPr>
          <w:szCs w:val="22"/>
          <w:highlight w:val="yellow"/>
        </w:rPr>
      </w:pPr>
    </w:p>
    <w:p w14:paraId="6DEF9019" w14:textId="77777777" w:rsidR="000A50F4" w:rsidRPr="00B8566F" w:rsidRDefault="00C84DB7" w:rsidP="00EC757D">
      <w:pPr>
        <w:spacing w:line="360" w:lineRule="auto"/>
        <w:jc w:val="both"/>
        <w:rPr>
          <w:b/>
          <w:szCs w:val="22"/>
        </w:rPr>
      </w:pPr>
      <w:r w:rsidRPr="00B8566F">
        <w:rPr>
          <w:b/>
          <w:szCs w:val="22"/>
        </w:rPr>
        <w:t>James O’Halloran</w:t>
      </w:r>
      <w:r w:rsidR="00396881" w:rsidRPr="00B8566F">
        <w:rPr>
          <w:b/>
          <w:szCs w:val="22"/>
        </w:rPr>
        <w:t xml:space="preserve"> </w:t>
      </w:r>
    </w:p>
    <w:p w14:paraId="00294E4E" w14:textId="269A470D" w:rsidR="00B8566F" w:rsidRDefault="00B8566F" w:rsidP="00AF60A5">
      <w:pPr>
        <w:spacing w:line="360" w:lineRule="auto"/>
        <w:jc w:val="both"/>
        <w:rPr>
          <w:szCs w:val="22"/>
        </w:rPr>
      </w:pPr>
      <w:r>
        <w:rPr>
          <w:szCs w:val="22"/>
        </w:rPr>
        <w:t>Deputy Commissioner, Superannuation, Australian Taxation Office</w:t>
      </w:r>
    </w:p>
    <w:p w14:paraId="778DF3EB" w14:textId="4BADC161" w:rsidR="003D3846" w:rsidRPr="00877499" w:rsidRDefault="000A50F4" w:rsidP="00AF60A5">
      <w:pPr>
        <w:spacing w:line="360" w:lineRule="auto"/>
        <w:jc w:val="both"/>
        <w:rPr>
          <w:szCs w:val="22"/>
        </w:rPr>
      </w:pPr>
      <w:r>
        <w:rPr>
          <w:szCs w:val="22"/>
        </w:rPr>
        <w:t xml:space="preserve">Chair </w:t>
      </w:r>
      <w:r w:rsidR="00B8566F">
        <w:rPr>
          <w:szCs w:val="22"/>
        </w:rPr>
        <w:t xml:space="preserve">of the </w:t>
      </w:r>
      <w:r w:rsidR="003D3846">
        <w:rPr>
          <w:szCs w:val="22"/>
        </w:rPr>
        <w:t xml:space="preserve">Cross Agency Working Group on Superannuation Guarantee </w:t>
      </w:r>
    </w:p>
    <w:p w14:paraId="3D478E95" w14:textId="77777777" w:rsidR="00AF60A5" w:rsidRDefault="00AF60A5">
      <w:pPr>
        <w:spacing w:before="0" w:line="240" w:lineRule="auto"/>
      </w:pPr>
      <w:r>
        <w:br w:type="page"/>
      </w:r>
    </w:p>
    <w:p w14:paraId="581A87DF" w14:textId="7A161C45" w:rsidR="00637CC6" w:rsidRDefault="00637CC6" w:rsidP="00AF60A5">
      <w:pPr>
        <w:spacing w:line="360" w:lineRule="auto"/>
        <w:jc w:val="both"/>
      </w:pPr>
    </w:p>
    <w:p w14:paraId="0CDB5C98" w14:textId="77777777" w:rsidR="00F47108" w:rsidRDefault="00F47108" w:rsidP="00EC6083">
      <w:pPr>
        <w:pStyle w:val="Heading1"/>
        <w:framePr w:wrap="notBeside"/>
        <w:numPr>
          <w:ilvl w:val="0"/>
          <w:numId w:val="52"/>
        </w:numPr>
        <w:spacing w:before="0"/>
      </w:pPr>
      <w:bookmarkStart w:id="9" w:name="_Toc473109049"/>
      <w:bookmarkStart w:id="10" w:name="_Toc473540240"/>
      <w:bookmarkStart w:id="11" w:name="_Toc473554623"/>
      <w:bookmarkStart w:id="12" w:name="_Toc473625441"/>
      <w:bookmarkStart w:id="13" w:name="_Toc473629872"/>
      <w:bookmarkStart w:id="14" w:name="_Toc473631164"/>
      <w:bookmarkStart w:id="15" w:name="_Toc473631458"/>
      <w:bookmarkStart w:id="16" w:name="_Toc473636582"/>
      <w:bookmarkStart w:id="17" w:name="_Toc473635300"/>
      <w:r>
        <w:t>Interim report</w:t>
      </w:r>
      <w:bookmarkEnd w:id="9"/>
      <w:bookmarkEnd w:id="10"/>
      <w:bookmarkEnd w:id="11"/>
      <w:bookmarkEnd w:id="12"/>
      <w:bookmarkEnd w:id="13"/>
      <w:bookmarkEnd w:id="14"/>
      <w:bookmarkEnd w:id="15"/>
      <w:bookmarkEnd w:id="16"/>
      <w:bookmarkEnd w:id="17"/>
    </w:p>
    <w:p w14:paraId="567BD9E1" w14:textId="17F760A0" w:rsidR="00637CC6" w:rsidRDefault="00170503" w:rsidP="00170503">
      <w:pPr>
        <w:pStyle w:val="Heading2"/>
        <w:ind w:left="576" w:hanging="576"/>
      </w:pPr>
      <w:bookmarkStart w:id="18" w:name="_Toc473540241"/>
      <w:bookmarkStart w:id="19" w:name="_Toc473554624"/>
      <w:bookmarkStart w:id="20" w:name="_Toc473625442"/>
      <w:bookmarkStart w:id="21" w:name="_Toc473629873"/>
      <w:bookmarkStart w:id="22" w:name="_Toc473631165"/>
      <w:bookmarkStart w:id="23" w:name="_Toc473631459"/>
      <w:bookmarkStart w:id="24" w:name="_Toc473636583"/>
      <w:bookmarkStart w:id="25" w:name="_Toc473635301"/>
      <w:r>
        <w:t xml:space="preserve">Cross </w:t>
      </w:r>
      <w:r w:rsidR="00313109">
        <w:t>A</w:t>
      </w:r>
      <w:r>
        <w:t xml:space="preserve">gency </w:t>
      </w:r>
      <w:r w:rsidR="00E62927">
        <w:t>W</w:t>
      </w:r>
      <w:r>
        <w:t xml:space="preserve">orking </w:t>
      </w:r>
      <w:r w:rsidR="00E62927">
        <w:t>G</w:t>
      </w:r>
      <w:r>
        <w:t>roup</w:t>
      </w:r>
      <w:bookmarkEnd w:id="18"/>
      <w:bookmarkEnd w:id="19"/>
      <w:bookmarkEnd w:id="20"/>
      <w:bookmarkEnd w:id="21"/>
      <w:bookmarkEnd w:id="22"/>
      <w:bookmarkEnd w:id="23"/>
      <w:bookmarkEnd w:id="24"/>
      <w:bookmarkEnd w:id="25"/>
    </w:p>
    <w:p w14:paraId="68628273" w14:textId="77777777" w:rsidR="0026472C" w:rsidRDefault="0026472C" w:rsidP="0026472C"/>
    <w:p w14:paraId="26335D55" w14:textId="4CF99E5D" w:rsidR="00164172" w:rsidRDefault="00164172" w:rsidP="0026472C">
      <w:pPr>
        <w:pStyle w:val="ListParagraph"/>
        <w:numPr>
          <w:ilvl w:val="1"/>
          <w:numId w:val="55"/>
        </w:numPr>
        <w:spacing w:line="360" w:lineRule="auto"/>
        <w:ind w:left="567" w:hanging="567"/>
        <w:contextualSpacing w:val="0"/>
      </w:pPr>
      <w:r>
        <w:t xml:space="preserve">The Minister for Revenue and Financial Services established a </w:t>
      </w:r>
      <w:r w:rsidR="00313109">
        <w:t>C</w:t>
      </w:r>
      <w:r>
        <w:t xml:space="preserve">ross </w:t>
      </w:r>
      <w:r w:rsidR="00313109">
        <w:t>A</w:t>
      </w:r>
      <w:r>
        <w:t xml:space="preserve">gency </w:t>
      </w:r>
      <w:r w:rsidR="00E62927">
        <w:t>W</w:t>
      </w:r>
      <w:r>
        <w:t xml:space="preserve">orking </w:t>
      </w:r>
      <w:r w:rsidR="00E62927">
        <w:t>G</w:t>
      </w:r>
      <w:r>
        <w:t xml:space="preserve">roup in December 2016 to bring together key federal agencies to consider and develop options to address </w:t>
      </w:r>
      <w:r w:rsidR="007C4FAF">
        <w:t xml:space="preserve">superannuation guarantee </w:t>
      </w:r>
      <w:r>
        <w:t>non</w:t>
      </w:r>
      <w:r w:rsidR="00CA242B">
        <w:noBreakHyphen/>
      </w:r>
      <w:r>
        <w:t xml:space="preserve">compliance. </w:t>
      </w:r>
    </w:p>
    <w:p w14:paraId="1B903A68" w14:textId="1822874E" w:rsidR="00164172" w:rsidRDefault="00164172" w:rsidP="0026472C">
      <w:pPr>
        <w:pStyle w:val="ListParagraph"/>
        <w:numPr>
          <w:ilvl w:val="1"/>
          <w:numId w:val="55"/>
        </w:numPr>
        <w:spacing w:line="360" w:lineRule="auto"/>
        <w:ind w:left="567" w:hanging="567"/>
        <w:contextualSpacing w:val="0"/>
      </w:pPr>
      <w:r>
        <w:t xml:space="preserve">Terms of reference were agreed to and </w:t>
      </w:r>
      <w:r w:rsidR="004840AB">
        <w:t>cover</w:t>
      </w:r>
      <w:r>
        <w:t xml:space="preserve"> data analysis</w:t>
      </w:r>
      <w:r w:rsidR="001F68D4">
        <w:t xml:space="preserve"> and</w:t>
      </w:r>
      <w:r>
        <w:t xml:space="preserve"> administrative and policy </w:t>
      </w:r>
      <w:r w:rsidR="004840AB">
        <w:t>options</w:t>
      </w:r>
      <w:r w:rsidR="004840AB" w:rsidRPr="00D94273">
        <w:t xml:space="preserve"> </w:t>
      </w:r>
      <w:r w:rsidRPr="00D94273">
        <w:t>(</w:t>
      </w:r>
      <w:r w:rsidR="0026472C" w:rsidRPr="00D94273">
        <w:t xml:space="preserve">see </w:t>
      </w:r>
      <w:r w:rsidR="0026472C" w:rsidRPr="00187378">
        <w:rPr>
          <w:b/>
        </w:rPr>
        <w:t>Appendix 1</w:t>
      </w:r>
      <w:r w:rsidRPr="00D94273">
        <w:t>).</w:t>
      </w:r>
      <w:r>
        <w:t xml:space="preserve"> </w:t>
      </w:r>
    </w:p>
    <w:p w14:paraId="071D67EC" w14:textId="77777777" w:rsidR="00164172" w:rsidRDefault="00164172" w:rsidP="0026472C">
      <w:pPr>
        <w:pStyle w:val="ListParagraph"/>
        <w:numPr>
          <w:ilvl w:val="1"/>
          <w:numId w:val="55"/>
        </w:numPr>
        <w:spacing w:line="360" w:lineRule="auto"/>
        <w:ind w:left="567" w:hanging="567"/>
        <w:contextualSpacing w:val="0"/>
      </w:pPr>
      <w:r>
        <w:t>Member agencies that have substantially contributed to and supported the preparation of this report are:</w:t>
      </w:r>
    </w:p>
    <w:p w14:paraId="5562DD5E" w14:textId="77777777" w:rsidR="001F68D4" w:rsidRDefault="001F68D4" w:rsidP="001F68D4">
      <w:pPr>
        <w:pStyle w:val="ListParagraph"/>
        <w:numPr>
          <w:ilvl w:val="0"/>
          <w:numId w:val="27"/>
        </w:numPr>
        <w:spacing w:line="360" w:lineRule="auto"/>
        <w:contextualSpacing w:val="0"/>
      </w:pPr>
      <w:r>
        <w:t>Australian Taxation Office</w:t>
      </w:r>
    </w:p>
    <w:p w14:paraId="0E288ECC" w14:textId="77777777" w:rsidR="00164172" w:rsidRDefault="00164172" w:rsidP="00164172">
      <w:pPr>
        <w:pStyle w:val="ListParagraph"/>
        <w:numPr>
          <w:ilvl w:val="0"/>
          <w:numId w:val="27"/>
        </w:numPr>
        <w:spacing w:line="360" w:lineRule="auto"/>
        <w:contextualSpacing w:val="0"/>
      </w:pPr>
      <w:r>
        <w:t>Treasury</w:t>
      </w:r>
    </w:p>
    <w:p w14:paraId="65D28628" w14:textId="77777777" w:rsidR="00164172" w:rsidRDefault="00164172" w:rsidP="00164172">
      <w:pPr>
        <w:pStyle w:val="ListParagraph"/>
        <w:numPr>
          <w:ilvl w:val="0"/>
          <w:numId w:val="27"/>
        </w:numPr>
        <w:spacing w:line="360" w:lineRule="auto"/>
        <w:contextualSpacing w:val="0"/>
      </w:pPr>
      <w:r>
        <w:t>Department of Employment</w:t>
      </w:r>
    </w:p>
    <w:p w14:paraId="58718AF1" w14:textId="77777777" w:rsidR="00164172" w:rsidRDefault="00164172" w:rsidP="00164172">
      <w:pPr>
        <w:pStyle w:val="ListParagraph"/>
        <w:numPr>
          <w:ilvl w:val="0"/>
          <w:numId w:val="27"/>
        </w:numPr>
        <w:spacing w:line="360" w:lineRule="auto"/>
        <w:contextualSpacing w:val="0"/>
      </w:pPr>
      <w:r>
        <w:t>Australian Securities and Investment Commission</w:t>
      </w:r>
    </w:p>
    <w:p w14:paraId="195D4281" w14:textId="37402497" w:rsidR="00267604" w:rsidRDefault="00164172" w:rsidP="00164172">
      <w:pPr>
        <w:pStyle w:val="ListParagraph"/>
        <w:numPr>
          <w:ilvl w:val="0"/>
          <w:numId w:val="27"/>
        </w:numPr>
        <w:spacing w:line="360" w:lineRule="auto"/>
        <w:contextualSpacing w:val="0"/>
      </w:pPr>
      <w:r>
        <w:t>Australian Prudential Regulation Authority</w:t>
      </w:r>
      <w:r w:rsidR="00F81BBF">
        <w:t>.</w:t>
      </w:r>
    </w:p>
    <w:p w14:paraId="1CBC70A8" w14:textId="6C362C9B" w:rsidR="00267604" w:rsidRDefault="00267604" w:rsidP="00267604">
      <w:pPr>
        <w:pStyle w:val="ListParagraph"/>
        <w:numPr>
          <w:ilvl w:val="1"/>
          <w:numId w:val="55"/>
        </w:numPr>
        <w:spacing w:line="360" w:lineRule="auto"/>
        <w:ind w:left="567" w:hanging="567"/>
        <w:contextualSpacing w:val="0"/>
      </w:pPr>
      <w:r>
        <w:t xml:space="preserve">Members of the Working Group are listed at </w:t>
      </w:r>
      <w:r w:rsidRPr="00E63C6E">
        <w:rPr>
          <w:b/>
        </w:rPr>
        <w:t>Appendix 2</w:t>
      </w:r>
      <w:r>
        <w:t>.</w:t>
      </w:r>
    </w:p>
    <w:p w14:paraId="79D36BCA" w14:textId="1F3D449B" w:rsidR="00164172" w:rsidRDefault="00164172" w:rsidP="00164172">
      <w:pPr>
        <w:pStyle w:val="Heading2"/>
        <w:ind w:left="578" w:hanging="578"/>
      </w:pPr>
      <w:bookmarkStart w:id="26" w:name="_Toc472892755"/>
      <w:bookmarkStart w:id="27" w:name="_Toc473540242"/>
      <w:bookmarkStart w:id="28" w:name="_Toc473554625"/>
      <w:bookmarkStart w:id="29" w:name="_Toc473625443"/>
      <w:bookmarkStart w:id="30" w:name="_Toc473629874"/>
      <w:bookmarkStart w:id="31" w:name="_Toc473631166"/>
      <w:bookmarkStart w:id="32" w:name="_Toc473631460"/>
      <w:bookmarkStart w:id="33" w:name="_Toc473636584"/>
      <w:bookmarkStart w:id="34" w:name="_Toc473635302"/>
      <w:r>
        <w:t>Scope</w:t>
      </w:r>
      <w:bookmarkEnd w:id="26"/>
      <w:bookmarkEnd w:id="27"/>
      <w:bookmarkEnd w:id="28"/>
      <w:bookmarkEnd w:id="29"/>
      <w:bookmarkEnd w:id="30"/>
      <w:bookmarkEnd w:id="31"/>
      <w:bookmarkEnd w:id="32"/>
      <w:bookmarkEnd w:id="33"/>
      <w:bookmarkEnd w:id="34"/>
    </w:p>
    <w:p w14:paraId="3EDB2FD3" w14:textId="0C7DBA97" w:rsidR="004840AB" w:rsidRDefault="004840AB" w:rsidP="0026472C">
      <w:pPr>
        <w:pStyle w:val="ListParagraph"/>
        <w:numPr>
          <w:ilvl w:val="1"/>
          <w:numId w:val="55"/>
        </w:numPr>
        <w:spacing w:line="360" w:lineRule="auto"/>
        <w:ind w:left="567" w:hanging="567"/>
        <w:contextualSpacing w:val="0"/>
      </w:pPr>
      <w:r>
        <w:t xml:space="preserve">The Working Group </w:t>
      </w:r>
      <w:r w:rsidR="001F68D4">
        <w:t xml:space="preserve">has examined the analysis, </w:t>
      </w:r>
      <w:r>
        <w:t xml:space="preserve">commentary and policy recommendations raised in the report by Industry Super Australia (ISA) and CBUS titled </w:t>
      </w:r>
      <w:r w:rsidRPr="004840AB">
        <w:rPr>
          <w:i/>
          <w:iCs/>
        </w:rPr>
        <w:t>Overdue: Time for Action on Unpaid Super</w:t>
      </w:r>
      <w:r>
        <w:t xml:space="preserve"> (‘the ISA </w:t>
      </w:r>
      <w:r w:rsidR="00643A33">
        <w:t>Report’</w:t>
      </w:r>
      <w:r>
        <w:t xml:space="preserve">) released in December 2016.  </w:t>
      </w:r>
    </w:p>
    <w:p w14:paraId="51A98AD6" w14:textId="1BED8F20" w:rsidR="00164172" w:rsidRDefault="001F68D4" w:rsidP="00512677">
      <w:pPr>
        <w:pStyle w:val="ListParagraph"/>
        <w:numPr>
          <w:ilvl w:val="1"/>
          <w:numId w:val="55"/>
        </w:numPr>
        <w:spacing w:line="360" w:lineRule="auto"/>
        <w:ind w:left="567" w:hanging="567"/>
        <w:contextualSpacing w:val="0"/>
      </w:pPr>
      <w:r>
        <w:t xml:space="preserve">This interim report </w:t>
      </w:r>
      <w:r w:rsidR="004840AB">
        <w:t xml:space="preserve">does not include any specific recommendations from the Working Group. </w:t>
      </w:r>
    </w:p>
    <w:p w14:paraId="704008B5" w14:textId="0C4F6ABF" w:rsidR="00164172" w:rsidRDefault="00164172" w:rsidP="00A17B4F">
      <w:pPr>
        <w:pStyle w:val="ListParagraph"/>
        <w:numPr>
          <w:ilvl w:val="1"/>
          <w:numId w:val="55"/>
        </w:numPr>
        <w:spacing w:line="360" w:lineRule="auto"/>
        <w:ind w:left="567" w:hanging="567"/>
        <w:contextualSpacing w:val="0"/>
      </w:pPr>
      <w:r>
        <w:t xml:space="preserve">The </w:t>
      </w:r>
      <w:r w:rsidR="004840AB">
        <w:t xml:space="preserve">Working Group </w:t>
      </w:r>
      <w:r>
        <w:t xml:space="preserve">will </w:t>
      </w:r>
      <w:r w:rsidR="001F68D4">
        <w:t xml:space="preserve">provide a final </w:t>
      </w:r>
      <w:r>
        <w:t xml:space="preserve">report on its terms of reference in </w:t>
      </w:r>
      <w:r w:rsidR="004840AB">
        <w:t xml:space="preserve">March </w:t>
      </w:r>
      <w:r>
        <w:t>2017.</w:t>
      </w:r>
    </w:p>
    <w:p w14:paraId="639B0735" w14:textId="77777777" w:rsidR="00637CC6" w:rsidRDefault="00637CC6" w:rsidP="00164172">
      <w:pPr>
        <w:spacing w:line="360" w:lineRule="auto"/>
      </w:pPr>
      <w:r>
        <w:br w:type="page"/>
      </w:r>
    </w:p>
    <w:p w14:paraId="4D70550B" w14:textId="77777777" w:rsidR="00174E25" w:rsidRDefault="00174E25" w:rsidP="00174E25">
      <w:pPr>
        <w:framePr w:w="9072" w:wrap="notBeside" w:vAnchor="text" w:hAnchor="text" w:y="1"/>
        <w:spacing w:before="0" w:line="240" w:lineRule="auto"/>
      </w:pPr>
      <w:bookmarkStart w:id="35" w:name="_Toc472508068"/>
      <w:bookmarkStart w:id="36" w:name="_Toc472519667"/>
      <w:bookmarkStart w:id="37" w:name="_Toc472578013"/>
      <w:bookmarkStart w:id="38" w:name="_Toc472892763"/>
      <w:r>
        <w:br w:type="page"/>
      </w:r>
    </w:p>
    <w:p w14:paraId="697B6A33" w14:textId="77777777" w:rsidR="00637CC6" w:rsidRDefault="00174E25" w:rsidP="00174E25">
      <w:pPr>
        <w:pStyle w:val="Heading1"/>
        <w:framePr w:wrap="notBeside"/>
        <w:numPr>
          <w:ilvl w:val="0"/>
          <w:numId w:val="52"/>
        </w:numPr>
        <w:spacing w:before="0"/>
      </w:pPr>
      <w:bookmarkStart w:id="39" w:name="_Toc473540243"/>
      <w:bookmarkStart w:id="40" w:name="_Toc473554626"/>
      <w:bookmarkStart w:id="41" w:name="_Toc473625444"/>
      <w:bookmarkStart w:id="42" w:name="_Toc473629875"/>
      <w:bookmarkStart w:id="43" w:name="_Toc473631167"/>
      <w:bookmarkStart w:id="44" w:name="_Toc473631461"/>
      <w:bookmarkStart w:id="45" w:name="_Toc473636585"/>
      <w:bookmarkStart w:id="46" w:name="_Toc473635303"/>
      <w:r>
        <w:t>Superannuation Guarantee System</w:t>
      </w:r>
      <w:bookmarkEnd w:id="39"/>
      <w:bookmarkEnd w:id="40"/>
      <w:bookmarkEnd w:id="41"/>
      <w:bookmarkEnd w:id="42"/>
      <w:bookmarkEnd w:id="43"/>
      <w:bookmarkEnd w:id="44"/>
      <w:bookmarkEnd w:id="45"/>
      <w:bookmarkEnd w:id="46"/>
      <w:r>
        <w:t xml:space="preserve"> </w:t>
      </w:r>
      <w:bookmarkEnd w:id="35"/>
      <w:bookmarkEnd w:id="36"/>
      <w:bookmarkEnd w:id="37"/>
      <w:bookmarkEnd w:id="38"/>
      <w:r w:rsidR="00164172">
        <w:t xml:space="preserve"> </w:t>
      </w:r>
    </w:p>
    <w:p w14:paraId="3EA61340" w14:textId="4E6BE2E2" w:rsidR="00164172" w:rsidRPr="00C8064B" w:rsidRDefault="00164172" w:rsidP="00164172">
      <w:pPr>
        <w:pStyle w:val="Heading2"/>
        <w:ind w:left="578" w:hanging="578"/>
      </w:pPr>
      <w:bookmarkStart w:id="47" w:name="_Toc472508069"/>
      <w:bookmarkStart w:id="48" w:name="_Toc472519668"/>
      <w:bookmarkStart w:id="49" w:name="_Toc472578014"/>
      <w:bookmarkStart w:id="50" w:name="_Toc472892764"/>
      <w:bookmarkStart w:id="51" w:name="_Toc473540244"/>
      <w:bookmarkStart w:id="52" w:name="_Toc473554627"/>
      <w:bookmarkStart w:id="53" w:name="_Toc473625445"/>
      <w:bookmarkStart w:id="54" w:name="_Toc473629876"/>
      <w:bookmarkStart w:id="55" w:name="_Toc473631168"/>
      <w:bookmarkStart w:id="56" w:name="_Toc473631462"/>
      <w:bookmarkStart w:id="57" w:name="_Toc473636586"/>
      <w:bookmarkStart w:id="58" w:name="_Toc473635304"/>
      <w:r>
        <w:t>Superannuation Guarantee</w:t>
      </w:r>
      <w:bookmarkEnd w:id="47"/>
      <w:bookmarkEnd w:id="48"/>
      <w:bookmarkEnd w:id="49"/>
      <w:bookmarkEnd w:id="50"/>
      <w:bookmarkEnd w:id="51"/>
      <w:bookmarkEnd w:id="52"/>
      <w:bookmarkEnd w:id="53"/>
      <w:bookmarkEnd w:id="54"/>
      <w:bookmarkEnd w:id="55"/>
      <w:bookmarkEnd w:id="56"/>
      <w:bookmarkEnd w:id="57"/>
      <w:bookmarkEnd w:id="58"/>
      <w:r>
        <w:t xml:space="preserve"> </w:t>
      </w:r>
    </w:p>
    <w:p w14:paraId="043D473C" w14:textId="1901C1CE" w:rsidR="00164172" w:rsidRDefault="001F68D4" w:rsidP="00164172">
      <w:pPr>
        <w:pStyle w:val="ListParagraph"/>
        <w:numPr>
          <w:ilvl w:val="1"/>
          <w:numId w:val="33"/>
        </w:numPr>
        <w:spacing w:line="360" w:lineRule="auto"/>
        <w:contextualSpacing w:val="0"/>
        <w:jc w:val="both"/>
      </w:pPr>
      <w:r>
        <w:t>The superannuation framework obliges e</w:t>
      </w:r>
      <w:r w:rsidR="00164172">
        <w:t xml:space="preserve">mployers to </w:t>
      </w:r>
      <w:r>
        <w:t xml:space="preserve">contribute </w:t>
      </w:r>
      <w:r w:rsidR="00164172">
        <w:t xml:space="preserve">9.5 per cent of </w:t>
      </w:r>
      <w:r w:rsidR="00427FF7">
        <w:t xml:space="preserve">the </w:t>
      </w:r>
      <w:r w:rsidR="00164172" w:rsidRPr="00344903">
        <w:rPr>
          <w:rFonts w:cstheme="minorHAnsi"/>
          <w:szCs w:val="22"/>
        </w:rPr>
        <w:t>‘ordinary time earnings’ (OTE)</w:t>
      </w:r>
      <w:r>
        <w:rPr>
          <w:rFonts w:cstheme="minorHAnsi"/>
          <w:szCs w:val="22"/>
        </w:rPr>
        <w:t xml:space="preserve"> of </w:t>
      </w:r>
      <w:r>
        <w:t>their eligible employees as a superannuation contribution</w:t>
      </w:r>
      <w:r w:rsidR="00164172">
        <w:rPr>
          <w:rFonts w:cstheme="minorHAnsi"/>
          <w:szCs w:val="22"/>
        </w:rPr>
        <w:t>. In general</w:t>
      </w:r>
      <w:r w:rsidR="002946F3">
        <w:rPr>
          <w:rFonts w:cstheme="minorHAnsi"/>
          <w:szCs w:val="22"/>
        </w:rPr>
        <w:t>,</w:t>
      </w:r>
      <w:r w:rsidR="00164172">
        <w:rPr>
          <w:rFonts w:cstheme="minorHAnsi"/>
          <w:szCs w:val="22"/>
        </w:rPr>
        <w:t xml:space="preserve"> OTE is </w:t>
      </w:r>
      <w:r w:rsidR="00164172" w:rsidRPr="00344903">
        <w:rPr>
          <w:rFonts w:cstheme="minorHAnsi"/>
          <w:szCs w:val="22"/>
        </w:rPr>
        <w:t>salary and wages paid less bonuses, overtime and termination payments related to unused annual leave</w:t>
      </w:r>
      <w:r w:rsidR="00164172">
        <w:t xml:space="preserve">.  </w:t>
      </w:r>
    </w:p>
    <w:p w14:paraId="3DE27920" w14:textId="4C340DFB" w:rsidR="00164172" w:rsidRDefault="00164172" w:rsidP="00164172">
      <w:pPr>
        <w:pStyle w:val="ListParagraph"/>
        <w:numPr>
          <w:ilvl w:val="1"/>
          <w:numId w:val="33"/>
        </w:numPr>
        <w:spacing w:line="360" w:lineRule="auto"/>
        <w:contextualSpacing w:val="0"/>
        <w:jc w:val="both"/>
        <w:rPr>
          <w:rFonts w:cstheme="minorHAnsi"/>
          <w:szCs w:val="22"/>
        </w:rPr>
      </w:pPr>
      <w:r>
        <w:rPr>
          <w:rFonts w:cstheme="minorHAnsi"/>
          <w:szCs w:val="22"/>
        </w:rPr>
        <w:t xml:space="preserve">Where employers </w:t>
      </w:r>
      <w:r w:rsidRPr="00164172">
        <w:rPr>
          <w:rFonts w:cstheme="minorHAnsi"/>
          <w:szCs w:val="22"/>
        </w:rPr>
        <w:t xml:space="preserve">fail to pay </w:t>
      </w:r>
      <w:r w:rsidR="001F68D4">
        <w:rPr>
          <w:rFonts w:cstheme="minorHAnsi"/>
          <w:szCs w:val="22"/>
        </w:rPr>
        <w:t xml:space="preserve">compulsory </w:t>
      </w:r>
      <w:r w:rsidR="00F81BBF">
        <w:rPr>
          <w:rFonts w:cstheme="minorHAnsi"/>
          <w:szCs w:val="22"/>
        </w:rPr>
        <w:t xml:space="preserve">superannuation </w:t>
      </w:r>
      <w:r w:rsidRPr="00164172">
        <w:rPr>
          <w:rFonts w:cstheme="minorHAnsi"/>
          <w:szCs w:val="22"/>
        </w:rPr>
        <w:t xml:space="preserve">contributions on time </w:t>
      </w:r>
      <w:r>
        <w:rPr>
          <w:rFonts w:cstheme="minorHAnsi"/>
          <w:szCs w:val="22"/>
        </w:rPr>
        <w:t xml:space="preserve">they </w:t>
      </w:r>
      <w:r w:rsidRPr="00164172">
        <w:rPr>
          <w:rFonts w:cstheme="minorHAnsi"/>
          <w:szCs w:val="22"/>
        </w:rPr>
        <w:t>are liable to pay the SG Charge. They do this by lodging a SG</w:t>
      </w:r>
      <w:r w:rsidR="00E471A1">
        <w:rPr>
          <w:rFonts w:cstheme="minorHAnsi"/>
          <w:szCs w:val="22"/>
        </w:rPr>
        <w:t xml:space="preserve"> </w:t>
      </w:r>
      <w:r w:rsidRPr="00164172">
        <w:rPr>
          <w:rFonts w:cstheme="minorHAnsi"/>
          <w:szCs w:val="22"/>
        </w:rPr>
        <w:t>C</w:t>
      </w:r>
      <w:r w:rsidR="00E471A1">
        <w:rPr>
          <w:rFonts w:cstheme="minorHAnsi"/>
          <w:szCs w:val="22"/>
        </w:rPr>
        <w:t>harge</w:t>
      </w:r>
      <w:r w:rsidRPr="00164172">
        <w:rPr>
          <w:rFonts w:cstheme="minorHAnsi"/>
          <w:szCs w:val="22"/>
        </w:rPr>
        <w:t xml:space="preserve"> statement which effectively informs the ATO that the employer has not met their obligations. </w:t>
      </w:r>
    </w:p>
    <w:p w14:paraId="344DA089" w14:textId="435D1FA4" w:rsidR="00164172" w:rsidRDefault="00164172" w:rsidP="00164172">
      <w:pPr>
        <w:pStyle w:val="ListParagraph"/>
        <w:numPr>
          <w:ilvl w:val="1"/>
          <w:numId w:val="33"/>
        </w:numPr>
        <w:spacing w:line="360" w:lineRule="auto"/>
        <w:contextualSpacing w:val="0"/>
        <w:jc w:val="both"/>
        <w:rPr>
          <w:rFonts w:cstheme="minorHAnsi"/>
          <w:szCs w:val="22"/>
        </w:rPr>
      </w:pPr>
      <w:r w:rsidRPr="00164172">
        <w:rPr>
          <w:rFonts w:cstheme="minorHAnsi"/>
          <w:szCs w:val="22"/>
        </w:rPr>
        <w:t>The SG</w:t>
      </w:r>
      <w:r w:rsidR="00E471A1">
        <w:rPr>
          <w:rFonts w:cstheme="minorHAnsi"/>
          <w:szCs w:val="22"/>
        </w:rPr>
        <w:t xml:space="preserve"> </w:t>
      </w:r>
      <w:r w:rsidRPr="00164172">
        <w:rPr>
          <w:rFonts w:cstheme="minorHAnsi"/>
          <w:szCs w:val="22"/>
        </w:rPr>
        <w:t>C</w:t>
      </w:r>
      <w:r w:rsidR="00E471A1">
        <w:rPr>
          <w:rFonts w:cstheme="minorHAnsi"/>
          <w:szCs w:val="22"/>
        </w:rPr>
        <w:t>harge</w:t>
      </w:r>
      <w:r w:rsidRPr="00164172">
        <w:rPr>
          <w:rFonts w:cstheme="minorHAnsi"/>
          <w:szCs w:val="22"/>
        </w:rPr>
        <w:t xml:space="preserve"> is the mechanism to require employers to pay </w:t>
      </w:r>
      <w:r w:rsidR="007C4FAF">
        <w:t>superannuation guarantee</w:t>
      </w:r>
      <w:r w:rsidRPr="00164172">
        <w:rPr>
          <w:rFonts w:cstheme="minorHAnsi"/>
          <w:szCs w:val="22"/>
        </w:rPr>
        <w:t xml:space="preserve"> contributions direct to an employee’s super</w:t>
      </w:r>
      <w:r w:rsidR="00622A43">
        <w:rPr>
          <w:rFonts w:cstheme="minorHAnsi"/>
          <w:szCs w:val="22"/>
        </w:rPr>
        <w:t>annuation</w:t>
      </w:r>
      <w:r w:rsidRPr="00164172">
        <w:rPr>
          <w:rFonts w:cstheme="minorHAnsi"/>
          <w:szCs w:val="22"/>
        </w:rPr>
        <w:t xml:space="preserve"> fund. </w:t>
      </w:r>
      <w:r w:rsidR="00CA58E7">
        <w:rPr>
          <w:rFonts w:cstheme="minorHAnsi"/>
          <w:szCs w:val="22"/>
        </w:rPr>
        <w:t>T</w:t>
      </w:r>
      <w:r w:rsidRPr="00164172">
        <w:rPr>
          <w:rFonts w:cstheme="minorHAnsi"/>
          <w:szCs w:val="22"/>
        </w:rPr>
        <w:t>he SG</w:t>
      </w:r>
      <w:r w:rsidR="00E471A1">
        <w:rPr>
          <w:rFonts w:cstheme="minorHAnsi"/>
          <w:szCs w:val="22"/>
        </w:rPr>
        <w:t xml:space="preserve"> </w:t>
      </w:r>
      <w:r w:rsidRPr="00164172">
        <w:rPr>
          <w:rFonts w:cstheme="minorHAnsi"/>
          <w:szCs w:val="22"/>
        </w:rPr>
        <w:t>C</w:t>
      </w:r>
      <w:r w:rsidR="00E471A1">
        <w:rPr>
          <w:rFonts w:cstheme="minorHAnsi"/>
          <w:szCs w:val="22"/>
        </w:rPr>
        <w:t>harge</w:t>
      </w:r>
      <w:r w:rsidRPr="00164172">
        <w:rPr>
          <w:rFonts w:cstheme="minorHAnsi"/>
          <w:szCs w:val="22"/>
        </w:rPr>
        <w:t xml:space="preserve"> </w:t>
      </w:r>
      <w:r w:rsidR="001F533E">
        <w:rPr>
          <w:rFonts w:cstheme="minorHAnsi"/>
          <w:szCs w:val="22"/>
        </w:rPr>
        <w:t>is a</w:t>
      </w:r>
      <w:r w:rsidR="001F533E" w:rsidRPr="00164172">
        <w:rPr>
          <w:rFonts w:cstheme="minorHAnsi"/>
          <w:szCs w:val="22"/>
        </w:rPr>
        <w:t xml:space="preserve"> </w:t>
      </w:r>
      <w:r w:rsidRPr="00164172">
        <w:rPr>
          <w:rFonts w:cstheme="minorHAnsi"/>
          <w:szCs w:val="22"/>
        </w:rPr>
        <w:t xml:space="preserve">deterrent for employers not paying </w:t>
      </w:r>
      <w:r w:rsidR="007C4FAF">
        <w:t>superannuation guarantee</w:t>
      </w:r>
      <w:r w:rsidR="002946F3">
        <w:rPr>
          <w:rFonts w:cstheme="minorHAnsi"/>
          <w:szCs w:val="22"/>
        </w:rPr>
        <w:t xml:space="preserve"> </w:t>
      </w:r>
      <w:r w:rsidRPr="00164172">
        <w:rPr>
          <w:rFonts w:cstheme="minorHAnsi"/>
          <w:szCs w:val="22"/>
        </w:rPr>
        <w:t xml:space="preserve">as </w:t>
      </w:r>
      <w:r>
        <w:rPr>
          <w:rFonts w:cstheme="minorHAnsi"/>
          <w:szCs w:val="22"/>
        </w:rPr>
        <w:t xml:space="preserve">it is not </w:t>
      </w:r>
      <w:r w:rsidR="001F68D4">
        <w:rPr>
          <w:rFonts w:cstheme="minorHAnsi"/>
          <w:szCs w:val="22"/>
        </w:rPr>
        <w:t xml:space="preserve">tax </w:t>
      </w:r>
      <w:r>
        <w:rPr>
          <w:rFonts w:cstheme="minorHAnsi"/>
          <w:szCs w:val="22"/>
        </w:rPr>
        <w:t>deductible and</w:t>
      </w:r>
      <w:r w:rsidRPr="00164172">
        <w:rPr>
          <w:rFonts w:cstheme="minorHAnsi"/>
          <w:szCs w:val="22"/>
        </w:rPr>
        <w:t xml:space="preserve"> includes additional administration fees</w:t>
      </w:r>
      <w:r>
        <w:rPr>
          <w:rFonts w:cstheme="minorHAnsi"/>
          <w:szCs w:val="22"/>
        </w:rPr>
        <w:t xml:space="preserve">. </w:t>
      </w:r>
    </w:p>
    <w:p w14:paraId="21146E6E" w14:textId="6693B9EE" w:rsidR="00164172" w:rsidRPr="00164172" w:rsidRDefault="00164172" w:rsidP="00164172">
      <w:pPr>
        <w:pStyle w:val="ListParagraph"/>
        <w:numPr>
          <w:ilvl w:val="1"/>
          <w:numId w:val="33"/>
        </w:numPr>
        <w:spacing w:line="360" w:lineRule="auto"/>
        <w:contextualSpacing w:val="0"/>
        <w:jc w:val="both"/>
        <w:rPr>
          <w:rFonts w:cstheme="minorHAnsi"/>
          <w:szCs w:val="22"/>
        </w:rPr>
      </w:pPr>
      <w:r w:rsidRPr="00164172">
        <w:rPr>
          <w:rFonts w:cstheme="minorHAnsi"/>
          <w:szCs w:val="22"/>
        </w:rPr>
        <w:t>If employers do not voluntarily comply with the obligation to lodge a SG</w:t>
      </w:r>
      <w:r w:rsidR="00E471A1">
        <w:rPr>
          <w:rFonts w:cstheme="minorHAnsi"/>
          <w:szCs w:val="22"/>
        </w:rPr>
        <w:t xml:space="preserve"> </w:t>
      </w:r>
      <w:r w:rsidRPr="00164172">
        <w:rPr>
          <w:rFonts w:cstheme="minorHAnsi"/>
          <w:szCs w:val="22"/>
        </w:rPr>
        <w:t>C</w:t>
      </w:r>
      <w:r w:rsidR="00E471A1">
        <w:rPr>
          <w:rFonts w:cstheme="minorHAnsi"/>
          <w:szCs w:val="22"/>
        </w:rPr>
        <w:t>harge</w:t>
      </w:r>
      <w:r w:rsidRPr="00164172">
        <w:rPr>
          <w:rFonts w:cstheme="minorHAnsi"/>
          <w:szCs w:val="22"/>
        </w:rPr>
        <w:t xml:space="preserve"> statement, the ATO can raise a default assessment</w:t>
      </w:r>
      <w:r w:rsidR="002946F3">
        <w:rPr>
          <w:rFonts w:cstheme="minorHAnsi"/>
          <w:szCs w:val="22"/>
        </w:rPr>
        <w:t xml:space="preserve">. This </w:t>
      </w:r>
      <w:r w:rsidRPr="00164172">
        <w:rPr>
          <w:rFonts w:cstheme="minorHAnsi"/>
          <w:szCs w:val="22"/>
        </w:rPr>
        <w:t xml:space="preserve">can trigger significant penalties (up to 200 </w:t>
      </w:r>
      <w:r w:rsidR="000E5A17">
        <w:rPr>
          <w:rFonts w:cstheme="minorHAnsi"/>
          <w:szCs w:val="22"/>
        </w:rPr>
        <w:t>per cent</w:t>
      </w:r>
      <w:r w:rsidRPr="00164172">
        <w:rPr>
          <w:rFonts w:cstheme="minorHAnsi"/>
          <w:szCs w:val="22"/>
        </w:rPr>
        <w:t xml:space="preserve"> of the SG</w:t>
      </w:r>
      <w:r w:rsidR="00E471A1">
        <w:rPr>
          <w:rFonts w:cstheme="minorHAnsi"/>
          <w:szCs w:val="22"/>
        </w:rPr>
        <w:t xml:space="preserve"> </w:t>
      </w:r>
      <w:r w:rsidRPr="00164172">
        <w:rPr>
          <w:rFonts w:cstheme="minorHAnsi"/>
          <w:szCs w:val="22"/>
        </w:rPr>
        <w:t>C</w:t>
      </w:r>
      <w:r w:rsidR="00E471A1">
        <w:rPr>
          <w:rFonts w:cstheme="minorHAnsi"/>
          <w:szCs w:val="22"/>
        </w:rPr>
        <w:t>harge</w:t>
      </w:r>
      <w:r w:rsidRPr="00164172">
        <w:rPr>
          <w:rFonts w:cstheme="minorHAnsi"/>
          <w:szCs w:val="22"/>
        </w:rPr>
        <w:t>).</w:t>
      </w:r>
    </w:p>
    <w:p w14:paraId="27DD3074" w14:textId="4C50DA1E" w:rsidR="006A188B" w:rsidRDefault="006A188B" w:rsidP="006A188B">
      <w:pPr>
        <w:pStyle w:val="Heading2"/>
      </w:pPr>
      <w:bookmarkStart w:id="59" w:name="_Toc472892766"/>
      <w:bookmarkStart w:id="60" w:name="_Toc473540245"/>
      <w:bookmarkStart w:id="61" w:name="_Toc473554628"/>
      <w:bookmarkStart w:id="62" w:name="_Toc473625446"/>
      <w:bookmarkStart w:id="63" w:name="_Toc473629877"/>
      <w:bookmarkStart w:id="64" w:name="_Toc473631169"/>
      <w:bookmarkStart w:id="65" w:name="_Toc473631463"/>
      <w:bookmarkStart w:id="66" w:name="_Toc473636587"/>
      <w:bookmarkStart w:id="67" w:name="_Toc473635305"/>
      <w:bookmarkEnd w:id="59"/>
      <w:r>
        <w:t>Observations about non</w:t>
      </w:r>
      <w:r w:rsidR="00CA242B">
        <w:noBreakHyphen/>
      </w:r>
      <w:r>
        <w:t>compliance</w:t>
      </w:r>
      <w:bookmarkEnd w:id="60"/>
      <w:bookmarkEnd w:id="61"/>
      <w:bookmarkEnd w:id="62"/>
      <w:bookmarkEnd w:id="63"/>
      <w:bookmarkEnd w:id="64"/>
      <w:bookmarkEnd w:id="65"/>
      <w:bookmarkEnd w:id="66"/>
      <w:bookmarkEnd w:id="67"/>
    </w:p>
    <w:p w14:paraId="6B989859" w14:textId="77777777" w:rsidR="006A188B" w:rsidRDefault="006A188B" w:rsidP="006A188B">
      <w:pPr>
        <w:pStyle w:val="Heading3"/>
        <w:ind w:left="720" w:hanging="720"/>
      </w:pPr>
      <w:r>
        <w:t>Employer</w:t>
      </w:r>
      <w:r w:rsidR="002959C6">
        <w:t xml:space="preserve"> characteristics and behaviours </w:t>
      </w:r>
    </w:p>
    <w:p w14:paraId="29A1E129" w14:textId="6E10000A" w:rsidR="001F68D4" w:rsidRDefault="001F68D4" w:rsidP="005E3A1C">
      <w:pPr>
        <w:pStyle w:val="ListParagraph"/>
        <w:numPr>
          <w:ilvl w:val="1"/>
          <w:numId w:val="33"/>
        </w:numPr>
        <w:spacing w:line="360" w:lineRule="auto"/>
        <w:contextualSpacing w:val="0"/>
        <w:jc w:val="both"/>
        <w:rPr>
          <w:rFonts w:cstheme="minorHAnsi"/>
          <w:szCs w:val="22"/>
        </w:rPr>
      </w:pPr>
      <w:r>
        <w:rPr>
          <w:rFonts w:cstheme="minorHAnsi"/>
          <w:szCs w:val="22"/>
        </w:rPr>
        <w:t xml:space="preserve">The ATO collects data from </w:t>
      </w:r>
      <w:r w:rsidR="00BD6E52">
        <w:rPr>
          <w:rFonts w:cstheme="minorHAnsi"/>
          <w:szCs w:val="22"/>
        </w:rPr>
        <w:t xml:space="preserve">its case work – responding to </w:t>
      </w:r>
      <w:r>
        <w:rPr>
          <w:rFonts w:cstheme="minorHAnsi"/>
          <w:szCs w:val="22"/>
        </w:rPr>
        <w:t xml:space="preserve">unpaid superannuation and from </w:t>
      </w:r>
      <w:r w:rsidR="00BD6E52">
        <w:rPr>
          <w:rFonts w:cstheme="minorHAnsi"/>
          <w:szCs w:val="22"/>
        </w:rPr>
        <w:t>ATO-initiated cases</w:t>
      </w:r>
      <w:r>
        <w:rPr>
          <w:rFonts w:cstheme="minorHAnsi"/>
          <w:szCs w:val="22"/>
        </w:rPr>
        <w:t>.</w:t>
      </w:r>
    </w:p>
    <w:p w14:paraId="58196FBD" w14:textId="76DE714C" w:rsidR="007D467F" w:rsidRPr="005E3A1C" w:rsidRDefault="006A188B" w:rsidP="005E3A1C">
      <w:pPr>
        <w:pStyle w:val="ListParagraph"/>
        <w:numPr>
          <w:ilvl w:val="1"/>
          <w:numId w:val="33"/>
        </w:numPr>
        <w:spacing w:line="360" w:lineRule="auto"/>
        <w:contextualSpacing w:val="0"/>
        <w:jc w:val="both"/>
        <w:rPr>
          <w:rFonts w:cstheme="minorHAnsi"/>
          <w:szCs w:val="22"/>
        </w:rPr>
      </w:pPr>
      <w:r w:rsidRPr="005E3A1C">
        <w:rPr>
          <w:rFonts w:cstheme="minorHAnsi"/>
          <w:szCs w:val="22"/>
        </w:rPr>
        <w:t xml:space="preserve">ATO compliance data indicates there are a range of reasons that employers do not meet their </w:t>
      </w:r>
      <w:r w:rsidR="0041411C">
        <w:rPr>
          <w:rFonts w:cstheme="minorHAnsi"/>
          <w:szCs w:val="22"/>
        </w:rPr>
        <w:t xml:space="preserve">superannuation guarantee </w:t>
      </w:r>
      <w:r w:rsidRPr="005E3A1C">
        <w:rPr>
          <w:rFonts w:cstheme="minorHAnsi"/>
          <w:szCs w:val="22"/>
        </w:rPr>
        <w:t xml:space="preserve">obligations. </w:t>
      </w:r>
      <w:r w:rsidR="005F6C9D" w:rsidRPr="005E3A1C">
        <w:rPr>
          <w:rFonts w:cstheme="minorHAnsi"/>
          <w:szCs w:val="22"/>
        </w:rPr>
        <w:t>Cash flow and poor record keeping account for the majority of non</w:t>
      </w:r>
      <w:r w:rsidR="00CA242B">
        <w:rPr>
          <w:rFonts w:cstheme="minorHAnsi"/>
          <w:szCs w:val="22"/>
        </w:rPr>
        <w:noBreakHyphen/>
      </w:r>
      <w:r w:rsidR="005F6C9D" w:rsidRPr="005E3A1C">
        <w:rPr>
          <w:rFonts w:cstheme="minorHAnsi"/>
          <w:szCs w:val="22"/>
        </w:rPr>
        <w:t>compliance</w:t>
      </w:r>
      <w:r w:rsidR="001F68D4">
        <w:rPr>
          <w:rFonts w:cstheme="minorHAnsi"/>
          <w:szCs w:val="22"/>
        </w:rPr>
        <w:t xml:space="preserve">, with </w:t>
      </w:r>
      <w:r w:rsidR="00B8248F" w:rsidRPr="005E3A1C">
        <w:rPr>
          <w:rFonts w:cstheme="minorHAnsi"/>
          <w:szCs w:val="22"/>
        </w:rPr>
        <w:t xml:space="preserve">70 per cent of </w:t>
      </w:r>
      <w:r w:rsidR="00CA58E7">
        <w:rPr>
          <w:rFonts w:cstheme="minorHAnsi"/>
          <w:szCs w:val="22"/>
        </w:rPr>
        <w:t>ATO compliance</w:t>
      </w:r>
      <w:r w:rsidR="000264EC">
        <w:rPr>
          <w:rFonts w:cstheme="minorHAnsi"/>
          <w:szCs w:val="22"/>
        </w:rPr>
        <w:t xml:space="preserve"> cases</w:t>
      </w:r>
      <w:r w:rsidR="001F68D4">
        <w:rPr>
          <w:rFonts w:cstheme="minorHAnsi"/>
          <w:szCs w:val="22"/>
        </w:rPr>
        <w:t xml:space="preserve"> related to cash flow issues and </w:t>
      </w:r>
      <w:r w:rsidR="001F68D4" w:rsidRPr="005E3A1C">
        <w:rPr>
          <w:rFonts w:cstheme="minorHAnsi"/>
          <w:szCs w:val="22"/>
        </w:rPr>
        <w:t>20 per cent</w:t>
      </w:r>
      <w:r w:rsidR="00CA58E7">
        <w:rPr>
          <w:rFonts w:cstheme="minorHAnsi"/>
          <w:szCs w:val="22"/>
        </w:rPr>
        <w:t xml:space="preserve"> </w:t>
      </w:r>
      <w:r w:rsidR="001F68D4">
        <w:rPr>
          <w:rFonts w:cstheme="minorHAnsi"/>
          <w:szCs w:val="22"/>
        </w:rPr>
        <w:t>to poor record keeping</w:t>
      </w:r>
      <w:r w:rsidR="005F6C9D" w:rsidRPr="005E3A1C">
        <w:rPr>
          <w:rFonts w:cstheme="minorHAnsi"/>
          <w:szCs w:val="22"/>
        </w:rPr>
        <w:t xml:space="preserve">. </w:t>
      </w:r>
    </w:p>
    <w:p w14:paraId="62E08498" w14:textId="2C547BC5" w:rsidR="006A188B" w:rsidRPr="005E3A1C" w:rsidRDefault="002946F3" w:rsidP="005E3A1C">
      <w:pPr>
        <w:pStyle w:val="ListParagraph"/>
        <w:numPr>
          <w:ilvl w:val="1"/>
          <w:numId w:val="33"/>
        </w:numPr>
        <w:spacing w:line="360" w:lineRule="auto"/>
        <w:contextualSpacing w:val="0"/>
        <w:jc w:val="both"/>
        <w:rPr>
          <w:rFonts w:cstheme="minorHAnsi"/>
          <w:szCs w:val="22"/>
        </w:rPr>
      </w:pPr>
      <w:r>
        <w:rPr>
          <w:rFonts w:cstheme="minorHAnsi"/>
          <w:szCs w:val="22"/>
        </w:rPr>
        <w:t>I</w:t>
      </w:r>
      <w:r w:rsidR="00745AB2">
        <w:rPr>
          <w:rFonts w:cstheme="minorHAnsi"/>
          <w:szCs w:val="22"/>
        </w:rPr>
        <w:t xml:space="preserve">n </w:t>
      </w:r>
      <w:r w:rsidR="00CA58E7">
        <w:rPr>
          <w:rFonts w:cstheme="minorHAnsi"/>
          <w:szCs w:val="22"/>
        </w:rPr>
        <w:t>cases where cash flow was cited as the reason</w:t>
      </w:r>
      <w:r w:rsidR="001F68D4">
        <w:rPr>
          <w:rFonts w:cstheme="minorHAnsi"/>
          <w:szCs w:val="22"/>
        </w:rPr>
        <w:t xml:space="preserve"> for non-compliance</w:t>
      </w:r>
      <w:r w:rsidR="00CA58E7">
        <w:rPr>
          <w:rFonts w:cstheme="minorHAnsi"/>
          <w:szCs w:val="22"/>
        </w:rPr>
        <w:t xml:space="preserve">, </w:t>
      </w:r>
      <w:r>
        <w:rPr>
          <w:rFonts w:cstheme="minorHAnsi"/>
          <w:szCs w:val="22"/>
        </w:rPr>
        <w:t>t</w:t>
      </w:r>
      <w:r w:rsidR="006A188B" w:rsidRPr="005E3A1C">
        <w:rPr>
          <w:rFonts w:cstheme="minorHAnsi"/>
          <w:szCs w:val="22"/>
        </w:rPr>
        <w:t>his</w:t>
      </w:r>
      <w:r w:rsidR="00953767">
        <w:rPr>
          <w:rFonts w:cstheme="minorHAnsi"/>
          <w:szCs w:val="22"/>
        </w:rPr>
        <w:t xml:space="preserve"> generally</w:t>
      </w:r>
      <w:r w:rsidR="006A188B" w:rsidRPr="005E3A1C">
        <w:rPr>
          <w:rFonts w:cstheme="minorHAnsi"/>
          <w:szCs w:val="22"/>
        </w:rPr>
        <w:t xml:space="preserve"> leads to employers not paying at all (rather than under</w:t>
      </w:r>
      <w:r w:rsidR="00953767">
        <w:rPr>
          <w:rFonts w:cstheme="minorHAnsi"/>
          <w:szCs w:val="22"/>
        </w:rPr>
        <w:t>-</w:t>
      </w:r>
      <w:r w:rsidR="00520DE2" w:rsidRPr="005E3A1C">
        <w:rPr>
          <w:rFonts w:cstheme="minorHAnsi"/>
          <w:szCs w:val="22"/>
        </w:rPr>
        <w:t>paying</w:t>
      </w:r>
      <w:r w:rsidR="006A188B" w:rsidRPr="005E3A1C">
        <w:rPr>
          <w:rFonts w:cstheme="minorHAnsi"/>
          <w:szCs w:val="22"/>
        </w:rPr>
        <w:t xml:space="preserve">).  </w:t>
      </w:r>
    </w:p>
    <w:p w14:paraId="5A4B9A60" w14:textId="6C388B0D" w:rsidR="006A188B" w:rsidRPr="005E3A1C" w:rsidRDefault="006A188B" w:rsidP="005E3A1C">
      <w:pPr>
        <w:pStyle w:val="ListParagraph"/>
        <w:numPr>
          <w:ilvl w:val="1"/>
          <w:numId w:val="33"/>
        </w:numPr>
        <w:spacing w:line="360" w:lineRule="auto"/>
        <w:contextualSpacing w:val="0"/>
        <w:jc w:val="both"/>
        <w:rPr>
          <w:rFonts w:cstheme="minorHAnsi"/>
          <w:szCs w:val="22"/>
        </w:rPr>
      </w:pPr>
      <w:r w:rsidRPr="005E3A1C">
        <w:rPr>
          <w:rFonts w:cstheme="minorHAnsi"/>
          <w:szCs w:val="22"/>
        </w:rPr>
        <w:t xml:space="preserve">Although ATO </w:t>
      </w:r>
      <w:r w:rsidR="00953767">
        <w:rPr>
          <w:rFonts w:cstheme="minorHAnsi"/>
          <w:szCs w:val="22"/>
        </w:rPr>
        <w:t>data</w:t>
      </w:r>
      <w:r w:rsidRPr="005E3A1C">
        <w:rPr>
          <w:rFonts w:cstheme="minorHAnsi"/>
          <w:szCs w:val="22"/>
        </w:rPr>
        <w:t xml:space="preserve"> suggest</w:t>
      </w:r>
      <w:r w:rsidR="00953767">
        <w:rPr>
          <w:rFonts w:cstheme="minorHAnsi"/>
          <w:szCs w:val="22"/>
        </w:rPr>
        <w:t>s</w:t>
      </w:r>
      <w:r w:rsidRPr="005E3A1C">
        <w:rPr>
          <w:rFonts w:cstheme="minorHAnsi"/>
          <w:szCs w:val="22"/>
        </w:rPr>
        <w:t xml:space="preserve"> that employers have a very high level of awareness of </w:t>
      </w:r>
      <w:r w:rsidR="00953767">
        <w:rPr>
          <w:rFonts w:cstheme="minorHAnsi"/>
          <w:szCs w:val="22"/>
        </w:rPr>
        <w:t>their obligation</w:t>
      </w:r>
      <w:r w:rsidRPr="005E3A1C">
        <w:rPr>
          <w:rFonts w:cstheme="minorHAnsi"/>
          <w:szCs w:val="22"/>
        </w:rPr>
        <w:t xml:space="preserve"> to pay</w:t>
      </w:r>
      <w:r w:rsidR="00BA1C4F">
        <w:rPr>
          <w:rFonts w:cstheme="minorHAnsi"/>
          <w:szCs w:val="22"/>
        </w:rPr>
        <w:t xml:space="preserve"> superannuation guarantee</w:t>
      </w:r>
      <w:r w:rsidRPr="005E3A1C">
        <w:rPr>
          <w:rFonts w:cstheme="minorHAnsi"/>
          <w:szCs w:val="22"/>
        </w:rPr>
        <w:t xml:space="preserve">, </w:t>
      </w:r>
      <w:r w:rsidR="00953767">
        <w:rPr>
          <w:rFonts w:cstheme="minorHAnsi"/>
          <w:szCs w:val="22"/>
        </w:rPr>
        <w:t xml:space="preserve">some </w:t>
      </w:r>
      <w:r w:rsidRPr="005E3A1C">
        <w:rPr>
          <w:rFonts w:cstheme="minorHAnsi"/>
          <w:szCs w:val="22"/>
        </w:rPr>
        <w:t xml:space="preserve">employers do cite a lack of understanding or misunderstanding of their obligations as reason for non-payment.  </w:t>
      </w:r>
    </w:p>
    <w:p w14:paraId="216E48F1" w14:textId="503B6D34" w:rsidR="006A188B" w:rsidRPr="005E3A1C" w:rsidRDefault="00BA1C4F" w:rsidP="00DD0007">
      <w:pPr>
        <w:pStyle w:val="ListParagraph"/>
        <w:keepNext/>
        <w:numPr>
          <w:ilvl w:val="1"/>
          <w:numId w:val="33"/>
        </w:numPr>
        <w:spacing w:line="360" w:lineRule="auto"/>
        <w:contextualSpacing w:val="0"/>
        <w:jc w:val="both"/>
        <w:rPr>
          <w:rFonts w:cstheme="minorHAnsi"/>
          <w:szCs w:val="22"/>
        </w:rPr>
      </w:pPr>
      <w:r>
        <w:rPr>
          <w:rFonts w:cstheme="minorHAnsi"/>
          <w:szCs w:val="22"/>
        </w:rPr>
        <w:t xml:space="preserve">Superannuation guarantee </w:t>
      </w:r>
      <w:r w:rsidR="006A188B" w:rsidRPr="005E3A1C">
        <w:rPr>
          <w:rFonts w:cstheme="minorHAnsi"/>
          <w:szCs w:val="22"/>
        </w:rPr>
        <w:t xml:space="preserve">non-compliance is generally more prevalent amongst employers </w:t>
      </w:r>
      <w:r w:rsidR="00745AB2">
        <w:rPr>
          <w:rFonts w:cstheme="minorHAnsi"/>
          <w:szCs w:val="22"/>
        </w:rPr>
        <w:t>who</w:t>
      </w:r>
      <w:r w:rsidR="006A188B" w:rsidRPr="005E3A1C">
        <w:rPr>
          <w:rFonts w:cstheme="minorHAnsi"/>
          <w:szCs w:val="22"/>
        </w:rPr>
        <w:t>:</w:t>
      </w:r>
    </w:p>
    <w:p w14:paraId="1EF106E4" w14:textId="563DABF0" w:rsidR="006A188B" w:rsidRDefault="001B17F7" w:rsidP="006A188B">
      <w:pPr>
        <w:pStyle w:val="ListParagraph"/>
        <w:numPr>
          <w:ilvl w:val="0"/>
          <w:numId w:val="36"/>
        </w:numPr>
        <w:spacing w:line="360" w:lineRule="auto"/>
        <w:ind w:left="851" w:hanging="284"/>
        <w:contextualSpacing w:val="0"/>
        <w:jc w:val="both"/>
      </w:pPr>
      <w:r>
        <w:t>r</w:t>
      </w:r>
      <w:r w:rsidR="006A188B">
        <w:t xml:space="preserve">un </w:t>
      </w:r>
      <w:r w:rsidR="00953767">
        <w:t xml:space="preserve">small </w:t>
      </w:r>
      <w:r w:rsidR="006A188B" w:rsidRPr="00953767">
        <w:t>businesses</w:t>
      </w:r>
      <w:r w:rsidR="00745AB2" w:rsidRPr="00953767">
        <w:t xml:space="preserve"> (</w:t>
      </w:r>
      <w:r w:rsidR="00953767" w:rsidRPr="00512677">
        <w:t xml:space="preserve">four </w:t>
      </w:r>
      <w:r w:rsidR="00745AB2" w:rsidRPr="00512677">
        <w:t>employees or less</w:t>
      </w:r>
      <w:r w:rsidR="00745AB2" w:rsidRPr="00953767">
        <w:t xml:space="preserve">), with </w:t>
      </w:r>
      <w:r w:rsidR="00953767" w:rsidRPr="00512677">
        <w:t>97 </w:t>
      </w:r>
      <w:r w:rsidR="00745AB2" w:rsidRPr="00512677">
        <w:t>per</w:t>
      </w:r>
      <w:r w:rsidR="00953767" w:rsidRPr="00512677">
        <w:t> </w:t>
      </w:r>
      <w:r w:rsidR="00745AB2" w:rsidRPr="00512677">
        <w:t>cent</w:t>
      </w:r>
      <w:r w:rsidR="00745AB2" w:rsidRPr="00953767">
        <w:t xml:space="preserve"> of</w:t>
      </w:r>
      <w:r w:rsidR="00745AB2">
        <w:t xml:space="preserve"> </w:t>
      </w:r>
      <w:r w:rsidR="00953767">
        <w:t xml:space="preserve">reports of unpaid </w:t>
      </w:r>
      <w:r w:rsidR="00BA1C4F">
        <w:rPr>
          <w:rFonts w:cstheme="minorHAnsi"/>
          <w:szCs w:val="22"/>
        </w:rPr>
        <w:t>superannuation guarantee</w:t>
      </w:r>
      <w:r w:rsidR="00BA1C4F" w:rsidDel="00BA1C4F">
        <w:t xml:space="preserve"> </w:t>
      </w:r>
      <w:r w:rsidR="00953767">
        <w:t xml:space="preserve">made to the ATO being </w:t>
      </w:r>
      <w:r w:rsidR="00B32480">
        <w:t xml:space="preserve">in respect of </w:t>
      </w:r>
      <w:r w:rsidR="00953767">
        <w:t>small business employers</w:t>
      </w:r>
    </w:p>
    <w:p w14:paraId="1FA21B4B" w14:textId="6FA15B72" w:rsidR="006A188B" w:rsidRDefault="001B17F7" w:rsidP="00745AB2">
      <w:pPr>
        <w:pStyle w:val="ListParagraph"/>
        <w:numPr>
          <w:ilvl w:val="0"/>
          <w:numId w:val="36"/>
        </w:numPr>
        <w:spacing w:line="360" w:lineRule="auto"/>
        <w:ind w:left="851" w:hanging="284"/>
        <w:contextualSpacing w:val="0"/>
        <w:jc w:val="both"/>
      </w:pPr>
      <w:r>
        <w:t>a</w:t>
      </w:r>
      <w:r w:rsidR="00953767">
        <w:t>re d</w:t>
      </w:r>
      <w:r w:rsidR="006A188B">
        <w:t>irectors of their own compan</w:t>
      </w:r>
      <w:r w:rsidR="00027E87">
        <w:t>ies</w:t>
      </w:r>
      <w:r w:rsidR="006A188B">
        <w:t xml:space="preserve">, who may prefer to retain </w:t>
      </w:r>
      <w:r w:rsidR="00953767">
        <w:t xml:space="preserve">cash </w:t>
      </w:r>
      <w:r w:rsidR="006A188B">
        <w:t xml:space="preserve">in their business </w:t>
      </w:r>
      <w:r w:rsidR="00825328">
        <w:t xml:space="preserve">rather </w:t>
      </w:r>
      <w:r w:rsidR="006A188B">
        <w:t xml:space="preserve">than pay themselves </w:t>
      </w:r>
      <w:r w:rsidR="00BA1C4F">
        <w:rPr>
          <w:rFonts w:cstheme="minorHAnsi"/>
          <w:szCs w:val="22"/>
        </w:rPr>
        <w:t>superannuation guarantee</w:t>
      </w:r>
      <w:r w:rsidR="00BA1C4F" w:rsidDel="00BA1C4F">
        <w:t xml:space="preserve"> </w:t>
      </w:r>
      <w:r w:rsidR="00953767">
        <w:t xml:space="preserve">or may </w:t>
      </w:r>
      <w:r w:rsidR="00745AB2">
        <w:t>be</w:t>
      </w:r>
      <w:r w:rsidR="002D1E30">
        <w:t xml:space="preserve"> unaware that they </w:t>
      </w:r>
      <w:r w:rsidR="008D5255">
        <w:t>are required</w:t>
      </w:r>
      <w:r w:rsidR="002D1E30">
        <w:t xml:space="preserve"> to</w:t>
      </w:r>
      <w:r w:rsidR="008D5255">
        <w:t xml:space="preserve"> pay</w:t>
      </w:r>
    </w:p>
    <w:p w14:paraId="28FDC425" w14:textId="0388B4CF" w:rsidR="0014178E" w:rsidRDefault="001B17F7" w:rsidP="0014178E">
      <w:pPr>
        <w:pStyle w:val="ListParagraph"/>
        <w:numPr>
          <w:ilvl w:val="0"/>
          <w:numId w:val="36"/>
        </w:numPr>
        <w:spacing w:line="360" w:lineRule="auto"/>
        <w:ind w:left="851" w:hanging="284"/>
        <w:contextualSpacing w:val="0"/>
        <w:jc w:val="both"/>
      </w:pPr>
      <w:r>
        <w:t>a</w:t>
      </w:r>
      <w:r w:rsidR="00BB0257">
        <w:t>re i</w:t>
      </w:r>
      <w:r w:rsidR="0014178E">
        <w:t xml:space="preserve">n the </w:t>
      </w:r>
      <w:r w:rsidR="00F540E5">
        <w:t xml:space="preserve">accommodation </w:t>
      </w:r>
      <w:r w:rsidR="0014178E">
        <w:t xml:space="preserve">and </w:t>
      </w:r>
      <w:r w:rsidR="00F540E5">
        <w:t xml:space="preserve">food </w:t>
      </w:r>
      <w:r w:rsidR="00E85B28">
        <w:t>s</w:t>
      </w:r>
      <w:r w:rsidR="0014178E">
        <w:t xml:space="preserve">ervices, </w:t>
      </w:r>
      <w:r w:rsidR="00F540E5">
        <w:t>construction</w:t>
      </w:r>
      <w:r w:rsidR="0014178E">
        <w:t xml:space="preserve">, </w:t>
      </w:r>
      <w:r w:rsidR="00F540E5">
        <w:t xml:space="preserve">manufacturing </w:t>
      </w:r>
      <w:r w:rsidR="0014178E">
        <w:t xml:space="preserve">and </w:t>
      </w:r>
      <w:r w:rsidR="00F540E5">
        <w:t xml:space="preserve">retail trade </w:t>
      </w:r>
      <w:r w:rsidR="00E85B28">
        <w:t>industries</w:t>
      </w:r>
      <w:r w:rsidR="0014178E">
        <w:t xml:space="preserve"> </w:t>
      </w:r>
    </w:p>
    <w:p w14:paraId="2A5A8640" w14:textId="37A7E8EE" w:rsidR="006A188B" w:rsidRDefault="001B17F7" w:rsidP="006A188B">
      <w:pPr>
        <w:pStyle w:val="ListParagraph"/>
        <w:numPr>
          <w:ilvl w:val="0"/>
          <w:numId w:val="36"/>
        </w:numPr>
        <w:spacing w:line="360" w:lineRule="auto"/>
        <w:ind w:left="851" w:hanging="284"/>
        <w:contextualSpacing w:val="0"/>
        <w:jc w:val="both"/>
      </w:pPr>
      <w:r>
        <w:t>o</w:t>
      </w:r>
      <w:r w:rsidR="006A188B">
        <w:t>perate businesses where a large number of cash transactions and contracting arrangements occur</w:t>
      </w:r>
    </w:p>
    <w:p w14:paraId="6DDD11AD" w14:textId="7927C528" w:rsidR="00B13B15" w:rsidRDefault="001B17F7" w:rsidP="00DD0007">
      <w:pPr>
        <w:pStyle w:val="ListParagraph"/>
        <w:numPr>
          <w:ilvl w:val="0"/>
          <w:numId w:val="36"/>
        </w:numPr>
        <w:spacing w:line="360" w:lineRule="auto"/>
        <w:ind w:left="851" w:hanging="284"/>
        <w:contextualSpacing w:val="0"/>
        <w:jc w:val="both"/>
      </w:pPr>
      <w:r>
        <w:t>d</w:t>
      </w:r>
      <w:r w:rsidR="00B13B15">
        <w:t xml:space="preserve">o not prioritise </w:t>
      </w:r>
      <w:r w:rsidR="00BA1C4F">
        <w:rPr>
          <w:rFonts w:cstheme="minorHAnsi"/>
          <w:szCs w:val="22"/>
        </w:rPr>
        <w:t>superannuation guarantee</w:t>
      </w:r>
      <w:r w:rsidR="00BA1C4F" w:rsidDel="00BA1C4F">
        <w:t xml:space="preserve"> </w:t>
      </w:r>
      <w:r w:rsidR="00B13B15">
        <w:t xml:space="preserve">payment, but tend to pay or catch up once contacted by </w:t>
      </w:r>
      <w:r w:rsidR="00F540E5">
        <w:t xml:space="preserve">an </w:t>
      </w:r>
      <w:r w:rsidR="00B13B15">
        <w:t>employee or the ATO</w:t>
      </w:r>
    </w:p>
    <w:p w14:paraId="54FBFE2D" w14:textId="05C38DCA" w:rsidR="006A188B" w:rsidRDefault="001B17F7" w:rsidP="007F7D58">
      <w:pPr>
        <w:pStyle w:val="ListParagraph"/>
        <w:numPr>
          <w:ilvl w:val="0"/>
          <w:numId w:val="36"/>
        </w:numPr>
        <w:spacing w:line="360" w:lineRule="auto"/>
        <w:ind w:left="851" w:hanging="284"/>
        <w:contextualSpacing w:val="0"/>
        <w:jc w:val="both"/>
      </w:pPr>
      <w:r>
        <w:t>e</w:t>
      </w:r>
      <w:r w:rsidR="006A188B">
        <w:t>ngage in phoenix behaviour or intentionally disregard their obligations.</w:t>
      </w:r>
      <w:r w:rsidR="007D467F" w:rsidRPr="007D467F">
        <w:t xml:space="preserve"> </w:t>
      </w:r>
    </w:p>
    <w:p w14:paraId="6252E694" w14:textId="3F71F3AF" w:rsidR="0013367C" w:rsidRPr="005E3A1C" w:rsidRDefault="0013367C" w:rsidP="005E3A1C">
      <w:pPr>
        <w:pStyle w:val="ListParagraph"/>
        <w:numPr>
          <w:ilvl w:val="1"/>
          <w:numId w:val="33"/>
        </w:numPr>
        <w:spacing w:line="360" w:lineRule="auto"/>
        <w:contextualSpacing w:val="0"/>
        <w:jc w:val="both"/>
        <w:rPr>
          <w:rFonts w:cstheme="minorHAnsi"/>
          <w:szCs w:val="22"/>
        </w:rPr>
      </w:pPr>
      <w:r w:rsidRPr="005E3A1C">
        <w:rPr>
          <w:rFonts w:cstheme="minorHAnsi"/>
          <w:szCs w:val="22"/>
        </w:rPr>
        <w:t xml:space="preserve">Employer behaviour can also be influenced by their </w:t>
      </w:r>
      <w:r w:rsidR="00D53860" w:rsidRPr="005E3A1C">
        <w:rPr>
          <w:rFonts w:cstheme="minorHAnsi"/>
          <w:szCs w:val="22"/>
        </w:rPr>
        <w:t>employee’s</w:t>
      </w:r>
      <w:r w:rsidRPr="005E3A1C">
        <w:rPr>
          <w:rFonts w:cstheme="minorHAnsi"/>
          <w:szCs w:val="22"/>
        </w:rPr>
        <w:t xml:space="preserve"> </w:t>
      </w:r>
      <w:r w:rsidR="00F81BBF">
        <w:rPr>
          <w:rFonts w:cstheme="minorHAnsi"/>
          <w:szCs w:val="22"/>
        </w:rPr>
        <w:t xml:space="preserve">attitude to </w:t>
      </w:r>
      <w:r w:rsidR="00D53860">
        <w:rPr>
          <w:rFonts w:cstheme="minorHAnsi"/>
          <w:szCs w:val="22"/>
        </w:rPr>
        <w:t xml:space="preserve">superannuation.  </w:t>
      </w:r>
      <w:r w:rsidRPr="005E3A1C">
        <w:rPr>
          <w:rFonts w:cstheme="minorHAnsi"/>
          <w:szCs w:val="22"/>
        </w:rPr>
        <w:t xml:space="preserve">  </w:t>
      </w:r>
    </w:p>
    <w:p w14:paraId="21649AA1" w14:textId="77777777" w:rsidR="006A188B" w:rsidRDefault="006A188B" w:rsidP="006A188B">
      <w:pPr>
        <w:pStyle w:val="Heading3"/>
        <w:ind w:left="720" w:hanging="720"/>
      </w:pPr>
      <w:bookmarkStart w:id="68" w:name="_Toc472892781"/>
      <w:r>
        <w:t>Employee</w:t>
      </w:r>
      <w:bookmarkEnd w:id="68"/>
      <w:r w:rsidR="002959C6">
        <w:t xml:space="preserve"> characteristics and behaviours </w:t>
      </w:r>
    </w:p>
    <w:p w14:paraId="2B8CC451" w14:textId="1A9D84D8" w:rsidR="006A188B" w:rsidRPr="005E3A1C" w:rsidRDefault="006A188B" w:rsidP="005E3A1C">
      <w:pPr>
        <w:pStyle w:val="ListParagraph"/>
        <w:numPr>
          <w:ilvl w:val="1"/>
          <w:numId w:val="33"/>
        </w:numPr>
        <w:spacing w:line="360" w:lineRule="auto"/>
        <w:contextualSpacing w:val="0"/>
        <w:jc w:val="both"/>
        <w:rPr>
          <w:rFonts w:cstheme="minorHAnsi"/>
          <w:szCs w:val="22"/>
        </w:rPr>
      </w:pPr>
      <w:r w:rsidRPr="005E3A1C">
        <w:rPr>
          <w:rFonts w:cstheme="minorHAnsi"/>
          <w:szCs w:val="22"/>
        </w:rPr>
        <w:t xml:space="preserve">The ATO’s dealings with employees </w:t>
      </w:r>
      <w:r w:rsidR="00953767">
        <w:rPr>
          <w:rFonts w:cstheme="minorHAnsi"/>
          <w:szCs w:val="22"/>
        </w:rPr>
        <w:t>(</w:t>
      </w:r>
      <w:r w:rsidRPr="005E3A1C">
        <w:rPr>
          <w:rFonts w:cstheme="minorHAnsi"/>
          <w:szCs w:val="22"/>
        </w:rPr>
        <w:t>and ex</w:t>
      </w:r>
      <w:r w:rsidR="00CA242B">
        <w:rPr>
          <w:rFonts w:cstheme="minorHAnsi"/>
          <w:szCs w:val="22"/>
        </w:rPr>
        <w:noBreakHyphen/>
      </w:r>
      <w:r w:rsidRPr="005E3A1C">
        <w:rPr>
          <w:rFonts w:cstheme="minorHAnsi"/>
          <w:szCs w:val="22"/>
        </w:rPr>
        <w:t>employees</w:t>
      </w:r>
      <w:r w:rsidR="00953767">
        <w:rPr>
          <w:rFonts w:cstheme="minorHAnsi"/>
          <w:szCs w:val="22"/>
        </w:rPr>
        <w:t>)</w:t>
      </w:r>
      <w:r w:rsidRPr="005E3A1C">
        <w:rPr>
          <w:rFonts w:cstheme="minorHAnsi"/>
          <w:szCs w:val="22"/>
        </w:rPr>
        <w:t xml:space="preserve"> </w:t>
      </w:r>
      <w:r w:rsidR="001F68D4">
        <w:rPr>
          <w:rFonts w:cstheme="minorHAnsi"/>
          <w:szCs w:val="22"/>
        </w:rPr>
        <w:t xml:space="preserve">who raise concerns about non-compliance </w:t>
      </w:r>
      <w:r w:rsidRPr="005E3A1C">
        <w:rPr>
          <w:rFonts w:cstheme="minorHAnsi"/>
          <w:szCs w:val="22"/>
        </w:rPr>
        <w:t>shows that some:</w:t>
      </w:r>
    </w:p>
    <w:p w14:paraId="5254293F" w14:textId="739E5232" w:rsidR="006A188B" w:rsidRDefault="001B17F7" w:rsidP="00DD0007">
      <w:pPr>
        <w:pStyle w:val="ListParagraph"/>
        <w:numPr>
          <w:ilvl w:val="0"/>
          <w:numId w:val="36"/>
        </w:numPr>
        <w:spacing w:line="360" w:lineRule="auto"/>
        <w:ind w:left="851" w:hanging="284"/>
        <w:contextualSpacing w:val="0"/>
        <w:jc w:val="both"/>
      </w:pPr>
      <w:r>
        <w:t>a</w:t>
      </w:r>
      <w:r w:rsidR="00953767">
        <w:t xml:space="preserve">re </w:t>
      </w:r>
      <w:r w:rsidR="006A188B">
        <w:t>uncertain as to their status as a worker (</w:t>
      </w:r>
      <w:r w:rsidR="00E73D0B">
        <w:t>that is, whether they are a</w:t>
      </w:r>
      <w:r w:rsidR="006A188B">
        <w:t xml:space="preserve"> contractor </w:t>
      </w:r>
      <w:r w:rsidR="00E73D0B">
        <w:t xml:space="preserve">or an </w:t>
      </w:r>
      <w:r w:rsidR="006A188B">
        <w:t>employee)</w:t>
      </w:r>
    </w:p>
    <w:p w14:paraId="01BF3D38" w14:textId="53F1FA63" w:rsidR="006A188B" w:rsidRDefault="001B17F7" w:rsidP="007F7D58">
      <w:pPr>
        <w:pStyle w:val="ListParagraph"/>
        <w:numPr>
          <w:ilvl w:val="0"/>
          <w:numId w:val="36"/>
        </w:numPr>
        <w:spacing w:line="360" w:lineRule="auto"/>
        <w:ind w:left="851" w:hanging="284"/>
        <w:contextualSpacing w:val="0"/>
        <w:jc w:val="both"/>
      </w:pPr>
      <w:r>
        <w:t>a</w:t>
      </w:r>
      <w:r w:rsidR="00953767">
        <w:t xml:space="preserve">ppear </w:t>
      </w:r>
      <w:r w:rsidR="006A188B">
        <w:t xml:space="preserve">to have accepted cash in lieu of </w:t>
      </w:r>
      <w:r w:rsidR="00BA1C4F">
        <w:rPr>
          <w:rFonts w:cstheme="minorHAnsi"/>
          <w:szCs w:val="22"/>
        </w:rPr>
        <w:t>superannuation guarantee</w:t>
      </w:r>
      <w:r w:rsidR="00BA1C4F">
        <w:t xml:space="preserve"> </w:t>
      </w:r>
      <w:r w:rsidR="001F68D4">
        <w:t>contributions</w:t>
      </w:r>
    </w:p>
    <w:p w14:paraId="209C2CF7" w14:textId="23EED714" w:rsidR="006A188B" w:rsidRDefault="001B17F7" w:rsidP="003A7E71">
      <w:pPr>
        <w:pStyle w:val="ListParagraph"/>
        <w:numPr>
          <w:ilvl w:val="0"/>
          <w:numId w:val="36"/>
        </w:numPr>
        <w:spacing w:line="360" w:lineRule="auto"/>
        <w:ind w:left="851" w:hanging="284"/>
        <w:contextualSpacing w:val="0"/>
        <w:jc w:val="both"/>
      </w:pPr>
      <w:r>
        <w:t>d</w:t>
      </w:r>
      <w:r w:rsidR="00953767">
        <w:t xml:space="preserve">o </w:t>
      </w:r>
      <w:r w:rsidR="006A188B">
        <w:t>not actively monitor their payslips or superannuation fund</w:t>
      </w:r>
      <w:r w:rsidR="00E73D0B" w:rsidRPr="00E73D0B">
        <w:t xml:space="preserve"> </w:t>
      </w:r>
      <w:r w:rsidR="00E73D0B">
        <w:t>account balance</w:t>
      </w:r>
    </w:p>
    <w:p w14:paraId="2275CC3D" w14:textId="3DEE859F" w:rsidR="006A188B" w:rsidRDefault="001B17F7" w:rsidP="002D5E81">
      <w:pPr>
        <w:pStyle w:val="ListParagraph"/>
        <w:numPr>
          <w:ilvl w:val="0"/>
          <w:numId w:val="36"/>
        </w:numPr>
        <w:spacing w:line="360" w:lineRule="auto"/>
        <w:ind w:left="851" w:hanging="284"/>
        <w:contextualSpacing w:val="0"/>
        <w:jc w:val="both"/>
      </w:pPr>
      <w:r>
        <w:t>a</w:t>
      </w:r>
      <w:r w:rsidR="00953767">
        <w:t>re</w:t>
      </w:r>
      <w:r w:rsidR="00953767" w:rsidRPr="003977D2">
        <w:t xml:space="preserve"> </w:t>
      </w:r>
      <w:r w:rsidR="006A188B">
        <w:t>concerned with their job security and so delay reporting their employer</w:t>
      </w:r>
      <w:r w:rsidR="00AB1050">
        <w:t xml:space="preserve"> to the ATO</w:t>
      </w:r>
      <w:r w:rsidR="006A188B">
        <w:t xml:space="preserve"> until after </w:t>
      </w:r>
      <w:r w:rsidR="00AB1050">
        <w:t>cessation of</w:t>
      </w:r>
      <w:r w:rsidR="006A188B">
        <w:t xml:space="preserve"> employment</w:t>
      </w:r>
      <w:r w:rsidR="008A4FB3">
        <w:t>.</w:t>
      </w:r>
      <w:r w:rsidR="005250FB">
        <w:rPr>
          <w:rStyle w:val="FootnoteReference"/>
        </w:rPr>
        <w:footnoteReference w:id="4"/>
      </w:r>
    </w:p>
    <w:p w14:paraId="1C28F5BD" w14:textId="0288E893" w:rsidR="006A188B" w:rsidRPr="005E3A1C" w:rsidRDefault="006A188B" w:rsidP="00CA30CE">
      <w:pPr>
        <w:pStyle w:val="ListParagraph"/>
        <w:numPr>
          <w:ilvl w:val="1"/>
          <w:numId w:val="33"/>
        </w:numPr>
        <w:spacing w:line="360" w:lineRule="auto"/>
        <w:contextualSpacing w:val="0"/>
        <w:jc w:val="both"/>
        <w:rPr>
          <w:rFonts w:cstheme="minorHAnsi"/>
          <w:szCs w:val="22"/>
        </w:rPr>
      </w:pPr>
      <w:r w:rsidRPr="005E3A1C">
        <w:rPr>
          <w:rFonts w:cstheme="minorHAnsi"/>
          <w:szCs w:val="22"/>
        </w:rPr>
        <w:t>These factors can contribute to the employee either not notifying the ATO</w:t>
      </w:r>
      <w:r w:rsidR="00AB1050" w:rsidRPr="005E3A1C">
        <w:rPr>
          <w:rFonts w:cstheme="minorHAnsi"/>
          <w:szCs w:val="22"/>
        </w:rPr>
        <w:t xml:space="preserve"> where they suspect they have not been paid </w:t>
      </w:r>
      <w:r w:rsidR="00BA1C4F">
        <w:rPr>
          <w:rFonts w:cstheme="minorHAnsi"/>
          <w:szCs w:val="22"/>
        </w:rPr>
        <w:t>superannuation guarantee</w:t>
      </w:r>
      <w:r w:rsidR="00AB1050" w:rsidRPr="005E3A1C">
        <w:rPr>
          <w:rFonts w:cstheme="minorHAnsi"/>
          <w:szCs w:val="22"/>
        </w:rPr>
        <w:t>,</w:t>
      </w:r>
      <w:r w:rsidRPr="005E3A1C">
        <w:rPr>
          <w:rFonts w:cstheme="minorHAnsi"/>
          <w:szCs w:val="22"/>
        </w:rPr>
        <w:t xml:space="preserve"> or not doing so </w:t>
      </w:r>
      <w:r w:rsidR="00AB1050" w:rsidRPr="005E3A1C">
        <w:rPr>
          <w:rFonts w:cstheme="minorHAnsi"/>
          <w:szCs w:val="22"/>
        </w:rPr>
        <w:t>in a timely way.</w:t>
      </w:r>
      <w:r w:rsidRPr="005E3A1C">
        <w:rPr>
          <w:rFonts w:cstheme="minorHAnsi"/>
          <w:szCs w:val="22"/>
        </w:rPr>
        <w:t xml:space="preserve"> </w:t>
      </w:r>
    </w:p>
    <w:p w14:paraId="6A680243" w14:textId="594F11A3" w:rsidR="005C7C45" w:rsidRPr="00805E6C" w:rsidRDefault="0007543E" w:rsidP="005C7C45">
      <w:pPr>
        <w:pStyle w:val="Heading2"/>
        <w:ind w:left="578" w:hanging="578"/>
      </w:pPr>
      <w:bookmarkStart w:id="69" w:name="_Toc473540246"/>
      <w:bookmarkStart w:id="70" w:name="_Toc473554629"/>
      <w:bookmarkStart w:id="71" w:name="_Toc473625447"/>
      <w:bookmarkStart w:id="72" w:name="_Toc473629878"/>
      <w:bookmarkStart w:id="73" w:name="_Toc473631170"/>
      <w:bookmarkStart w:id="74" w:name="_Toc473631464"/>
      <w:bookmarkStart w:id="75" w:name="_Toc473636588"/>
      <w:bookmarkStart w:id="76" w:name="_Toc473635306"/>
      <w:r>
        <w:t>Dealing with non</w:t>
      </w:r>
      <w:r w:rsidR="00CA242B">
        <w:noBreakHyphen/>
      </w:r>
      <w:r>
        <w:t>compliance</w:t>
      </w:r>
      <w:bookmarkEnd w:id="69"/>
      <w:bookmarkEnd w:id="70"/>
      <w:bookmarkEnd w:id="71"/>
      <w:bookmarkEnd w:id="72"/>
      <w:bookmarkEnd w:id="73"/>
      <w:bookmarkEnd w:id="74"/>
      <w:bookmarkEnd w:id="75"/>
      <w:bookmarkEnd w:id="76"/>
    </w:p>
    <w:p w14:paraId="0A85928B" w14:textId="322034DD" w:rsidR="00312A10" w:rsidRDefault="00312A10" w:rsidP="00DD0007">
      <w:pPr>
        <w:pStyle w:val="ListParagraph"/>
        <w:keepNext/>
        <w:numPr>
          <w:ilvl w:val="1"/>
          <w:numId w:val="33"/>
        </w:numPr>
        <w:spacing w:line="360" w:lineRule="auto"/>
        <w:contextualSpacing w:val="0"/>
        <w:jc w:val="both"/>
        <w:rPr>
          <w:rFonts w:cstheme="minorHAnsi"/>
          <w:szCs w:val="22"/>
        </w:rPr>
      </w:pPr>
      <w:r>
        <w:rPr>
          <w:rFonts w:cstheme="minorHAnsi"/>
          <w:szCs w:val="22"/>
        </w:rPr>
        <w:t xml:space="preserve">The ATO is supportive of employers who do the right thing and is also </w:t>
      </w:r>
      <w:r w:rsidR="00BD103B">
        <w:rPr>
          <w:rFonts w:cstheme="minorHAnsi"/>
          <w:szCs w:val="22"/>
        </w:rPr>
        <w:t>committed</w:t>
      </w:r>
      <w:r>
        <w:rPr>
          <w:rFonts w:cstheme="minorHAnsi"/>
          <w:szCs w:val="22"/>
        </w:rPr>
        <w:t xml:space="preserve"> to dealing with those intentionally and dishonestly choose to avoid their superannuation guarantee obligations. </w:t>
      </w:r>
    </w:p>
    <w:p w14:paraId="332BC3CB" w14:textId="52C2861F" w:rsidR="000F68B7" w:rsidRPr="005E3A1C" w:rsidRDefault="000264EC" w:rsidP="00DD0007">
      <w:pPr>
        <w:pStyle w:val="ListParagraph"/>
        <w:keepNext/>
        <w:numPr>
          <w:ilvl w:val="1"/>
          <w:numId w:val="33"/>
        </w:numPr>
        <w:spacing w:line="360" w:lineRule="auto"/>
        <w:contextualSpacing w:val="0"/>
        <w:jc w:val="both"/>
        <w:rPr>
          <w:rFonts w:cstheme="minorHAnsi"/>
          <w:szCs w:val="22"/>
        </w:rPr>
      </w:pPr>
      <w:r>
        <w:rPr>
          <w:rFonts w:cstheme="minorHAnsi"/>
          <w:szCs w:val="22"/>
        </w:rPr>
        <w:t>T</w:t>
      </w:r>
      <w:r w:rsidR="005C7C45" w:rsidRPr="005E3A1C">
        <w:rPr>
          <w:rFonts w:cstheme="minorHAnsi"/>
          <w:szCs w:val="22"/>
        </w:rPr>
        <w:t>here are two main ways the ATO addresses non</w:t>
      </w:r>
      <w:r w:rsidR="00CA242B">
        <w:rPr>
          <w:rFonts w:cstheme="minorHAnsi"/>
          <w:szCs w:val="22"/>
        </w:rPr>
        <w:noBreakHyphen/>
      </w:r>
      <w:r w:rsidR="005C7C45" w:rsidRPr="005E3A1C">
        <w:rPr>
          <w:rFonts w:cstheme="minorHAnsi"/>
          <w:szCs w:val="22"/>
        </w:rPr>
        <w:t xml:space="preserve">compliance by employers: </w:t>
      </w:r>
    </w:p>
    <w:p w14:paraId="31031B76" w14:textId="7BB1E9BF" w:rsidR="000F68B7" w:rsidRDefault="005C7C45" w:rsidP="007F7D58">
      <w:pPr>
        <w:pStyle w:val="ListParagraph"/>
        <w:numPr>
          <w:ilvl w:val="0"/>
          <w:numId w:val="36"/>
        </w:numPr>
        <w:spacing w:line="360" w:lineRule="auto"/>
        <w:ind w:left="851" w:hanging="284"/>
        <w:contextualSpacing w:val="0"/>
        <w:jc w:val="both"/>
      </w:pPr>
      <w:r w:rsidRPr="007D7177">
        <w:t>responding to reports of unpaid super</w:t>
      </w:r>
      <w:r w:rsidR="00622A43">
        <w:t>annuation</w:t>
      </w:r>
      <w:r w:rsidRPr="007D7177">
        <w:t xml:space="preserve"> (or ‘employee notifications’) </w:t>
      </w:r>
    </w:p>
    <w:p w14:paraId="5F415A1A" w14:textId="041ED940" w:rsidR="00EB0CC8" w:rsidRDefault="00D53860" w:rsidP="007F7D58">
      <w:pPr>
        <w:pStyle w:val="ListParagraph"/>
        <w:numPr>
          <w:ilvl w:val="0"/>
          <w:numId w:val="36"/>
        </w:numPr>
        <w:spacing w:line="360" w:lineRule="auto"/>
        <w:ind w:left="851" w:hanging="284"/>
        <w:contextualSpacing w:val="0"/>
        <w:jc w:val="both"/>
      </w:pPr>
      <w:r>
        <w:t xml:space="preserve">ATO initiated </w:t>
      </w:r>
      <w:r w:rsidR="00EB0CC8" w:rsidRPr="007D7177">
        <w:t xml:space="preserve">reviews and audit work.  </w:t>
      </w:r>
    </w:p>
    <w:p w14:paraId="692A8849" w14:textId="30C40D97" w:rsidR="005C7C45" w:rsidRPr="005E3A1C" w:rsidRDefault="00F551A6" w:rsidP="005E3A1C">
      <w:pPr>
        <w:pStyle w:val="ListParagraph"/>
        <w:numPr>
          <w:ilvl w:val="1"/>
          <w:numId w:val="33"/>
        </w:numPr>
        <w:spacing w:line="360" w:lineRule="auto"/>
        <w:contextualSpacing w:val="0"/>
        <w:jc w:val="both"/>
        <w:rPr>
          <w:rFonts w:cstheme="minorHAnsi"/>
          <w:szCs w:val="22"/>
        </w:rPr>
      </w:pPr>
      <w:r w:rsidRPr="005E3A1C">
        <w:rPr>
          <w:rFonts w:cstheme="minorHAnsi"/>
          <w:szCs w:val="22"/>
        </w:rPr>
        <w:t xml:space="preserve">The ATO is committed to securing employees’ </w:t>
      </w:r>
      <w:r w:rsidR="00BA1C4F">
        <w:rPr>
          <w:rFonts w:cstheme="minorHAnsi"/>
          <w:szCs w:val="22"/>
        </w:rPr>
        <w:t>superannuation guarantee</w:t>
      </w:r>
      <w:r w:rsidR="00BA1C4F" w:rsidRPr="005E3A1C">
        <w:rPr>
          <w:rFonts w:cstheme="minorHAnsi"/>
          <w:szCs w:val="22"/>
        </w:rPr>
        <w:t xml:space="preserve"> </w:t>
      </w:r>
      <w:r w:rsidRPr="005E3A1C">
        <w:rPr>
          <w:rFonts w:cstheme="minorHAnsi"/>
          <w:szCs w:val="22"/>
        </w:rPr>
        <w:t>entitlement</w:t>
      </w:r>
      <w:r w:rsidR="00602D0F">
        <w:rPr>
          <w:rFonts w:cstheme="minorHAnsi"/>
          <w:szCs w:val="22"/>
        </w:rPr>
        <w:t>s</w:t>
      </w:r>
      <w:r w:rsidRPr="005E3A1C">
        <w:rPr>
          <w:rFonts w:cstheme="minorHAnsi"/>
          <w:szCs w:val="22"/>
        </w:rPr>
        <w:t xml:space="preserve">, reducing costs of compliance </w:t>
      </w:r>
      <w:r w:rsidR="00602D0F">
        <w:rPr>
          <w:rFonts w:cstheme="minorHAnsi"/>
          <w:szCs w:val="22"/>
        </w:rPr>
        <w:t xml:space="preserve">for employers </w:t>
      </w:r>
      <w:r w:rsidRPr="005E3A1C">
        <w:rPr>
          <w:rFonts w:cstheme="minorHAnsi"/>
          <w:szCs w:val="22"/>
        </w:rPr>
        <w:t xml:space="preserve">and the incidence of </w:t>
      </w:r>
      <w:r w:rsidR="000264EC">
        <w:rPr>
          <w:rFonts w:cstheme="minorHAnsi"/>
          <w:szCs w:val="22"/>
        </w:rPr>
        <w:t>subsequent</w:t>
      </w:r>
      <w:r w:rsidR="000264EC" w:rsidRPr="005E3A1C">
        <w:rPr>
          <w:rFonts w:cstheme="minorHAnsi"/>
          <w:szCs w:val="22"/>
        </w:rPr>
        <w:t xml:space="preserve"> </w:t>
      </w:r>
      <w:r w:rsidRPr="005E3A1C">
        <w:rPr>
          <w:rFonts w:cstheme="minorHAnsi"/>
          <w:szCs w:val="22"/>
        </w:rPr>
        <w:t>non</w:t>
      </w:r>
      <w:r w:rsidR="00CA242B">
        <w:rPr>
          <w:rFonts w:cstheme="minorHAnsi"/>
          <w:szCs w:val="22"/>
        </w:rPr>
        <w:noBreakHyphen/>
      </w:r>
      <w:r w:rsidRPr="005E3A1C">
        <w:rPr>
          <w:rFonts w:cstheme="minorHAnsi"/>
          <w:szCs w:val="22"/>
        </w:rPr>
        <w:t xml:space="preserve">compliance. </w:t>
      </w:r>
      <w:r w:rsidR="005C7C45" w:rsidRPr="005E3A1C">
        <w:rPr>
          <w:rFonts w:cstheme="minorHAnsi"/>
          <w:szCs w:val="22"/>
        </w:rPr>
        <w:t xml:space="preserve">The intensity of the ATO’s interaction with </w:t>
      </w:r>
      <w:r w:rsidR="00602D0F">
        <w:rPr>
          <w:rFonts w:cstheme="minorHAnsi"/>
          <w:szCs w:val="22"/>
        </w:rPr>
        <w:t>an</w:t>
      </w:r>
      <w:r w:rsidR="00602D0F" w:rsidRPr="005E3A1C">
        <w:rPr>
          <w:rFonts w:cstheme="minorHAnsi"/>
          <w:szCs w:val="22"/>
        </w:rPr>
        <w:t xml:space="preserve"> </w:t>
      </w:r>
      <w:r w:rsidR="005C7C45" w:rsidRPr="005E3A1C">
        <w:rPr>
          <w:rFonts w:cstheme="minorHAnsi"/>
          <w:szCs w:val="22"/>
        </w:rPr>
        <w:t xml:space="preserve">employer increases with the compliance risk.  </w:t>
      </w:r>
    </w:p>
    <w:p w14:paraId="6EB2609F" w14:textId="1468533F" w:rsidR="005C7C45" w:rsidRPr="00620814" w:rsidRDefault="005C7C45" w:rsidP="00636DA4">
      <w:pPr>
        <w:pStyle w:val="Heading3"/>
        <w:ind w:left="720" w:hanging="720"/>
      </w:pPr>
      <w:bookmarkStart w:id="77" w:name="_Toc472519683"/>
      <w:bookmarkStart w:id="78" w:name="_Toc472578028"/>
      <w:bookmarkStart w:id="79" w:name="_Toc472892788"/>
      <w:r w:rsidRPr="00620814">
        <w:t>Reports of unpaid super</w:t>
      </w:r>
      <w:r w:rsidR="00622A43">
        <w:t>annuation</w:t>
      </w:r>
      <w:r w:rsidRPr="00620814">
        <w:t xml:space="preserve"> </w:t>
      </w:r>
      <w:bookmarkEnd w:id="77"/>
      <w:bookmarkEnd w:id="78"/>
      <w:bookmarkEnd w:id="79"/>
    </w:p>
    <w:p w14:paraId="4C31A846" w14:textId="3077B429" w:rsidR="00EB0CC8" w:rsidRDefault="00EB0CC8" w:rsidP="005E3A1C">
      <w:pPr>
        <w:pStyle w:val="ListParagraph"/>
        <w:numPr>
          <w:ilvl w:val="1"/>
          <w:numId w:val="33"/>
        </w:numPr>
        <w:spacing w:line="360" w:lineRule="auto"/>
        <w:contextualSpacing w:val="0"/>
        <w:jc w:val="both"/>
        <w:rPr>
          <w:rFonts w:cstheme="minorHAnsi"/>
          <w:szCs w:val="22"/>
        </w:rPr>
      </w:pPr>
      <w:bookmarkStart w:id="80" w:name="_Toc472508082"/>
      <w:r>
        <w:rPr>
          <w:rFonts w:cstheme="minorHAnsi"/>
          <w:szCs w:val="22"/>
        </w:rPr>
        <w:t xml:space="preserve">The ATO </w:t>
      </w:r>
      <w:r w:rsidR="00602D0F">
        <w:rPr>
          <w:rFonts w:cstheme="minorHAnsi"/>
          <w:szCs w:val="22"/>
        </w:rPr>
        <w:t xml:space="preserve">receives </w:t>
      </w:r>
      <w:r>
        <w:rPr>
          <w:rFonts w:cstheme="minorHAnsi"/>
          <w:szCs w:val="22"/>
        </w:rPr>
        <w:t xml:space="preserve">reports from employees who believe they have not been paid the correct amount of </w:t>
      </w:r>
      <w:r w:rsidR="00BA1C4F">
        <w:rPr>
          <w:rFonts w:cstheme="minorHAnsi"/>
          <w:szCs w:val="22"/>
        </w:rPr>
        <w:t>superannuation guarantee</w:t>
      </w:r>
      <w:r>
        <w:rPr>
          <w:rFonts w:cstheme="minorHAnsi"/>
          <w:szCs w:val="22"/>
        </w:rPr>
        <w:t xml:space="preserve">. The </w:t>
      </w:r>
      <w:r w:rsidR="00D53860">
        <w:rPr>
          <w:rFonts w:cstheme="minorHAnsi"/>
          <w:szCs w:val="22"/>
        </w:rPr>
        <w:t>number</w:t>
      </w:r>
      <w:r>
        <w:rPr>
          <w:rFonts w:cstheme="minorHAnsi"/>
          <w:szCs w:val="22"/>
        </w:rPr>
        <w:t xml:space="preserve"> of reports has remained relatively stable since 2009-10 at around 19,000 a year.</w:t>
      </w:r>
    </w:p>
    <w:p w14:paraId="281170A7" w14:textId="7B47656D" w:rsidR="00EB0CC8" w:rsidRDefault="00D53860" w:rsidP="005E3A1C">
      <w:pPr>
        <w:pStyle w:val="ListParagraph"/>
        <w:numPr>
          <w:ilvl w:val="1"/>
          <w:numId w:val="33"/>
        </w:numPr>
        <w:spacing w:line="360" w:lineRule="auto"/>
        <w:contextualSpacing w:val="0"/>
        <w:jc w:val="both"/>
        <w:rPr>
          <w:rFonts w:cstheme="minorHAnsi"/>
          <w:szCs w:val="22"/>
        </w:rPr>
      </w:pPr>
      <w:r>
        <w:rPr>
          <w:rFonts w:cstheme="minorHAnsi"/>
          <w:szCs w:val="22"/>
        </w:rPr>
        <w:t>A</w:t>
      </w:r>
      <w:r w:rsidR="00EB0CC8">
        <w:rPr>
          <w:rFonts w:cstheme="minorHAnsi"/>
          <w:szCs w:val="22"/>
        </w:rPr>
        <w:t>pproximately 15,000 employers are subsequently investigated by the ATO</w:t>
      </w:r>
      <w:r>
        <w:rPr>
          <w:rFonts w:cstheme="minorHAnsi"/>
          <w:szCs w:val="22"/>
        </w:rPr>
        <w:t xml:space="preserve"> each year</w:t>
      </w:r>
      <w:r w:rsidR="00EB0CC8">
        <w:rPr>
          <w:rFonts w:cstheme="minorHAnsi"/>
          <w:szCs w:val="22"/>
        </w:rPr>
        <w:t>. Th</w:t>
      </w:r>
      <w:r w:rsidR="0075139B">
        <w:rPr>
          <w:rFonts w:cstheme="minorHAnsi"/>
          <w:szCs w:val="22"/>
        </w:rPr>
        <w:t xml:space="preserve">e 15,000 employers are </w:t>
      </w:r>
      <w:r w:rsidR="00EB0CC8">
        <w:rPr>
          <w:rFonts w:cstheme="minorHAnsi"/>
          <w:szCs w:val="22"/>
        </w:rPr>
        <w:t xml:space="preserve">approximately two per cent of an estimated 880,000 employers. </w:t>
      </w:r>
    </w:p>
    <w:p w14:paraId="401B8DBC" w14:textId="4276B756" w:rsidR="00EB0CC8" w:rsidRDefault="00EB0CC8" w:rsidP="005E3A1C">
      <w:pPr>
        <w:pStyle w:val="ListParagraph"/>
        <w:numPr>
          <w:ilvl w:val="1"/>
          <w:numId w:val="33"/>
        </w:numPr>
        <w:spacing w:line="360" w:lineRule="auto"/>
        <w:contextualSpacing w:val="0"/>
        <w:jc w:val="both"/>
        <w:rPr>
          <w:rFonts w:cstheme="minorHAnsi"/>
          <w:szCs w:val="22"/>
        </w:rPr>
      </w:pPr>
      <w:r>
        <w:t xml:space="preserve">There is </w:t>
      </w:r>
      <w:r w:rsidR="0075139B">
        <w:t xml:space="preserve">usually </w:t>
      </w:r>
      <w:r>
        <w:t xml:space="preserve">a considerable time between when a </w:t>
      </w:r>
      <w:r w:rsidR="00BA1C4F">
        <w:rPr>
          <w:rFonts w:cstheme="minorHAnsi"/>
          <w:szCs w:val="22"/>
        </w:rPr>
        <w:t>superannuation guarantee</w:t>
      </w:r>
      <w:r w:rsidR="00BA1C4F" w:rsidDel="00BA1C4F">
        <w:t xml:space="preserve"> </w:t>
      </w:r>
      <w:r>
        <w:t xml:space="preserve">shortfall arises (i.e. from the due date for when an employer should have paid </w:t>
      </w:r>
      <w:r w:rsidR="0075139B">
        <w:t>the superannuation guarantee</w:t>
      </w:r>
      <w:r>
        <w:t>) and when the employee lodges a report with the ATO. On average, reports are received a</w:t>
      </w:r>
      <w:r w:rsidR="00036AFD">
        <w:t xml:space="preserve">bout </w:t>
      </w:r>
      <w:r>
        <w:t>23 months after the due date of the first period</w:t>
      </w:r>
      <w:r w:rsidR="00B92D71">
        <w:t xml:space="preserve"> about which the notice is received</w:t>
      </w:r>
      <w:r w:rsidR="00D53860">
        <w:t>, with most of these reports being made about 13 months after the due date</w:t>
      </w:r>
      <w:r>
        <w:t>.</w:t>
      </w:r>
    </w:p>
    <w:p w14:paraId="58BB06A3" w14:textId="7E111049" w:rsidR="005C7C45" w:rsidRDefault="005C7C45" w:rsidP="005E3A1C">
      <w:pPr>
        <w:pStyle w:val="ListParagraph"/>
        <w:numPr>
          <w:ilvl w:val="1"/>
          <w:numId w:val="33"/>
        </w:numPr>
        <w:spacing w:line="360" w:lineRule="auto"/>
        <w:contextualSpacing w:val="0"/>
        <w:jc w:val="both"/>
        <w:rPr>
          <w:rFonts w:cstheme="minorHAnsi"/>
          <w:szCs w:val="22"/>
        </w:rPr>
      </w:pPr>
      <w:r w:rsidRPr="005E3A1C">
        <w:rPr>
          <w:rFonts w:cstheme="minorHAnsi"/>
          <w:szCs w:val="22"/>
        </w:rPr>
        <w:t xml:space="preserve">In 30 per cent of these cases the ATO finds that the employers have in fact paid the required </w:t>
      </w:r>
      <w:r w:rsidR="00036AFD">
        <w:rPr>
          <w:rFonts w:cstheme="minorHAnsi"/>
          <w:szCs w:val="22"/>
        </w:rPr>
        <w:t>superannuation guarantee</w:t>
      </w:r>
      <w:r w:rsidRPr="005E3A1C">
        <w:rPr>
          <w:rFonts w:cstheme="minorHAnsi"/>
          <w:szCs w:val="22"/>
        </w:rPr>
        <w:t xml:space="preserve">. In the remaining 70 per cent, a </w:t>
      </w:r>
      <w:r w:rsidR="00BA1C4F">
        <w:rPr>
          <w:rFonts w:cstheme="minorHAnsi"/>
          <w:szCs w:val="22"/>
        </w:rPr>
        <w:t>superannuation guarantee</w:t>
      </w:r>
      <w:r w:rsidR="00BA1C4F" w:rsidRPr="005E3A1C" w:rsidDel="00BA1C4F">
        <w:rPr>
          <w:rFonts w:cstheme="minorHAnsi"/>
          <w:szCs w:val="22"/>
        </w:rPr>
        <w:t xml:space="preserve"> </w:t>
      </w:r>
      <w:r w:rsidRPr="005E3A1C">
        <w:rPr>
          <w:rFonts w:cstheme="minorHAnsi"/>
          <w:szCs w:val="22"/>
        </w:rPr>
        <w:t>shortfall is found</w:t>
      </w:r>
      <w:r w:rsidR="00BB0257">
        <w:rPr>
          <w:rFonts w:cstheme="minorHAnsi"/>
          <w:szCs w:val="22"/>
        </w:rPr>
        <w:t>,</w:t>
      </w:r>
      <w:r w:rsidRPr="005E3A1C">
        <w:rPr>
          <w:rFonts w:cstheme="minorHAnsi"/>
          <w:szCs w:val="22"/>
        </w:rPr>
        <w:t xml:space="preserve"> representing approximately </w:t>
      </w:r>
      <w:r w:rsidR="00F64079" w:rsidRPr="005E3A1C">
        <w:rPr>
          <w:rFonts w:cstheme="minorHAnsi"/>
          <w:szCs w:val="22"/>
        </w:rPr>
        <w:t>one</w:t>
      </w:r>
      <w:r w:rsidR="00036AFD">
        <w:rPr>
          <w:rFonts w:cstheme="minorHAnsi"/>
          <w:szCs w:val="22"/>
        </w:rPr>
        <w:t> </w:t>
      </w:r>
      <w:r w:rsidRPr="005E3A1C">
        <w:rPr>
          <w:rFonts w:cstheme="minorHAnsi"/>
          <w:szCs w:val="22"/>
        </w:rPr>
        <w:t>per</w:t>
      </w:r>
      <w:r w:rsidR="00036AFD">
        <w:rPr>
          <w:rFonts w:cstheme="minorHAnsi"/>
          <w:szCs w:val="22"/>
        </w:rPr>
        <w:t> </w:t>
      </w:r>
      <w:r w:rsidRPr="005E3A1C">
        <w:rPr>
          <w:rFonts w:cstheme="minorHAnsi"/>
          <w:szCs w:val="22"/>
        </w:rPr>
        <w:t>cent of Australian employers.</w:t>
      </w:r>
    </w:p>
    <w:p w14:paraId="19FA7641" w14:textId="749D62AF" w:rsidR="000E748D" w:rsidRPr="005E3A1C" w:rsidRDefault="000E748D" w:rsidP="005E3A1C">
      <w:pPr>
        <w:pStyle w:val="ListParagraph"/>
        <w:numPr>
          <w:ilvl w:val="1"/>
          <w:numId w:val="33"/>
        </w:numPr>
        <w:spacing w:line="360" w:lineRule="auto"/>
        <w:contextualSpacing w:val="0"/>
        <w:jc w:val="both"/>
        <w:rPr>
          <w:rFonts w:cstheme="minorHAnsi"/>
          <w:szCs w:val="22"/>
        </w:rPr>
      </w:pPr>
      <w:r>
        <w:rPr>
          <w:rFonts w:cstheme="minorHAnsi"/>
          <w:szCs w:val="22"/>
        </w:rPr>
        <w:t xml:space="preserve">The ATO has improved the time it takes to </w:t>
      </w:r>
      <w:r w:rsidR="00036AFD">
        <w:rPr>
          <w:rFonts w:cstheme="minorHAnsi"/>
          <w:szCs w:val="22"/>
        </w:rPr>
        <w:t xml:space="preserve">finalise these </w:t>
      </w:r>
      <w:r>
        <w:rPr>
          <w:rFonts w:cstheme="minorHAnsi"/>
          <w:szCs w:val="22"/>
        </w:rPr>
        <w:t xml:space="preserve">cases, from 50 per cent within four months to 76 per cent in four months. </w:t>
      </w:r>
    </w:p>
    <w:p w14:paraId="389769B0" w14:textId="54DFC324" w:rsidR="005C7C45" w:rsidRDefault="005C7C45" w:rsidP="005C7C45">
      <w:pPr>
        <w:pStyle w:val="Heading3"/>
        <w:ind w:left="720" w:hanging="720"/>
      </w:pPr>
      <w:bookmarkStart w:id="81" w:name="_Toc472519684"/>
      <w:bookmarkStart w:id="82" w:name="_Toc472578029"/>
      <w:bookmarkStart w:id="83" w:name="_Toc472892789"/>
      <w:r>
        <w:t xml:space="preserve">ATO </w:t>
      </w:r>
      <w:bookmarkEnd w:id="80"/>
      <w:bookmarkEnd w:id="81"/>
      <w:bookmarkEnd w:id="82"/>
      <w:bookmarkEnd w:id="83"/>
      <w:r w:rsidR="00A36F6E">
        <w:t xml:space="preserve">initiated </w:t>
      </w:r>
      <w:r w:rsidR="00BA1C4F">
        <w:rPr>
          <w:rFonts w:cstheme="minorHAnsi"/>
          <w:szCs w:val="22"/>
        </w:rPr>
        <w:t>superannuation guarantee</w:t>
      </w:r>
      <w:r w:rsidR="00A36F6E">
        <w:t xml:space="preserve"> </w:t>
      </w:r>
      <w:r w:rsidR="00ED2C24">
        <w:t>cases</w:t>
      </w:r>
    </w:p>
    <w:p w14:paraId="23BE691E" w14:textId="0BF01129" w:rsidR="00A36F6E" w:rsidRDefault="00A36F6E" w:rsidP="005E3A1C">
      <w:pPr>
        <w:pStyle w:val="ListParagraph"/>
        <w:numPr>
          <w:ilvl w:val="1"/>
          <w:numId w:val="33"/>
        </w:numPr>
        <w:spacing w:line="360" w:lineRule="auto"/>
        <w:contextualSpacing w:val="0"/>
        <w:jc w:val="both"/>
        <w:rPr>
          <w:rFonts w:cstheme="minorHAnsi"/>
          <w:szCs w:val="22"/>
        </w:rPr>
      </w:pPr>
      <w:bookmarkStart w:id="84" w:name="_Toc472508083"/>
      <w:r>
        <w:rPr>
          <w:rFonts w:cstheme="minorHAnsi"/>
          <w:szCs w:val="22"/>
        </w:rPr>
        <w:t xml:space="preserve">Another component of the ATO’s compliance program is </w:t>
      </w:r>
      <w:r w:rsidR="008F0CC2">
        <w:rPr>
          <w:rFonts w:cstheme="minorHAnsi"/>
          <w:szCs w:val="22"/>
        </w:rPr>
        <w:t>reviewing</w:t>
      </w:r>
      <w:r>
        <w:rPr>
          <w:rFonts w:cstheme="minorHAnsi"/>
          <w:szCs w:val="22"/>
        </w:rPr>
        <w:t xml:space="preserve"> employers where the ATO suspects they have not met their </w:t>
      </w:r>
      <w:r w:rsidR="00BA1C4F">
        <w:rPr>
          <w:rFonts w:cstheme="minorHAnsi"/>
          <w:szCs w:val="22"/>
        </w:rPr>
        <w:t>superannuation guarantee</w:t>
      </w:r>
      <w:r>
        <w:rPr>
          <w:rFonts w:cstheme="minorHAnsi"/>
          <w:szCs w:val="22"/>
        </w:rPr>
        <w:t xml:space="preserve"> obligation</w:t>
      </w:r>
      <w:r w:rsidR="008F0CC2">
        <w:rPr>
          <w:rFonts w:cstheme="minorHAnsi"/>
          <w:szCs w:val="22"/>
        </w:rPr>
        <w:t>, even if there have been no employee complaints</w:t>
      </w:r>
      <w:r>
        <w:rPr>
          <w:rFonts w:cstheme="minorHAnsi"/>
          <w:szCs w:val="22"/>
        </w:rPr>
        <w:t xml:space="preserve">. </w:t>
      </w:r>
      <w:r w:rsidR="008F0CC2">
        <w:rPr>
          <w:rFonts w:cstheme="minorHAnsi"/>
          <w:szCs w:val="22"/>
        </w:rPr>
        <w:t xml:space="preserve">ATO data is used to identify </w:t>
      </w:r>
      <w:r>
        <w:rPr>
          <w:rFonts w:cstheme="minorHAnsi"/>
          <w:szCs w:val="22"/>
        </w:rPr>
        <w:t xml:space="preserve">employers who, based on analysis of </w:t>
      </w:r>
      <w:r w:rsidR="008F0CC2">
        <w:rPr>
          <w:rFonts w:cstheme="minorHAnsi"/>
          <w:szCs w:val="22"/>
        </w:rPr>
        <w:t xml:space="preserve">the </w:t>
      </w:r>
      <w:r>
        <w:rPr>
          <w:rFonts w:cstheme="minorHAnsi"/>
          <w:szCs w:val="22"/>
        </w:rPr>
        <w:t xml:space="preserve">data, are considered </w:t>
      </w:r>
      <w:r w:rsidR="008F0CC2">
        <w:rPr>
          <w:rFonts w:cstheme="minorHAnsi"/>
          <w:szCs w:val="22"/>
        </w:rPr>
        <w:t xml:space="preserve">at </w:t>
      </w:r>
      <w:r>
        <w:rPr>
          <w:rFonts w:cstheme="minorHAnsi"/>
          <w:szCs w:val="22"/>
        </w:rPr>
        <w:t xml:space="preserve">high risk of not having met their obligations. </w:t>
      </w:r>
    </w:p>
    <w:p w14:paraId="64886E0A" w14:textId="10A0E96D" w:rsidR="00EB00BD" w:rsidRPr="00EB00BD" w:rsidRDefault="00EB00BD" w:rsidP="005E3A1C">
      <w:pPr>
        <w:pStyle w:val="ListParagraph"/>
        <w:numPr>
          <w:ilvl w:val="1"/>
          <w:numId w:val="33"/>
        </w:numPr>
        <w:spacing w:line="360" w:lineRule="auto"/>
        <w:contextualSpacing w:val="0"/>
        <w:jc w:val="both"/>
        <w:rPr>
          <w:rFonts w:cstheme="minorHAnsi"/>
          <w:szCs w:val="22"/>
        </w:rPr>
      </w:pPr>
      <w:r w:rsidRPr="000D1A18">
        <w:rPr>
          <w:lang w:val="en-US"/>
        </w:rPr>
        <w:t xml:space="preserve">By comparing salary and wage data from </w:t>
      </w:r>
      <w:r>
        <w:rPr>
          <w:lang w:val="en-US"/>
        </w:rPr>
        <w:t xml:space="preserve">individuals </w:t>
      </w:r>
      <w:r w:rsidRPr="000D1A18">
        <w:rPr>
          <w:lang w:val="en-US"/>
        </w:rPr>
        <w:t xml:space="preserve">income tax returns with </w:t>
      </w:r>
      <w:r w:rsidR="00BA1C4F">
        <w:rPr>
          <w:rFonts w:cstheme="minorHAnsi"/>
          <w:szCs w:val="22"/>
        </w:rPr>
        <w:t>superannuation guarantee</w:t>
      </w:r>
      <w:r w:rsidRPr="000D1A18">
        <w:rPr>
          <w:lang w:val="en-US"/>
        </w:rPr>
        <w:t xml:space="preserve"> payments as reported by funds in </w:t>
      </w:r>
      <w:r w:rsidR="00E0046A">
        <w:rPr>
          <w:lang w:val="en-US"/>
        </w:rPr>
        <w:t>M</w:t>
      </w:r>
      <w:r w:rsidRPr="000D1A18">
        <w:rPr>
          <w:lang w:val="en-US"/>
        </w:rPr>
        <w:t xml:space="preserve">ember </w:t>
      </w:r>
      <w:r w:rsidR="00E0046A">
        <w:rPr>
          <w:lang w:val="en-US"/>
        </w:rPr>
        <w:t>C</w:t>
      </w:r>
      <w:r w:rsidRPr="000D1A18">
        <w:rPr>
          <w:lang w:val="en-US"/>
        </w:rPr>
        <w:t xml:space="preserve">ontribution </w:t>
      </w:r>
      <w:r w:rsidR="00E0046A">
        <w:rPr>
          <w:lang w:val="en-US"/>
        </w:rPr>
        <w:t>S</w:t>
      </w:r>
      <w:r w:rsidRPr="000D1A18">
        <w:rPr>
          <w:lang w:val="en-US"/>
        </w:rPr>
        <w:t>tatements</w:t>
      </w:r>
      <w:r w:rsidR="00E0046A">
        <w:rPr>
          <w:lang w:val="en-US"/>
        </w:rPr>
        <w:t xml:space="preserve"> (MCS)</w:t>
      </w:r>
      <w:r w:rsidRPr="000D1A18">
        <w:rPr>
          <w:lang w:val="en-US"/>
        </w:rPr>
        <w:t xml:space="preserve">, a general assessment can be made as to whether an employee may have received the </w:t>
      </w:r>
      <w:r w:rsidR="00BA1C4F">
        <w:rPr>
          <w:rFonts w:cstheme="minorHAnsi"/>
          <w:szCs w:val="22"/>
        </w:rPr>
        <w:t>superannuation guarantee</w:t>
      </w:r>
      <w:r w:rsidRPr="000D1A18">
        <w:rPr>
          <w:lang w:val="en-US"/>
        </w:rPr>
        <w:t xml:space="preserve"> they were entitled to. </w:t>
      </w:r>
      <w:r>
        <w:rPr>
          <w:lang w:val="en-US"/>
        </w:rPr>
        <w:t xml:space="preserve">This information is then aggregated to an employer level. </w:t>
      </w:r>
      <w:r w:rsidRPr="000D1A18">
        <w:rPr>
          <w:lang w:val="en-US"/>
        </w:rPr>
        <w:t>This asses</w:t>
      </w:r>
      <w:r>
        <w:rPr>
          <w:lang w:val="en-US"/>
        </w:rPr>
        <w:t xml:space="preserve">sment is by no means definitive, </w:t>
      </w:r>
      <w:r w:rsidRPr="000D1A18">
        <w:rPr>
          <w:lang w:val="en-US"/>
        </w:rPr>
        <w:t xml:space="preserve">but can highlight employers who have a higher probability of under paying </w:t>
      </w:r>
      <w:r w:rsidR="00BA1C4F">
        <w:rPr>
          <w:rFonts w:cstheme="minorHAnsi"/>
          <w:szCs w:val="22"/>
        </w:rPr>
        <w:t>superannuation guarantee</w:t>
      </w:r>
      <w:r w:rsidRPr="000D1A18">
        <w:rPr>
          <w:lang w:val="en-US"/>
        </w:rPr>
        <w:t>.</w:t>
      </w:r>
    </w:p>
    <w:p w14:paraId="7DB3F707" w14:textId="5183560D" w:rsidR="00EB00BD" w:rsidRDefault="00EB00BD" w:rsidP="005E3A1C">
      <w:pPr>
        <w:pStyle w:val="ListParagraph"/>
        <w:numPr>
          <w:ilvl w:val="1"/>
          <w:numId w:val="33"/>
        </w:numPr>
        <w:spacing w:line="360" w:lineRule="auto"/>
        <w:contextualSpacing w:val="0"/>
        <w:jc w:val="both"/>
        <w:rPr>
          <w:rFonts w:cstheme="minorHAnsi"/>
          <w:szCs w:val="22"/>
        </w:rPr>
      </w:pPr>
      <w:r w:rsidRPr="00A36F6E">
        <w:rPr>
          <w:rFonts w:cstheme="minorHAnsi"/>
          <w:szCs w:val="22"/>
        </w:rPr>
        <w:t xml:space="preserve">The ATO refers to this as ‘proactive’ </w:t>
      </w:r>
      <w:r>
        <w:rPr>
          <w:rFonts w:cstheme="minorHAnsi"/>
          <w:szCs w:val="22"/>
        </w:rPr>
        <w:t>case</w:t>
      </w:r>
      <w:r w:rsidRPr="00A36F6E">
        <w:rPr>
          <w:rFonts w:cstheme="minorHAnsi"/>
          <w:szCs w:val="22"/>
        </w:rPr>
        <w:t xml:space="preserve"> work</w:t>
      </w:r>
      <w:r w:rsidR="008F0CC2">
        <w:rPr>
          <w:rFonts w:cstheme="minorHAnsi"/>
          <w:szCs w:val="22"/>
        </w:rPr>
        <w:t xml:space="preserve">. It </w:t>
      </w:r>
      <w:r w:rsidRPr="00A36F6E">
        <w:rPr>
          <w:rFonts w:cstheme="minorHAnsi"/>
          <w:szCs w:val="22"/>
        </w:rPr>
        <w:t xml:space="preserve">accounts for </w:t>
      </w:r>
      <w:r w:rsidR="008F0CC2">
        <w:rPr>
          <w:rFonts w:cstheme="minorHAnsi"/>
          <w:szCs w:val="22"/>
        </w:rPr>
        <w:t>about</w:t>
      </w:r>
      <w:r w:rsidR="008F0CC2" w:rsidRPr="00A36F6E">
        <w:rPr>
          <w:rFonts w:cstheme="minorHAnsi"/>
          <w:szCs w:val="22"/>
        </w:rPr>
        <w:t xml:space="preserve"> </w:t>
      </w:r>
      <w:r w:rsidRPr="00A36F6E">
        <w:rPr>
          <w:rFonts w:cstheme="minorHAnsi"/>
          <w:szCs w:val="22"/>
        </w:rPr>
        <w:t>30 per cent of the ATO’s compliance work.</w:t>
      </w:r>
    </w:p>
    <w:p w14:paraId="7C18C977" w14:textId="4A48FC6F" w:rsidR="00EB00BD" w:rsidRDefault="00EB00BD" w:rsidP="005E3A1C">
      <w:pPr>
        <w:pStyle w:val="ListParagraph"/>
        <w:numPr>
          <w:ilvl w:val="1"/>
          <w:numId w:val="33"/>
        </w:numPr>
        <w:spacing w:line="360" w:lineRule="auto"/>
        <w:contextualSpacing w:val="0"/>
        <w:jc w:val="both"/>
        <w:rPr>
          <w:rFonts w:cstheme="minorHAnsi"/>
          <w:szCs w:val="22"/>
        </w:rPr>
      </w:pPr>
      <w:r>
        <w:rPr>
          <w:rFonts w:cstheme="minorHAnsi"/>
          <w:szCs w:val="22"/>
        </w:rPr>
        <w:t xml:space="preserve">The ATO’s risk assessments and models used to identify </w:t>
      </w:r>
      <w:r w:rsidR="008F0CC2">
        <w:rPr>
          <w:rFonts w:cstheme="minorHAnsi"/>
          <w:szCs w:val="22"/>
        </w:rPr>
        <w:t xml:space="preserve">employers for this part of the program show that is </w:t>
      </w:r>
      <w:r>
        <w:rPr>
          <w:rFonts w:cstheme="minorHAnsi"/>
          <w:szCs w:val="22"/>
        </w:rPr>
        <w:t xml:space="preserve">largely </w:t>
      </w:r>
      <w:r w:rsidR="008F0CC2">
        <w:rPr>
          <w:rFonts w:cstheme="minorHAnsi"/>
          <w:szCs w:val="22"/>
        </w:rPr>
        <w:t xml:space="preserve">in </w:t>
      </w:r>
      <w:r>
        <w:rPr>
          <w:rFonts w:cstheme="minorHAnsi"/>
          <w:szCs w:val="22"/>
        </w:rPr>
        <w:t xml:space="preserve">the same industries as those where ‘employee notifications’ are generated from </w:t>
      </w:r>
      <w:r w:rsidR="008F0CC2">
        <w:rPr>
          <w:rFonts w:cstheme="minorHAnsi"/>
          <w:szCs w:val="22"/>
        </w:rPr>
        <w:t xml:space="preserve">that the problems lie </w:t>
      </w:r>
      <w:r>
        <w:rPr>
          <w:rFonts w:cstheme="minorHAnsi"/>
          <w:szCs w:val="22"/>
        </w:rPr>
        <w:t xml:space="preserve">– </w:t>
      </w:r>
      <w:r w:rsidR="008F0CC2">
        <w:rPr>
          <w:rFonts w:cstheme="minorHAnsi"/>
          <w:szCs w:val="22"/>
        </w:rPr>
        <w:t>a</w:t>
      </w:r>
      <w:r>
        <w:rPr>
          <w:rFonts w:cstheme="minorHAnsi"/>
          <w:szCs w:val="22"/>
        </w:rPr>
        <w:t xml:space="preserve">ccommodation and food services, </w:t>
      </w:r>
      <w:r w:rsidR="008F0CC2">
        <w:rPr>
          <w:rFonts w:cstheme="minorHAnsi"/>
          <w:szCs w:val="22"/>
        </w:rPr>
        <w:t>c</w:t>
      </w:r>
      <w:r>
        <w:rPr>
          <w:rFonts w:cstheme="minorHAnsi"/>
          <w:szCs w:val="22"/>
        </w:rPr>
        <w:t xml:space="preserve">onstruction, </w:t>
      </w:r>
      <w:r w:rsidR="008F0CC2">
        <w:rPr>
          <w:rFonts w:cstheme="minorHAnsi"/>
          <w:szCs w:val="22"/>
        </w:rPr>
        <w:t>m</w:t>
      </w:r>
      <w:r>
        <w:rPr>
          <w:rFonts w:cstheme="minorHAnsi"/>
          <w:szCs w:val="22"/>
        </w:rPr>
        <w:t xml:space="preserve">anufacturing and </w:t>
      </w:r>
      <w:r w:rsidR="008F0CC2">
        <w:rPr>
          <w:rFonts w:cstheme="minorHAnsi"/>
          <w:szCs w:val="22"/>
        </w:rPr>
        <w:t>r</w:t>
      </w:r>
      <w:r>
        <w:rPr>
          <w:rFonts w:cstheme="minorHAnsi"/>
          <w:szCs w:val="22"/>
        </w:rPr>
        <w:t>etail.</w:t>
      </w:r>
    </w:p>
    <w:p w14:paraId="5DF5D915" w14:textId="6D090982" w:rsidR="00A36F6E" w:rsidRDefault="00A36F6E" w:rsidP="005E3A1C">
      <w:pPr>
        <w:pStyle w:val="ListParagraph"/>
        <w:numPr>
          <w:ilvl w:val="1"/>
          <w:numId w:val="33"/>
        </w:numPr>
        <w:spacing w:line="360" w:lineRule="auto"/>
        <w:contextualSpacing w:val="0"/>
        <w:jc w:val="both"/>
        <w:rPr>
          <w:rFonts w:cstheme="minorHAnsi"/>
          <w:szCs w:val="22"/>
        </w:rPr>
      </w:pPr>
      <w:r>
        <w:rPr>
          <w:rFonts w:cstheme="minorHAnsi"/>
          <w:szCs w:val="22"/>
        </w:rPr>
        <w:t xml:space="preserve">These ATO initiated cases identify non-payment of </w:t>
      </w:r>
      <w:r w:rsidR="00BA1C4F">
        <w:rPr>
          <w:rFonts w:cstheme="minorHAnsi"/>
          <w:szCs w:val="22"/>
        </w:rPr>
        <w:t>superannuation guarantee</w:t>
      </w:r>
      <w:r>
        <w:rPr>
          <w:rFonts w:cstheme="minorHAnsi"/>
          <w:szCs w:val="22"/>
        </w:rPr>
        <w:t xml:space="preserve"> in 82 per cent of cases, and result in higher adjustments to the SG Charge with an average adjustment of $68,000 per employer compared with $25,000 resulting from employee notification cases. </w:t>
      </w:r>
    </w:p>
    <w:p w14:paraId="3B95E866" w14:textId="48BE7749" w:rsidR="007F2BCA" w:rsidRPr="00593036" w:rsidRDefault="007F2BCA" w:rsidP="007F2BCA">
      <w:pPr>
        <w:pStyle w:val="ListParagraph"/>
        <w:numPr>
          <w:ilvl w:val="1"/>
          <w:numId w:val="33"/>
        </w:numPr>
        <w:spacing w:line="360" w:lineRule="auto"/>
        <w:contextualSpacing w:val="0"/>
        <w:jc w:val="both"/>
      </w:pPr>
      <w:r w:rsidRPr="00593036">
        <w:t xml:space="preserve">The ATO has previously explored using a similar approach to the ISA </w:t>
      </w:r>
      <w:r w:rsidRPr="00CD678D">
        <w:t xml:space="preserve">(outlined below in section </w:t>
      </w:r>
      <w:r w:rsidR="0094100C" w:rsidRPr="00CD678D">
        <w:t>3</w:t>
      </w:r>
      <w:r w:rsidRPr="00CD678D">
        <w:t xml:space="preserve">) to test whether observations at the individual level could improve compliance. Even with access to the complete data file, </w:t>
      </w:r>
      <w:r w:rsidR="009D3760" w:rsidRPr="00CD678D">
        <w:rPr>
          <w:rFonts w:cs="Arial"/>
        </w:rPr>
        <w:t>there is</w:t>
      </w:r>
      <w:r w:rsidR="009D3760">
        <w:rPr>
          <w:rFonts w:cs="Arial"/>
        </w:rPr>
        <w:t xml:space="preserve"> not</w:t>
      </w:r>
      <w:r w:rsidR="009D3760" w:rsidRPr="00CD678D">
        <w:rPr>
          <w:rFonts w:cs="Arial"/>
        </w:rPr>
        <w:t xml:space="preserve"> sufficient client level information to construct a targeted audit program, without the risk of auditing in excess of 50</w:t>
      </w:r>
      <w:r w:rsidR="009D3760">
        <w:rPr>
          <w:rFonts w:cs="Arial"/>
        </w:rPr>
        <w:t xml:space="preserve"> per cent</w:t>
      </w:r>
      <w:r w:rsidR="009D3760" w:rsidRPr="00CD678D">
        <w:rPr>
          <w:rFonts w:cs="Arial"/>
        </w:rPr>
        <w:t xml:space="preserve"> of employers, who are likely to be compliant</w:t>
      </w:r>
      <w:r w:rsidR="009D3760">
        <w:rPr>
          <w:rFonts w:cs="Arial"/>
        </w:rPr>
        <w:t xml:space="preserve">. </w:t>
      </w:r>
    </w:p>
    <w:p w14:paraId="2F06FE03" w14:textId="1CD1B65E" w:rsidR="005C7C45" w:rsidRPr="00A93E8E" w:rsidRDefault="001C1897" w:rsidP="005C7C45">
      <w:pPr>
        <w:pStyle w:val="Heading3"/>
      </w:pPr>
      <w:bookmarkStart w:id="85" w:name="_Toc472519685"/>
      <w:bookmarkStart w:id="86" w:name="_Toc472578030"/>
      <w:bookmarkStart w:id="87" w:name="_Toc472892790"/>
      <w:r w:rsidRPr="00A93E8E">
        <w:t xml:space="preserve">Debt </w:t>
      </w:r>
      <w:r w:rsidR="005C7C45" w:rsidRPr="00A93E8E">
        <w:t>management</w:t>
      </w:r>
      <w:bookmarkEnd w:id="84"/>
      <w:bookmarkEnd w:id="85"/>
      <w:bookmarkEnd w:id="86"/>
      <w:bookmarkEnd w:id="87"/>
      <w:r w:rsidR="005C7C45" w:rsidRPr="00A93E8E">
        <w:t xml:space="preserve"> </w:t>
      </w:r>
      <w:r w:rsidRPr="00A93E8E">
        <w:t>and recovery</w:t>
      </w:r>
    </w:p>
    <w:p w14:paraId="3A4B77E2" w14:textId="12AB7C0A" w:rsidR="00A93E8E" w:rsidRPr="00A93E8E" w:rsidRDefault="00A93E8E" w:rsidP="00A93E8E">
      <w:pPr>
        <w:pStyle w:val="ListParagraph"/>
        <w:numPr>
          <w:ilvl w:val="1"/>
          <w:numId w:val="33"/>
        </w:numPr>
        <w:spacing w:line="360" w:lineRule="auto"/>
        <w:contextualSpacing w:val="0"/>
        <w:jc w:val="both"/>
        <w:rPr>
          <w:rFonts w:cstheme="minorHAnsi"/>
          <w:szCs w:val="22"/>
        </w:rPr>
      </w:pPr>
      <w:bookmarkStart w:id="88" w:name="_Toc473190801"/>
      <w:bookmarkStart w:id="89" w:name="_Toc473192421"/>
      <w:r w:rsidRPr="00A93E8E">
        <w:rPr>
          <w:rFonts w:cstheme="minorHAnsi"/>
          <w:szCs w:val="22"/>
        </w:rPr>
        <w:t>The ISA’s report raised concerns that</w:t>
      </w:r>
      <w:r w:rsidR="00592E9C">
        <w:rPr>
          <w:rFonts w:cstheme="minorHAnsi"/>
          <w:szCs w:val="22"/>
        </w:rPr>
        <w:t xml:space="preserve"> only 51 per cent </w:t>
      </w:r>
      <w:r w:rsidR="004E20C7">
        <w:rPr>
          <w:rFonts w:cstheme="minorHAnsi"/>
          <w:szCs w:val="22"/>
        </w:rPr>
        <w:t xml:space="preserve">of </w:t>
      </w:r>
      <w:r w:rsidRPr="00A93E8E">
        <w:rPr>
          <w:rFonts w:cstheme="minorHAnsi"/>
          <w:szCs w:val="22"/>
        </w:rPr>
        <w:t xml:space="preserve">unpaid </w:t>
      </w:r>
      <w:r w:rsidR="00BA1C4F">
        <w:rPr>
          <w:rFonts w:cstheme="minorHAnsi"/>
          <w:szCs w:val="22"/>
        </w:rPr>
        <w:t>superannuation guarantee</w:t>
      </w:r>
      <w:r w:rsidRPr="00A93E8E">
        <w:rPr>
          <w:rFonts w:cstheme="minorHAnsi"/>
          <w:szCs w:val="22"/>
        </w:rPr>
        <w:t xml:space="preserve"> </w:t>
      </w:r>
      <w:r w:rsidR="00592E9C">
        <w:rPr>
          <w:rFonts w:cstheme="minorHAnsi"/>
          <w:szCs w:val="22"/>
        </w:rPr>
        <w:t xml:space="preserve">identified by the ATO is </w:t>
      </w:r>
      <w:r w:rsidR="00444C96">
        <w:rPr>
          <w:rFonts w:cstheme="minorHAnsi"/>
          <w:szCs w:val="22"/>
        </w:rPr>
        <w:t xml:space="preserve">actually </w:t>
      </w:r>
      <w:r w:rsidR="00444C96" w:rsidRPr="00A93E8E">
        <w:rPr>
          <w:rFonts w:cstheme="minorHAnsi"/>
          <w:szCs w:val="22"/>
        </w:rPr>
        <w:t>recovered</w:t>
      </w:r>
      <w:r w:rsidRPr="00A93E8E">
        <w:rPr>
          <w:rFonts w:cstheme="minorHAnsi"/>
          <w:szCs w:val="22"/>
        </w:rPr>
        <w:t xml:space="preserve"> for employees. </w:t>
      </w:r>
    </w:p>
    <w:p w14:paraId="4C1A02B6" w14:textId="57C24434" w:rsidR="00BF6AEA" w:rsidRPr="007F0765" w:rsidRDefault="00BF6AEA" w:rsidP="00BF6AEA">
      <w:pPr>
        <w:pStyle w:val="ListParagraph"/>
        <w:numPr>
          <w:ilvl w:val="1"/>
          <w:numId w:val="33"/>
        </w:numPr>
        <w:spacing w:line="360" w:lineRule="auto"/>
        <w:contextualSpacing w:val="0"/>
        <w:jc w:val="both"/>
        <w:rPr>
          <w:rFonts w:cstheme="minorHAnsi"/>
          <w:szCs w:val="22"/>
        </w:rPr>
      </w:pPr>
      <w:r w:rsidRPr="007F0765">
        <w:rPr>
          <w:rFonts w:cstheme="minorHAnsi"/>
          <w:szCs w:val="22"/>
        </w:rPr>
        <w:t xml:space="preserve">Employer insolvency is a major impediment to recovery. </w:t>
      </w:r>
      <w:r w:rsidR="004E20C7" w:rsidRPr="00A016C5">
        <w:rPr>
          <w:rFonts w:cstheme="minorHAnsi"/>
          <w:szCs w:val="22"/>
        </w:rPr>
        <w:t>As</w:t>
      </w:r>
      <w:r w:rsidRPr="00A016C5">
        <w:t xml:space="preserve"> at</w:t>
      </w:r>
      <w:r w:rsidRPr="007F0765">
        <w:rPr>
          <w:rFonts w:cstheme="minorHAnsi"/>
          <w:szCs w:val="22"/>
        </w:rPr>
        <w:t xml:space="preserve"> 30 June 2016, 52 per cent of the total SG Charge debt was on insolvent </w:t>
      </w:r>
      <w:r w:rsidR="004E20C7" w:rsidRPr="00A016C5">
        <w:rPr>
          <w:rFonts w:cstheme="minorHAnsi"/>
          <w:szCs w:val="22"/>
        </w:rPr>
        <w:t>entities</w:t>
      </w:r>
      <w:r w:rsidRPr="007F0765">
        <w:rPr>
          <w:rFonts w:cstheme="minorHAnsi"/>
          <w:szCs w:val="22"/>
        </w:rPr>
        <w:t xml:space="preserve">. This is much higher than for other tax debts to the ATO, of which only 19 per cent was on insolvent </w:t>
      </w:r>
      <w:r w:rsidR="004E20C7" w:rsidRPr="00A016C5">
        <w:rPr>
          <w:rFonts w:cstheme="minorHAnsi"/>
          <w:szCs w:val="22"/>
        </w:rPr>
        <w:t>entities</w:t>
      </w:r>
      <w:r w:rsidRPr="007F0765">
        <w:rPr>
          <w:rFonts w:cstheme="minorHAnsi"/>
          <w:szCs w:val="22"/>
        </w:rPr>
        <w:t xml:space="preserve">. Due to the lag in reporting non-payment of </w:t>
      </w:r>
      <w:r w:rsidR="00BA1C4F">
        <w:rPr>
          <w:rFonts w:cstheme="minorHAnsi"/>
          <w:szCs w:val="22"/>
        </w:rPr>
        <w:t>superannuation guarantee</w:t>
      </w:r>
      <w:r w:rsidRPr="007F0765">
        <w:rPr>
          <w:rFonts w:cstheme="minorHAnsi"/>
          <w:szCs w:val="22"/>
        </w:rPr>
        <w:t>, insolvency is a significant issue in the recovery of SG Charge debt with $113.2 million irrecoverable at law in 2015-16.</w:t>
      </w:r>
      <w:r w:rsidR="007F7A78" w:rsidRPr="00A016C5">
        <w:rPr>
          <w:rStyle w:val="FootnoteReference"/>
          <w:rFonts w:cstheme="minorHAnsi"/>
          <w:szCs w:val="22"/>
        </w:rPr>
        <w:footnoteReference w:id="5"/>
      </w:r>
    </w:p>
    <w:p w14:paraId="7C42E051" w14:textId="1441229D" w:rsidR="00A93E8E" w:rsidRPr="00A93E8E" w:rsidRDefault="00BF6AEA" w:rsidP="00A93E8E">
      <w:pPr>
        <w:pStyle w:val="ListParagraph"/>
        <w:numPr>
          <w:ilvl w:val="1"/>
          <w:numId w:val="33"/>
        </w:numPr>
        <w:spacing w:line="360" w:lineRule="auto"/>
        <w:contextualSpacing w:val="0"/>
        <w:jc w:val="both"/>
        <w:rPr>
          <w:rFonts w:cstheme="minorHAnsi"/>
          <w:szCs w:val="22"/>
        </w:rPr>
      </w:pPr>
      <w:r w:rsidRPr="007F0765">
        <w:rPr>
          <w:rFonts w:cstheme="minorHAnsi"/>
          <w:szCs w:val="22"/>
        </w:rPr>
        <w:t xml:space="preserve">Another </w:t>
      </w:r>
      <w:r w:rsidR="00A93E8E" w:rsidRPr="007F0765">
        <w:rPr>
          <w:rFonts w:cstheme="minorHAnsi"/>
          <w:szCs w:val="22"/>
        </w:rPr>
        <w:t xml:space="preserve">barrier to recovery is </w:t>
      </w:r>
      <w:r w:rsidR="00BA1C4F">
        <w:rPr>
          <w:rFonts w:cstheme="minorHAnsi"/>
          <w:szCs w:val="22"/>
        </w:rPr>
        <w:t>superannuation guarantee</w:t>
      </w:r>
      <w:r w:rsidR="00A93E8E" w:rsidRPr="007F0765">
        <w:rPr>
          <w:rFonts w:cstheme="minorHAnsi"/>
          <w:szCs w:val="22"/>
        </w:rPr>
        <w:t xml:space="preserve"> debts being </w:t>
      </w:r>
      <w:r w:rsidR="0095194C">
        <w:rPr>
          <w:rFonts w:cstheme="minorHAnsi"/>
          <w:szCs w:val="22"/>
        </w:rPr>
        <w:t>costly</w:t>
      </w:r>
      <w:r w:rsidR="0095194C" w:rsidRPr="007F0765">
        <w:rPr>
          <w:rFonts w:cstheme="minorHAnsi"/>
          <w:szCs w:val="22"/>
        </w:rPr>
        <w:t xml:space="preserve"> </w:t>
      </w:r>
      <w:r w:rsidR="00A93E8E" w:rsidRPr="007F0765">
        <w:rPr>
          <w:rFonts w:cstheme="minorHAnsi"/>
          <w:szCs w:val="22"/>
        </w:rPr>
        <w:t xml:space="preserve">to pursue, largely reflecting their relatively small size. Only five per cent of cases were for amounts </w:t>
      </w:r>
      <w:r w:rsidR="00115402" w:rsidRPr="007F0765">
        <w:rPr>
          <w:rFonts w:cstheme="minorHAnsi"/>
          <w:szCs w:val="22"/>
        </w:rPr>
        <w:t xml:space="preserve">larger </w:t>
      </w:r>
      <w:r w:rsidR="00A93E8E" w:rsidRPr="007F0765">
        <w:rPr>
          <w:rFonts w:cstheme="minorHAnsi"/>
          <w:szCs w:val="22"/>
        </w:rPr>
        <w:t>than $100,000 and 75 per cent were for amounts less than $15,000. 35 per cent of cases</w:t>
      </w:r>
      <w:r w:rsidR="00554715" w:rsidRPr="00A016C5">
        <w:rPr>
          <w:rFonts w:cstheme="minorHAnsi"/>
          <w:szCs w:val="22"/>
        </w:rPr>
        <w:t>, about 8,000 employers,</w:t>
      </w:r>
      <w:r w:rsidR="00A93E8E" w:rsidRPr="007F0765">
        <w:rPr>
          <w:rFonts w:cstheme="minorHAnsi"/>
          <w:szCs w:val="22"/>
        </w:rPr>
        <w:t xml:space="preserve"> </w:t>
      </w:r>
      <w:r w:rsidR="00554715" w:rsidRPr="007F0765">
        <w:rPr>
          <w:rFonts w:cstheme="minorHAnsi"/>
          <w:szCs w:val="22"/>
        </w:rPr>
        <w:t>have</w:t>
      </w:r>
      <w:r w:rsidR="00554715">
        <w:rPr>
          <w:rFonts w:cstheme="minorHAnsi"/>
          <w:szCs w:val="22"/>
        </w:rPr>
        <w:t xml:space="preserve"> a debt below $2,500</w:t>
      </w:r>
      <w:r w:rsidR="00A93E8E" w:rsidRPr="00A93E8E">
        <w:rPr>
          <w:rFonts w:cstheme="minorHAnsi"/>
          <w:szCs w:val="22"/>
        </w:rPr>
        <w:t xml:space="preserve">, </w:t>
      </w:r>
      <w:r w:rsidR="00554715">
        <w:rPr>
          <w:rFonts w:cstheme="minorHAnsi"/>
          <w:szCs w:val="22"/>
        </w:rPr>
        <w:t>with</w:t>
      </w:r>
      <w:r w:rsidR="00A93E8E" w:rsidRPr="00A93E8E">
        <w:rPr>
          <w:rFonts w:cstheme="minorHAnsi"/>
          <w:szCs w:val="22"/>
        </w:rPr>
        <w:t xml:space="preserve"> </w:t>
      </w:r>
      <w:r w:rsidR="00554715">
        <w:rPr>
          <w:rFonts w:cstheme="minorHAnsi"/>
          <w:szCs w:val="22"/>
        </w:rPr>
        <w:t>an</w:t>
      </w:r>
      <w:r w:rsidR="00554715" w:rsidRPr="00A93E8E">
        <w:rPr>
          <w:rFonts w:cstheme="minorHAnsi"/>
          <w:szCs w:val="22"/>
        </w:rPr>
        <w:t xml:space="preserve"> </w:t>
      </w:r>
      <w:r w:rsidR="00A93E8E" w:rsidRPr="00A93E8E">
        <w:rPr>
          <w:rFonts w:cstheme="minorHAnsi"/>
          <w:szCs w:val="22"/>
        </w:rPr>
        <w:t xml:space="preserve">average debt </w:t>
      </w:r>
      <w:r w:rsidR="00554715">
        <w:rPr>
          <w:rFonts w:cstheme="minorHAnsi"/>
          <w:szCs w:val="22"/>
        </w:rPr>
        <w:t>of</w:t>
      </w:r>
      <w:r w:rsidR="00554715" w:rsidRPr="00A93E8E">
        <w:rPr>
          <w:rFonts w:cstheme="minorHAnsi"/>
          <w:szCs w:val="22"/>
        </w:rPr>
        <w:t xml:space="preserve"> </w:t>
      </w:r>
      <w:r w:rsidR="00A93E8E" w:rsidRPr="00A93E8E">
        <w:rPr>
          <w:rFonts w:cstheme="minorHAnsi"/>
          <w:szCs w:val="22"/>
        </w:rPr>
        <w:t>$273. To enable repayment, the ATO granted around 6,000 payment plans worth almost $250 million for SG Charge debts in 2015-16.</w:t>
      </w:r>
    </w:p>
    <w:p w14:paraId="3F37DF34" w14:textId="21D99317" w:rsidR="00A93E8E" w:rsidRDefault="00A93E8E" w:rsidP="0007543E">
      <w:pPr>
        <w:pStyle w:val="ListParagraph"/>
        <w:numPr>
          <w:ilvl w:val="1"/>
          <w:numId w:val="33"/>
        </w:numPr>
        <w:spacing w:line="360" w:lineRule="auto"/>
        <w:ind w:left="578" w:hanging="578"/>
        <w:contextualSpacing w:val="0"/>
        <w:jc w:val="both"/>
      </w:pPr>
      <w:r w:rsidRPr="00A93E8E">
        <w:rPr>
          <w:rFonts w:cstheme="minorHAnsi"/>
          <w:szCs w:val="22"/>
        </w:rPr>
        <w:t xml:space="preserve">The ATO’s ability to issue Director Penalty Notices since June 2012 means that company directors can be made personally liable for unpaid </w:t>
      </w:r>
      <w:r w:rsidR="00BA1C4F">
        <w:rPr>
          <w:rFonts w:cstheme="minorHAnsi"/>
          <w:szCs w:val="22"/>
        </w:rPr>
        <w:t>superannuation guarantee</w:t>
      </w:r>
      <w:r w:rsidRPr="00A93E8E">
        <w:rPr>
          <w:rFonts w:cstheme="minorHAnsi"/>
          <w:szCs w:val="22"/>
        </w:rPr>
        <w:t xml:space="preserve"> amounts.  In 2015</w:t>
      </w:r>
      <w:r w:rsidRPr="00A93E8E">
        <w:rPr>
          <w:rFonts w:cstheme="minorHAnsi" w:hint="eastAsia"/>
          <w:szCs w:val="22"/>
        </w:rPr>
        <w:noBreakHyphen/>
      </w:r>
      <w:r w:rsidRPr="00A93E8E">
        <w:rPr>
          <w:rFonts w:cstheme="minorHAnsi"/>
          <w:szCs w:val="22"/>
        </w:rPr>
        <w:t>16 the ATO issued almost 900 Director Penalty Notices for over $130 million in company SG Charge debt.</w:t>
      </w:r>
    </w:p>
    <w:p w14:paraId="5D7A9CDD" w14:textId="48C2864E" w:rsidR="0022707F" w:rsidRDefault="0022707F" w:rsidP="0007543E">
      <w:pPr>
        <w:pStyle w:val="Heading2"/>
        <w:ind w:left="578" w:hanging="578"/>
      </w:pPr>
      <w:bookmarkStart w:id="90" w:name="_Toc473540247"/>
      <w:bookmarkStart w:id="91" w:name="_Toc473554630"/>
      <w:bookmarkStart w:id="92" w:name="_Toc473625448"/>
      <w:bookmarkStart w:id="93" w:name="_Toc473629879"/>
      <w:bookmarkStart w:id="94" w:name="_Toc473631171"/>
      <w:bookmarkStart w:id="95" w:name="_Toc473631465"/>
      <w:bookmarkStart w:id="96" w:name="_Toc473636589"/>
      <w:bookmarkStart w:id="97" w:name="_Toc473635307"/>
      <w:bookmarkEnd w:id="88"/>
      <w:bookmarkEnd w:id="89"/>
      <w:r>
        <w:t>Systemic challenges and reforms</w:t>
      </w:r>
      <w:bookmarkEnd w:id="90"/>
      <w:bookmarkEnd w:id="91"/>
      <w:bookmarkEnd w:id="92"/>
      <w:bookmarkEnd w:id="93"/>
      <w:bookmarkEnd w:id="94"/>
      <w:bookmarkEnd w:id="95"/>
      <w:bookmarkEnd w:id="96"/>
      <w:bookmarkEnd w:id="97"/>
      <w:r>
        <w:t xml:space="preserve"> </w:t>
      </w:r>
    </w:p>
    <w:p w14:paraId="43E0B55C" w14:textId="77777777" w:rsidR="0007543E" w:rsidRDefault="0022707F" w:rsidP="0022707F">
      <w:pPr>
        <w:pStyle w:val="Heading3"/>
        <w:ind w:left="720" w:hanging="720"/>
      </w:pPr>
      <w:r>
        <w:t xml:space="preserve">Data limitations for compliance </w:t>
      </w:r>
    </w:p>
    <w:p w14:paraId="1E9A538E" w14:textId="69A746A2" w:rsidR="0007543E" w:rsidRPr="00CD678D" w:rsidRDefault="0007543E" w:rsidP="0007543E">
      <w:pPr>
        <w:pStyle w:val="ListParagraph"/>
        <w:numPr>
          <w:ilvl w:val="1"/>
          <w:numId w:val="33"/>
        </w:numPr>
        <w:spacing w:line="360" w:lineRule="auto"/>
        <w:contextualSpacing w:val="0"/>
        <w:jc w:val="both"/>
      </w:pPr>
      <w:r w:rsidRPr="007F7D58">
        <w:t>The design</w:t>
      </w:r>
      <w:r w:rsidRPr="007F7D58" w:rsidDel="00F41963">
        <w:t xml:space="preserve"> of the </w:t>
      </w:r>
      <w:r w:rsidR="00BA1C4F">
        <w:rPr>
          <w:rFonts w:cstheme="minorHAnsi"/>
          <w:szCs w:val="22"/>
        </w:rPr>
        <w:t>superannuation guarantee</w:t>
      </w:r>
      <w:r w:rsidRPr="007F7D58" w:rsidDel="00F41963">
        <w:t xml:space="preserve"> system – one with </w:t>
      </w:r>
      <w:r w:rsidR="00A61E5E">
        <w:t xml:space="preserve">employees, </w:t>
      </w:r>
      <w:r w:rsidRPr="007F7D58">
        <w:t>employers and superannuation funds at its core</w:t>
      </w:r>
      <w:r w:rsidR="00731CDA" w:rsidRPr="007F7D58" w:rsidDel="00F41963">
        <w:t xml:space="preserve">, and </w:t>
      </w:r>
      <w:r w:rsidR="00B2054A">
        <w:t xml:space="preserve">where </w:t>
      </w:r>
      <w:r w:rsidR="00731CDA" w:rsidRPr="007F7D58" w:rsidDel="00F41963">
        <w:t>only non</w:t>
      </w:r>
      <w:r w:rsidR="00CA242B" w:rsidRPr="007F7D58" w:rsidDel="00F41963">
        <w:noBreakHyphen/>
      </w:r>
      <w:r w:rsidR="00731CDA" w:rsidRPr="007F7D58" w:rsidDel="00F41963">
        <w:t>compliant employers are required to</w:t>
      </w:r>
      <w:r w:rsidR="00CC3BFD" w:rsidRPr="007F7D58" w:rsidDel="00F41963">
        <w:t xml:space="preserve"> </w:t>
      </w:r>
      <w:r w:rsidR="00731CDA" w:rsidRPr="007F7D58" w:rsidDel="00F41963">
        <w:t>report</w:t>
      </w:r>
      <w:r w:rsidR="00115402">
        <w:t xml:space="preserve"> to the ATO </w:t>
      </w:r>
      <w:r w:rsidRPr="007F7D58" w:rsidDel="00F41963">
        <w:t xml:space="preserve">– </w:t>
      </w:r>
      <w:r w:rsidRPr="007F7D58">
        <w:t>mean</w:t>
      </w:r>
      <w:r w:rsidRPr="007F7D58" w:rsidDel="00F41963">
        <w:t>s</w:t>
      </w:r>
      <w:r w:rsidRPr="007F7D58">
        <w:t xml:space="preserve"> that the ATO has</w:t>
      </w:r>
      <w:r w:rsidR="00115402">
        <w:t xml:space="preserve"> limited</w:t>
      </w:r>
      <w:r w:rsidRPr="007F7D58">
        <w:t xml:space="preserve"> </w:t>
      </w:r>
      <w:r w:rsidR="00323891">
        <w:t xml:space="preserve">timely </w:t>
      </w:r>
      <w:r w:rsidRPr="007F7D58">
        <w:t xml:space="preserve">data with which to monitor </w:t>
      </w:r>
      <w:r w:rsidRPr="00BD103B">
        <w:t>complianc</w:t>
      </w:r>
      <w:r w:rsidR="009B151D" w:rsidRPr="00CD678D">
        <w:t>e.</w:t>
      </w:r>
    </w:p>
    <w:p w14:paraId="21842CDB" w14:textId="436FC7AE" w:rsidR="003D184D" w:rsidRPr="005E3A1C" w:rsidRDefault="0007543E" w:rsidP="003D184D">
      <w:pPr>
        <w:pStyle w:val="ListParagraph"/>
        <w:numPr>
          <w:ilvl w:val="1"/>
          <w:numId w:val="33"/>
        </w:numPr>
        <w:spacing w:line="360" w:lineRule="auto"/>
        <w:contextualSpacing w:val="0"/>
        <w:jc w:val="both"/>
        <w:rPr>
          <w:rFonts w:cstheme="minorHAnsi"/>
          <w:szCs w:val="22"/>
        </w:rPr>
      </w:pPr>
      <w:r>
        <w:rPr>
          <w:rFonts w:cstheme="minorHAnsi"/>
          <w:szCs w:val="22"/>
        </w:rPr>
        <w:t xml:space="preserve">Information about </w:t>
      </w:r>
      <w:r w:rsidRPr="00A942DD">
        <w:rPr>
          <w:rFonts w:cstheme="minorHAnsi"/>
          <w:szCs w:val="22"/>
        </w:rPr>
        <w:t xml:space="preserve">employer contributions </w:t>
      </w:r>
      <w:r>
        <w:rPr>
          <w:rFonts w:cstheme="minorHAnsi"/>
          <w:szCs w:val="22"/>
        </w:rPr>
        <w:t>comes</w:t>
      </w:r>
      <w:r w:rsidRPr="00A942DD">
        <w:rPr>
          <w:rFonts w:cstheme="minorHAnsi"/>
          <w:szCs w:val="22"/>
        </w:rPr>
        <w:t xml:space="preserve"> through annual reporting from the employee’s superannuation fund</w:t>
      </w:r>
      <w:r>
        <w:rPr>
          <w:rFonts w:cstheme="minorHAnsi"/>
          <w:szCs w:val="22"/>
        </w:rPr>
        <w:t xml:space="preserve">’s </w:t>
      </w:r>
      <w:r w:rsidRPr="005E3A1C">
        <w:rPr>
          <w:rFonts w:cstheme="minorHAnsi"/>
          <w:szCs w:val="22"/>
        </w:rPr>
        <w:t>MCS</w:t>
      </w:r>
      <w:r w:rsidR="003D184D" w:rsidRPr="005E3A1C">
        <w:rPr>
          <w:rFonts w:cstheme="minorHAnsi"/>
          <w:szCs w:val="22"/>
        </w:rPr>
        <w:t xml:space="preserve">, received </w:t>
      </w:r>
      <w:r w:rsidR="003D184D" w:rsidRPr="005E3A1C" w:rsidDel="00F41963">
        <w:rPr>
          <w:rFonts w:cstheme="minorHAnsi"/>
          <w:szCs w:val="22"/>
        </w:rPr>
        <w:t xml:space="preserve">by the ATO </w:t>
      </w:r>
      <w:r w:rsidR="003D184D" w:rsidRPr="005E3A1C">
        <w:rPr>
          <w:rFonts w:cstheme="minorHAnsi"/>
          <w:szCs w:val="22"/>
        </w:rPr>
        <w:t xml:space="preserve">in </w:t>
      </w:r>
      <w:r w:rsidR="00323891">
        <w:rPr>
          <w:rFonts w:cstheme="minorHAnsi"/>
          <w:szCs w:val="22"/>
        </w:rPr>
        <w:t xml:space="preserve">the </w:t>
      </w:r>
      <w:r w:rsidR="003D184D" w:rsidRPr="005E3A1C">
        <w:rPr>
          <w:rFonts w:cstheme="minorHAnsi"/>
          <w:szCs w:val="22"/>
        </w:rPr>
        <w:t xml:space="preserve">October </w:t>
      </w:r>
      <w:r w:rsidR="00167C50" w:rsidRPr="005E3A1C">
        <w:rPr>
          <w:rFonts w:cstheme="minorHAnsi"/>
          <w:szCs w:val="22"/>
        </w:rPr>
        <w:t xml:space="preserve">after the </w:t>
      </w:r>
      <w:r w:rsidR="00883A82" w:rsidRPr="005E3A1C">
        <w:rPr>
          <w:rFonts w:cstheme="minorHAnsi"/>
          <w:szCs w:val="22"/>
        </w:rPr>
        <w:t>income</w:t>
      </w:r>
      <w:r w:rsidR="00167C50" w:rsidRPr="005E3A1C">
        <w:rPr>
          <w:rFonts w:cstheme="minorHAnsi"/>
          <w:szCs w:val="22"/>
        </w:rPr>
        <w:t xml:space="preserve"> year</w:t>
      </w:r>
      <w:r>
        <w:rPr>
          <w:rFonts w:cstheme="minorHAnsi"/>
          <w:szCs w:val="22"/>
        </w:rPr>
        <w:t xml:space="preserve">. </w:t>
      </w:r>
      <w:r w:rsidR="003D184D" w:rsidRPr="005E3A1C">
        <w:rPr>
          <w:rFonts w:cstheme="minorHAnsi"/>
          <w:szCs w:val="22"/>
        </w:rPr>
        <w:t xml:space="preserve">These reports focus on </w:t>
      </w:r>
      <w:r w:rsidR="003D184D" w:rsidRPr="00BD103B">
        <w:t>members</w:t>
      </w:r>
      <w:r w:rsidR="000264EC" w:rsidRPr="00CD678D">
        <w:t xml:space="preserve"> (i</w:t>
      </w:r>
      <w:r w:rsidR="003E6898">
        <w:t>.</w:t>
      </w:r>
      <w:r w:rsidR="000264EC" w:rsidRPr="00CD678D">
        <w:t>e</w:t>
      </w:r>
      <w:r w:rsidR="003E6898">
        <w:t>.</w:t>
      </w:r>
      <w:r w:rsidR="000264EC" w:rsidRPr="00CD678D">
        <w:t xml:space="preserve"> employees)</w:t>
      </w:r>
      <w:r w:rsidR="003D184D" w:rsidRPr="00CD678D">
        <w:t>, reporting the total super</w:t>
      </w:r>
      <w:r w:rsidR="00622A43">
        <w:t>annuation</w:t>
      </w:r>
      <w:r w:rsidR="003D184D" w:rsidRPr="00CD678D">
        <w:t xml:space="preserve"> contributions members receive. </w:t>
      </w:r>
      <w:r w:rsidR="009B151D" w:rsidRPr="00CD678D">
        <w:t xml:space="preserve">These reports </w:t>
      </w:r>
      <w:r w:rsidR="00186F0C" w:rsidRPr="00CD678D">
        <w:t xml:space="preserve">do not </w:t>
      </w:r>
      <w:r w:rsidR="00323891" w:rsidRPr="00CD678D">
        <w:t xml:space="preserve">consistently </w:t>
      </w:r>
      <w:r w:rsidR="00186F0C" w:rsidRPr="00CD678D">
        <w:t>identify</w:t>
      </w:r>
      <w:r w:rsidR="00186F0C">
        <w:rPr>
          <w:rFonts w:cstheme="minorHAnsi"/>
          <w:szCs w:val="22"/>
        </w:rPr>
        <w:t xml:space="preserve"> the </w:t>
      </w:r>
      <w:r w:rsidR="00D424E2">
        <w:rPr>
          <w:rFonts w:cstheme="minorHAnsi"/>
          <w:szCs w:val="22"/>
        </w:rPr>
        <w:t>employer who make</w:t>
      </w:r>
      <w:r w:rsidR="00323891">
        <w:rPr>
          <w:rFonts w:cstheme="minorHAnsi"/>
          <w:szCs w:val="22"/>
        </w:rPr>
        <w:t>s</w:t>
      </w:r>
      <w:r w:rsidR="00D424E2">
        <w:rPr>
          <w:rFonts w:cstheme="minorHAnsi"/>
          <w:szCs w:val="22"/>
        </w:rPr>
        <w:t xml:space="preserve"> </w:t>
      </w:r>
      <w:r w:rsidR="00BA1C4F">
        <w:rPr>
          <w:rFonts w:cstheme="minorHAnsi"/>
          <w:szCs w:val="22"/>
        </w:rPr>
        <w:t>the superannuation guarantee</w:t>
      </w:r>
      <w:r w:rsidR="00323891">
        <w:rPr>
          <w:rFonts w:cstheme="minorHAnsi"/>
          <w:szCs w:val="22"/>
        </w:rPr>
        <w:t xml:space="preserve"> contribution</w:t>
      </w:r>
      <w:r w:rsidR="00D424E2">
        <w:rPr>
          <w:rFonts w:cstheme="minorHAnsi"/>
          <w:szCs w:val="22"/>
        </w:rPr>
        <w:t xml:space="preserve">. This limitation reduces the ATO’s abilities to identify employers who do not comply with their </w:t>
      </w:r>
      <w:r w:rsidR="00BA1C4F">
        <w:rPr>
          <w:rFonts w:cstheme="minorHAnsi"/>
          <w:szCs w:val="22"/>
        </w:rPr>
        <w:t>superannuation guarantee</w:t>
      </w:r>
      <w:r w:rsidR="00D424E2">
        <w:rPr>
          <w:rFonts w:cstheme="minorHAnsi"/>
          <w:szCs w:val="22"/>
        </w:rPr>
        <w:t xml:space="preserve"> obligations.  </w:t>
      </w:r>
      <w:r w:rsidR="003D184D" w:rsidRPr="00F8485A">
        <w:rPr>
          <w:rFonts w:cstheme="minorHAnsi"/>
          <w:szCs w:val="22"/>
        </w:rPr>
        <w:t xml:space="preserve">If an employee has multiple employers and there is a </w:t>
      </w:r>
      <w:r w:rsidR="00BA1C4F">
        <w:rPr>
          <w:rFonts w:cstheme="minorHAnsi"/>
          <w:szCs w:val="22"/>
        </w:rPr>
        <w:t>superannuation guarantee</w:t>
      </w:r>
      <w:r w:rsidR="003D184D" w:rsidRPr="00F8485A">
        <w:rPr>
          <w:rFonts w:cstheme="minorHAnsi"/>
          <w:szCs w:val="22"/>
        </w:rPr>
        <w:t xml:space="preserve"> shortfall, the ATO cannot readily identify </w:t>
      </w:r>
      <w:r w:rsidR="003D184D">
        <w:rPr>
          <w:rFonts w:cstheme="minorHAnsi"/>
          <w:szCs w:val="22"/>
        </w:rPr>
        <w:t xml:space="preserve">which employer is </w:t>
      </w:r>
      <w:r w:rsidR="00167C50">
        <w:rPr>
          <w:rFonts w:cstheme="minorHAnsi"/>
          <w:szCs w:val="22"/>
        </w:rPr>
        <w:t>non</w:t>
      </w:r>
      <w:r w:rsidR="00CA242B">
        <w:rPr>
          <w:rFonts w:cstheme="minorHAnsi"/>
          <w:szCs w:val="22"/>
        </w:rPr>
        <w:noBreakHyphen/>
      </w:r>
      <w:r w:rsidR="003D184D" w:rsidRPr="00F8485A">
        <w:rPr>
          <w:rFonts w:cstheme="minorHAnsi"/>
          <w:szCs w:val="22"/>
        </w:rPr>
        <w:t>compliant at the end of the year. Similarly</w:t>
      </w:r>
      <w:r w:rsidR="003D184D">
        <w:rPr>
          <w:rFonts w:cstheme="minorHAnsi"/>
          <w:szCs w:val="22"/>
        </w:rPr>
        <w:t>,</w:t>
      </w:r>
      <w:r w:rsidR="003D184D" w:rsidRPr="00F8485A">
        <w:rPr>
          <w:rFonts w:cstheme="minorHAnsi"/>
          <w:szCs w:val="22"/>
        </w:rPr>
        <w:t xml:space="preserve"> this is an issue where employees have multiple superannuation fund accounts</w:t>
      </w:r>
      <w:r w:rsidR="003D184D" w:rsidRPr="005E3A1C">
        <w:rPr>
          <w:rFonts w:cstheme="minorHAnsi"/>
          <w:szCs w:val="22"/>
        </w:rPr>
        <w:t xml:space="preserve">. </w:t>
      </w:r>
    </w:p>
    <w:p w14:paraId="66B97EDC" w14:textId="2B1A739C" w:rsidR="0007543E" w:rsidRDefault="0007543E" w:rsidP="009F7436">
      <w:pPr>
        <w:pStyle w:val="ListParagraph"/>
        <w:numPr>
          <w:ilvl w:val="1"/>
          <w:numId w:val="33"/>
        </w:numPr>
        <w:spacing w:line="360" w:lineRule="auto"/>
        <w:contextualSpacing w:val="0"/>
        <w:jc w:val="both"/>
      </w:pPr>
      <w:r w:rsidRPr="003D184D">
        <w:rPr>
          <w:rFonts w:cstheme="minorHAnsi"/>
          <w:szCs w:val="22"/>
        </w:rPr>
        <w:t>Salary</w:t>
      </w:r>
      <w:r w:rsidR="00731CDA" w:rsidRPr="003D184D">
        <w:rPr>
          <w:rFonts w:cstheme="minorHAnsi"/>
          <w:szCs w:val="22"/>
        </w:rPr>
        <w:t xml:space="preserve"> or </w:t>
      </w:r>
      <w:r w:rsidRPr="003D184D">
        <w:rPr>
          <w:rFonts w:cstheme="minorHAnsi"/>
          <w:szCs w:val="22"/>
        </w:rPr>
        <w:t xml:space="preserve">wage information </w:t>
      </w:r>
      <w:r w:rsidR="00715B55">
        <w:rPr>
          <w:rFonts w:cstheme="minorHAnsi"/>
          <w:szCs w:val="22"/>
        </w:rPr>
        <w:t xml:space="preserve">for an individual can be </w:t>
      </w:r>
      <w:r w:rsidRPr="003D184D">
        <w:rPr>
          <w:rFonts w:cstheme="minorHAnsi"/>
          <w:szCs w:val="22"/>
        </w:rPr>
        <w:t xml:space="preserve">obtained from an employee’s income tax return or </w:t>
      </w:r>
      <w:r w:rsidR="00827678">
        <w:rPr>
          <w:rFonts w:cstheme="minorHAnsi"/>
          <w:szCs w:val="22"/>
        </w:rPr>
        <w:t xml:space="preserve">pay as you go (PAYG) withholding </w:t>
      </w:r>
      <w:r w:rsidRPr="003D184D">
        <w:rPr>
          <w:rFonts w:cstheme="minorHAnsi"/>
          <w:szCs w:val="22"/>
        </w:rPr>
        <w:t>payment summaries.</w:t>
      </w:r>
      <w:r w:rsidR="003D184D">
        <w:rPr>
          <w:rFonts w:cstheme="minorHAnsi"/>
          <w:szCs w:val="22"/>
        </w:rPr>
        <w:t xml:space="preserve"> </w:t>
      </w:r>
      <w:r w:rsidR="00167C50">
        <w:t>This does</w:t>
      </w:r>
      <w:r w:rsidR="009F7436">
        <w:t xml:space="preserve"> </w:t>
      </w:r>
      <w:r w:rsidR="009F7436" w:rsidRPr="007D7177">
        <w:t xml:space="preserve">not include </w:t>
      </w:r>
      <w:r w:rsidR="00BA1C4F">
        <w:rPr>
          <w:rFonts w:cstheme="minorHAnsi"/>
          <w:szCs w:val="22"/>
        </w:rPr>
        <w:t>superannuation guarantee</w:t>
      </w:r>
      <w:r w:rsidR="009F7436" w:rsidRPr="007D7177">
        <w:t xml:space="preserve"> payment </w:t>
      </w:r>
      <w:r w:rsidR="009F7436">
        <w:t xml:space="preserve">information </w:t>
      </w:r>
      <w:r w:rsidR="009F7436" w:rsidRPr="007D7177">
        <w:t xml:space="preserve">and reports ‘gross’ payments </w:t>
      </w:r>
      <w:r w:rsidR="009F7436">
        <w:t>(salary or wages)</w:t>
      </w:r>
      <w:r w:rsidR="00167C50">
        <w:t xml:space="preserve">, rather than </w:t>
      </w:r>
      <w:r w:rsidR="009F7436" w:rsidRPr="007D7177">
        <w:t>‘</w:t>
      </w:r>
      <w:r w:rsidR="009F7436">
        <w:t>OTE’</w:t>
      </w:r>
      <w:r w:rsidR="00715B55">
        <w:t xml:space="preserve">, which is the base upon which </w:t>
      </w:r>
      <w:r w:rsidR="00BA1C4F">
        <w:rPr>
          <w:rFonts w:cstheme="minorHAnsi"/>
          <w:szCs w:val="22"/>
        </w:rPr>
        <w:t>superannuation guarantee</w:t>
      </w:r>
      <w:r w:rsidR="00715B55">
        <w:t xml:space="preserve"> is paid</w:t>
      </w:r>
      <w:r w:rsidR="009F7436" w:rsidRPr="007D7177">
        <w:t>.</w:t>
      </w:r>
      <w:r w:rsidR="009F7436">
        <w:t xml:space="preserve"> </w:t>
      </w:r>
    </w:p>
    <w:p w14:paraId="7544ABB0" w14:textId="2ACFF29C" w:rsidR="0007543E" w:rsidRPr="00CD678D" w:rsidRDefault="002141F2" w:rsidP="003A7E71">
      <w:pPr>
        <w:pStyle w:val="ListParagraph"/>
        <w:numPr>
          <w:ilvl w:val="1"/>
          <w:numId w:val="33"/>
        </w:numPr>
        <w:spacing w:line="360" w:lineRule="auto"/>
        <w:contextualSpacing w:val="0"/>
        <w:jc w:val="both"/>
      </w:pPr>
      <w:r>
        <w:rPr>
          <w:rFonts w:cstheme="minorHAnsi"/>
          <w:szCs w:val="22"/>
        </w:rPr>
        <w:t xml:space="preserve">Both sets of </w:t>
      </w:r>
      <w:r w:rsidR="00550C30" w:rsidRPr="005E3A1C">
        <w:rPr>
          <w:rFonts w:cstheme="minorHAnsi"/>
          <w:szCs w:val="22"/>
        </w:rPr>
        <w:t xml:space="preserve">data have time lags and other limitations which impact the ATO’s ability to </w:t>
      </w:r>
      <w:r w:rsidR="00941814">
        <w:rPr>
          <w:rFonts w:cstheme="minorHAnsi"/>
          <w:szCs w:val="22"/>
        </w:rPr>
        <w:t xml:space="preserve">accurately estimate the </w:t>
      </w:r>
      <w:r w:rsidR="0041411C">
        <w:rPr>
          <w:rFonts w:cstheme="minorHAnsi"/>
          <w:szCs w:val="22"/>
        </w:rPr>
        <w:t xml:space="preserve">superannuation guarantee </w:t>
      </w:r>
      <w:r w:rsidR="00941814">
        <w:rPr>
          <w:rFonts w:cstheme="minorHAnsi"/>
          <w:szCs w:val="22"/>
        </w:rPr>
        <w:t xml:space="preserve">amounts that </w:t>
      </w:r>
      <w:r w:rsidR="00941814" w:rsidRPr="00941814">
        <w:rPr>
          <w:rFonts w:cstheme="minorHAnsi"/>
          <w:szCs w:val="22"/>
          <w:u w:val="single"/>
        </w:rPr>
        <w:t>should</w:t>
      </w:r>
      <w:r w:rsidR="00941814">
        <w:rPr>
          <w:rFonts w:cstheme="minorHAnsi"/>
          <w:szCs w:val="22"/>
        </w:rPr>
        <w:t xml:space="preserve"> have been paid and to </w:t>
      </w:r>
      <w:r w:rsidRPr="00941814">
        <w:rPr>
          <w:rFonts w:cstheme="minorHAnsi"/>
          <w:szCs w:val="22"/>
        </w:rPr>
        <w:t>identify</w:t>
      </w:r>
      <w:r>
        <w:rPr>
          <w:rFonts w:cstheme="minorHAnsi"/>
          <w:szCs w:val="22"/>
        </w:rPr>
        <w:t xml:space="preserve"> employers</w:t>
      </w:r>
      <w:r w:rsidR="00941814">
        <w:rPr>
          <w:rFonts w:cstheme="minorHAnsi"/>
          <w:szCs w:val="22"/>
        </w:rPr>
        <w:t xml:space="preserve"> who have underpaid</w:t>
      </w:r>
      <w:r w:rsidR="00550C30" w:rsidRPr="005E3A1C">
        <w:rPr>
          <w:rFonts w:cstheme="minorHAnsi"/>
          <w:szCs w:val="22"/>
        </w:rPr>
        <w:t xml:space="preserve">. </w:t>
      </w:r>
      <w:r w:rsidR="0007543E" w:rsidRPr="005E3A1C">
        <w:rPr>
          <w:rFonts w:cstheme="minorHAnsi"/>
          <w:szCs w:val="22"/>
        </w:rPr>
        <w:t xml:space="preserve">The issue of data visibility and timeliness has been highlighted in previous independent reviews since 2010 into the ATO’s administration of </w:t>
      </w:r>
      <w:r w:rsidR="0041411C">
        <w:rPr>
          <w:rFonts w:cstheme="minorHAnsi"/>
          <w:szCs w:val="22"/>
        </w:rPr>
        <w:t>superannuation guarantee</w:t>
      </w:r>
      <w:r w:rsidR="0007543E" w:rsidRPr="005E3A1C">
        <w:rPr>
          <w:rFonts w:cstheme="minorHAnsi"/>
          <w:szCs w:val="22"/>
        </w:rPr>
        <w:t>, by both the Australian National Audit Office and the Inspector</w:t>
      </w:r>
      <w:r w:rsidR="00CA242B">
        <w:rPr>
          <w:rFonts w:cstheme="minorHAnsi"/>
          <w:szCs w:val="22"/>
        </w:rPr>
        <w:noBreakHyphen/>
      </w:r>
      <w:r w:rsidR="0007543E" w:rsidRPr="005E3A1C">
        <w:rPr>
          <w:rFonts w:cstheme="minorHAnsi"/>
          <w:szCs w:val="22"/>
        </w:rPr>
        <w:t xml:space="preserve">General of Taxation. </w:t>
      </w:r>
    </w:p>
    <w:p w14:paraId="667B831C" w14:textId="77777777" w:rsidR="0022707F" w:rsidRDefault="0022707F" w:rsidP="002D5E81">
      <w:pPr>
        <w:pStyle w:val="Heading4"/>
      </w:pPr>
      <w:bookmarkStart w:id="98" w:name="_Toc472892780"/>
      <w:r>
        <w:t>ATO Tax ‘gap’ program</w:t>
      </w:r>
    </w:p>
    <w:p w14:paraId="2B61B2E6" w14:textId="5CA25551" w:rsidR="0022707F" w:rsidRPr="002D5E81" w:rsidRDefault="0022707F" w:rsidP="00955DF2">
      <w:pPr>
        <w:pStyle w:val="Maintext"/>
        <w:numPr>
          <w:ilvl w:val="1"/>
          <w:numId w:val="33"/>
        </w:numPr>
        <w:spacing w:before="140" w:line="360" w:lineRule="auto"/>
        <w:jc w:val="both"/>
      </w:pPr>
      <w:r w:rsidRPr="002D5E81">
        <w:t xml:space="preserve">The ISA called for government to investigate the estimates made in its report, including at an industry level. In 2014, the Commissioner of Taxation committed to estimating gaps for all taxes and programs the ATO administers.  </w:t>
      </w:r>
    </w:p>
    <w:p w14:paraId="7B63720C" w14:textId="228CFADD" w:rsidR="002141F2" w:rsidRDefault="002141F2" w:rsidP="002141F2">
      <w:pPr>
        <w:pStyle w:val="Maintext"/>
        <w:numPr>
          <w:ilvl w:val="1"/>
          <w:numId w:val="33"/>
        </w:numPr>
        <w:spacing w:before="140" w:line="360" w:lineRule="auto"/>
        <w:jc w:val="both"/>
        <w:rPr>
          <w:lang w:eastAsia="ja-JP"/>
        </w:rPr>
      </w:pPr>
      <w:r w:rsidRPr="00CA30CE">
        <w:rPr>
          <w:lang w:eastAsia="ja-JP"/>
        </w:rPr>
        <w:t xml:space="preserve">The approach </w:t>
      </w:r>
      <w:r w:rsidR="00941814">
        <w:rPr>
          <w:lang w:eastAsia="ja-JP"/>
        </w:rPr>
        <w:t xml:space="preserve">that the ATO </w:t>
      </w:r>
      <w:r w:rsidR="00B2054A">
        <w:rPr>
          <w:lang w:eastAsia="ja-JP"/>
        </w:rPr>
        <w:t xml:space="preserve">is developing </w:t>
      </w:r>
      <w:r w:rsidR="0066035C">
        <w:rPr>
          <w:lang w:eastAsia="ja-JP"/>
        </w:rPr>
        <w:t>for</w:t>
      </w:r>
      <w:r w:rsidR="0066035C" w:rsidRPr="00CA30CE">
        <w:rPr>
          <w:lang w:eastAsia="ja-JP"/>
        </w:rPr>
        <w:t xml:space="preserve"> </w:t>
      </w:r>
      <w:r w:rsidRPr="00CA30CE">
        <w:rPr>
          <w:lang w:eastAsia="ja-JP"/>
        </w:rPr>
        <w:t xml:space="preserve">estimating the </w:t>
      </w:r>
      <w:r w:rsidR="0041411C">
        <w:rPr>
          <w:lang w:eastAsia="ja-JP"/>
        </w:rPr>
        <w:t>superannuation guarantee</w:t>
      </w:r>
      <w:r w:rsidR="0041411C" w:rsidRPr="00CA30CE">
        <w:rPr>
          <w:lang w:eastAsia="ja-JP"/>
        </w:rPr>
        <w:t xml:space="preserve"> </w:t>
      </w:r>
      <w:r w:rsidRPr="00CA30CE">
        <w:rPr>
          <w:lang w:eastAsia="ja-JP"/>
        </w:rPr>
        <w:t xml:space="preserve">gap differs from the approach used by the ISA.  The ATO approach </w:t>
      </w:r>
      <w:r w:rsidR="0066035C">
        <w:rPr>
          <w:lang w:eastAsia="ja-JP"/>
        </w:rPr>
        <w:t xml:space="preserve">would give </w:t>
      </w:r>
      <w:r w:rsidRPr="00CA30CE">
        <w:rPr>
          <w:lang w:eastAsia="ja-JP"/>
        </w:rPr>
        <w:t xml:space="preserve">a ‘top down’ estimate </w:t>
      </w:r>
      <w:r>
        <w:rPr>
          <w:lang w:eastAsia="ja-JP"/>
        </w:rPr>
        <w:t xml:space="preserve">of </w:t>
      </w:r>
      <w:r w:rsidRPr="00CA30CE">
        <w:rPr>
          <w:lang w:eastAsia="ja-JP"/>
        </w:rPr>
        <w:t>aggregate non</w:t>
      </w:r>
      <w:r>
        <w:rPr>
          <w:rFonts w:cs="Arial"/>
          <w:szCs w:val="22"/>
          <w:lang w:eastAsia="ja-JP"/>
        </w:rPr>
        <w:noBreakHyphen/>
      </w:r>
      <w:r w:rsidRPr="00CA30CE">
        <w:rPr>
          <w:lang w:eastAsia="ja-JP"/>
        </w:rPr>
        <w:t>compliance</w:t>
      </w:r>
      <w:r>
        <w:rPr>
          <w:lang w:eastAsia="ja-JP"/>
        </w:rPr>
        <w:t xml:space="preserve">.  It </w:t>
      </w:r>
      <w:r w:rsidR="0066035C">
        <w:rPr>
          <w:lang w:eastAsia="ja-JP"/>
        </w:rPr>
        <w:t xml:space="preserve">would not be able to </w:t>
      </w:r>
      <w:r>
        <w:rPr>
          <w:lang w:eastAsia="ja-JP"/>
        </w:rPr>
        <w:t xml:space="preserve">identify nor </w:t>
      </w:r>
      <w:r w:rsidRPr="00CA30CE">
        <w:rPr>
          <w:lang w:eastAsia="ja-JP"/>
        </w:rPr>
        <w:t>estimate the number of employees underpaid.</w:t>
      </w:r>
      <w:r>
        <w:rPr>
          <w:lang w:eastAsia="ja-JP"/>
        </w:rPr>
        <w:t xml:space="preserve"> It </w:t>
      </w:r>
      <w:r w:rsidR="0066035C">
        <w:rPr>
          <w:lang w:eastAsia="ja-JP"/>
        </w:rPr>
        <w:t>would</w:t>
      </w:r>
      <w:r>
        <w:rPr>
          <w:lang w:eastAsia="ja-JP"/>
        </w:rPr>
        <w:t xml:space="preserve"> not provide sufficient employee or employer-level information to construct a targeted audit or compliance program. </w:t>
      </w:r>
    </w:p>
    <w:p w14:paraId="311B2DA5" w14:textId="0DFB287F" w:rsidR="0022707F" w:rsidRPr="00CA30CE" w:rsidRDefault="002141F2" w:rsidP="0022707F">
      <w:pPr>
        <w:pStyle w:val="Maintext"/>
        <w:numPr>
          <w:ilvl w:val="1"/>
          <w:numId w:val="33"/>
        </w:numPr>
        <w:spacing w:before="140" w:line="360" w:lineRule="auto"/>
        <w:jc w:val="both"/>
        <w:rPr>
          <w:lang w:eastAsia="ja-JP"/>
        </w:rPr>
      </w:pPr>
      <w:r>
        <w:t xml:space="preserve">The ATO is </w:t>
      </w:r>
      <w:r w:rsidR="0066035C">
        <w:t xml:space="preserve">currently considering the </w:t>
      </w:r>
      <w:r>
        <w:t xml:space="preserve">methodology </w:t>
      </w:r>
      <w:r w:rsidR="0066035C">
        <w:t xml:space="preserve">for the </w:t>
      </w:r>
      <w:r w:rsidR="0041411C">
        <w:t>superannuation guarantee</w:t>
      </w:r>
      <w:r w:rsidR="0066035C">
        <w:t xml:space="preserve"> gap, seeking as robust an estimate as possible</w:t>
      </w:r>
      <w:r>
        <w:t xml:space="preserve">. </w:t>
      </w:r>
      <w:r w:rsidR="0022707F" w:rsidRPr="00946E54">
        <w:rPr>
          <w:rFonts w:cs="Arial"/>
          <w:szCs w:val="22"/>
          <w:lang w:eastAsia="ja-JP"/>
        </w:rPr>
        <w:t>Based on advice from the ATO ‘Tax Gap’ Expert Panel</w:t>
      </w:r>
      <w:r w:rsidR="0022707F">
        <w:rPr>
          <w:rStyle w:val="FootnoteReference"/>
          <w:rFonts w:cs="Arial"/>
          <w:szCs w:val="22"/>
          <w:lang w:eastAsia="ja-JP"/>
        </w:rPr>
        <w:footnoteReference w:id="6"/>
      </w:r>
      <w:r w:rsidR="0022707F" w:rsidRPr="00946E54">
        <w:rPr>
          <w:rFonts w:cs="Arial"/>
          <w:szCs w:val="22"/>
          <w:lang w:eastAsia="ja-JP"/>
        </w:rPr>
        <w:t xml:space="preserve"> steps are being taken to find ways to increase the confidence level in the approach.  </w:t>
      </w:r>
    </w:p>
    <w:p w14:paraId="3E2F7AF3" w14:textId="77777777" w:rsidR="004E4471" w:rsidRDefault="004E4471" w:rsidP="004E4471">
      <w:pPr>
        <w:pStyle w:val="Heading3"/>
        <w:ind w:left="720" w:hanging="720"/>
      </w:pPr>
      <w:r>
        <w:t xml:space="preserve">Reforms </w:t>
      </w:r>
    </w:p>
    <w:p w14:paraId="3E8C8449" w14:textId="77777777" w:rsidR="00955DF2" w:rsidRPr="00955DF2" w:rsidRDefault="00955DF2" w:rsidP="00CA30CE">
      <w:pPr>
        <w:pStyle w:val="Heading4"/>
      </w:pPr>
      <w:r>
        <w:t xml:space="preserve">Single Touch Payroll </w:t>
      </w:r>
    </w:p>
    <w:p w14:paraId="2FBBAD5A" w14:textId="69EB526C" w:rsidR="00955DF2" w:rsidRDefault="00955DF2" w:rsidP="00955DF2">
      <w:pPr>
        <w:pStyle w:val="Maintext"/>
        <w:numPr>
          <w:ilvl w:val="1"/>
          <w:numId w:val="33"/>
        </w:numPr>
        <w:spacing w:before="140" w:line="360" w:lineRule="auto"/>
        <w:jc w:val="both"/>
      </w:pPr>
      <w:r w:rsidRPr="007D7177">
        <w:t>Visibility</w:t>
      </w:r>
      <w:r>
        <w:t xml:space="preserve"> of </w:t>
      </w:r>
      <w:r w:rsidR="00895218">
        <w:rPr>
          <w:rFonts w:cstheme="minorHAnsi"/>
          <w:szCs w:val="22"/>
        </w:rPr>
        <w:t>superannuation guarantee</w:t>
      </w:r>
      <w:r>
        <w:t xml:space="preserve"> compliance</w:t>
      </w:r>
      <w:r w:rsidRPr="007D7177">
        <w:t xml:space="preserve"> </w:t>
      </w:r>
      <w:r>
        <w:t>will</w:t>
      </w:r>
      <w:r w:rsidRPr="007D7177">
        <w:t xml:space="preserve"> be greatly improved with the </w:t>
      </w:r>
      <w:r>
        <w:t xml:space="preserve">implementation </w:t>
      </w:r>
      <w:r w:rsidRPr="007D7177">
        <w:t xml:space="preserve">of </w:t>
      </w:r>
      <w:r>
        <w:t>Single Touch Payroll</w:t>
      </w:r>
      <w:r w:rsidRPr="007D7177">
        <w:t xml:space="preserve">.  </w:t>
      </w:r>
      <w:r>
        <w:t xml:space="preserve">Single Touch Payroll will </w:t>
      </w:r>
      <w:r w:rsidRPr="005C7C45">
        <w:t xml:space="preserve">simplify taxation and superannuation interactions for employers by aligning the reporting of PAYG withholding and </w:t>
      </w:r>
      <w:r w:rsidR="00895218">
        <w:rPr>
          <w:rFonts w:cstheme="minorHAnsi"/>
          <w:szCs w:val="22"/>
        </w:rPr>
        <w:t>superannuation guarantee</w:t>
      </w:r>
      <w:r w:rsidRPr="005C7C45">
        <w:t xml:space="preserve"> with a business’s natural process of paying their employees. Use of </w:t>
      </w:r>
      <w:r w:rsidR="00E01BC2">
        <w:t>Single Touch Payroll</w:t>
      </w:r>
      <w:r w:rsidRPr="005C7C45">
        <w:t xml:space="preserve"> is mandated for businesses with 20 or more employees from 1 July 2018.</w:t>
      </w:r>
      <w:r>
        <w:t xml:space="preserve"> </w:t>
      </w:r>
    </w:p>
    <w:p w14:paraId="4DF61E73" w14:textId="03C5DC85" w:rsidR="00515952" w:rsidRDefault="00515952" w:rsidP="00955DF2">
      <w:pPr>
        <w:pStyle w:val="Maintext"/>
        <w:numPr>
          <w:ilvl w:val="1"/>
          <w:numId w:val="33"/>
        </w:numPr>
        <w:spacing w:before="140" w:line="360" w:lineRule="auto"/>
        <w:jc w:val="both"/>
      </w:pPr>
      <w:r>
        <w:t xml:space="preserve">Single Touch Payroll is not mandatory for small </w:t>
      </w:r>
      <w:r w:rsidRPr="00B02C5C">
        <w:t xml:space="preserve">businesses (19 employees or less). </w:t>
      </w:r>
      <w:r w:rsidR="008E1C16" w:rsidRPr="00B02C5C">
        <w:t xml:space="preserve">A pilot on the potential to extend </w:t>
      </w:r>
      <w:r w:rsidR="00721851">
        <w:t>it</w:t>
      </w:r>
      <w:r w:rsidR="00D31040">
        <w:t xml:space="preserve"> </w:t>
      </w:r>
      <w:r w:rsidR="008E1C16" w:rsidRPr="00B02C5C">
        <w:t xml:space="preserve">to small business is expected to </w:t>
      </w:r>
      <w:r w:rsidR="007F0765">
        <w:t xml:space="preserve">be in a position to </w:t>
      </w:r>
      <w:r w:rsidR="008E1C16" w:rsidRPr="00B02C5C">
        <w:t xml:space="preserve">report </w:t>
      </w:r>
      <w:r w:rsidR="007F0765">
        <w:t xml:space="preserve">interim </w:t>
      </w:r>
      <w:r w:rsidR="008E1C16" w:rsidRPr="00B02C5C">
        <w:t xml:space="preserve">findings to government </w:t>
      </w:r>
      <w:r w:rsidR="007D4B65">
        <w:t>in</w:t>
      </w:r>
      <w:r w:rsidR="007D4B65" w:rsidRPr="00B02C5C">
        <w:t xml:space="preserve"> </w:t>
      </w:r>
      <w:r w:rsidR="002141F2" w:rsidRPr="00CD678D">
        <w:t>April 2017</w:t>
      </w:r>
      <w:r w:rsidR="002141F2" w:rsidRPr="00EE4845">
        <w:t>.</w:t>
      </w:r>
      <w:r w:rsidR="002141F2">
        <w:t xml:space="preserve"> </w:t>
      </w:r>
      <w:r w:rsidR="008E1C16" w:rsidRPr="00D1598E">
        <w:t xml:space="preserve">Government will subsequently consider how and when small businesses will participate in </w:t>
      </w:r>
      <w:r w:rsidR="00D31040">
        <w:t>Single Touch Payroll</w:t>
      </w:r>
      <w:r w:rsidR="008E1C16" w:rsidRPr="00D1598E">
        <w:t xml:space="preserve">. </w:t>
      </w:r>
    </w:p>
    <w:p w14:paraId="75FB09ED" w14:textId="77777777" w:rsidR="00955DF2" w:rsidRDefault="00955DF2" w:rsidP="00D1598E">
      <w:pPr>
        <w:pStyle w:val="Heading4"/>
      </w:pPr>
      <w:r>
        <w:t>Taskforces</w:t>
      </w:r>
    </w:p>
    <w:p w14:paraId="3AB8B55F" w14:textId="79D16C03" w:rsidR="00955DF2" w:rsidRPr="005C7C45" w:rsidRDefault="00B87B13" w:rsidP="00545E0F">
      <w:pPr>
        <w:pStyle w:val="ListParagraph"/>
        <w:numPr>
          <w:ilvl w:val="1"/>
          <w:numId w:val="33"/>
        </w:numPr>
        <w:spacing w:line="360" w:lineRule="auto"/>
        <w:contextualSpacing w:val="0"/>
        <w:jc w:val="both"/>
      </w:pPr>
      <w:r>
        <w:t xml:space="preserve">Two Taskforces </w:t>
      </w:r>
      <w:r w:rsidDel="008B53C9">
        <w:t>may be of r</w:t>
      </w:r>
      <w:r>
        <w:t>elevance to</w:t>
      </w:r>
      <w:r w:rsidR="00944025" w:rsidDel="008B53C9">
        <w:t>, and indirectly improve,</w:t>
      </w:r>
      <w:r w:rsidDel="008B53C9">
        <w:t xml:space="preserve"> </w:t>
      </w:r>
      <w:r w:rsidR="00895218">
        <w:rPr>
          <w:rFonts w:cstheme="minorHAnsi"/>
          <w:szCs w:val="22"/>
        </w:rPr>
        <w:t>superannuation guarantee</w:t>
      </w:r>
      <w:r>
        <w:t xml:space="preserve"> non</w:t>
      </w:r>
      <w:r>
        <w:noBreakHyphen/>
        <w:t xml:space="preserve">compliance. </w:t>
      </w:r>
    </w:p>
    <w:p w14:paraId="5B12C31E" w14:textId="7229AC84" w:rsidR="00B87B13" w:rsidRDefault="00B87B13" w:rsidP="00B87B13">
      <w:pPr>
        <w:pStyle w:val="ListParagraph"/>
        <w:numPr>
          <w:ilvl w:val="1"/>
          <w:numId w:val="33"/>
        </w:numPr>
        <w:spacing w:line="360" w:lineRule="auto"/>
        <w:contextualSpacing w:val="0"/>
        <w:jc w:val="both"/>
      </w:pPr>
      <w:r>
        <w:t>The Black Economy Taskforce</w:t>
      </w:r>
      <w:r w:rsidR="00721851">
        <w:t>, announced by the Government in December 2016,</w:t>
      </w:r>
      <w:r>
        <w:t xml:space="preserve"> will </w:t>
      </w:r>
      <w:r w:rsidR="00721851">
        <w:t>submit</w:t>
      </w:r>
      <w:r>
        <w:t xml:space="preserve"> a final report in October 2017 which will include an overarching whole of government policy framework and detailed proposals for action to counter the black economy.</w:t>
      </w:r>
    </w:p>
    <w:p w14:paraId="79D44C48" w14:textId="43CC46B4" w:rsidR="00B07EBE" w:rsidRDefault="00B07EBE" w:rsidP="00B87B13">
      <w:pPr>
        <w:pStyle w:val="ListParagraph"/>
        <w:numPr>
          <w:ilvl w:val="1"/>
          <w:numId w:val="33"/>
        </w:numPr>
        <w:spacing w:line="360" w:lineRule="auto"/>
        <w:contextualSpacing w:val="0"/>
        <w:jc w:val="both"/>
      </w:pPr>
      <w:r>
        <w:t>The Phoenix Taskforce is a key component of the Australian Government’s commitment to addressing phoenix activity.  It</w:t>
      </w:r>
      <w:r w:rsidRPr="002115C8">
        <w:rPr>
          <w:rFonts w:cs="Arial"/>
          <w:color w:val="auto"/>
          <w:szCs w:val="27"/>
          <w:lang w:val="en"/>
        </w:rPr>
        <w:t xml:space="preserve"> was established to bring together government agencies to share intelligence, and identify, design and implement cross-agency strategies to reduce and deter phoenix activity</w:t>
      </w:r>
      <w:r>
        <w:rPr>
          <w:rFonts w:cs="Arial"/>
          <w:color w:val="auto"/>
          <w:szCs w:val="27"/>
          <w:lang w:val="en"/>
        </w:rPr>
        <w:t>.</w:t>
      </w:r>
    </w:p>
    <w:bookmarkEnd w:id="98"/>
    <w:p w14:paraId="4F8B447A" w14:textId="15026FDA" w:rsidR="005C7C45" w:rsidRDefault="005C7C45">
      <w:r>
        <w:rPr>
          <w:bCs/>
        </w:rPr>
        <w:br w:type="page"/>
      </w:r>
    </w:p>
    <w:p w14:paraId="2CCED689" w14:textId="77777777" w:rsidR="007D5709" w:rsidRDefault="007D5709" w:rsidP="007D5709">
      <w:pPr>
        <w:framePr w:w="9072" w:wrap="notBeside" w:vAnchor="text" w:hAnchor="text" w:y="1"/>
        <w:spacing w:before="0" w:line="240" w:lineRule="auto"/>
      </w:pPr>
      <w:r>
        <w:br w:type="page"/>
      </w:r>
    </w:p>
    <w:p w14:paraId="160913EC" w14:textId="45F2AFCE" w:rsidR="002946F3" w:rsidRDefault="007D5709" w:rsidP="007D5709">
      <w:pPr>
        <w:pStyle w:val="Heading1"/>
        <w:framePr w:wrap="notBeside"/>
        <w:numPr>
          <w:ilvl w:val="0"/>
          <w:numId w:val="52"/>
        </w:numPr>
        <w:spacing w:before="0"/>
      </w:pPr>
      <w:bookmarkStart w:id="99" w:name="_Toc473540248"/>
      <w:bookmarkStart w:id="100" w:name="_Toc473554631"/>
      <w:bookmarkStart w:id="101" w:name="_Toc473625449"/>
      <w:bookmarkStart w:id="102" w:name="_Toc473629880"/>
      <w:bookmarkStart w:id="103" w:name="_Toc473631172"/>
      <w:bookmarkStart w:id="104" w:name="_Toc473631466"/>
      <w:bookmarkStart w:id="105" w:name="_Toc473636590"/>
      <w:bookmarkStart w:id="106" w:name="_Toc473635308"/>
      <w:r>
        <w:t>Analysis of ISA</w:t>
      </w:r>
      <w:r w:rsidR="002946F3">
        <w:t>’s estimates</w:t>
      </w:r>
      <w:bookmarkEnd w:id="99"/>
      <w:bookmarkEnd w:id="100"/>
      <w:bookmarkEnd w:id="101"/>
      <w:bookmarkEnd w:id="102"/>
      <w:bookmarkEnd w:id="103"/>
      <w:bookmarkEnd w:id="104"/>
      <w:bookmarkEnd w:id="105"/>
      <w:bookmarkEnd w:id="106"/>
    </w:p>
    <w:p w14:paraId="754E0984" w14:textId="77777777" w:rsidR="00637CC6" w:rsidRDefault="00637CC6" w:rsidP="00187378">
      <w:pPr>
        <w:pStyle w:val="Heading1"/>
        <w:framePr w:wrap="notBeside"/>
        <w:spacing w:before="0"/>
        <w:ind w:left="567"/>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946F3" w:rsidRPr="000076A6" w14:paraId="401FDA17" w14:textId="77777777" w:rsidTr="00BB02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4DD0036A" w14:textId="3EAB5C31" w:rsidR="002946F3" w:rsidRPr="000076A6" w:rsidRDefault="002946F3" w:rsidP="00BB0257">
            <w:pPr>
              <w:spacing w:before="120" w:after="120"/>
              <w:jc w:val="both"/>
              <w:rPr>
                <w:b/>
                <w:sz w:val="20"/>
              </w:rPr>
            </w:pPr>
            <w:bookmarkStart w:id="107" w:name="_Toc472892798"/>
            <w:r w:rsidRPr="000076A6">
              <w:rPr>
                <w:b/>
                <w:sz w:val="20"/>
              </w:rPr>
              <w:t>Key Points</w:t>
            </w:r>
            <w:r w:rsidR="005A7565">
              <w:rPr>
                <w:rStyle w:val="FootnoteReference"/>
              </w:rPr>
              <w:footnoteReference w:id="7"/>
            </w:r>
          </w:p>
        </w:tc>
      </w:tr>
      <w:tr w:rsidR="002946F3" w:rsidRPr="000076A6" w14:paraId="4D79800E" w14:textId="77777777" w:rsidTr="00BB025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20FE835E" w14:textId="61F210E0" w:rsidR="002946F3" w:rsidRDefault="002946F3" w:rsidP="00BB0257">
            <w:pPr>
              <w:pStyle w:val="Bullet"/>
            </w:pPr>
            <w:r>
              <w:t>Limitations in the underlying data mean that ISA’s approach is likely to result in a significant overestimat</w:t>
            </w:r>
            <w:r w:rsidR="000264EC">
              <w:t>ion</w:t>
            </w:r>
            <w:r>
              <w:t xml:space="preserve"> of the number of people affected by </w:t>
            </w:r>
            <w:r w:rsidR="00895218">
              <w:rPr>
                <w:rFonts w:cstheme="minorHAnsi"/>
                <w:szCs w:val="22"/>
              </w:rPr>
              <w:t>superannuation guarantee</w:t>
            </w:r>
            <w:r>
              <w:t xml:space="preserve"> </w:t>
            </w:r>
            <w:r w:rsidRPr="00593036">
              <w:t xml:space="preserve">underpayment. </w:t>
            </w:r>
            <w:r w:rsidR="00B2054A" w:rsidRPr="00512677">
              <w:t xml:space="preserve">The dollar value of unpaid </w:t>
            </w:r>
            <w:r w:rsidR="00895218">
              <w:rPr>
                <w:rFonts w:cstheme="minorHAnsi"/>
                <w:szCs w:val="22"/>
              </w:rPr>
              <w:t>superannuation guarantee</w:t>
            </w:r>
            <w:r w:rsidR="00B2054A" w:rsidRPr="00512677">
              <w:t xml:space="preserve"> is also </w:t>
            </w:r>
            <w:r w:rsidR="00593036" w:rsidRPr="00593036">
              <w:t xml:space="preserve">likely </w:t>
            </w:r>
            <w:r w:rsidR="00B2054A" w:rsidRPr="00512677">
              <w:t xml:space="preserve">overestimated, though </w:t>
            </w:r>
            <w:r w:rsidR="00941814">
              <w:t>to a lesser extent</w:t>
            </w:r>
            <w:r w:rsidR="00B2054A" w:rsidRPr="00512677">
              <w:t>.</w:t>
            </w:r>
          </w:p>
          <w:p w14:paraId="7B191696" w14:textId="6B79013D" w:rsidR="002946F3" w:rsidRDefault="001A5BB6" w:rsidP="00BB0257">
            <w:pPr>
              <w:pStyle w:val="Bullet"/>
            </w:pPr>
            <w:r>
              <w:t xml:space="preserve">A range of ISA’s results are inconsistent with facts observed from ATO compliance data. </w:t>
            </w:r>
            <w:r w:rsidR="00721851">
              <w:t>In particular</w:t>
            </w:r>
            <w:r>
              <w:t xml:space="preserve">, the </w:t>
            </w:r>
            <w:r w:rsidR="00721851">
              <w:t xml:space="preserve">ISA </w:t>
            </w:r>
            <w:r w:rsidR="002946F3">
              <w:t xml:space="preserve">estimate of the extent to which employers are meeting </w:t>
            </w:r>
            <w:r w:rsidR="00895218">
              <w:rPr>
                <w:rFonts w:cstheme="minorHAnsi"/>
                <w:szCs w:val="22"/>
              </w:rPr>
              <w:t>superannuation guarantee</w:t>
            </w:r>
            <w:r w:rsidR="002946F3">
              <w:t xml:space="preserve"> obligations with salary sacrifice amounts is </w:t>
            </w:r>
            <w:r>
              <w:t>not substantiated</w:t>
            </w:r>
            <w:r w:rsidR="002946F3">
              <w:t xml:space="preserve">. </w:t>
            </w:r>
          </w:p>
          <w:p w14:paraId="0C846092" w14:textId="1C31603F" w:rsidR="002946F3" w:rsidRPr="000076A6" w:rsidRDefault="00B2054A" w:rsidP="00B2054A">
            <w:pPr>
              <w:pStyle w:val="Bullet"/>
            </w:pPr>
            <w:r>
              <w:t xml:space="preserve">These inconsistencies </w:t>
            </w:r>
            <w:r w:rsidR="002946F3">
              <w:t xml:space="preserve">suggest the ISA approach has a high error margin, reflecting its reliance on data poorly suited to measuring </w:t>
            </w:r>
            <w:r w:rsidR="00895218">
              <w:rPr>
                <w:rFonts w:cstheme="minorHAnsi"/>
                <w:szCs w:val="22"/>
              </w:rPr>
              <w:t>superannuation guarantee</w:t>
            </w:r>
            <w:r w:rsidR="002946F3">
              <w:t xml:space="preserve"> compliance.</w:t>
            </w:r>
          </w:p>
        </w:tc>
      </w:tr>
    </w:tbl>
    <w:p w14:paraId="7147E167" w14:textId="55416A1E" w:rsidR="00FC4357" w:rsidRPr="00187378" w:rsidRDefault="00561B34" w:rsidP="00187378">
      <w:pPr>
        <w:pStyle w:val="Heading2"/>
      </w:pPr>
      <w:bookmarkStart w:id="108" w:name="_Toc473625450"/>
      <w:bookmarkStart w:id="109" w:name="_Toc473629881"/>
      <w:bookmarkStart w:id="110" w:name="_Toc473540249"/>
      <w:bookmarkStart w:id="111" w:name="_Toc473554632"/>
      <w:bookmarkStart w:id="112" w:name="_Toc473631173"/>
      <w:bookmarkStart w:id="113" w:name="_Toc473631467"/>
      <w:bookmarkStart w:id="114" w:name="_Toc473636591"/>
      <w:bookmarkStart w:id="115" w:name="_Toc473635309"/>
      <w:bookmarkEnd w:id="107"/>
      <w:r w:rsidRPr="00561B34">
        <w:t xml:space="preserve">ISA </w:t>
      </w:r>
      <w:r w:rsidR="00EE4845">
        <w:t>R</w:t>
      </w:r>
      <w:r w:rsidRPr="00561B34">
        <w:t xml:space="preserve">eport estimates of unpaid </w:t>
      </w:r>
      <w:r w:rsidR="00895218">
        <w:rPr>
          <w:rFonts w:cstheme="minorHAnsi"/>
          <w:szCs w:val="22"/>
        </w:rPr>
        <w:t>superannuation guarantee</w:t>
      </w:r>
      <w:bookmarkEnd w:id="108"/>
      <w:bookmarkEnd w:id="109"/>
      <w:bookmarkEnd w:id="110"/>
      <w:bookmarkEnd w:id="111"/>
      <w:bookmarkEnd w:id="112"/>
      <w:bookmarkEnd w:id="113"/>
      <w:bookmarkEnd w:id="114"/>
      <w:bookmarkEnd w:id="115"/>
    </w:p>
    <w:p w14:paraId="6D9F1949" w14:textId="43FA7571" w:rsidR="001E0E09" w:rsidRDefault="001E0E09" w:rsidP="00351A2E">
      <w:pPr>
        <w:pStyle w:val="ListParagraph"/>
        <w:numPr>
          <w:ilvl w:val="1"/>
          <w:numId w:val="56"/>
        </w:numPr>
        <w:spacing w:line="360" w:lineRule="auto"/>
        <w:contextualSpacing w:val="0"/>
        <w:jc w:val="both"/>
      </w:pPr>
      <w:r>
        <w:t>The main finding of the ISA analysis is that 2.15 million individual (</w:t>
      </w:r>
      <w:r w:rsidDel="008B53C9">
        <w:t>or approximately</w:t>
      </w:r>
      <w:r>
        <w:t xml:space="preserve"> 30 per cent of all employees) have unpaid </w:t>
      </w:r>
      <w:r w:rsidR="00895218">
        <w:rPr>
          <w:rFonts w:cstheme="minorHAnsi"/>
          <w:szCs w:val="22"/>
        </w:rPr>
        <w:t>superannuation guarantee</w:t>
      </w:r>
      <w:r>
        <w:t xml:space="preserve"> totalling $2.8 billion per annum.</w:t>
      </w:r>
    </w:p>
    <w:p w14:paraId="0B9A02E1" w14:textId="7A7836A1" w:rsidR="001A5BB6" w:rsidRDefault="001E0E09" w:rsidP="00351A2E">
      <w:pPr>
        <w:pStyle w:val="ListParagraph"/>
        <w:numPr>
          <w:ilvl w:val="1"/>
          <w:numId w:val="56"/>
        </w:numPr>
        <w:spacing w:line="360" w:lineRule="auto"/>
        <w:contextualSpacing w:val="0"/>
        <w:jc w:val="both"/>
      </w:pPr>
      <w:r>
        <w:t xml:space="preserve">The ISA estimate is in addition to estimates in the </w:t>
      </w:r>
      <w:r w:rsidR="000E604B">
        <w:t xml:space="preserve">CBUS-commissioned </w:t>
      </w:r>
      <w:r>
        <w:t>report</w:t>
      </w:r>
      <w:r w:rsidR="000E604B">
        <w:t xml:space="preserve"> by Tria Investment Partners</w:t>
      </w:r>
      <w:r>
        <w:t xml:space="preserve">, </w:t>
      </w:r>
      <w:r w:rsidRPr="001D6018">
        <w:rPr>
          <w:i/>
        </w:rPr>
        <w:t>Superannuation Guarantee non</w:t>
      </w:r>
      <w:r w:rsidR="00CA242B">
        <w:rPr>
          <w:i/>
        </w:rPr>
        <w:noBreakHyphen/>
      </w:r>
      <w:r w:rsidRPr="001D6018">
        <w:rPr>
          <w:i/>
        </w:rPr>
        <w:t>compliance</w:t>
      </w:r>
      <w:r w:rsidRPr="001D6018">
        <w:t xml:space="preserve">, </w:t>
      </w:r>
      <w:r>
        <w:t xml:space="preserve">which estimated that the cash economy reduces the </w:t>
      </w:r>
      <w:r w:rsidR="00895218">
        <w:rPr>
          <w:rFonts w:cstheme="minorHAnsi"/>
          <w:szCs w:val="22"/>
        </w:rPr>
        <w:t>superannuation guarantee</w:t>
      </w:r>
      <w:r>
        <w:t xml:space="preserve"> payments of approximately 300,000 employees by a total of $800 million per annum. </w:t>
      </w:r>
    </w:p>
    <w:p w14:paraId="2E6D20DF" w14:textId="579471C4" w:rsidR="001E0E09" w:rsidRDefault="001E0E09" w:rsidP="00351A2E">
      <w:pPr>
        <w:pStyle w:val="ListParagraph"/>
        <w:numPr>
          <w:ilvl w:val="1"/>
          <w:numId w:val="56"/>
        </w:numPr>
        <w:spacing w:line="360" w:lineRule="auto"/>
        <w:contextualSpacing w:val="0"/>
        <w:jc w:val="both"/>
      </w:pPr>
      <w:r>
        <w:t xml:space="preserve">Further, the </w:t>
      </w:r>
      <w:r w:rsidR="00EE4845">
        <w:t>ISA Report</w:t>
      </w:r>
      <w:r w:rsidR="000519EF">
        <w:t xml:space="preserve"> suggests up to $1 </w:t>
      </w:r>
      <w:r>
        <w:t xml:space="preserve">billion in </w:t>
      </w:r>
      <w:r w:rsidR="00895218">
        <w:rPr>
          <w:rFonts w:cstheme="minorHAnsi"/>
          <w:szCs w:val="22"/>
        </w:rPr>
        <w:t>superannuation guarantee</w:t>
      </w:r>
      <w:r>
        <w:t xml:space="preserve"> </w:t>
      </w:r>
      <w:r w:rsidR="000519EF">
        <w:t>for</w:t>
      </w:r>
      <w:r>
        <w:t xml:space="preserve"> 360,000 employees is met by employers using </w:t>
      </w:r>
      <w:r w:rsidR="00941814">
        <w:t xml:space="preserve">employee </w:t>
      </w:r>
      <w:r>
        <w:t>salary sacrifice</w:t>
      </w:r>
      <w:r w:rsidR="00941814">
        <w:t xml:space="preserve"> contributions</w:t>
      </w:r>
      <w:r>
        <w:t>.</w:t>
      </w:r>
    </w:p>
    <w:p w14:paraId="2B92C828" w14:textId="6EE61A25" w:rsidR="001E0E09" w:rsidRDefault="001E0E09" w:rsidP="00351A2E">
      <w:pPr>
        <w:pStyle w:val="ListParagraph"/>
        <w:numPr>
          <w:ilvl w:val="1"/>
          <w:numId w:val="56"/>
        </w:numPr>
        <w:spacing w:line="360" w:lineRule="auto"/>
        <w:contextualSpacing w:val="0"/>
        <w:jc w:val="both"/>
      </w:pPr>
      <w:r>
        <w:t xml:space="preserve">The </w:t>
      </w:r>
      <w:r w:rsidR="00EE4845">
        <w:t>ISA Report</w:t>
      </w:r>
      <w:r w:rsidR="000519EF">
        <w:t xml:space="preserve"> uses a publically available </w:t>
      </w:r>
      <w:r w:rsidR="001A5BB6">
        <w:t>‘two </w:t>
      </w:r>
      <w:r>
        <w:t xml:space="preserve">per cent sample </w:t>
      </w:r>
      <w:r w:rsidR="001A5BB6">
        <w:t xml:space="preserve">file’ </w:t>
      </w:r>
      <w:r>
        <w:t>of ATO data from personal income tax r</w:t>
      </w:r>
      <w:r w:rsidR="000519EF">
        <w:t>eturns and super</w:t>
      </w:r>
      <w:r w:rsidR="001A5BB6">
        <w:t>annuation</w:t>
      </w:r>
      <w:r w:rsidR="000519EF">
        <w:t xml:space="preserve"> funds for 2013</w:t>
      </w:r>
      <w:r w:rsidR="00CA242B">
        <w:noBreakHyphen/>
      </w:r>
      <w:r>
        <w:t xml:space="preserve">14. The report uses wage information from individuals’ tax returns and employer contributions data report by superannuation funds to estimate unpaid </w:t>
      </w:r>
      <w:r w:rsidR="00895218">
        <w:rPr>
          <w:rFonts w:cstheme="minorHAnsi"/>
          <w:szCs w:val="22"/>
        </w:rPr>
        <w:t>superannuation guarantee</w:t>
      </w:r>
      <w:r>
        <w:t>.</w:t>
      </w:r>
    </w:p>
    <w:p w14:paraId="39156266" w14:textId="61ECCD3E" w:rsidR="00C73331" w:rsidRDefault="001E0E09" w:rsidP="00351A2E">
      <w:pPr>
        <w:pStyle w:val="ListParagraph"/>
        <w:numPr>
          <w:ilvl w:val="1"/>
          <w:numId w:val="56"/>
        </w:numPr>
        <w:spacing w:line="360" w:lineRule="auto"/>
        <w:contextualSpacing w:val="0"/>
        <w:jc w:val="both"/>
      </w:pPr>
      <w:r>
        <w:t xml:space="preserve">While </w:t>
      </w:r>
      <w:r w:rsidR="00941814">
        <w:t xml:space="preserve">the </w:t>
      </w:r>
      <w:r>
        <w:t xml:space="preserve">methodology in the </w:t>
      </w:r>
      <w:r w:rsidR="00EE4845">
        <w:t>ISA Report</w:t>
      </w:r>
      <w:r>
        <w:t xml:space="preserve"> is broadly appropriate, </w:t>
      </w:r>
      <w:r w:rsidR="001A5BB6">
        <w:t xml:space="preserve">the </w:t>
      </w:r>
      <w:r>
        <w:t>ISA</w:t>
      </w:r>
      <w:r w:rsidR="001A5BB6">
        <w:t>’s</w:t>
      </w:r>
      <w:r>
        <w:t xml:space="preserve"> estimates </w:t>
      </w:r>
      <w:r w:rsidR="00941814">
        <w:t xml:space="preserve">significantly </w:t>
      </w:r>
      <w:r>
        <w:t xml:space="preserve">overstate the number of people affected by </w:t>
      </w:r>
      <w:r w:rsidR="001A5BB6">
        <w:t xml:space="preserve">unpaid </w:t>
      </w:r>
      <w:r w:rsidR="00895218">
        <w:rPr>
          <w:rFonts w:cstheme="minorHAnsi"/>
          <w:szCs w:val="22"/>
        </w:rPr>
        <w:t>superannuation guarantee</w:t>
      </w:r>
      <w:r>
        <w:t xml:space="preserve">. The ISA estimates: </w:t>
      </w:r>
    </w:p>
    <w:p w14:paraId="046CC1EB" w14:textId="5EEAE281" w:rsidR="009E3300" w:rsidRDefault="001E0E09" w:rsidP="00351A2E">
      <w:pPr>
        <w:pStyle w:val="ListParagraph"/>
        <w:numPr>
          <w:ilvl w:val="0"/>
          <w:numId w:val="36"/>
        </w:numPr>
        <w:spacing w:line="360" w:lineRule="auto"/>
        <w:ind w:left="851" w:hanging="284"/>
        <w:contextualSpacing w:val="0"/>
        <w:jc w:val="both"/>
      </w:pPr>
      <w:r>
        <w:t xml:space="preserve">do not fully account for data limitations which would lead to overestimates of unpaid </w:t>
      </w:r>
      <w:r w:rsidR="00895218">
        <w:rPr>
          <w:rFonts w:cstheme="minorHAnsi"/>
          <w:szCs w:val="22"/>
        </w:rPr>
        <w:t>superannuation guarantee</w:t>
      </w:r>
      <w:r>
        <w:t xml:space="preserve"> </w:t>
      </w:r>
    </w:p>
    <w:p w14:paraId="5B580632" w14:textId="1CCCB13B" w:rsidR="001E0E09" w:rsidRDefault="001E0E09" w:rsidP="00351A2E">
      <w:pPr>
        <w:pStyle w:val="ListParagraph"/>
        <w:numPr>
          <w:ilvl w:val="0"/>
          <w:numId w:val="36"/>
        </w:numPr>
        <w:spacing w:line="360" w:lineRule="auto"/>
        <w:ind w:left="851" w:hanging="284"/>
        <w:contextualSpacing w:val="0"/>
        <w:jc w:val="both"/>
      </w:pPr>
      <w:r>
        <w:t xml:space="preserve">are inconsistent with </w:t>
      </w:r>
      <w:r w:rsidR="00721851">
        <w:t xml:space="preserve">some other </w:t>
      </w:r>
      <w:r>
        <w:t>reliable data sources, such as compliance data.</w:t>
      </w:r>
    </w:p>
    <w:p w14:paraId="5AF2A459" w14:textId="77777777" w:rsidR="001E0E09" w:rsidRDefault="001E0E09" w:rsidP="00BB10BB">
      <w:pPr>
        <w:pStyle w:val="Heading3"/>
        <w:ind w:left="720" w:hanging="720"/>
        <w:jc w:val="both"/>
      </w:pPr>
      <w:bookmarkStart w:id="116" w:name="_Toc472892799"/>
      <w:r w:rsidRPr="00AD664E">
        <w:t>ISA methodology</w:t>
      </w:r>
      <w:bookmarkEnd w:id="116"/>
    </w:p>
    <w:p w14:paraId="2997D1A9" w14:textId="3486EDE3" w:rsidR="001E0E09" w:rsidRDefault="001E0E09" w:rsidP="00BB10BB">
      <w:pPr>
        <w:pStyle w:val="ListParagraph"/>
        <w:numPr>
          <w:ilvl w:val="1"/>
          <w:numId w:val="56"/>
        </w:numPr>
        <w:spacing w:line="360" w:lineRule="auto"/>
        <w:contextualSpacing w:val="0"/>
        <w:jc w:val="both"/>
      </w:pPr>
      <w:r>
        <w:t>ISA estimate</w:t>
      </w:r>
      <w:r w:rsidR="00154116">
        <w:t>s</w:t>
      </w:r>
      <w:r>
        <w:t xml:space="preserve"> unpaid </w:t>
      </w:r>
      <w:r w:rsidR="00895218">
        <w:rPr>
          <w:rFonts w:cstheme="minorHAnsi"/>
          <w:szCs w:val="22"/>
        </w:rPr>
        <w:t>superannuation guarantee</w:t>
      </w:r>
      <w:r>
        <w:t xml:space="preserve"> using the following methodology</w:t>
      </w:r>
      <w:r w:rsidR="00DC14C9">
        <w:t>:</w:t>
      </w:r>
    </w:p>
    <w:p w14:paraId="40530661" w14:textId="19F72B4F" w:rsidR="001E0E09" w:rsidRDefault="00DC14C9" w:rsidP="00BB10BB">
      <w:pPr>
        <w:pStyle w:val="ListParagraph"/>
        <w:numPr>
          <w:ilvl w:val="0"/>
          <w:numId w:val="36"/>
        </w:numPr>
        <w:spacing w:line="360" w:lineRule="auto"/>
        <w:ind w:left="851" w:hanging="284"/>
        <w:contextualSpacing w:val="0"/>
        <w:jc w:val="both"/>
      </w:pPr>
      <w:r>
        <w:t>e</w:t>
      </w:r>
      <w:r w:rsidR="001E0E09">
        <w:t>xamines individuals: with salary and wage income; with contributions from their employer; aged 20 and over; and, with no self</w:t>
      </w:r>
      <w:r w:rsidR="00CA242B">
        <w:noBreakHyphen/>
      </w:r>
      <w:r w:rsidR="001E0E09">
        <w:t>employment income</w:t>
      </w:r>
    </w:p>
    <w:p w14:paraId="4C2883BD" w14:textId="61BBD791" w:rsidR="001E0E09" w:rsidRDefault="00DC14C9" w:rsidP="00BB10BB">
      <w:pPr>
        <w:pStyle w:val="ListParagraph"/>
        <w:numPr>
          <w:ilvl w:val="0"/>
          <w:numId w:val="36"/>
        </w:numPr>
        <w:spacing w:line="360" w:lineRule="auto"/>
        <w:ind w:left="851" w:hanging="284"/>
        <w:contextualSpacing w:val="0"/>
        <w:jc w:val="both"/>
      </w:pPr>
      <w:r>
        <w:t>f</w:t>
      </w:r>
      <w:r w:rsidR="001E0E09">
        <w:t xml:space="preserve">actors in rules affecting </w:t>
      </w:r>
      <w:r w:rsidR="00895218">
        <w:rPr>
          <w:rFonts w:cstheme="minorHAnsi"/>
          <w:szCs w:val="22"/>
        </w:rPr>
        <w:t>superannuation guarantee</w:t>
      </w:r>
      <w:r w:rsidR="001E0E09">
        <w:t xml:space="preserve"> payments including: the </w:t>
      </w:r>
      <w:r w:rsidR="00895218">
        <w:rPr>
          <w:rFonts w:cstheme="minorHAnsi"/>
          <w:szCs w:val="22"/>
        </w:rPr>
        <w:t>superannuation guarantee</w:t>
      </w:r>
      <w:r w:rsidR="001E0E09">
        <w:t xml:space="preserve"> minimum wage ($450 per month); the maximum </w:t>
      </w:r>
      <w:r w:rsidR="00895218">
        <w:rPr>
          <w:rFonts w:cstheme="minorHAnsi"/>
          <w:szCs w:val="22"/>
        </w:rPr>
        <w:t>superannuation guarantee</w:t>
      </w:r>
      <w:r w:rsidR="001E0E09">
        <w:t xml:space="preserve"> contributions base ($48,040 per quarter in 2013</w:t>
      </w:r>
      <w:r w:rsidR="00CA242B">
        <w:noBreakHyphen/>
      </w:r>
      <w:r w:rsidR="001E0E09">
        <w:t>14); and accoun</w:t>
      </w:r>
      <w:r w:rsidR="00941814">
        <w:t>ts</w:t>
      </w:r>
      <w:r w:rsidR="001E0E09">
        <w:t xml:space="preserve"> for salary sacrifice contributions</w:t>
      </w:r>
    </w:p>
    <w:p w14:paraId="4952D4F5" w14:textId="0D0DDD75" w:rsidR="001E0E09" w:rsidRDefault="00DC14C9" w:rsidP="00BB10BB">
      <w:pPr>
        <w:pStyle w:val="ListParagraph"/>
        <w:numPr>
          <w:ilvl w:val="0"/>
          <w:numId w:val="36"/>
        </w:numPr>
        <w:spacing w:line="360" w:lineRule="auto"/>
        <w:ind w:left="851" w:hanging="284"/>
        <w:contextualSpacing w:val="0"/>
        <w:jc w:val="both"/>
      </w:pPr>
      <w:r>
        <w:t>a</w:t>
      </w:r>
      <w:r w:rsidR="001E0E09">
        <w:t xml:space="preserve">djusts the salary reported on the tax return </w:t>
      </w:r>
      <w:r w:rsidR="00592E9C">
        <w:t xml:space="preserve">using a gender-based average </w:t>
      </w:r>
      <w:r w:rsidR="001E0E09">
        <w:t xml:space="preserve">to remove some remuneration which is not liable for </w:t>
      </w:r>
      <w:r w:rsidR="00895218">
        <w:rPr>
          <w:rFonts w:cstheme="minorHAnsi"/>
          <w:szCs w:val="22"/>
        </w:rPr>
        <w:t>superannuation guarantee</w:t>
      </w:r>
      <w:r w:rsidR="00592E9C">
        <w:t>,</w:t>
      </w:r>
      <w:r w:rsidR="001E0E09">
        <w:t xml:space="preserve"> such as overtime</w:t>
      </w:r>
    </w:p>
    <w:p w14:paraId="09C0990B" w14:textId="7DF5CA8C" w:rsidR="001E0E09" w:rsidRDefault="00DC14C9" w:rsidP="00BB10BB">
      <w:pPr>
        <w:pStyle w:val="ListParagraph"/>
        <w:numPr>
          <w:ilvl w:val="0"/>
          <w:numId w:val="36"/>
        </w:numPr>
        <w:spacing w:line="360" w:lineRule="auto"/>
        <w:ind w:left="851" w:hanging="284"/>
        <w:contextualSpacing w:val="0"/>
        <w:jc w:val="both"/>
      </w:pPr>
      <w:r>
        <w:t>a</w:t>
      </w:r>
      <w:r w:rsidR="001E0E09">
        <w:t xml:space="preserve">ssumes that </w:t>
      </w:r>
      <w:r w:rsidR="001E0E09" w:rsidRPr="00BB10BB">
        <w:t xml:space="preserve">unpaid </w:t>
      </w:r>
      <w:r w:rsidR="00895218">
        <w:rPr>
          <w:rFonts w:cstheme="minorHAnsi"/>
          <w:szCs w:val="22"/>
        </w:rPr>
        <w:t>superannuation guarantee</w:t>
      </w:r>
      <w:r w:rsidR="001E0E09" w:rsidRPr="00BB10BB">
        <w:t xml:space="preserve"> is equal to</w:t>
      </w:r>
      <w:r w:rsidR="001E0E09">
        <w:t xml:space="preserve"> the difference between: 8.5 per cent of the adjusted salary; and the actual </w:t>
      </w:r>
      <w:r w:rsidR="00895218">
        <w:rPr>
          <w:rFonts w:cstheme="minorHAnsi"/>
          <w:szCs w:val="22"/>
        </w:rPr>
        <w:t>superannuation guarantee</w:t>
      </w:r>
      <w:r w:rsidR="001E0E09">
        <w:t xml:space="preserve"> payment</w:t>
      </w:r>
    </w:p>
    <w:p w14:paraId="3CBBECE6" w14:textId="039E1745" w:rsidR="001E0E09" w:rsidRDefault="003F6A1F">
      <w:pPr>
        <w:pStyle w:val="ListParagraph"/>
        <w:numPr>
          <w:ilvl w:val="1"/>
          <w:numId w:val="42"/>
        </w:numPr>
        <w:spacing w:line="360" w:lineRule="auto"/>
        <w:jc w:val="both"/>
      </w:pPr>
      <w:r>
        <w:t>The</w:t>
      </w:r>
      <w:r w:rsidR="001E0E09">
        <w:t xml:space="preserve"> statutory </w:t>
      </w:r>
      <w:r w:rsidR="00895218">
        <w:rPr>
          <w:rFonts w:cstheme="minorHAnsi"/>
          <w:szCs w:val="22"/>
        </w:rPr>
        <w:t>superannuation guarantee</w:t>
      </w:r>
      <w:r w:rsidR="001E0E09">
        <w:t xml:space="preserve"> rate in 2013</w:t>
      </w:r>
      <w:r w:rsidR="00CA242B">
        <w:noBreakHyphen/>
      </w:r>
      <w:r w:rsidR="001E0E09">
        <w:t>14 is 9.25 per cent, but ISA uses the 8.5 per cent figure to account for data reliability issues</w:t>
      </w:r>
      <w:r w:rsidR="00154116">
        <w:t xml:space="preserve"> and the remuneration which is not subject to superannuation guarantee</w:t>
      </w:r>
      <w:r w:rsidR="001E0E09">
        <w:t>.</w:t>
      </w:r>
    </w:p>
    <w:p w14:paraId="107C0C59" w14:textId="081083E5" w:rsidR="000519EF" w:rsidRDefault="001E0E09" w:rsidP="00F7693C">
      <w:pPr>
        <w:pStyle w:val="ListParagraph"/>
        <w:numPr>
          <w:ilvl w:val="1"/>
          <w:numId w:val="56"/>
        </w:numPr>
        <w:spacing w:line="360" w:lineRule="auto"/>
        <w:contextualSpacing w:val="0"/>
        <w:jc w:val="both"/>
      </w:pPr>
      <w:r>
        <w:t xml:space="preserve">The </w:t>
      </w:r>
      <w:r w:rsidR="00EE4845">
        <w:t>ISA Report</w:t>
      </w:r>
      <w:r>
        <w:t xml:space="preserve"> also estimates </w:t>
      </w:r>
      <w:r w:rsidR="00941814">
        <w:t xml:space="preserve">the extent to which </w:t>
      </w:r>
      <w:r>
        <w:t xml:space="preserve">employers satisfy their </w:t>
      </w:r>
      <w:r w:rsidR="00895218">
        <w:rPr>
          <w:rFonts w:cstheme="minorHAnsi"/>
          <w:szCs w:val="22"/>
        </w:rPr>
        <w:t>superannuation guarantee</w:t>
      </w:r>
      <w:r>
        <w:t xml:space="preserve"> obligations through counting their employees’ salary sacrifice contributions using </w:t>
      </w:r>
      <w:r w:rsidR="00941814">
        <w:t xml:space="preserve">a </w:t>
      </w:r>
      <w:r>
        <w:t xml:space="preserve">similar </w:t>
      </w:r>
      <w:r w:rsidR="00941814">
        <w:t>methodology</w:t>
      </w:r>
      <w:r>
        <w:t xml:space="preserve">. </w:t>
      </w:r>
      <w:bookmarkStart w:id="117" w:name="_Toc472892801"/>
    </w:p>
    <w:p w14:paraId="01F26F2E" w14:textId="71598C14" w:rsidR="001E0E09" w:rsidRDefault="001E0E09" w:rsidP="00AF60A5">
      <w:pPr>
        <w:pStyle w:val="Heading2"/>
      </w:pPr>
      <w:bookmarkStart w:id="118" w:name="_Toc473540250"/>
      <w:bookmarkStart w:id="119" w:name="_Toc473554633"/>
      <w:bookmarkStart w:id="120" w:name="_Toc473625451"/>
      <w:bookmarkStart w:id="121" w:name="_Toc473629882"/>
      <w:bookmarkStart w:id="122" w:name="_Toc473631174"/>
      <w:bookmarkStart w:id="123" w:name="_Toc473631468"/>
      <w:bookmarkStart w:id="124" w:name="_Toc473636592"/>
      <w:bookmarkStart w:id="125" w:name="_Toc473635310"/>
      <w:r w:rsidRPr="00AD664E">
        <w:t xml:space="preserve">ISA </w:t>
      </w:r>
      <w:r>
        <w:t>estimates</w:t>
      </w:r>
      <w:r w:rsidRPr="00AD664E">
        <w:t xml:space="preserve"> </w:t>
      </w:r>
      <w:r>
        <w:t>do not fully account for data limitations</w:t>
      </w:r>
      <w:bookmarkEnd w:id="117"/>
      <w:bookmarkEnd w:id="118"/>
      <w:bookmarkEnd w:id="119"/>
      <w:bookmarkEnd w:id="120"/>
      <w:bookmarkEnd w:id="121"/>
      <w:bookmarkEnd w:id="122"/>
      <w:bookmarkEnd w:id="123"/>
      <w:bookmarkEnd w:id="124"/>
      <w:bookmarkEnd w:id="125"/>
      <w:r w:rsidRPr="00AD664E">
        <w:t xml:space="preserve"> </w:t>
      </w:r>
    </w:p>
    <w:p w14:paraId="4C9FD7B4" w14:textId="19341771" w:rsidR="001E0E09" w:rsidRPr="00BF1EA8" w:rsidRDefault="001E0E09" w:rsidP="00F7693C">
      <w:pPr>
        <w:pStyle w:val="ListParagraph"/>
        <w:numPr>
          <w:ilvl w:val="1"/>
          <w:numId w:val="56"/>
        </w:numPr>
        <w:spacing w:line="360" w:lineRule="auto"/>
        <w:contextualSpacing w:val="0"/>
        <w:jc w:val="both"/>
      </w:pPr>
      <w:r w:rsidRPr="00BF1EA8">
        <w:t xml:space="preserve">The methodology used by ISA to estimate unpaid </w:t>
      </w:r>
      <w:r w:rsidR="00895218">
        <w:rPr>
          <w:rFonts w:cstheme="minorHAnsi"/>
          <w:szCs w:val="22"/>
        </w:rPr>
        <w:t>superannuation guarantee</w:t>
      </w:r>
      <w:r w:rsidRPr="00BF1EA8">
        <w:t xml:space="preserve"> </w:t>
      </w:r>
      <w:r w:rsidR="001552AD">
        <w:t xml:space="preserve">would not produce </w:t>
      </w:r>
      <w:r w:rsidRPr="00BF1EA8">
        <w:t xml:space="preserve">an accurate estimate of unpaid </w:t>
      </w:r>
      <w:r w:rsidR="00895218">
        <w:rPr>
          <w:rFonts w:cstheme="minorHAnsi"/>
          <w:szCs w:val="22"/>
        </w:rPr>
        <w:t>superannuation guarantee</w:t>
      </w:r>
      <w:r w:rsidRPr="00BF1EA8">
        <w:t xml:space="preserve">. Imperfections in the data do not allow accurate calculation either of people’s </w:t>
      </w:r>
      <w:r w:rsidR="00895218">
        <w:rPr>
          <w:rFonts w:cstheme="minorHAnsi"/>
          <w:szCs w:val="22"/>
        </w:rPr>
        <w:t>superannuation guarantee</w:t>
      </w:r>
      <w:r w:rsidRPr="00BF1EA8">
        <w:t xml:space="preserve"> entitlements or the amounts they actually receive.</w:t>
      </w:r>
    </w:p>
    <w:p w14:paraId="2B2303BD" w14:textId="1367B00A" w:rsidR="001E0E09" w:rsidRPr="000519EF" w:rsidRDefault="001E0E09" w:rsidP="00F7693C">
      <w:pPr>
        <w:pStyle w:val="ListParagraph"/>
        <w:numPr>
          <w:ilvl w:val="1"/>
          <w:numId w:val="56"/>
        </w:numPr>
        <w:spacing w:line="360" w:lineRule="auto"/>
        <w:contextualSpacing w:val="0"/>
        <w:jc w:val="both"/>
      </w:pPr>
      <w:r w:rsidRPr="000519EF">
        <w:t xml:space="preserve">Any unpaid </w:t>
      </w:r>
      <w:r w:rsidR="00895218">
        <w:rPr>
          <w:rFonts w:cstheme="minorHAnsi"/>
          <w:szCs w:val="22"/>
        </w:rPr>
        <w:t>superannuation guarantee</w:t>
      </w:r>
      <w:r w:rsidRPr="000519EF">
        <w:t xml:space="preserve"> estimate using </w:t>
      </w:r>
      <w:r w:rsidR="001552AD">
        <w:t xml:space="preserve">the </w:t>
      </w:r>
      <w:r w:rsidRPr="000519EF">
        <w:t xml:space="preserve">imperfect data </w:t>
      </w:r>
      <w:r w:rsidR="001552AD">
        <w:t xml:space="preserve">available </w:t>
      </w:r>
      <w:r w:rsidR="00941814">
        <w:t xml:space="preserve">at an </w:t>
      </w:r>
      <w:r w:rsidRPr="000519EF">
        <w:t>individual</w:t>
      </w:r>
      <w:r w:rsidR="00941814">
        <w:t xml:space="preserve"> level</w:t>
      </w:r>
      <w:r w:rsidRPr="000519EF">
        <w:t xml:space="preserve"> will falsely </w:t>
      </w:r>
      <w:r w:rsidR="001552AD">
        <w:t xml:space="preserve">show </w:t>
      </w:r>
      <w:r w:rsidRPr="000519EF">
        <w:t xml:space="preserve">some people </w:t>
      </w:r>
      <w:r w:rsidR="001552AD">
        <w:t xml:space="preserve">as </w:t>
      </w:r>
      <w:r w:rsidRPr="000519EF">
        <w:t xml:space="preserve">being underpaid </w:t>
      </w:r>
      <w:r w:rsidR="001552AD">
        <w:t>and some people being</w:t>
      </w:r>
      <w:r w:rsidRPr="000519EF">
        <w:t xml:space="preserve"> overpaid. A balanced approach would </w:t>
      </w:r>
      <w:r w:rsidR="001552AD">
        <w:t>make allowance for overpayments of superannuation guarantee</w:t>
      </w:r>
      <w:r w:rsidRPr="000519EF">
        <w:t xml:space="preserve">. However, the </w:t>
      </w:r>
      <w:r>
        <w:t>ISA methodology simply sums up</w:t>
      </w:r>
      <w:r w:rsidRPr="000519EF">
        <w:t xml:space="preserve"> the number of individuals </w:t>
      </w:r>
      <w:r>
        <w:t>flagged as underpaid and</w:t>
      </w:r>
      <w:r w:rsidRPr="000519EF">
        <w:t xml:space="preserve"> the</w:t>
      </w:r>
      <w:r>
        <w:t>ir</w:t>
      </w:r>
      <w:r w:rsidRPr="000519EF">
        <w:t xml:space="preserve"> total </w:t>
      </w:r>
      <w:r>
        <w:t xml:space="preserve">apparent </w:t>
      </w:r>
      <w:r w:rsidRPr="000519EF">
        <w:t>shortfall without an offsetting reduction for overpayments.</w:t>
      </w:r>
      <w:r>
        <w:t xml:space="preserve"> This </w:t>
      </w:r>
      <w:r w:rsidR="001A5BB6">
        <w:t xml:space="preserve">is </w:t>
      </w:r>
      <w:r>
        <w:t xml:space="preserve">likely </w:t>
      </w:r>
      <w:r w:rsidR="001A5BB6">
        <w:t xml:space="preserve">to </w:t>
      </w:r>
      <w:r w:rsidR="001552AD">
        <w:t xml:space="preserve">mean there is an </w:t>
      </w:r>
      <w:r>
        <w:t>upward bias the estimate of the number of people underpaid, and the dollar value of the shortfall.</w:t>
      </w:r>
    </w:p>
    <w:p w14:paraId="795330FD" w14:textId="4E997887" w:rsidR="001E0E09" w:rsidRPr="00BF1EA8" w:rsidRDefault="001E0E09" w:rsidP="00F7693C">
      <w:pPr>
        <w:pStyle w:val="ListParagraph"/>
        <w:numPr>
          <w:ilvl w:val="1"/>
          <w:numId w:val="56"/>
        </w:numPr>
        <w:spacing w:line="360" w:lineRule="auto"/>
        <w:contextualSpacing w:val="0"/>
        <w:jc w:val="both"/>
      </w:pPr>
      <w:r w:rsidRPr="00BF1EA8">
        <w:t>While ISA make allowances for some of the underlying data issues, the</w:t>
      </w:r>
      <w:r w:rsidR="00941814">
        <w:t xml:space="preserve">se allowances </w:t>
      </w:r>
      <w:r w:rsidRPr="00BF1EA8">
        <w:t xml:space="preserve">are likely </w:t>
      </w:r>
      <w:r w:rsidR="00941814">
        <w:t xml:space="preserve">to be </w:t>
      </w:r>
      <w:r w:rsidRPr="00BF1EA8">
        <w:t>too small.</w:t>
      </w:r>
      <w:r w:rsidR="00C10AB2">
        <w:t xml:space="preserve">  S</w:t>
      </w:r>
      <w:r w:rsidRPr="00BF1EA8">
        <w:t xml:space="preserve">hortcomings likely to result in ISA substantially overestimating unpaid </w:t>
      </w:r>
      <w:r w:rsidR="00895218">
        <w:rPr>
          <w:rFonts w:cstheme="minorHAnsi"/>
          <w:szCs w:val="22"/>
        </w:rPr>
        <w:t>superannuation guarantee</w:t>
      </w:r>
      <w:r w:rsidRPr="00BF1EA8">
        <w:t xml:space="preserve"> include</w:t>
      </w:r>
      <w:r>
        <w:t>:</w:t>
      </w:r>
      <w:r w:rsidRPr="000519EF">
        <w:t xml:space="preserve"> the adjustment of wages to account for overtime, data limitations that prevent reliable splitting of employer contributions into </w:t>
      </w:r>
      <w:r w:rsidR="00895218">
        <w:rPr>
          <w:rFonts w:cstheme="minorHAnsi"/>
          <w:szCs w:val="22"/>
        </w:rPr>
        <w:t>superannuation guarantee</w:t>
      </w:r>
      <w:r w:rsidRPr="000519EF">
        <w:t xml:space="preserve"> and salary sacrifice, and timing mismatches in the data. </w:t>
      </w:r>
    </w:p>
    <w:p w14:paraId="078B571E" w14:textId="77777777" w:rsidR="001E0E09" w:rsidRDefault="001E0E09" w:rsidP="00F7693C">
      <w:pPr>
        <w:pStyle w:val="Heading4"/>
        <w:ind w:left="864" w:hanging="864"/>
        <w:jc w:val="both"/>
      </w:pPr>
      <w:r>
        <w:t>Insufficient data on Ordinary Time Earnings</w:t>
      </w:r>
    </w:p>
    <w:p w14:paraId="0799E175" w14:textId="70B1C2E9" w:rsidR="001E0E09" w:rsidRDefault="001E0E09" w:rsidP="00F7693C">
      <w:pPr>
        <w:pStyle w:val="ListParagraph"/>
        <w:numPr>
          <w:ilvl w:val="1"/>
          <w:numId w:val="56"/>
        </w:numPr>
        <w:spacing w:line="360" w:lineRule="auto"/>
        <w:contextualSpacing w:val="0"/>
        <w:jc w:val="both"/>
      </w:pPr>
      <w:r w:rsidRPr="00B608EE">
        <w:t xml:space="preserve">Employees receive </w:t>
      </w:r>
      <w:r w:rsidR="00895218">
        <w:rPr>
          <w:rFonts w:cstheme="minorHAnsi"/>
          <w:szCs w:val="22"/>
        </w:rPr>
        <w:t>superannuation guarantee</w:t>
      </w:r>
      <w:r w:rsidRPr="00B608EE">
        <w:t xml:space="preserve"> based on </w:t>
      </w:r>
      <w:r w:rsidR="00941814">
        <w:t>their ordinary time earnings (</w:t>
      </w:r>
      <w:r w:rsidRPr="00B608EE">
        <w:t>OTE</w:t>
      </w:r>
      <w:r w:rsidR="00941814">
        <w:t>)</w:t>
      </w:r>
      <w:r w:rsidRPr="00B608EE">
        <w:t xml:space="preserve">. </w:t>
      </w:r>
      <w:r>
        <w:t xml:space="preserve">However, there is no reporting of employees’ OTE to the </w:t>
      </w:r>
      <w:r w:rsidR="003F37DE">
        <w:t>ATO;</w:t>
      </w:r>
      <w:r>
        <w:t xml:space="preserve"> instead individuals and employers report total wages. </w:t>
      </w:r>
      <w:r w:rsidR="00E9370A">
        <w:t xml:space="preserve">As outlined above, </w:t>
      </w:r>
      <w:r>
        <w:t xml:space="preserve">OTE is lower than total wages as it excludes certain types of remuneration such as </w:t>
      </w:r>
      <w:r w:rsidR="00E9370A" w:rsidRPr="00AE09D0">
        <w:t>bonuses</w:t>
      </w:r>
      <w:r w:rsidR="00E9370A" w:rsidRPr="00AE09D0" w:rsidDel="008B53C9">
        <w:t>, overtime</w:t>
      </w:r>
      <w:r w:rsidR="00E9370A" w:rsidRPr="00AE09D0">
        <w:t xml:space="preserve"> and termination payments related to unused annual leave</w:t>
      </w:r>
      <w:r>
        <w:t>.</w:t>
      </w:r>
    </w:p>
    <w:p w14:paraId="356B0AE3" w14:textId="5106EBAD" w:rsidR="001E0E09" w:rsidRDefault="001E0E09" w:rsidP="00F7693C">
      <w:pPr>
        <w:pStyle w:val="ListParagraph"/>
        <w:numPr>
          <w:ilvl w:val="1"/>
          <w:numId w:val="56"/>
        </w:numPr>
        <w:spacing w:line="360" w:lineRule="auto"/>
        <w:contextualSpacing w:val="0"/>
        <w:jc w:val="both"/>
      </w:pPr>
      <w:r>
        <w:t xml:space="preserve">To estimate OTE, the ISA </w:t>
      </w:r>
      <w:r w:rsidR="0041411C">
        <w:t>R</w:t>
      </w:r>
      <w:r>
        <w:t>eport makes an averag</w:t>
      </w:r>
      <w:r w:rsidR="00C10AB2">
        <w:t>e</w:t>
      </w:r>
      <w:r>
        <w:t xml:space="preserve"> reduction to total wages (</w:t>
      </w:r>
      <w:r w:rsidR="00E4678F">
        <w:t xml:space="preserve">for example, </w:t>
      </w:r>
      <w:r>
        <w:t xml:space="preserve">about </w:t>
      </w:r>
      <w:r w:rsidR="001A5BB6">
        <w:t>five per </w:t>
      </w:r>
      <w:r>
        <w:t xml:space="preserve">cent for men). </w:t>
      </w:r>
      <w:r w:rsidRPr="00B608EE">
        <w:t>Th</w:t>
      </w:r>
      <w:r w:rsidR="00C10AB2">
        <w:t xml:space="preserve">is adjustment is not big enough. </w:t>
      </w:r>
      <w:r>
        <w:t xml:space="preserve">This is </w:t>
      </w:r>
      <w:r w:rsidR="00C10AB2">
        <w:t>especially</w:t>
      </w:r>
      <w:r>
        <w:t xml:space="preserve"> the case for workers who receive a large share of their income in overtime (</w:t>
      </w:r>
      <w:r w:rsidR="0041411C">
        <w:t>for example,</w:t>
      </w:r>
      <w:r>
        <w:t xml:space="preserve"> for men </w:t>
      </w:r>
      <w:r w:rsidR="009373C9">
        <w:t xml:space="preserve">whose </w:t>
      </w:r>
      <w:r>
        <w:t>overtime exceed</w:t>
      </w:r>
      <w:r w:rsidR="009373C9">
        <w:t>s</w:t>
      </w:r>
      <w:r>
        <w:t xml:space="preserve"> </w:t>
      </w:r>
      <w:r w:rsidR="001A5BB6">
        <w:t>five </w:t>
      </w:r>
      <w:r>
        <w:t>per</w:t>
      </w:r>
      <w:r w:rsidR="001A5BB6">
        <w:t> </w:t>
      </w:r>
      <w:r>
        <w:t xml:space="preserve">cent of </w:t>
      </w:r>
      <w:r w:rsidR="009373C9">
        <w:t xml:space="preserve">their </w:t>
      </w:r>
      <w:r>
        <w:t>total wage).</w:t>
      </w:r>
      <w:r w:rsidRPr="00B608EE" w:rsidDel="000E735C">
        <w:t xml:space="preserve"> </w:t>
      </w:r>
    </w:p>
    <w:p w14:paraId="668D87F2" w14:textId="51192870" w:rsidR="001E0E09" w:rsidRPr="00A016C5" w:rsidRDefault="001E0E09" w:rsidP="00F7693C">
      <w:pPr>
        <w:pStyle w:val="ListParagraph"/>
        <w:numPr>
          <w:ilvl w:val="1"/>
          <w:numId w:val="56"/>
        </w:numPr>
        <w:spacing w:line="360" w:lineRule="auto"/>
        <w:contextualSpacing w:val="0"/>
        <w:jc w:val="both"/>
        <w:rPr>
          <w:color w:val="auto"/>
        </w:rPr>
      </w:pPr>
      <w:r w:rsidRPr="00A016C5">
        <w:rPr>
          <w:color w:val="auto"/>
        </w:rPr>
        <w:t xml:space="preserve">The </w:t>
      </w:r>
      <w:r w:rsidR="009E3300" w:rsidRPr="00A016C5">
        <w:rPr>
          <w:color w:val="auto"/>
        </w:rPr>
        <w:t>Australian Bureau of Statistics (</w:t>
      </w:r>
      <w:r w:rsidRPr="00A016C5">
        <w:rPr>
          <w:color w:val="auto"/>
        </w:rPr>
        <w:t>ABS</w:t>
      </w:r>
      <w:r w:rsidR="009E3300" w:rsidRPr="00A016C5">
        <w:rPr>
          <w:color w:val="auto"/>
        </w:rPr>
        <w:t>)</w:t>
      </w:r>
      <w:r w:rsidRPr="00A016C5">
        <w:rPr>
          <w:color w:val="auto"/>
        </w:rPr>
        <w:t xml:space="preserve"> Survey of Income and Housing separately identifies OTE and total wages so can identify the level of </w:t>
      </w:r>
      <w:r w:rsidR="0041411C">
        <w:rPr>
          <w:color w:val="auto"/>
        </w:rPr>
        <w:t>superannuation guarantee</w:t>
      </w:r>
      <w:r w:rsidR="0041411C" w:rsidRPr="00A016C5">
        <w:rPr>
          <w:color w:val="auto"/>
        </w:rPr>
        <w:t xml:space="preserve"> </w:t>
      </w:r>
      <w:r w:rsidRPr="00A016C5">
        <w:rPr>
          <w:color w:val="auto"/>
        </w:rPr>
        <w:t>that people should receive given their wages.</w:t>
      </w:r>
      <w:r w:rsidR="000264AD">
        <w:rPr>
          <w:rStyle w:val="FootnoteReference"/>
          <w:color w:val="auto"/>
        </w:rPr>
        <w:footnoteReference w:id="8"/>
      </w:r>
    </w:p>
    <w:p w14:paraId="757D1C5C" w14:textId="727B6BBD" w:rsidR="00FF0B9D" w:rsidRDefault="00941814" w:rsidP="00FF0B9D">
      <w:pPr>
        <w:pStyle w:val="ListParagraph"/>
        <w:numPr>
          <w:ilvl w:val="1"/>
          <w:numId w:val="56"/>
        </w:numPr>
        <w:spacing w:line="360" w:lineRule="auto"/>
        <w:contextualSpacing w:val="0"/>
        <w:jc w:val="both"/>
      </w:pPr>
      <w:r>
        <w:t>To illustrat</w:t>
      </w:r>
      <w:r w:rsidR="009373C9">
        <w:t>e</w:t>
      </w:r>
      <w:r>
        <w:t xml:space="preserve"> the extent of this overestimate, </w:t>
      </w:r>
      <w:r w:rsidR="00FF0B9D">
        <w:t xml:space="preserve">using this ABS data on total wages and OTE, </w:t>
      </w:r>
      <w:r w:rsidR="001E0E09">
        <w:t xml:space="preserve">Treasury has constructed estimates of the distribution of </w:t>
      </w:r>
      <w:r w:rsidR="00895218">
        <w:rPr>
          <w:rFonts w:cstheme="minorHAnsi"/>
          <w:szCs w:val="22"/>
        </w:rPr>
        <w:t>superannuation guarantee</w:t>
      </w:r>
      <w:r w:rsidR="001E0E09">
        <w:t xml:space="preserve"> </w:t>
      </w:r>
      <w:r>
        <w:t xml:space="preserve">as a proportion </w:t>
      </w:r>
      <w:r w:rsidR="00D07899">
        <w:t xml:space="preserve">of </w:t>
      </w:r>
      <w:r w:rsidR="009373C9">
        <w:t>total wages assuming</w:t>
      </w:r>
      <w:r w:rsidR="001E0E09">
        <w:t xml:space="preserve"> </w:t>
      </w:r>
      <w:r w:rsidR="001E0E09" w:rsidRPr="00CD678D">
        <w:t>full compliance</w:t>
      </w:r>
      <w:r w:rsidR="001E0E09">
        <w:t xml:space="preserve">. </w:t>
      </w:r>
      <w:r w:rsidR="00FF0B9D">
        <w:t xml:space="preserve">This is shown as the solid line in Figure 1 below. It shows that overtime and other payments are only significant for around 20 per cent of the population, but can make up a large share of these people’s incomes. So if an aggregate adjustment is made to the observed data (the 8.5 </w:t>
      </w:r>
      <w:r w:rsidR="000E5A17">
        <w:t>per cent</w:t>
      </w:r>
      <w:r w:rsidR="00FF0B9D">
        <w:t xml:space="preserve"> dashed line represents the ISA methodology) around 10 per </w:t>
      </w:r>
      <w:r w:rsidRPr="004A7081">
        <w:t xml:space="preserve">cent of the workforce (about </w:t>
      </w:r>
      <w:r>
        <w:t>one</w:t>
      </w:r>
      <w:r w:rsidRPr="004A7081">
        <w:t xml:space="preserve"> million workers) </w:t>
      </w:r>
      <w:r w:rsidR="00FF0B9D">
        <w:t xml:space="preserve">would be incorrectly flagged as </w:t>
      </w:r>
      <w:r w:rsidRPr="004A7081">
        <w:t>underpaid.</w:t>
      </w:r>
      <w:r w:rsidR="00FF0B9D">
        <w:t xml:space="preserve"> </w:t>
      </w:r>
      <w:r>
        <w:t>The</w:t>
      </w:r>
      <w:r w:rsidR="00FF0B9D">
        <w:t xml:space="preserve">se are those </w:t>
      </w:r>
      <w:r>
        <w:t xml:space="preserve">for whom the solid line is below the dashed line in the chart. </w:t>
      </w:r>
    </w:p>
    <w:p w14:paraId="71727E9E" w14:textId="6E7CBCE6" w:rsidR="00941814" w:rsidRPr="004A7081" w:rsidRDefault="00941814" w:rsidP="00FF0B9D">
      <w:pPr>
        <w:pStyle w:val="ListParagraph"/>
        <w:numPr>
          <w:ilvl w:val="1"/>
          <w:numId w:val="56"/>
        </w:numPr>
        <w:spacing w:line="360" w:lineRule="auto"/>
        <w:contextualSpacing w:val="0"/>
        <w:jc w:val="both"/>
      </w:pPr>
      <w:r w:rsidRPr="004A7081">
        <w:t xml:space="preserve">This misidentification also overstates the total value of unpaid </w:t>
      </w:r>
      <w:r w:rsidR="00895218">
        <w:rPr>
          <w:rFonts w:cstheme="minorHAnsi"/>
          <w:szCs w:val="22"/>
        </w:rPr>
        <w:t>superannuation guarantee</w:t>
      </w:r>
      <w:r w:rsidRPr="004A7081">
        <w:t xml:space="preserve">, though </w:t>
      </w:r>
      <w:r w:rsidRPr="004A7081" w:rsidDel="008B53C9">
        <w:t>to</w:t>
      </w:r>
      <w:r w:rsidRPr="004A7081">
        <w:t xml:space="preserve"> a smaller magnitude</w:t>
      </w:r>
      <w:r>
        <w:t xml:space="preserve">. This </w:t>
      </w:r>
      <w:r w:rsidRPr="004A7081">
        <w:t xml:space="preserve">reflects </w:t>
      </w:r>
      <w:r w:rsidR="00FF0B9D">
        <w:t xml:space="preserve">the fact that </w:t>
      </w:r>
      <w:r w:rsidRPr="004A7081">
        <w:t xml:space="preserve">the </w:t>
      </w:r>
      <w:r w:rsidR="00FF0B9D">
        <w:t xml:space="preserve">estimated </w:t>
      </w:r>
      <w:r w:rsidRPr="004A7081">
        <w:t>underpayment</w:t>
      </w:r>
      <w:r>
        <w:t xml:space="preserve"> </w:t>
      </w:r>
      <w:r w:rsidR="00FF0B9D">
        <w:t xml:space="preserve">of </w:t>
      </w:r>
      <w:r w:rsidR="00895218">
        <w:rPr>
          <w:rFonts w:cstheme="minorHAnsi"/>
          <w:szCs w:val="22"/>
        </w:rPr>
        <w:t>superannuation guarantee</w:t>
      </w:r>
      <w:r w:rsidR="00FF0B9D">
        <w:t xml:space="preserve"> </w:t>
      </w:r>
      <w:r>
        <w:t>(the distance between the dashed line and the solid line in the chart)</w:t>
      </w:r>
      <w:r w:rsidRPr="004A7081">
        <w:t xml:space="preserve"> </w:t>
      </w:r>
      <w:r>
        <w:t>will</w:t>
      </w:r>
      <w:r w:rsidRPr="004A7081">
        <w:t xml:space="preserve"> be small for many</w:t>
      </w:r>
      <w:r>
        <w:t xml:space="preserve"> </w:t>
      </w:r>
      <w:r w:rsidR="00FF0B9D">
        <w:t xml:space="preserve">of the apparently ‘underpaid’ </w:t>
      </w:r>
      <w:r w:rsidDel="008B53C9">
        <w:t>workers</w:t>
      </w:r>
      <w:r w:rsidRPr="004A7081">
        <w:t xml:space="preserve">.  </w:t>
      </w:r>
    </w:p>
    <w:p w14:paraId="02E810F8" w14:textId="390C84A3" w:rsidR="001E0E09" w:rsidRDefault="001E0E09" w:rsidP="00A42E4C">
      <w:pPr>
        <w:spacing w:before="480" w:line="360" w:lineRule="auto"/>
      </w:pPr>
      <w:r w:rsidRPr="003F24BE">
        <w:rPr>
          <w:b/>
        </w:rPr>
        <w:t xml:space="preserve">Figure </w:t>
      </w:r>
      <w:r w:rsidR="00D53A11">
        <w:rPr>
          <w:b/>
        </w:rPr>
        <w:t>1</w:t>
      </w:r>
      <w:r w:rsidRPr="003F24BE">
        <w:rPr>
          <w:b/>
        </w:rPr>
        <w:t>: Correct Superannuation Guarantee versus ISA methodology</w:t>
      </w:r>
      <w:r w:rsidRPr="003F24BE">
        <w:rPr>
          <w:b/>
        </w:rPr>
        <w:br/>
      </w:r>
      <w:r>
        <w:rPr>
          <w:noProof/>
          <w:lang w:eastAsia="en-AU"/>
        </w:rPr>
        <w:drawing>
          <wp:inline distT="0" distB="0" distL="0" distR="0" wp14:anchorId="017AD3AB" wp14:editId="103D37CD">
            <wp:extent cx="5759450" cy="3542431"/>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4F4004" w14:textId="77777777" w:rsidR="001E0E09" w:rsidRDefault="001E0E09" w:rsidP="00A008C6">
      <w:pPr>
        <w:pStyle w:val="Heading4"/>
        <w:ind w:left="864" w:hanging="864"/>
        <w:jc w:val="both"/>
      </w:pPr>
      <w:r w:rsidRPr="00AD664E">
        <w:t>Timing of data collections</w:t>
      </w:r>
    </w:p>
    <w:p w14:paraId="2DD98940" w14:textId="1F0D7AD6" w:rsidR="00DE21A6" w:rsidRDefault="00FF0B9D" w:rsidP="00A008C6">
      <w:pPr>
        <w:pStyle w:val="ListParagraph"/>
        <w:numPr>
          <w:ilvl w:val="1"/>
          <w:numId w:val="56"/>
        </w:numPr>
        <w:spacing w:line="360" w:lineRule="auto"/>
        <w:contextualSpacing w:val="0"/>
        <w:jc w:val="both"/>
      </w:pPr>
      <w:r>
        <w:t>A further issue with the ISA methodology is that there is a</w:t>
      </w:r>
      <w:r w:rsidR="001E0E09">
        <w:t xml:space="preserve"> mismatch in the timing of </w:t>
      </w:r>
      <w:r>
        <w:t xml:space="preserve">payment of </w:t>
      </w:r>
      <w:r w:rsidR="001E0E09">
        <w:t xml:space="preserve">wages and superannuation contributions. The </w:t>
      </w:r>
      <w:r w:rsidR="00EE4845">
        <w:t>ISA Report</w:t>
      </w:r>
      <w:r w:rsidR="001E0E09">
        <w:t xml:space="preserve"> does not account </w:t>
      </w:r>
      <w:r w:rsidR="00920AB9">
        <w:t xml:space="preserve">well </w:t>
      </w:r>
      <w:r w:rsidR="001E0E09">
        <w:t xml:space="preserve">for the timing mismatch so it overestimates the numbers of people with unpaid </w:t>
      </w:r>
      <w:r w:rsidR="00895218">
        <w:rPr>
          <w:rFonts w:cstheme="minorHAnsi"/>
          <w:szCs w:val="22"/>
        </w:rPr>
        <w:t>superannuation guarantee</w:t>
      </w:r>
      <w:r w:rsidR="001E0E09">
        <w:t xml:space="preserve">. </w:t>
      </w:r>
    </w:p>
    <w:p w14:paraId="210059BE" w14:textId="09B46034" w:rsidR="001E0E09" w:rsidRDefault="00DE21A6" w:rsidP="00A016C5">
      <w:pPr>
        <w:pStyle w:val="ListParagraph"/>
        <w:numPr>
          <w:ilvl w:val="1"/>
          <w:numId w:val="56"/>
        </w:numPr>
        <w:spacing w:line="360" w:lineRule="auto"/>
        <w:contextualSpacing w:val="0"/>
        <w:jc w:val="both"/>
      </w:pPr>
      <w:r>
        <w:t xml:space="preserve">A mismatch in timing of payments occurs as employers are legally allowed to pay their employees’ superannuation contributions with a one quarter lag to wages. </w:t>
      </w:r>
      <w:r w:rsidR="00FF0B9D">
        <w:t xml:space="preserve">In the ATO data files for a given year, wages data reflect actual wages paid that year and superannuation contributions reflect actual contributions paid that year. </w:t>
      </w:r>
      <w:r>
        <w:t>This means that the superannuation contributions in the data do not relate to the same wage bill.</w:t>
      </w:r>
      <w:r w:rsidR="001E0E09">
        <w:t xml:space="preserve"> </w:t>
      </w:r>
    </w:p>
    <w:p w14:paraId="257F7F1A" w14:textId="528249DF" w:rsidR="001E0E09" w:rsidRDefault="001E0E09" w:rsidP="00DF7118">
      <w:pPr>
        <w:pStyle w:val="ListParagraph"/>
        <w:numPr>
          <w:ilvl w:val="1"/>
          <w:numId w:val="56"/>
        </w:numPr>
        <w:spacing w:line="360" w:lineRule="auto"/>
        <w:contextualSpacing w:val="0"/>
        <w:jc w:val="both"/>
      </w:pPr>
      <w:r>
        <w:t xml:space="preserve">Figure </w:t>
      </w:r>
      <w:r w:rsidR="00961C8D">
        <w:t>2</w:t>
      </w:r>
      <w:r>
        <w:t xml:space="preserve"> demonstrates this issue in more detail. For example, an individual was unemployed in 2012</w:t>
      </w:r>
      <w:r w:rsidR="00CA242B">
        <w:noBreakHyphen/>
      </w:r>
      <w:r>
        <w:t>13 but starts a job earning $40,000 a year (or $10,000 a quarter) in 2013</w:t>
      </w:r>
      <w:r w:rsidR="00CA242B">
        <w:noBreakHyphen/>
      </w:r>
      <w:r>
        <w:t xml:space="preserve">14. Their employer pays the correct </w:t>
      </w:r>
      <w:r w:rsidR="00895218">
        <w:rPr>
          <w:rFonts w:cstheme="minorHAnsi"/>
          <w:szCs w:val="22"/>
        </w:rPr>
        <w:t>superannuation guarantee</w:t>
      </w:r>
      <w:r>
        <w:t xml:space="preserve"> contributions of $925 a quarter into the employees account in the following month. ATO data for 2013</w:t>
      </w:r>
      <w:r w:rsidR="00CA242B">
        <w:noBreakHyphen/>
      </w:r>
      <w:r>
        <w:t xml:space="preserve">14 will show wages of $40,000 and </w:t>
      </w:r>
      <w:r w:rsidR="00895218">
        <w:rPr>
          <w:rFonts w:cstheme="minorHAnsi"/>
          <w:szCs w:val="22"/>
        </w:rPr>
        <w:t>superannuation guarantee</w:t>
      </w:r>
      <w:r>
        <w:t xml:space="preserve"> payments of only $2,775 in </w:t>
      </w:r>
      <w:r w:rsidR="00DE21A6">
        <w:t>2013-14</w:t>
      </w:r>
      <w:r>
        <w:t xml:space="preserve">. Using ISA methodology, the apparent </w:t>
      </w:r>
      <w:r w:rsidR="00895218">
        <w:rPr>
          <w:rFonts w:cstheme="minorHAnsi"/>
          <w:szCs w:val="22"/>
        </w:rPr>
        <w:t>superannuation guarantee</w:t>
      </w:r>
      <w:r>
        <w:t xml:space="preserve"> rate is 6.9 per cent and the individual would </w:t>
      </w:r>
      <w:r w:rsidR="00354EDA">
        <w:t>appear</w:t>
      </w:r>
      <w:r>
        <w:t xml:space="preserve"> to be have </w:t>
      </w:r>
      <w:r w:rsidR="00354EDA">
        <w:t xml:space="preserve">been </w:t>
      </w:r>
      <w:r>
        <w:t xml:space="preserve">unpaid </w:t>
      </w:r>
      <w:r w:rsidR="00895218">
        <w:rPr>
          <w:rFonts w:cstheme="minorHAnsi"/>
          <w:szCs w:val="22"/>
        </w:rPr>
        <w:t>superannuation guarantee</w:t>
      </w:r>
      <w:r>
        <w:t xml:space="preserve">. Yet in this example the employer is legally making </w:t>
      </w:r>
      <w:r w:rsidR="00895218">
        <w:rPr>
          <w:rFonts w:cstheme="minorHAnsi"/>
          <w:szCs w:val="22"/>
        </w:rPr>
        <w:t>superannuation guarantee</w:t>
      </w:r>
      <w:r>
        <w:t xml:space="preserve"> contributions in the following quarter and the employee was actually paid $3,700 at the statutory </w:t>
      </w:r>
      <w:r w:rsidR="00895218">
        <w:rPr>
          <w:rFonts w:cstheme="minorHAnsi"/>
          <w:szCs w:val="22"/>
        </w:rPr>
        <w:t>superannuation guarantee</w:t>
      </w:r>
      <w:r>
        <w:t xml:space="preserve"> rate of 9.25 per cent.</w:t>
      </w:r>
      <w:r w:rsidR="0085541F">
        <w:rPr>
          <w:rStyle w:val="FootnoteReference"/>
        </w:rPr>
        <w:footnoteReference w:id="9"/>
      </w:r>
    </w:p>
    <w:p w14:paraId="273BE150" w14:textId="09588325" w:rsidR="001E0E09" w:rsidRDefault="001E0E09" w:rsidP="00DF7118">
      <w:pPr>
        <w:pStyle w:val="ListParagraph"/>
        <w:numPr>
          <w:ilvl w:val="1"/>
          <w:numId w:val="56"/>
        </w:numPr>
        <w:spacing w:line="360" w:lineRule="auto"/>
        <w:contextualSpacing w:val="0"/>
        <w:jc w:val="both"/>
      </w:pPr>
      <w:r>
        <w:t xml:space="preserve">This issue </w:t>
      </w:r>
      <w:r w:rsidR="00354EDA">
        <w:t>probably</w:t>
      </w:r>
      <w:r>
        <w:t xml:space="preserve"> incorrectly </w:t>
      </w:r>
      <w:r w:rsidR="00354EDA">
        <w:t xml:space="preserve">shows </w:t>
      </w:r>
      <w:r>
        <w:t>non</w:t>
      </w:r>
      <w:r w:rsidR="00CA242B">
        <w:noBreakHyphen/>
      </w:r>
      <w:r>
        <w:t xml:space="preserve">compliance for </w:t>
      </w:r>
      <w:r w:rsidRPr="007E3393">
        <w:t>all</w:t>
      </w:r>
      <w:r>
        <w:t xml:space="preserve"> new entrants to the workforce and </w:t>
      </w:r>
      <w:r w:rsidRPr="007E3393">
        <w:t>all</w:t>
      </w:r>
      <w:r>
        <w:t xml:space="preserve"> people return</w:t>
      </w:r>
      <w:r w:rsidR="00354EDA">
        <w:t>ing</w:t>
      </w:r>
      <w:r>
        <w:t xml:space="preserve"> to work after a break. As such, it leads to an overestimate of people with unpaid </w:t>
      </w:r>
      <w:r w:rsidR="00895218">
        <w:rPr>
          <w:rFonts w:cstheme="minorHAnsi"/>
          <w:szCs w:val="22"/>
        </w:rPr>
        <w:t>superannuation guarantee</w:t>
      </w:r>
      <w:r>
        <w:t xml:space="preserve">. Similar to the OTE issue, this timing issue has a much smaller impact on the aggregate estimate of unpaid </w:t>
      </w:r>
      <w:r w:rsidR="00895218">
        <w:rPr>
          <w:rFonts w:cstheme="minorHAnsi"/>
          <w:szCs w:val="22"/>
        </w:rPr>
        <w:t>superannuation guarantee</w:t>
      </w:r>
      <w:r>
        <w:t>.</w:t>
      </w:r>
    </w:p>
    <w:p w14:paraId="3F3F7DDF" w14:textId="23ABDFBC" w:rsidR="001E0E09" w:rsidRPr="00A016C5" w:rsidRDefault="001E0E09" w:rsidP="00A42E4C">
      <w:pPr>
        <w:pStyle w:val="Bullet"/>
        <w:keepNext/>
        <w:numPr>
          <w:ilvl w:val="0"/>
          <w:numId w:val="0"/>
        </w:numPr>
        <w:spacing w:before="480"/>
        <w:ind w:left="522" w:hanging="522"/>
        <w:rPr>
          <w:rFonts w:ascii="Arial" w:hAnsi="Arial"/>
          <w:b/>
          <w:color w:val="000000"/>
        </w:rPr>
      </w:pPr>
      <w:r w:rsidRPr="00A016C5">
        <w:rPr>
          <w:rFonts w:ascii="Arial" w:hAnsi="Arial"/>
          <w:b/>
          <w:color w:val="000000"/>
        </w:rPr>
        <w:t xml:space="preserve">Figure </w:t>
      </w:r>
      <w:r w:rsidR="00961C8D" w:rsidRPr="00A016C5">
        <w:rPr>
          <w:rFonts w:ascii="Arial" w:hAnsi="Arial"/>
          <w:b/>
          <w:color w:val="000000"/>
        </w:rPr>
        <w:t>2</w:t>
      </w:r>
      <w:r w:rsidRPr="00A016C5">
        <w:rPr>
          <w:rFonts w:ascii="Arial" w:hAnsi="Arial"/>
          <w:b/>
          <w:color w:val="000000"/>
        </w:rPr>
        <w:t xml:space="preserve">: Timing of actual </w:t>
      </w:r>
      <w:r w:rsidR="0041411C">
        <w:rPr>
          <w:rFonts w:ascii="Arial" w:hAnsi="Arial"/>
          <w:b/>
          <w:color w:val="000000"/>
        </w:rPr>
        <w:t>superannuation guarantee</w:t>
      </w:r>
      <w:r w:rsidR="0041411C" w:rsidRPr="00A016C5">
        <w:rPr>
          <w:rFonts w:ascii="Arial" w:hAnsi="Arial"/>
          <w:b/>
          <w:color w:val="000000"/>
        </w:rPr>
        <w:t xml:space="preserve"> </w:t>
      </w:r>
      <w:r w:rsidRPr="00A016C5">
        <w:rPr>
          <w:rFonts w:ascii="Arial" w:hAnsi="Arial"/>
          <w:b/>
          <w:color w:val="000000"/>
        </w:rPr>
        <w:t>payments</w:t>
      </w:r>
    </w:p>
    <w:p w14:paraId="01CCBC9E" w14:textId="77777777" w:rsidR="001E0E09" w:rsidRDefault="001E0E09" w:rsidP="005A7565">
      <w:pPr>
        <w:pStyle w:val="Bullet"/>
        <w:numPr>
          <w:ilvl w:val="0"/>
          <w:numId w:val="0"/>
        </w:numPr>
      </w:pPr>
      <w:r>
        <w:rPr>
          <w:noProof/>
          <w:lang w:eastAsia="en-AU"/>
        </w:rPr>
        <w:drawing>
          <wp:inline distT="0" distB="0" distL="0" distR="0" wp14:anchorId="6D05CC57" wp14:editId="2668E07A">
            <wp:extent cx="5746553" cy="2139950"/>
            <wp:effectExtent l="19050" t="19050" r="2603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t="3687"/>
                    <a:stretch/>
                  </pic:blipFill>
                  <pic:spPr bwMode="auto">
                    <a:xfrm>
                      <a:off x="0" y="0"/>
                      <a:ext cx="5752468" cy="214215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6C9C64" w14:textId="77777777" w:rsidR="001E0E09" w:rsidRDefault="001E0E09" w:rsidP="005A5270">
      <w:pPr>
        <w:pStyle w:val="Heading4"/>
        <w:ind w:left="864" w:hanging="864"/>
        <w:jc w:val="both"/>
      </w:pPr>
      <w:r>
        <w:t>Errors in self</w:t>
      </w:r>
      <w:r w:rsidR="00CA242B">
        <w:noBreakHyphen/>
      </w:r>
      <w:r>
        <w:t>reported data</w:t>
      </w:r>
    </w:p>
    <w:p w14:paraId="2FB87B81" w14:textId="4C660BC0" w:rsidR="001E0E09" w:rsidRDefault="001E0E09" w:rsidP="005A5270">
      <w:pPr>
        <w:pStyle w:val="ListParagraph"/>
        <w:numPr>
          <w:ilvl w:val="1"/>
          <w:numId w:val="56"/>
        </w:numPr>
        <w:spacing w:line="360" w:lineRule="auto"/>
        <w:contextualSpacing w:val="0"/>
        <w:jc w:val="both"/>
      </w:pPr>
      <w:r>
        <w:t xml:space="preserve">The ISA analysis of unpaid </w:t>
      </w:r>
      <w:r w:rsidR="00895218">
        <w:rPr>
          <w:rFonts w:cstheme="minorHAnsi"/>
          <w:szCs w:val="22"/>
        </w:rPr>
        <w:t>superannuation guarantee</w:t>
      </w:r>
      <w:r>
        <w:t xml:space="preserve"> relies on self</w:t>
      </w:r>
      <w:r w:rsidR="00CA242B">
        <w:noBreakHyphen/>
      </w:r>
      <w:r>
        <w:t xml:space="preserve">reported data in individuals’ tax returns which can have data entry errors. </w:t>
      </w:r>
    </w:p>
    <w:p w14:paraId="5366BFCE" w14:textId="77777777" w:rsidR="001E0E09" w:rsidRDefault="001E0E09" w:rsidP="005A5270">
      <w:pPr>
        <w:pStyle w:val="ListParagraph"/>
        <w:numPr>
          <w:ilvl w:val="1"/>
          <w:numId w:val="56"/>
        </w:numPr>
        <w:spacing w:line="360" w:lineRule="auto"/>
        <w:contextualSpacing w:val="0"/>
        <w:jc w:val="both"/>
      </w:pPr>
      <w:r>
        <w:t>For example,</w:t>
      </w:r>
      <w:r w:rsidRPr="00387DC8">
        <w:t xml:space="preserve"> reported salary sacrifice contributions in tax returns are about $300 million larger than in PAYG statements</w:t>
      </w:r>
      <w:r>
        <w:t xml:space="preserve"> in 2013</w:t>
      </w:r>
      <w:r w:rsidR="00CA242B">
        <w:noBreakHyphen/>
      </w:r>
      <w:r>
        <w:t>14.</w:t>
      </w:r>
    </w:p>
    <w:p w14:paraId="27D927AA" w14:textId="5FE8BA70" w:rsidR="001E0E09" w:rsidRDefault="001E0E09" w:rsidP="005A5270">
      <w:pPr>
        <w:pStyle w:val="ListParagraph"/>
        <w:numPr>
          <w:ilvl w:val="1"/>
          <w:numId w:val="56"/>
        </w:numPr>
        <w:spacing w:line="360" w:lineRule="auto"/>
        <w:contextualSpacing w:val="0"/>
        <w:jc w:val="both"/>
      </w:pPr>
      <w:r>
        <w:t xml:space="preserve">An examination of the unit record tax return, PAYG and member contributions statement data suggests some individuals mistakenly enter all employer contributions – </w:t>
      </w:r>
      <w:r w:rsidR="00895218">
        <w:rPr>
          <w:rFonts w:cstheme="minorHAnsi"/>
          <w:szCs w:val="22"/>
        </w:rPr>
        <w:t>superannuation guarantee</w:t>
      </w:r>
      <w:r>
        <w:t xml:space="preserve"> plus salary sacrifice contributions – instead of just their salary sacrifice contributions at the ‘</w:t>
      </w:r>
      <w:r>
        <w:rPr>
          <w:i/>
          <w:iCs/>
        </w:rPr>
        <w:t>Reportable employer superannuation contributions</w:t>
      </w:r>
      <w:r>
        <w:t xml:space="preserve">’ label in the tax return. This error does not affect taxable income and can have limited impact on tax liabilities for the lodger. However, using the ISA’s methodology it </w:t>
      </w:r>
      <w:r w:rsidR="00CF4076">
        <w:t>could</w:t>
      </w:r>
      <w:r>
        <w:t xml:space="preserve"> lead to an underestimate of the true amount of </w:t>
      </w:r>
      <w:r w:rsidR="00895218">
        <w:rPr>
          <w:rFonts w:cstheme="minorHAnsi"/>
          <w:szCs w:val="22"/>
        </w:rPr>
        <w:t>superannuation guarantee</w:t>
      </w:r>
      <w:r>
        <w:t xml:space="preserve"> paid to the employee. </w:t>
      </w:r>
    </w:p>
    <w:p w14:paraId="50D378D4" w14:textId="42D9EFBD" w:rsidR="001E0E09" w:rsidRDefault="001E0E09" w:rsidP="005A5270">
      <w:pPr>
        <w:pStyle w:val="ListParagraph"/>
        <w:numPr>
          <w:ilvl w:val="1"/>
          <w:numId w:val="56"/>
        </w:numPr>
        <w:spacing w:line="360" w:lineRule="auto"/>
        <w:contextualSpacing w:val="0"/>
        <w:jc w:val="both"/>
      </w:pPr>
      <w:r>
        <w:t xml:space="preserve">For example, in the hypothetical case presented in </w:t>
      </w:r>
      <w:r w:rsidRPr="00961C8D">
        <w:t xml:space="preserve">Table </w:t>
      </w:r>
      <w:r w:rsidR="0069326B">
        <w:t>1</w:t>
      </w:r>
      <w:r w:rsidR="00CF4076">
        <w:t xml:space="preserve"> below</w:t>
      </w:r>
      <w:r>
        <w:t xml:space="preserve">, the data leads to the amount of </w:t>
      </w:r>
      <w:r w:rsidR="00895218">
        <w:rPr>
          <w:rFonts w:cstheme="minorHAnsi"/>
          <w:szCs w:val="22"/>
        </w:rPr>
        <w:t>superannuation guarantee</w:t>
      </w:r>
      <w:r>
        <w:t xml:space="preserve"> paid being underestimated by $9,500. </w:t>
      </w:r>
      <w:r w:rsidR="009373C9">
        <w:t xml:space="preserve">This </w:t>
      </w:r>
      <w:r>
        <w:t xml:space="preserve">would also lead to ISA overestimating the extent to which employers are using salary sacrifice to cover their </w:t>
      </w:r>
      <w:r w:rsidR="00895218">
        <w:rPr>
          <w:rFonts w:cstheme="minorHAnsi"/>
          <w:szCs w:val="22"/>
        </w:rPr>
        <w:t>superannuation guarantee</w:t>
      </w:r>
      <w:r>
        <w:t xml:space="preserve"> obligations.</w:t>
      </w:r>
    </w:p>
    <w:p w14:paraId="36530E6C" w14:textId="46DC7DD0" w:rsidR="001E0E09" w:rsidRDefault="001E0E09" w:rsidP="00A016C5">
      <w:pPr>
        <w:pStyle w:val="ListParagraph"/>
        <w:numPr>
          <w:ilvl w:val="1"/>
          <w:numId w:val="56"/>
        </w:numPr>
        <w:spacing w:line="360" w:lineRule="auto"/>
        <w:contextualSpacing w:val="0"/>
        <w:jc w:val="both"/>
      </w:pPr>
      <w:r w:rsidRPr="00387DC8">
        <w:t xml:space="preserve">Assuming the $300 million excess in tax returns is entirely due to data entry errors of this type, ISA </w:t>
      </w:r>
      <w:r>
        <w:t xml:space="preserve">would </w:t>
      </w:r>
      <w:r w:rsidRPr="00387DC8">
        <w:t xml:space="preserve">overestimate the </w:t>
      </w:r>
      <w:r w:rsidR="00895218">
        <w:rPr>
          <w:rFonts w:cstheme="minorHAnsi"/>
          <w:szCs w:val="22"/>
        </w:rPr>
        <w:t>superannuation guarantee</w:t>
      </w:r>
      <w:r w:rsidRPr="00387DC8">
        <w:t xml:space="preserve"> shortfall by the same amount.  This is around 10 per cent of ISA’s total estimate of unpaid </w:t>
      </w:r>
      <w:r w:rsidR="00895218">
        <w:rPr>
          <w:rFonts w:cstheme="minorHAnsi"/>
          <w:szCs w:val="22"/>
        </w:rPr>
        <w:t>superannuation guarantee</w:t>
      </w:r>
      <w:r w:rsidRPr="00387DC8">
        <w:t>.</w:t>
      </w:r>
    </w:p>
    <w:p w14:paraId="2B5D1CFA" w14:textId="13D372E6" w:rsidR="001E0E09" w:rsidRPr="00A42E4C" w:rsidRDefault="001E0E09" w:rsidP="005A7565">
      <w:pPr>
        <w:pStyle w:val="Bullet"/>
        <w:numPr>
          <w:ilvl w:val="0"/>
          <w:numId w:val="0"/>
        </w:numPr>
        <w:spacing w:before="360"/>
        <w:rPr>
          <w:rFonts w:ascii="Arial" w:hAnsi="Arial" w:cs="Arial"/>
          <w:b/>
        </w:rPr>
      </w:pPr>
      <w:r w:rsidRPr="005A7565">
        <w:rPr>
          <w:rFonts w:ascii="Arial" w:hAnsi="Arial" w:cs="Arial"/>
          <w:b/>
        </w:rPr>
        <w:t xml:space="preserve">Table </w:t>
      </w:r>
      <w:r w:rsidR="0069326B" w:rsidRPr="005A7565">
        <w:rPr>
          <w:rFonts w:ascii="Arial" w:hAnsi="Arial" w:cs="Arial"/>
          <w:b/>
        </w:rPr>
        <w:t>1</w:t>
      </w:r>
      <w:r w:rsidRPr="005A7565">
        <w:rPr>
          <w:rFonts w:ascii="Arial" w:hAnsi="Arial" w:cs="Arial"/>
          <w:b/>
        </w:rPr>
        <w:t>: E</w:t>
      </w:r>
      <w:r w:rsidRPr="00A42E4C">
        <w:rPr>
          <w:rFonts w:ascii="Arial" w:hAnsi="Arial" w:cs="Arial"/>
          <w:b/>
        </w:rPr>
        <w:t>xample of errors in self</w:t>
      </w:r>
      <w:r w:rsidR="00CA242B" w:rsidRPr="00A42E4C">
        <w:rPr>
          <w:rFonts w:ascii="Arial" w:hAnsi="Arial" w:cs="Arial"/>
          <w:b/>
        </w:rPr>
        <w:noBreakHyphen/>
      </w:r>
      <w:r w:rsidRPr="00A42E4C">
        <w:rPr>
          <w:rFonts w:ascii="Arial" w:hAnsi="Arial" w:cs="Arial"/>
          <w:b/>
        </w:rPr>
        <w:t xml:space="preserve">reported data affecting unpaid </w:t>
      </w:r>
      <w:r w:rsidR="00895218" w:rsidRPr="00A42E4C">
        <w:rPr>
          <w:rFonts w:ascii="Arial" w:hAnsi="Arial" w:cs="Arial"/>
          <w:b/>
          <w:szCs w:val="22"/>
        </w:rPr>
        <w:t>superannuation guarantee</w:t>
      </w:r>
      <w:r w:rsidRPr="00A42E4C">
        <w:rPr>
          <w:rFonts w:ascii="Arial" w:hAnsi="Arial" w:cs="Arial"/>
          <w:b/>
        </w:rPr>
        <w:t xml:space="preserve"> estimates</w:t>
      </w:r>
    </w:p>
    <w:tbl>
      <w:tblPr>
        <w:tblStyle w:val="ATO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572"/>
        <w:gridCol w:w="4718"/>
        <w:gridCol w:w="1895"/>
        <w:gridCol w:w="1895"/>
      </w:tblGrid>
      <w:tr w:rsidR="001E0E09" w14:paraId="63C47CC6" w14:textId="77777777" w:rsidTr="00A42E4C">
        <w:trPr>
          <w:cnfStyle w:val="100000000000" w:firstRow="1" w:lastRow="0" w:firstColumn="0" w:lastColumn="0" w:oddVBand="0" w:evenVBand="0" w:oddHBand="0" w:evenHBand="0" w:firstRowFirstColumn="0" w:firstRowLastColumn="0" w:lastRowFirstColumn="0" w:lastRowLastColumn="0"/>
        </w:trPr>
        <w:tc>
          <w:tcPr>
            <w:tcW w:w="5290" w:type="dxa"/>
            <w:gridSpan w:val="2"/>
          </w:tcPr>
          <w:p w14:paraId="2E2D7132" w14:textId="77777777" w:rsidR="001E0E09" w:rsidRPr="005A7565" w:rsidRDefault="001E0E09" w:rsidP="00A42E4C">
            <w:pPr>
              <w:pStyle w:val="Bullet"/>
              <w:numPr>
                <w:ilvl w:val="0"/>
                <w:numId w:val="0"/>
              </w:numPr>
              <w:spacing w:before="0" w:line="240" w:lineRule="auto"/>
              <w:contextualSpacing/>
              <w:rPr>
                <w:sz w:val="20"/>
              </w:rPr>
            </w:pPr>
          </w:p>
        </w:tc>
        <w:tc>
          <w:tcPr>
            <w:tcW w:w="1895" w:type="dxa"/>
          </w:tcPr>
          <w:p w14:paraId="205C64DB" w14:textId="77777777" w:rsidR="001E0E09" w:rsidRPr="005A7565" w:rsidRDefault="001E0E09" w:rsidP="00A42E4C">
            <w:pPr>
              <w:pStyle w:val="Bullet"/>
              <w:numPr>
                <w:ilvl w:val="0"/>
                <w:numId w:val="0"/>
              </w:numPr>
              <w:spacing w:before="0" w:line="240" w:lineRule="auto"/>
              <w:contextualSpacing/>
              <w:jc w:val="center"/>
              <w:rPr>
                <w:rFonts w:ascii="Arial" w:hAnsi="Arial" w:cs="Arial"/>
                <w:b/>
                <w:color w:val="FFFFFF" w:themeColor="background1"/>
                <w:sz w:val="20"/>
              </w:rPr>
            </w:pPr>
            <w:r w:rsidRPr="005A7565">
              <w:rPr>
                <w:rFonts w:ascii="Arial" w:hAnsi="Arial" w:cs="Arial"/>
                <w:b/>
                <w:color w:val="FFFFFF" w:themeColor="background1"/>
                <w:sz w:val="20"/>
              </w:rPr>
              <w:t xml:space="preserve">Error in </w:t>
            </w:r>
          </w:p>
          <w:p w14:paraId="1395E94C" w14:textId="77777777" w:rsidR="001E0E09" w:rsidRPr="005A7565" w:rsidRDefault="001E0E09" w:rsidP="00A42E4C">
            <w:pPr>
              <w:pStyle w:val="Bullet"/>
              <w:numPr>
                <w:ilvl w:val="0"/>
                <w:numId w:val="0"/>
              </w:numPr>
              <w:spacing w:before="0" w:line="240" w:lineRule="auto"/>
              <w:contextualSpacing/>
              <w:jc w:val="center"/>
              <w:rPr>
                <w:rFonts w:ascii="Arial" w:hAnsi="Arial" w:cs="Arial"/>
                <w:b/>
                <w:color w:val="FFFFFF" w:themeColor="background1"/>
                <w:sz w:val="20"/>
              </w:rPr>
            </w:pPr>
            <w:r w:rsidRPr="005A7565">
              <w:rPr>
                <w:rFonts w:ascii="Arial" w:hAnsi="Arial" w:cs="Arial"/>
                <w:b/>
                <w:color w:val="FFFFFF" w:themeColor="background1"/>
                <w:sz w:val="20"/>
              </w:rPr>
              <w:t>reporting</w:t>
            </w:r>
          </w:p>
        </w:tc>
        <w:tc>
          <w:tcPr>
            <w:tcW w:w="1895" w:type="dxa"/>
          </w:tcPr>
          <w:p w14:paraId="7923C3E0" w14:textId="77777777" w:rsidR="001E0E09" w:rsidRPr="005A7565" w:rsidRDefault="001E0E09" w:rsidP="00A42E4C">
            <w:pPr>
              <w:pStyle w:val="Bullet"/>
              <w:numPr>
                <w:ilvl w:val="0"/>
                <w:numId w:val="0"/>
              </w:numPr>
              <w:spacing w:before="0" w:line="240" w:lineRule="auto"/>
              <w:contextualSpacing/>
              <w:jc w:val="center"/>
              <w:rPr>
                <w:rFonts w:ascii="Arial" w:hAnsi="Arial" w:cs="Arial"/>
                <w:b/>
                <w:color w:val="FFFFFF" w:themeColor="background1"/>
                <w:sz w:val="20"/>
              </w:rPr>
            </w:pPr>
            <w:r w:rsidRPr="005A7565">
              <w:rPr>
                <w:rFonts w:ascii="Arial" w:hAnsi="Arial" w:cs="Arial"/>
                <w:b/>
                <w:color w:val="FFFFFF" w:themeColor="background1"/>
                <w:sz w:val="20"/>
              </w:rPr>
              <w:t xml:space="preserve">Correct </w:t>
            </w:r>
          </w:p>
          <w:p w14:paraId="6C1E5C36" w14:textId="77777777" w:rsidR="001E0E09" w:rsidRPr="005A7565" w:rsidRDefault="001E0E09" w:rsidP="00A42E4C">
            <w:pPr>
              <w:pStyle w:val="Bullet"/>
              <w:numPr>
                <w:ilvl w:val="0"/>
                <w:numId w:val="0"/>
              </w:numPr>
              <w:spacing w:before="0" w:line="240" w:lineRule="auto"/>
              <w:contextualSpacing/>
              <w:jc w:val="center"/>
              <w:rPr>
                <w:rFonts w:ascii="Arial" w:hAnsi="Arial" w:cs="Arial"/>
                <w:b/>
                <w:color w:val="FFFFFF" w:themeColor="background1"/>
                <w:sz w:val="20"/>
              </w:rPr>
            </w:pPr>
            <w:r w:rsidRPr="005A7565">
              <w:rPr>
                <w:rFonts w:ascii="Arial" w:hAnsi="Arial" w:cs="Arial"/>
                <w:b/>
                <w:color w:val="FFFFFF" w:themeColor="background1"/>
                <w:sz w:val="20"/>
              </w:rPr>
              <w:t>reporting</w:t>
            </w:r>
          </w:p>
        </w:tc>
      </w:tr>
      <w:tr w:rsidR="001E0E09" w14:paraId="364814E8" w14:textId="77777777" w:rsidTr="00A42E4C">
        <w:tc>
          <w:tcPr>
            <w:tcW w:w="9080" w:type="dxa"/>
            <w:gridSpan w:val="4"/>
          </w:tcPr>
          <w:p w14:paraId="03F3AD32" w14:textId="77777777" w:rsidR="001E0E09" w:rsidRPr="005A7565" w:rsidRDefault="001E0E09" w:rsidP="00A42E4C">
            <w:pPr>
              <w:pStyle w:val="Bullet"/>
              <w:numPr>
                <w:ilvl w:val="0"/>
                <w:numId w:val="0"/>
              </w:numPr>
              <w:spacing w:before="0" w:line="240" w:lineRule="auto"/>
              <w:ind w:firstLine="147"/>
              <w:contextualSpacing/>
              <w:rPr>
                <w:rFonts w:ascii="Arial" w:hAnsi="Arial" w:cs="Arial"/>
                <w:b/>
                <w:sz w:val="20"/>
              </w:rPr>
            </w:pPr>
            <w:r w:rsidRPr="005A7565">
              <w:rPr>
                <w:rFonts w:ascii="Arial" w:hAnsi="Arial" w:cs="Arial"/>
                <w:b/>
                <w:sz w:val="20"/>
              </w:rPr>
              <w:t>Actual wages and contributions</w:t>
            </w:r>
          </w:p>
        </w:tc>
      </w:tr>
      <w:tr w:rsidR="001E0E09" w14:paraId="00003C25" w14:textId="77777777" w:rsidTr="00A42E4C">
        <w:tc>
          <w:tcPr>
            <w:tcW w:w="572" w:type="dxa"/>
          </w:tcPr>
          <w:p w14:paraId="0656D589" w14:textId="77777777" w:rsidR="001E0E09" w:rsidRPr="005A7565" w:rsidRDefault="001E0E09" w:rsidP="00A42E4C">
            <w:pPr>
              <w:pStyle w:val="Bullet"/>
              <w:numPr>
                <w:ilvl w:val="0"/>
                <w:numId w:val="0"/>
              </w:numPr>
              <w:spacing w:before="0" w:line="240" w:lineRule="auto"/>
              <w:contextualSpacing/>
              <w:jc w:val="center"/>
              <w:rPr>
                <w:sz w:val="20"/>
              </w:rPr>
            </w:pPr>
            <w:r w:rsidRPr="005A7565">
              <w:rPr>
                <w:sz w:val="20"/>
              </w:rPr>
              <w:t>(1)</w:t>
            </w:r>
          </w:p>
        </w:tc>
        <w:tc>
          <w:tcPr>
            <w:tcW w:w="4718" w:type="dxa"/>
          </w:tcPr>
          <w:p w14:paraId="4C4AA6A9"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Wage income – actual</w:t>
            </w:r>
          </w:p>
        </w:tc>
        <w:tc>
          <w:tcPr>
            <w:tcW w:w="3790" w:type="dxa"/>
            <w:gridSpan w:val="2"/>
          </w:tcPr>
          <w:p w14:paraId="66E87C95"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$90,000</w:t>
            </w:r>
          </w:p>
        </w:tc>
      </w:tr>
      <w:tr w:rsidR="001E0E09" w14:paraId="751FB812" w14:textId="77777777" w:rsidTr="00A42E4C">
        <w:tc>
          <w:tcPr>
            <w:tcW w:w="572" w:type="dxa"/>
          </w:tcPr>
          <w:p w14:paraId="24100D04" w14:textId="77777777" w:rsidR="001E0E09" w:rsidRPr="005A7565" w:rsidRDefault="001E0E09" w:rsidP="00A42E4C">
            <w:pPr>
              <w:pStyle w:val="Bullet"/>
              <w:numPr>
                <w:ilvl w:val="0"/>
                <w:numId w:val="0"/>
              </w:numPr>
              <w:spacing w:before="0" w:line="240" w:lineRule="auto"/>
              <w:contextualSpacing/>
              <w:jc w:val="center"/>
              <w:rPr>
                <w:sz w:val="20"/>
              </w:rPr>
            </w:pPr>
            <w:r w:rsidRPr="005A7565">
              <w:rPr>
                <w:sz w:val="20"/>
              </w:rPr>
              <w:t>(2)</w:t>
            </w:r>
          </w:p>
        </w:tc>
        <w:tc>
          <w:tcPr>
            <w:tcW w:w="4718" w:type="dxa"/>
          </w:tcPr>
          <w:p w14:paraId="16D0276D"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Superannuation Guarantee – actual</w:t>
            </w:r>
          </w:p>
        </w:tc>
        <w:tc>
          <w:tcPr>
            <w:tcW w:w="3790" w:type="dxa"/>
            <w:gridSpan w:val="2"/>
          </w:tcPr>
          <w:p w14:paraId="4A85411C"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$9,500</w:t>
            </w:r>
          </w:p>
        </w:tc>
      </w:tr>
      <w:tr w:rsidR="001E0E09" w14:paraId="089D0236" w14:textId="77777777" w:rsidTr="00A42E4C">
        <w:tc>
          <w:tcPr>
            <w:tcW w:w="572" w:type="dxa"/>
          </w:tcPr>
          <w:p w14:paraId="5CE56FC4" w14:textId="77777777" w:rsidR="001E0E09" w:rsidRPr="005A7565" w:rsidRDefault="001E0E09" w:rsidP="00A42E4C">
            <w:pPr>
              <w:pStyle w:val="Bullet"/>
              <w:numPr>
                <w:ilvl w:val="0"/>
                <w:numId w:val="0"/>
              </w:numPr>
              <w:spacing w:before="0" w:line="240" w:lineRule="auto"/>
              <w:contextualSpacing/>
              <w:jc w:val="center"/>
              <w:rPr>
                <w:sz w:val="20"/>
              </w:rPr>
            </w:pPr>
            <w:r w:rsidRPr="005A7565">
              <w:rPr>
                <w:sz w:val="20"/>
              </w:rPr>
              <w:t>(3)</w:t>
            </w:r>
          </w:p>
        </w:tc>
        <w:tc>
          <w:tcPr>
            <w:tcW w:w="4718" w:type="dxa"/>
          </w:tcPr>
          <w:p w14:paraId="68FD9B53"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 xml:space="preserve">Salary sacrifice contributions – actual </w:t>
            </w:r>
          </w:p>
        </w:tc>
        <w:tc>
          <w:tcPr>
            <w:tcW w:w="3790" w:type="dxa"/>
            <w:gridSpan w:val="2"/>
          </w:tcPr>
          <w:p w14:paraId="643CB949"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$10,000</w:t>
            </w:r>
          </w:p>
        </w:tc>
      </w:tr>
      <w:tr w:rsidR="001E0E09" w14:paraId="089EC4D5" w14:textId="77777777" w:rsidTr="00A42E4C">
        <w:tc>
          <w:tcPr>
            <w:tcW w:w="572" w:type="dxa"/>
          </w:tcPr>
          <w:p w14:paraId="0A6A792F" w14:textId="77777777" w:rsidR="001E0E09" w:rsidRPr="005A7565" w:rsidRDefault="001E0E09" w:rsidP="00A42E4C">
            <w:pPr>
              <w:pStyle w:val="Bullet"/>
              <w:numPr>
                <w:ilvl w:val="0"/>
                <w:numId w:val="0"/>
              </w:numPr>
              <w:spacing w:before="0" w:line="240" w:lineRule="auto"/>
              <w:contextualSpacing/>
              <w:jc w:val="center"/>
              <w:rPr>
                <w:sz w:val="20"/>
              </w:rPr>
            </w:pPr>
            <w:r w:rsidRPr="005A7565">
              <w:rPr>
                <w:sz w:val="20"/>
              </w:rPr>
              <w:t>(4)</w:t>
            </w:r>
          </w:p>
        </w:tc>
        <w:tc>
          <w:tcPr>
            <w:tcW w:w="4718" w:type="dxa"/>
          </w:tcPr>
          <w:p w14:paraId="31B7AFF4"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Total employer contributions – actual</w:t>
            </w:r>
          </w:p>
        </w:tc>
        <w:tc>
          <w:tcPr>
            <w:tcW w:w="3790" w:type="dxa"/>
            <w:gridSpan w:val="2"/>
          </w:tcPr>
          <w:p w14:paraId="6EE60019"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$19,500</w:t>
            </w:r>
          </w:p>
        </w:tc>
      </w:tr>
      <w:tr w:rsidR="001E0E09" w14:paraId="52861DF8" w14:textId="77777777" w:rsidTr="00A42E4C">
        <w:trPr>
          <w:trHeight w:val="242"/>
        </w:trPr>
        <w:tc>
          <w:tcPr>
            <w:tcW w:w="9080" w:type="dxa"/>
            <w:gridSpan w:val="4"/>
          </w:tcPr>
          <w:p w14:paraId="4DF1DBB2" w14:textId="77777777" w:rsidR="001E0E09" w:rsidRPr="005A7565" w:rsidRDefault="001E0E09" w:rsidP="00A42E4C">
            <w:pPr>
              <w:pStyle w:val="Bullet"/>
              <w:numPr>
                <w:ilvl w:val="0"/>
                <w:numId w:val="0"/>
              </w:numPr>
              <w:spacing w:before="0" w:line="240" w:lineRule="auto"/>
              <w:ind w:firstLine="147"/>
              <w:contextualSpacing/>
              <w:rPr>
                <w:rFonts w:ascii="Arial" w:hAnsi="Arial" w:cs="Arial"/>
                <w:b/>
                <w:sz w:val="20"/>
              </w:rPr>
            </w:pPr>
            <w:r w:rsidRPr="005A7565">
              <w:rPr>
                <w:rFonts w:ascii="Arial" w:hAnsi="Arial" w:cs="Arial"/>
                <w:b/>
                <w:sz w:val="20"/>
              </w:rPr>
              <w:t>Self</w:t>
            </w:r>
            <w:r w:rsidR="00CA242B" w:rsidRPr="005A7565">
              <w:rPr>
                <w:rFonts w:ascii="Arial" w:hAnsi="Arial" w:cs="Arial"/>
                <w:b/>
                <w:sz w:val="20"/>
              </w:rPr>
              <w:noBreakHyphen/>
            </w:r>
            <w:r w:rsidRPr="005A7565">
              <w:rPr>
                <w:rFonts w:ascii="Arial" w:hAnsi="Arial" w:cs="Arial"/>
                <w:b/>
                <w:sz w:val="20"/>
              </w:rPr>
              <w:t>report</w:t>
            </w:r>
            <w:r w:rsidR="00CA242B" w:rsidRPr="005A7565">
              <w:rPr>
                <w:rFonts w:ascii="Arial" w:hAnsi="Arial" w:cs="Arial"/>
                <w:b/>
                <w:sz w:val="20"/>
              </w:rPr>
              <w:t>ed</w:t>
            </w:r>
            <w:r w:rsidRPr="005A7565">
              <w:rPr>
                <w:rFonts w:ascii="Arial" w:hAnsi="Arial" w:cs="Arial"/>
                <w:b/>
                <w:sz w:val="20"/>
              </w:rPr>
              <w:t xml:space="preserve"> wages and contributions</w:t>
            </w:r>
          </w:p>
        </w:tc>
      </w:tr>
      <w:tr w:rsidR="001E0E09" w14:paraId="0F1A21DD" w14:textId="77777777" w:rsidTr="00A42E4C">
        <w:tc>
          <w:tcPr>
            <w:tcW w:w="572" w:type="dxa"/>
          </w:tcPr>
          <w:p w14:paraId="7E3898EB" w14:textId="77777777" w:rsidR="001E0E09" w:rsidRPr="005A7565" w:rsidRDefault="001E0E09" w:rsidP="00A42E4C">
            <w:pPr>
              <w:pStyle w:val="Bullet"/>
              <w:numPr>
                <w:ilvl w:val="0"/>
                <w:numId w:val="0"/>
              </w:numPr>
              <w:spacing w:before="0" w:line="240" w:lineRule="auto"/>
              <w:contextualSpacing/>
              <w:jc w:val="center"/>
              <w:rPr>
                <w:sz w:val="20"/>
              </w:rPr>
            </w:pPr>
            <w:r w:rsidRPr="005A7565">
              <w:rPr>
                <w:sz w:val="20"/>
              </w:rPr>
              <w:t>(5)</w:t>
            </w:r>
          </w:p>
        </w:tc>
        <w:tc>
          <w:tcPr>
            <w:tcW w:w="4718" w:type="dxa"/>
          </w:tcPr>
          <w:p w14:paraId="5C4F69CD"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Wage income – reported on tax return</w:t>
            </w:r>
          </w:p>
        </w:tc>
        <w:tc>
          <w:tcPr>
            <w:tcW w:w="1895" w:type="dxa"/>
          </w:tcPr>
          <w:p w14:paraId="6D9AD608"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$90,000</w:t>
            </w:r>
          </w:p>
        </w:tc>
        <w:tc>
          <w:tcPr>
            <w:tcW w:w="1895" w:type="dxa"/>
          </w:tcPr>
          <w:p w14:paraId="6811D4B5"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$90,000</w:t>
            </w:r>
          </w:p>
        </w:tc>
      </w:tr>
      <w:tr w:rsidR="001E0E09" w14:paraId="33944355" w14:textId="77777777" w:rsidTr="00A42E4C">
        <w:tc>
          <w:tcPr>
            <w:tcW w:w="572" w:type="dxa"/>
          </w:tcPr>
          <w:p w14:paraId="7891C34B" w14:textId="77777777" w:rsidR="001E0E09" w:rsidRPr="005A7565" w:rsidRDefault="001E0E09" w:rsidP="00A42E4C">
            <w:pPr>
              <w:pStyle w:val="Bullet"/>
              <w:numPr>
                <w:ilvl w:val="0"/>
                <w:numId w:val="0"/>
              </w:numPr>
              <w:spacing w:before="0" w:line="240" w:lineRule="auto"/>
              <w:contextualSpacing/>
              <w:jc w:val="center"/>
              <w:rPr>
                <w:b/>
                <w:sz w:val="20"/>
              </w:rPr>
            </w:pPr>
            <w:r w:rsidRPr="005A7565">
              <w:rPr>
                <w:b/>
                <w:sz w:val="20"/>
              </w:rPr>
              <w:t>(6)</w:t>
            </w:r>
          </w:p>
        </w:tc>
        <w:tc>
          <w:tcPr>
            <w:tcW w:w="4718" w:type="dxa"/>
          </w:tcPr>
          <w:p w14:paraId="0AFE144D" w14:textId="77777777" w:rsidR="001E0E09" w:rsidRPr="005A7565" w:rsidRDefault="001E0E09" w:rsidP="00A42E4C">
            <w:pPr>
              <w:pStyle w:val="Bullet"/>
              <w:numPr>
                <w:ilvl w:val="0"/>
                <w:numId w:val="0"/>
              </w:numPr>
              <w:spacing w:before="0" w:line="240" w:lineRule="auto"/>
              <w:ind w:firstLine="142"/>
              <w:contextualSpacing/>
              <w:rPr>
                <w:rFonts w:ascii="Arial" w:hAnsi="Arial" w:cs="Arial"/>
                <w:b/>
                <w:sz w:val="20"/>
              </w:rPr>
            </w:pPr>
            <w:r w:rsidRPr="005A7565">
              <w:rPr>
                <w:rFonts w:ascii="Arial" w:hAnsi="Arial" w:cs="Arial"/>
                <w:b/>
                <w:sz w:val="20"/>
              </w:rPr>
              <w:t>Salary sacrifice – reported on tax return</w:t>
            </w:r>
          </w:p>
        </w:tc>
        <w:tc>
          <w:tcPr>
            <w:tcW w:w="1895" w:type="dxa"/>
          </w:tcPr>
          <w:p w14:paraId="505D91C8" w14:textId="77777777" w:rsidR="001E0E09" w:rsidRPr="005A7565" w:rsidRDefault="001E0E09" w:rsidP="00A42E4C">
            <w:pPr>
              <w:pStyle w:val="Bullet"/>
              <w:numPr>
                <w:ilvl w:val="0"/>
                <w:numId w:val="0"/>
              </w:numPr>
              <w:spacing w:before="0" w:line="240" w:lineRule="auto"/>
              <w:contextualSpacing/>
              <w:jc w:val="center"/>
              <w:rPr>
                <w:rFonts w:ascii="Arial" w:hAnsi="Arial" w:cs="Arial"/>
                <w:b/>
                <w:sz w:val="20"/>
              </w:rPr>
            </w:pPr>
            <w:r w:rsidRPr="005A7565">
              <w:rPr>
                <w:rFonts w:ascii="Arial" w:hAnsi="Arial" w:cs="Arial"/>
                <w:b/>
                <w:sz w:val="20"/>
              </w:rPr>
              <w:t>$19,500</w:t>
            </w:r>
          </w:p>
        </w:tc>
        <w:tc>
          <w:tcPr>
            <w:tcW w:w="1895" w:type="dxa"/>
          </w:tcPr>
          <w:p w14:paraId="30AE8E42" w14:textId="77777777" w:rsidR="001E0E09" w:rsidRPr="005A7565" w:rsidRDefault="001E0E09" w:rsidP="00A42E4C">
            <w:pPr>
              <w:pStyle w:val="Bullet"/>
              <w:numPr>
                <w:ilvl w:val="0"/>
                <w:numId w:val="0"/>
              </w:numPr>
              <w:spacing w:before="0" w:line="240" w:lineRule="auto"/>
              <w:contextualSpacing/>
              <w:jc w:val="center"/>
              <w:rPr>
                <w:rFonts w:ascii="Arial" w:hAnsi="Arial" w:cs="Arial"/>
                <w:b/>
                <w:sz w:val="20"/>
              </w:rPr>
            </w:pPr>
            <w:r w:rsidRPr="005A7565">
              <w:rPr>
                <w:rFonts w:ascii="Arial" w:hAnsi="Arial" w:cs="Arial"/>
                <w:b/>
                <w:sz w:val="20"/>
              </w:rPr>
              <w:t>$10,000</w:t>
            </w:r>
          </w:p>
        </w:tc>
      </w:tr>
      <w:tr w:rsidR="001E0E09" w14:paraId="5C678A13" w14:textId="77777777" w:rsidTr="00A42E4C">
        <w:tc>
          <w:tcPr>
            <w:tcW w:w="572" w:type="dxa"/>
          </w:tcPr>
          <w:p w14:paraId="59E7E70C" w14:textId="77777777" w:rsidR="001E0E09" w:rsidRPr="005A7565" w:rsidRDefault="001E0E09" w:rsidP="00A42E4C">
            <w:pPr>
              <w:pStyle w:val="Bullet"/>
              <w:numPr>
                <w:ilvl w:val="0"/>
                <w:numId w:val="0"/>
              </w:numPr>
              <w:spacing w:before="0" w:line="240" w:lineRule="auto"/>
              <w:contextualSpacing/>
              <w:jc w:val="center"/>
              <w:rPr>
                <w:sz w:val="20"/>
              </w:rPr>
            </w:pPr>
            <w:r w:rsidRPr="005A7565">
              <w:rPr>
                <w:sz w:val="20"/>
              </w:rPr>
              <w:t>(7)</w:t>
            </w:r>
          </w:p>
        </w:tc>
        <w:tc>
          <w:tcPr>
            <w:tcW w:w="4718" w:type="dxa"/>
          </w:tcPr>
          <w:p w14:paraId="3097A907"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 xml:space="preserve">Employer contributions – MCS </w:t>
            </w:r>
          </w:p>
        </w:tc>
        <w:tc>
          <w:tcPr>
            <w:tcW w:w="1895" w:type="dxa"/>
          </w:tcPr>
          <w:p w14:paraId="453C3A13"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$19,500</w:t>
            </w:r>
          </w:p>
        </w:tc>
        <w:tc>
          <w:tcPr>
            <w:tcW w:w="1895" w:type="dxa"/>
          </w:tcPr>
          <w:p w14:paraId="328CBE26"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$19,500</w:t>
            </w:r>
          </w:p>
        </w:tc>
      </w:tr>
      <w:tr w:rsidR="001E0E09" w14:paraId="3AFFF178" w14:textId="77777777" w:rsidTr="00A42E4C">
        <w:tc>
          <w:tcPr>
            <w:tcW w:w="9080" w:type="dxa"/>
            <w:gridSpan w:val="4"/>
          </w:tcPr>
          <w:p w14:paraId="0B28E5AE" w14:textId="77777777" w:rsidR="001E0E09" w:rsidRPr="005A7565" w:rsidRDefault="001E0E09" w:rsidP="00A42E4C">
            <w:pPr>
              <w:pStyle w:val="Bullet"/>
              <w:numPr>
                <w:ilvl w:val="0"/>
                <w:numId w:val="0"/>
              </w:numPr>
              <w:spacing w:before="0" w:line="240" w:lineRule="auto"/>
              <w:ind w:firstLine="147"/>
              <w:contextualSpacing/>
              <w:rPr>
                <w:rFonts w:ascii="Arial" w:hAnsi="Arial" w:cs="Arial"/>
                <w:b/>
                <w:sz w:val="20"/>
              </w:rPr>
            </w:pPr>
            <w:r w:rsidRPr="005A7565">
              <w:rPr>
                <w:rFonts w:ascii="Arial" w:hAnsi="Arial" w:cs="Arial"/>
                <w:b/>
                <w:sz w:val="20"/>
              </w:rPr>
              <w:t>ISA estimates of unpaid SG</w:t>
            </w:r>
          </w:p>
        </w:tc>
      </w:tr>
      <w:tr w:rsidR="001E0E09" w14:paraId="06B1D1B6" w14:textId="77777777" w:rsidTr="00A42E4C">
        <w:tc>
          <w:tcPr>
            <w:tcW w:w="572" w:type="dxa"/>
          </w:tcPr>
          <w:p w14:paraId="07DF5759"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(8)</w:t>
            </w:r>
          </w:p>
        </w:tc>
        <w:tc>
          <w:tcPr>
            <w:tcW w:w="4718" w:type="dxa"/>
          </w:tcPr>
          <w:p w14:paraId="1E26A124" w14:textId="77777777"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ISA – estimate of SG = (7) – (6)</w:t>
            </w:r>
          </w:p>
        </w:tc>
        <w:tc>
          <w:tcPr>
            <w:tcW w:w="1895" w:type="dxa"/>
          </w:tcPr>
          <w:p w14:paraId="4B009135"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$0</w:t>
            </w:r>
          </w:p>
        </w:tc>
        <w:tc>
          <w:tcPr>
            <w:tcW w:w="1895" w:type="dxa"/>
          </w:tcPr>
          <w:p w14:paraId="6FCF81C2"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$9,500</w:t>
            </w:r>
          </w:p>
        </w:tc>
      </w:tr>
      <w:tr w:rsidR="001E0E09" w14:paraId="3936EDE2" w14:textId="77777777" w:rsidTr="00A42E4C">
        <w:tc>
          <w:tcPr>
            <w:tcW w:w="572" w:type="dxa"/>
          </w:tcPr>
          <w:p w14:paraId="6EC6EBAF"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w:t>
            </w:r>
          </w:p>
        </w:tc>
        <w:tc>
          <w:tcPr>
            <w:tcW w:w="4718" w:type="dxa"/>
          </w:tcPr>
          <w:p w14:paraId="604C9E18" w14:textId="31EBAF55" w:rsidR="001E0E09" w:rsidRPr="005A7565" w:rsidRDefault="001E0E09" w:rsidP="00A42E4C">
            <w:pPr>
              <w:pStyle w:val="Bullet"/>
              <w:numPr>
                <w:ilvl w:val="0"/>
                <w:numId w:val="0"/>
              </w:numPr>
              <w:spacing w:before="0" w:line="240" w:lineRule="auto"/>
              <w:ind w:firstLine="142"/>
              <w:contextualSpacing/>
              <w:rPr>
                <w:rFonts w:ascii="Arial" w:hAnsi="Arial" w:cs="Arial"/>
                <w:sz w:val="20"/>
              </w:rPr>
            </w:pPr>
            <w:r w:rsidRPr="005A7565">
              <w:rPr>
                <w:rFonts w:ascii="Arial" w:hAnsi="Arial" w:cs="Arial"/>
                <w:sz w:val="20"/>
              </w:rPr>
              <w:t xml:space="preserve">ISA – unpaid SG = 9.5 </w:t>
            </w:r>
            <w:r w:rsidR="000E5A17" w:rsidRPr="005A7565">
              <w:rPr>
                <w:rFonts w:ascii="Arial" w:hAnsi="Arial" w:cs="Arial"/>
                <w:sz w:val="20"/>
              </w:rPr>
              <w:t>per cent</w:t>
            </w:r>
            <w:r w:rsidRPr="005A7565">
              <w:rPr>
                <w:rFonts w:ascii="Arial" w:hAnsi="Arial" w:cs="Arial"/>
                <w:sz w:val="20"/>
              </w:rPr>
              <w:t xml:space="preserve"> x (1) – (8)</w:t>
            </w:r>
          </w:p>
        </w:tc>
        <w:tc>
          <w:tcPr>
            <w:tcW w:w="1895" w:type="dxa"/>
          </w:tcPr>
          <w:p w14:paraId="7659F2C8"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$9,500</w:t>
            </w:r>
          </w:p>
        </w:tc>
        <w:tc>
          <w:tcPr>
            <w:tcW w:w="1895" w:type="dxa"/>
          </w:tcPr>
          <w:p w14:paraId="73C3CA5B" w14:textId="77777777" w:rsidR="001E0E09" w:rsidRPr="005A7565" w:rsidRDefault="001E0E09" w:rsidP="00A42E4C">
            <w:pPr>
              <w:pStyle w:val="Bullet"/>
              <w:numPr>
                <w:ilvl w:val="0"/>
                <w:numId w:val="0"/>
              </w:numPr>
              <w:spacing w:before="0" w:line="240" w:lineRule="auto"/>
              <w:contextualSpacing/>
              <w:jc w:val="center"/>
              <w:rPr>
                <w:rFonts w:ascii="Arial" w:hAnsi="Arial" w:cs="Arial"/>
                <w:sz w:val="20"/>
              </w:rPr>
            </w:pPr>
            <w:r w:rsidRPr="005A7565">
              <w:rPr>
                <w:rFonts w:ascii="Arial" w:hAnsi="Arial" w:cs="Arial"/>
                <w:sz w:val="20"/>
              </w:rPr>
              <w:t>$0</w:t>
            </w:r>
          </w:p>
        </w:tc>
      </w:tr>
    </w:tbl>
    <w:p w14:paraId="0B50D571" w14:textId="26267CC0" w:rsidR="001E0E09" w:rsidRDefault="001E0E09" w:rsidP="001E0E09">
      <w:pPr>
        <w:pStyle w:val="Heading2"/>
      </w:pPr>
      <w:bookmarkStart w:id="126" w:name="_Toc473540251"/>
      <w:bookmarkStart w:id="127" w:name="_Toc473554634"/>
      <w:bookmarkStart w:id="128" w:name="_Toc473625452"/>
      <w:bookmarkStart w:id="129" w:name="_Toc473629883"/>
      <w:bookmarkStart w:id="130" w:name="_Toc473631175"/>
      <w:bookmarkStart w:id="131" w:name="_Toc473631469"/>
      <w:bookmarkStart w:id="132" w:name="_Toc473636593"/>
      <w:bookmarkStart w:id="133" w:name="_Toc473635311"/>
      <w:bookmarkStart w:id="134" w:name="_Toc472892802"/>
      <w:r w:rsidRPr="00C90EC9">
        <w:t xml:space="preserve">ISA </w:t>
      </w:r>
      <w:r>
        <w:t>estimates</w:t>
      </w:r>
      <w:r w:rsidRPr="00C90EC9">
        <w:t xml:space="preserve"> are inconsistent with more reliable data</w:t>
      </w:r>
      <w:bookmarkEnd w:id="126"/>
      <w:bookmarkEnd w:id="127"/>
      <w:bookmarkEnd w:id="128"/>
      <w:bookmarkEnd w:id="129"/>
      <w:bookmarkEnd w:id="130"/>
      <w:bookmarkEnd w:id="131"/>
      <w:bookmarkEnd w:id="132"/>
      <w:bookmarkEnd w:id="133"/>
      <w:r w:rsidRPr="00C90EC9">
        <w:t xml:space="preserve"> </w:t>
      </w:r>
      <w:bookmarkEnd w:id="134"/>
    </w:p>
    <w:p w14:paraId="3718F777" w14:textId="3C13FED9" w:rsidR="001E0E09" w:rsidRDefault="00CF4076" w:rsidP="005A5270">
      <w:pPr>
        <w:pStyle w:val="ListParagraph"/>
        <w:numPr>
          <w:ilvl w:val="1"/>
          <w:numId w:val="56"/>
        </w:numPr>
        <w:spacing w:line="360" w:lineRule="auto"/>
        <w:contextualSpacing w:val="0"/>
        <w:jc w:val="both"/>
      </w:pPr>
      <w:r>
        <w:t xml:space="preserve">The </w:t>
      </w:r>
      <w:r w:rsidR="001E0E09">
        <w:t xml:space="preserve">problems above will affect </w:t>
      </w:r>
      <w:r w:rsidR="00BC0F66">
        <w:t xml:space="preserve">both aggregate and distributional </w:t>
      </w:r>
      <w:r w:rsidR="001E0E09">
        <w:t>estimates. Inconsistencies between these estimates and the facts observed from ATO compliance highlights the error margins in the ISA approach.</w:t>
      </w:r>
    </w:p>
    <w:p w14:paraId="53DA5889" w14:textId="77777777" w:rsidR="001E0E09" w:rsidRDefault="001E0E09" w:rsidP="005A5270">
      <w:pPr>
        <w:pStyle w:val="ListParagraph"/>
        <w:numPr>
          <w:ilvl w:val="1"/>
          <w:numId w:val="56"/>
        </w:numPr>
        <w:spacing w:line="360" w:lineRule="auto"/>
        <w:contextualSpacing w:val="0"/>
        <w:jc w:val="both"/>
      </w:pPr>
      <w:r>
        <w:t>There are three particular examples where the ISA estimates do not accord with external sources</w:t>
      </w:r>
      <w:r w:rsidR="0069326B">
        <w:t>:</w:t>
      </w:r>
    </w:p>
    <w:p w14:paraId="7A836478" w14:textId="66249994" w:rsidR="0069326B" w:rsidRDefault="0069326B" w:rsidP="00197531">
      <w:pPr>
        <w:pStyle w:val="ListParagraph"/>
        <w:numPr>
          <w:ilvl w:val="0"/>
          <w:numId w:val="36"/>
        </w:numPr>
        <w:spacing w:line="360" w:lineRule="auto"/>
        <w:ind w:left="851" w:hanging="284"/>
        <w:contextualSpacing w:val="0"/>
        <w:jc w:val="both"/>
      </w:pPr>
      <w:r>
        <w:t xml:space="preserve">ISA estimates are inconsistent with the number of </w:t>
      </w:r>
      <w:r w:rsidR="007B51EE">
        <w:t xml:space="preserve">employee notification </w:t>
      </w:r>
      <w:r>
        <w:t xml:space="preserve">cases raised </w:t>
      </w:r>
    </w:p>
    <w:p w14:paraId="1DB25498" w14:textId="27D99CCD" w:rsidR="0069326B" w:rsidRDefault="00DC14C9" w:rsidP="00197531">
      <w:pPr>
        <w:pStyle w:val="ListParagraph"/>
        <w:numPr>
          <w:ilvl w:val="0"/>
          <w:numId w:val="36"/>
        </w:numPr>
        <w:spacing w:line="360" w:lineRule="auto"/>
        <w:ind w:left="851" w:hanging="284"/>
        <w:contextualSpacing w:val="0"/>
        <w:jc w:val="both"/>
      </w:pPr>
      <w:r>
        <w:t>c</w:t>
      </w:r>
      <w:r w:rsidR="0069326B">
        <w:t>ase data shows non</w:t>
      </w:r>
      <w:r w:rsidR="00CA242B">
        <w:noBreakHyphen/>
      </w:r>
      <w:r w:rsidR="0069326B">
        <w:t>payment is more likely than underpayment</w:t>
      </w:r>
    </w:p>
    <w:p w14:paraId="5D640E94" w14:textId="532E8605" w:rsidR="0069326B" w:rsidRDefault="0069326B" w:rsidP="00197531">
      <w:pPr>
        <w:pStyle w:val="ListParagraph"/>
        <w:numPr>
          <w:ilvl w:val="0"/>
          <w:numId w:val="36"/>
        </w:numPr>
        <w:spacing w:line="360" w:lineRule="auto"/>
        <w:ind w:left="851" w:hanging="284"/>
        <w:contextualSpacing w:val="0"/>
        <w:jc w:val="both"/>
      </w:pPr>
      <w:r>
        <w:t xml:space="preserve">ISA estimates do not match </w:t>
      </w:r>
      <w:r w:rsidR="00BC0F66">
        <w:t xml:space="preserve">the compliance data on </w:t>
      </w:r>
      <w:r>
        <w:t xml:space="preserve">actual groups </w:t>
      </w:r>
      <w:r w:rsidR="00BC0F66">
        <w:t xml:space="preserve">most significantly </w:t>
      </w:r>
      <w:r>
        <w:t>affected</w:t>
      </w:r>
      <w:r w:rsidR="0040785C">
        <w:t>.</w:t>
      </w:r>
    </w:p>
    <w:p w14:paraId="629028EB" w14:textId="3AD85E49" w:rsidR="001E0E09" w:rsidRDefault="001E0E09" w:rsidP="00187378">
      <w:pPr>
        <w:pStyle w:val="Heading3"/>
        <w:jc w:val="both"/>
      </w:pPr>
      <w:bookmarkStart w:id="135" w:name="_Toc472892803"/>
      <w:r>
        <w:t xml:space="preserve">ISA estimates are inconsistent with the number of </w:t>
      </w:r>
      <w:r w:rsidR="00FA7144">
        <w:t xml:space="preserve">employee notification </w:t>
      </w:r>
      <w:r>
        <w:t>cases raised</w:t>
      </w:r>
      <w:bookmarkEnd w:id="135"/>
      <w:r>
        <w:t xml:space="preserve"> </w:t>
      </w:r>
    </w:p>
    <w:p w14:paraId="4F7EA174" w14:textId="0DCB9C1B" w:rsidR="001E0E09" w:rsidRDefault="001E0E09" w:rsidP="00187378">
      <w:pPr>
        <w:pStyle w:val="ListParagraph"/>
        <w:numPr>
          <w:ilvl w:val="1"/>
          <w:numId w:val="56"/>
        </w:numPr>
        <w:spacing w:line="360" w:lineRule="auto"/>
        <w:contextualSpacing w:val="0"/>
        <w:jc w:val="both"/>
      </w:pPr>
      <w:r w:rsidRPr="00961C8D">
        <w:t xml:space="preserve">First, ISA estimates of the number of individuals with unpaid </w:t>
      </w:r>
      <w:r w:rsidR="00895218">
        <w:rPr>
          <w:rFonts w:cstheme="minorHAnsi"/>
          <w:szCs w:val="22"/>
        </w:rPr>
        <w:t>superannuation guarantee</w:t>
      </w:r>
      <w:r w:rsidRPr="00961C8D">
        <w:t xml:space="preserve"> are substantially higher than the number of cases reported to the ATO each year. </w:t>
      </w:r>
      <w:r w:rsidR="0015149F">
        <w:t>Reports of non-payment of superannuation guarantee from employees made to the ATO involve two per cent of total employers, while employers that are investigated by the ATO for non-compliance represent one per cent of the estimated 880,000 employers.</w:t>
      </w:r>
    </w:p>
    <w:p w14:paraId="4804B010" w14:textId="06B2CAE6" w:rsidR="001E0E09" w:rsidRDefault="001E0E09" w:rsidP="00187378">
      <w:pPr>
        <w:pStyle w:val="ListParagraph"/>
        <w:numPr>
          <w:ilvl w:val="1"/>
          <w:numId w:val="56"/>
        </w:numPr>
        <w:spacing w:line="360" w:lineRule="auto"/>
        <w:contextualSpacing w:val="0"/>
        <w:jc w:val="both"/>
      </w:pPr>
      <w:r>
        <w:t xml:space="preserve">The </w:t>
      </w:r>
      <w:r w:rsidR="00EE4845">
        <w:t>ISA Report</w:t>
      </w:r>
      <w:r>
        <w:t xml:space="preserve"> estimates that 2.15 million employees have unpaid </w:t>
      </w:r>
      <w:r w:rsidR="00895218">
        <w:rPr>
          <w:rFonts w:cstheme="minorHAnsi"/>
          <w:szCs w:val="22"/>
        </w:rPr>
        <w:t>superannuation guarantee</w:t>
      </w:r>
      <w:r>
        <w:t xml:space="preserve"> </w:t>
      </w:r>
      <w:r w:rsidR="00C01892">
        <w:t>for the 2013</w:t>
      </w:r>
      <w:r w:rsidR="00C01892">
        <w:noBreakHyphen/>
        <w:t>14 year</w:t>
      </w:r>
      <w:r>
        <w:t xml:space="preserve"> compared to </w:t>
      </w:r>
      <w:r w:rsidR="00C01892">
        <w:t>the</w:t>
      </w:r>
      <w:r w:rsidR="001A5BB6">
        <w:t xml:space="preserve"> around 19</w:t>
      </w:r>
      <w:r>
        <w:t>,000</w:t>
      </w:r>
      <w:r w:rsidR="001A5BB6">
        <w:t>-20,000</w:t>
      </w:r>
      <w:r>
        <w:t xml:space="preserve"> reports of unpaid </w:t>
      </w:r>
      <w:r w:rsidR="00895218">
        <w:rPr>
          <w:rFonts w:cstheme="minorHAnsi"/>
          <w:szCs w:val="22"/>
        </w:rPr>
        <w:t>superannuation guarantee</w:t>
      </w:r>
      <w:r>
        <w:t xml:space="preserve"> made to the ATO. </w:t>
      </w:r>
      <w:r w:rsidR="0051434C">
        <w:t xml:space="preserve">If </w:t>
      </w:r>
      <w:r w:rsidR="00BC0F66">
        <w:t xml:space="preserve">the ISA analysis </w:t>
      </w:r>
      <w:r w:rsidR="0051434C">
        <w:t xml:space="preserve">is correct that would mean just one in a hundred cases of unpaid </w:t>
      </w:r>
      <w:r w:rsidR="00895218">
        <w:rPr>
          <w:rFonts w:cstheme="minorHAnsi"/>
          <w:szCs w:val="22"/>
        </w:rPr>
        <w:t>superannuation guarantee</w:t>
      </w:r>
      <w:r w:rsidR="0051434C">
        <w:t xml:space="preserve"> is reported to the ATO, which </w:t>
      </w:r>
      <w:r w:rsidR="00BC0F66">
        <w:t>would appear</w:t>
      </w:r>
      <w:r w:rsidR="0051434C">
        <w:t xml:space="preserve"> unlikely.</w:t>
      </w:r>
    </w:p>
    <w:p w14:paraId="76E3363E" w14:textId="47E07F1E" w:rsidR="001E0E09" w:rsidRDefault="001E0E09" w:rsidP="00187378">
      <w:pPr>
        <w:pStyle w:val="Heading3"/>
        <w:ind w:left="720" w:hanging="720"/>
        <w:jc w:val="both"/>
      </w:pPr>
      <w:bookmarkStart w:id="136" w:name="_Toc472892804"/>
      <w:r>
        <w:t>Case data shows non</w:t>
      </w:r>
      <w:r w:rsidR="00712A97">
        <w:t>-</w:t>
      </w:r>
      <w:r>
        <w:t>payment is more likely than underpayment</w:t>
      </w:r>
      <w:bookmarkEnd w:id="136"/>
    </w:p>
    <w:p w14:paraId="05A4DFF7" w14:textId="751AA64C" w:rsidR="001E0E09" w:rsidRDefault="001E0E09" w:rsidP="00187378">
      <w:pPr>
        <w:pStyle w:val="ListParagraph"/>
        <w:numPr>
          <w:ilvl w:val="1"/>
          <w:numId w:val="56"/>
        </w:numPr>
        <w:spacing w:line="360" w:lineRule="auto"/>
        <w:contextualSpacing w:val="0"/>
        <w:jc w:val="both"/>
      </w:pPr>
      <w:r>
        <w:t xml:space="preserve">Second, ISA estimates of unpaid </w:t>
      </w:r>
      <w:r w:rsidR="00895218">
        <w:rPr>
          <w:rFonts w:cstheme="minorHAnsi"/>
          <w:szCs w:val="22"/>
        </w:rPr>
        <w:t>superannuation guarantee</w:t>
      </w:r>
      <w:r>
        <w:t xml:space="preserve"> per employee are highly inconsistent with actual unpaid </w:t>
      </w:r>
      <w:r w:rsidR="00895218">
        <w:rPr>
          <w:rFonts w:cstheme="minorHAnsi"/>
          <w:szCs w:val="22"/>
        </w:rPr>
        <w:t>superannuation guarantee</w:t>
      </w:r>
      <w:r>
        <w:t xml:space="preserve"> per employee raised through compliance activities.</w:t>
      </w:r>
    </w:p>
    <w:p w14:paraId="2130A860" w14:textId="1A6AA47A" w:rsidR="001E0E09" w:rsidRDefault="001E0E09" w:rsidP="00187378">
      <w:pPr>
        <w:pStyle w:val="ListParagraph"/>
        <w:numPr>
          <w:ilvl w:val="1"/>
          <w:numId w:val="56"/>
        </w:numPr>
        <w:spacing w:line="360" w:lineRule="auto"/>
        <w:contextualSpacing w:val="0"/>
        <w:jc w:val="both"/>
      </w:pPr>
      <w:r>
        <w:t>ISA estimates that the average amount of unpaid super</w:t>
      </w:r>
      <w:r w:rsidR="00622A43">
        <w:t>annuation</w:t>
      </w:r>
      <w:r>
        <w:t xml:space="preserve"> is about $1,300, mainly relating to small underpayments for many individuals. </w:t>
      </w:r>
      <w:r w:rsidR="001A5BB6">
        <w:t xml:space="preserve">Using </w:t>
      </w:r>
      <w:r w:rsidR="00035539">
        <w:t xml:space="preserve">employee notification </w:t>
      </w:r>
      <w:r w:rsidR="001A5BB6">
        <w:t>compliance data</w:t>
      </w:r>
      <w:r w:rsidR="00035539">
        <w:t>,</w:t>
      </w:r>
      <w:r w:rsidR="001A5BB6">
        <w:t xml:space="preserve"> the ATO found that employers were twice </w:t>
      </w:r>
      <w:r w:rsidR="003F37DE">
        <w:t xml:space="preserve">more likely not to pay any </w:t>
      </w:r>
      <w:r w:rsidR="00895218">
        <w:rPr>
          <w:rFonts w:cstheme="minorHAnsi"/>
          <w:szCs w:val="22"/>
        </w:rPr>
        <w:t>superannuation guarantee</w:t>
      </w:r>
      <w:r w:rsidR="003F37DE">
        <w:t xml:space="preserve"> than</w:t>
      </w:r>
      <w:r w:rsidR="001A5BB6">
        <w:t xml:space="preserve"> not pay enough.</w:t>
      </w:r>
      <w:r w:rsidR="001A5BB6" w:rsidDel="001A5BB6">
        <w:t xml:space="preserve"> </w:t>
      </w:r>
    </w:p>
    <w:p w14:paraId="4FA46F82" w14:textId="77777777" w:rsidR="001E0E09" w:rsidRDefault="001E0E09" w:rsidP="00187378">
      <w:pPr>
        <w:pStyle w:val="Heading3"/>
        <w:ind w:left="720" w:hanging="720"/>
        <w:jc w:val="both"/>
      </w:pPr>
      <w:bookmarkStart w:id="137" w:name="_Toc472892805"/>
      <w:r>
        <w:t>ISA estimates do not match actual groups affected</w:t>
      </w:r>
      <w:bookmarkEnd w:id="137"/>
    </w:p>
    <w:p w14:paraId="7256B660" w14:textId="61683DF7" w:rsidR="001E0E09" w:rsidRDefault="001E0E09" w:rsidP="00187378">
      <w:pPr>
        <w:pStyle w:val="ListParagraph"/>
        <w:numPr>
          <w:ilvl w:val="1"/>
          <w:numId w:val="56"/>
        </w:numPr>
        <w:spacing w:line="360" w:lineRule="auto"/>
        <w:contextualSpacing w:val="0"/>
        <w:jc w:val="both"/>
      </w:pPr>
      <w:r>
        <w:t xml:space="preserve">Third, ISA results do not match the groups predominantly affected by </w:t>
      </w:r>
      <w:r w:rsidR="00895218">
        <w:rPr>
          <w:rFonts w:cstheme="minorHAnsi"/>
          <w:szCs w:val="22"/>
        </w:rPr>
        <w:t>superannuation guarantee</w:t>
      </w:r>
      <w:r>
        <w:t xml:space="preserve"> underpayment according to ATO compliance data </w:t>
      </w:r>
      <w:r w:rsidR="00895218">
        <w:rPr>
          <w:rFonts w:cstheme="minorHAnsi"/>
          <w:szCs w:val="22"/>
        </w:rPr>
        <w:t>superannuation guarantee</w:t>
      </w:r>
      <w:r w:rsidR="009F254D">
        <w:t xml:space="preserve"> non-compliance is generally more prevalent amongst employers who are in the </w:t>
      </w:r>
      <w:r w:rsidR="0094100C">
        <w:t>a</w:t>
      </w:r>
      <w:r w:rsidR="009F254D">
        <w:t xml:space="preserve">ccommodation and </w:t>
      </w:r>
      <w:r w:rsidR="0094100C">
        <w:t>f</w:t>
      </w:r>
      <w:r w:rsidR="009F254D">
        <w:t xml:space="preserve">ood </w:t>
      </w:r>
      <w:r w:rsidR="0094100C">
        <w:t>s</w:t>
      </w:r>
      <w:r w:rsidR="009F254D">
        <w:t xml:space="preserve">ervices, </w:t>
      </w:r>
      <w:r w:rsidR="0094100C">
        <w:t>c</w:t>
      </w:r>
      <w:r w:rsidR="009F254D">
        <w:t xml:space="preserve">onstruction, </w:t>
      </w:r>
      <w:r w:rsidR="0094100C">
        <w:t>m</w:t>
      </w:r>
      <w:r w:rsidR="009F254D">
        <w:t xml:space="preserve">anufacturing and </w:t>
      </w:r>
      <w:r w:rsidR="0094100C">
        <w:t>r</w:t>
      </w:r>
      <w:r w:rsidR="009F254D">
        <w:t xml:space="preserve">etail </w:t>
      </w:r>
      <w:r w:rsidR="0094100C">
        <w:t>t</w:t>
      </w:r>
      <w:r w:rsidR="009F254D">
        <w:t xml:space="preserve">rade industries. </w:t>
      </w:r>
    </w:p>
    <w:p w14:paraId="039F6D27" w14:textId="3386E8BB" w:rsidR="001E0E09" w:rsidRPr="00B608C9" w:rsidRDefault="001E0E09" w:rsidP="00187378">
      <w:pPr>
        <w:pStyle w:val="ListParagraph"/>
        <w:numPr>
          <w:ilvl w:val="1"/>
          <w:numId w:val="56"/>
        </w:numPr>
        <w:spacing w:line="360" w:lineRule="auto"/>
        <w:contextualSpacing w:val="0"/>
        <w:jc w:val="both"/>
      </w:pPr>
      <w:r>
        <w:t xml:space="preserve">While the ISA analysis does identify labourers and machinery operators are the most likely to have unpaid </w:t>
      </w:r>
      <w:r w:rsidR="00895218">
        <w:rPr>
          <w:rFonts w:cstheme="minorHAnsi"/>
          <w:szCs w:val="22"/>
        </w:rPr>
        <w:t>superannuation guarantee</w:t>
      </w:r>
      <w:r>
        <w:t xml:space="preserve">, their estimates also find very high levels of unpaid </w:t>
      </w:r>
      <w:r w:rsidR="00895218">
        <w:rPr>
          <w:rFonts w:cstheme="minorHAnsi"/>
          <w:szCs w:val="22"/>
        </w:rPr>
        <w:t>superannuation guarantee</w:t>
      </w:r>
      <w:r>
        <w:t xml:space="preserve"> among other occupations such as profession</w:t>
      </w:r>
      <w:r w:rsidR="00123CE5">
        <w:t>al</w:t>
      </w:r>
      <w:r>
        <w:t>s and managers. The ISA analysis states that 20</w:t>
      </w:r>
      <w:r w:rsidR="006C6C90">
        <w:t> </w:t>
      </w:r>
      <w:r>
        <w:t>per</w:t>
      </w:r>
      <w:r w:rsidR="006C6C90">
        <w:t> </w:t>
      </w:r>
      <w:r>
        <w:t xml:space="preserve">cent of both professionals and managers have unpaid </w:t>
      </w:r>
      <w:r w:rsidR="00895218">
        <w:rPr>
          <w:rFonts w:cstheme="minorHAnsi"/>
          <w:szCs w:val="22"/>
        </w:rPr>
        <w:t>superannuation guarantee</w:t>
      </w:r>
      <w:r>
        <w:t xml:space="preserve">. There is little anecdotal evidence or evidence from ATO casework of systematic unpaid </w:t>
      </w:r>
      <w:r w:rsidR="00895218">
        <w:rPr>
          <w:rFonts w:cstheme="minorHAnsi"/>
          <w:szCs w:val="22"/>
        </w:rPr>
        <w:t>superannuation guarantee</w:t>
      </w:r>
      <w:r>
        <w:t xml:space="preserve"> among these occupations</w:t>
      </w:r>
      <w:r w:rsidR="00B608C9" w:rsidRPr="00B608C9">
        <w:t>.</w:t>
      </w:r>
    </w:p>
    <w:p w14:paraId="162B106A" w14:textId="5B8BD300" w:rsidR="001E0E09" w:rsidRPr="005A2BCA" w:rsidRDefault="001E0E09" w:rsidP="00187378">
      <w:pPr>
        <w:pStyle w:val="ListParagraph"/>
        <w:numPr>
          <w:ilvl w:val="1"/>
          <w:numId w:val="56"/>
        </w:numPr>
        <w:spacing w:line="360" w:lineRule="auto"/>
        <w:contextualSpacing w:val="0"/>
        <w:jc w:val="both"/>
      </w:pPr>
      <w:r w:rsidRPr="00961C8D">
        <w:t xml:space="preserve">In addition, the </w:t>
      </w:r>
      <w:r w:rsidR="00EE4845">
        <w:t>ISA Report</w:t>
      </w:r>
      <w:r w:rsidRPr="00961C8D">
        <w:t xml:space="preserve"> also states that a quarter of employees earning above $80,000 have unpaid</w:t>
      </w:r>
      <w:r w:rsidR="006C6C90">
        <w:t xml:space="preserve"> </w:t>
      </w:r>
      <w:r w:rsidR="00895218">
        <w:rPr>
          <w:rFonts w:cstheme="minorHAnsi"/>
          <w:szCs w:val="22"/>
        </w:rPr>
        <w:t>superannuation guarantee</w:t>
      </w:r>
      <w:r w:rsidRPr="00961C8D">
        <w:t xml:space="preserve">. Yet there is no evidence of systemic underpayment of </w:t>
      </w:r>
      <w:r w:rsidR="00895218">
        <w:rPr>
          <w:rFonts w:cstheme="minorHAnsi"/>
          <w:szCs w:val="22"/>
        </w:rPr>
        <w:t>superannuation guarantee</w:t>
      </w:r>
      <w:r w:rsidRPr="00961C8D">
        <w:t xml:space="preserve"> among a group with higher incomes. </w:t>
      </w:r>
      <w:r>
        <w:t>High</w:t>
      </w:r>
      <w:r w:rsidR="00CA242B">
        <w:noBreakHyphen/>
      </w:r>
      <w:r>
        <w:t xml:space="preserve">income groups </w:t>
      </w:r>
      <w:r w:rsidR="004A206E">
        <w:t xml:space="preserve">tend to have fewer </w:t>
      </w:r>
      <w:r>
        <w:t xml:space="preserve">issues with unpaid </w:t>
      </w:r>
      <w:r w:rsidR="00895218">
        <w:rPr>
          <w:rFonts w:cstheme="minorHAnsi"/>
          <w:szCs w:val="22"/>
        </w:rPr>
        <w:t>superannuation guarantee</w:t>
      </w:r>
      <w:r>
        <w:t xml:space="preserve"> given relatively high levels of financial literacy and stronger wage bargaining power.</w:t>
      </w:r>
    </w:p>
    <w:p w14:paraId="0D218289" w14:textId="77777777" w:rsidR="001E0E09" w:rsidRPr="001E0E09" w:rsidRDefault="001E0E09" w:rsidP="001E0E09"/>
    <w:p w14:paraId="599974F2" w14:textId="77777777" w:rsidR="00422481" w:rsidRDefault="00422481">
      <w:pPr>
        <w:spacing w:before="0" w:line="240" w:lineRule="auto"/>
      </w:pPr>
      <w:r>
        <w:br w:type="page"/>
      </w:r>
    </w:p>
    <w:p w14:paraId="6F284413" w14:textId="031C9A10" w:rsidR="00422481" w:rsidRDefault="00AF60A5" w:rsidP="00422481">
      <w:pPr>
        <w:pStyle w:val="Heading1"/>
        <w:framePr w:wrap="notBeside"/>
        <w:numPr>
          <w:ilvl w:val="0"/>
          <w:numId w:val="52"/>
        </w:numPr>
        <w:spacing w:before="0"/>
      </w:pPr>
      <w:bookmarkStart w:id="138" w:name="_Toc473540252"/>
      <w:bookmarkStart w:id="139" w:name="_Toc473554635"/>
      <w:bookmarkStart w:id="140" w:name="_Toc473625453"/>
      <w:bookmarkStart w:id="141" w:name="_Toc473629884"/>
      <w:bookmarkStart w:id="142" w:name="_Toc473631176"/>
      <w:bookmarkStart w:id="143" w:name="_Toc473631470"/>
      <w:bookmarkStart w:id="144" w:name="_Toc473636594"/>
      <w:bookmarkStart w:id="145" w:name="_Toc473635312"/>
      <w:r>
        <w:t>Analysis</w:t>
      </w:r>
      <w:r w:rsidR="00DA6762">
        <w:t>:</w:t>
      </w:r>
      <w:r>
        <w:t xml:space="preserve"> ISA’s </w:t>
      </w:r>
      <w:bookmarkEnd w:id="138"/>
      <w:bookmarkEnd w:id="139"/>
      <w:r w:rsidR="00313109">
        <w:t>recommendations</w:t>
      </w:r>
      <w:bookmarkEnd w:id="140"/>
      <w:bookmarkEnd w:id="141"/>
      <w:bookmarkEnd w:id="142"/>
      <w:bookmarkEnd w:id="143"/>
      <w:bookmarkEnd w:id="144"/>
      <w:bookmarkEnd w:id="145"/>
    </w:p>
    <w:p w14:paraId="76C876C6" w14:textId="3838A33B" w:rsidR="00422481" w:rsidRDefault="00422481" w:rsidP="00B33004">
      <w:pPr>
        <w:pStyle w:val="ListParagraph"/>
        <w:numPr>
          <w:ilvl w:val="1"/>
          <w:numId w:val="57"/>
        </w:numPr>
        <w:spacing w:line="360" w:lineRule="auto"/>
        <w:contextualSpacing w:val="0"/>
        <w:jc w:val="both"/>
      </w:pPr>
      <w:r>
        <w:t xml:space="preserve">The </w:t>
      </w:r>
      <w:r w:rsidR="00EE4845">
        <w:t>ISA Report</w:t>
      </w:r>
      <w:r>
        <w:t xml:space="preserve"> lists policy responses to address </w:t>
      </w:r>
      <w:r w:rsidR="00895218">
        <w:rPr>
          <w:rFonts w:cstheme="minorHAnsi"/>
          <w:szCs w:val="22"/>
        </w:rPr>
        <w:t>superannuation guarantee</w:t>
      </w:r>
      <w:r>
        <w:t xml:space="preserve"> non</w:t>
      </w:r>
      <w:r w:rsidR="00CA242B">
        <w:noBreakHyphen/>
      </w:r>
      <w:r>
        <w:t>compliance. These are:</w:t>
      </w:r>
    </w:p>
    <w:p w14:paraId="03817D19" w14:textId="74004913"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 xml:space="preserve">requiring real time payment and reporting of </w:t>
      </w:r>
      <w:r w:rsidR="00895218" w:rsidRPr="00CD678D">
        <w:rPr>
          <w:rFonts w:ascii="Arial" w:hAnsi="Arial" w:cs="Arial"/>
          <w:szCs w:val="22"/>
        </w:rPr>
        <w:t>superannuation guarantee</w:t>
      </w:r>
      <w:r w:rsidRPr="00422481">
        <w:rPr>
          <w:rFonts w:ascii="Arial" w:hAnsi="Arial" w:cs="Arial"/>
        </w:rPr>
        <w:t xml:space="preserve"> payments and requiring </w:t>
      </w:r>
      <w:r w:rsidR="00895218">
        <w:rPr>
          <w:rFonts w:ascii="Arial" w:hAnsi="Arial" w:cs="Arial"/>
        </w:rPr>
        <w:t xml:space="preserve">superannuation guarantee </w:t>
      </w:r>
      <w:r w:rsidRPr="00422481">
        <w:rPr>
          <w:rFonts w:ascii="Arial" w:hAnsi="Arial" w:cs="Arial"/>
        </w:rPr>
        <w:t>contributions to be paid monthly</w:t>
      </w:r>
    </w:p>
    <w:p w14:paraId="19A8E29B" w14:textId="3FD7B800"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 xml:space="preserve">amending the </w:t>
      </w:r>
      <w:r w:rsidRPr="00422481">
        <w:rPr>
          <w:rFonts w:ascii="Arial" w:hAnsi="Arial" w:cs="Arial"/>
          <w:i/>
          <w:iCs/>
        </w:rPr>
        <w:t>Super</w:t>
      </w:r>
      <w:r w:rsidR="00FB2B37">
        <w:rPr>
          <w:rFonts w:ascii="Arial" w:hAnsi="Arial" w:cs="Arial"/>
          <w:i/>
          <w:iCs/>
        </w:rPr>
        <w:t>annuation</w:t>
      </w:r>
      <w:r w:rsidRPr="00422481">
        <w:rPr>
          <w:rFonts w:ascii="Arial" w:hAnsi="Arial" w:cs="Arial"/>
          <w:i/>
          <w:iCs/>
        </w:rPr>
        <w:t xml:space="preserve"> Guarantee Administration Act 1992</w:t>
      </w:r>
      <w:r w:rsidRPr="00422481">
        <w:rPr>
          <w:rFonts w:ascii="Arial" w:hAnsi="Arial" w:cs="Arial"/>
        </w:rPr>
        <w:t xml:space="preserve"> so that employers cannot count salary sacrifice amounts towards compliance with their obligation to pay </w:t>
      </w:r>
      <w:r w:rsidR="00895218">
        <w:rPr>
          <w:rFonts w:ascii="Arial" w:hAnsi="Arial" w:cs="Arial"/>
        </w:rPr>
        <w:t>superannuation guarantee</w:t>
      </w:r>
    </w:p>
    <w:p w14:paraId="7F0A0276" w14:textId="5E78F9F7"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 xml:space="preserve">facilitating collection of unpaid </w:t>
      </w:r>
      <w:r w:rsidR="00895218">
        <w:rPr>
          <w:rFonts w:ascii="Arial" w:hAnsi="Arial" w:cs="Arial"/>
        </w:rPr>
        <w:t xml:space="preserve">superannuation guarantee </w:t>
      </w:r>
      <w:r w:rsidRPr="00422481">
        <w:rPr>
          <w:rFonts w:ascii="Arial" w:hAnsi="Arial" w:cs="Arial"/>
        </w:rPr>
        <w:t>by superannuation funds directly</w:t>
      </w:r>
    </w:p>
    <w:p w14:paraId="3E0D64E0" w14:textId="39F5D82A"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measuring and reporting on the extent of the problem</w:t>
      </w:r>
    </w:p>
    <w:p w14:paraId="22E3B088" w14:textId="6679D00C"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 xml:space="preserve">increase ability of regulators to recover unpaid </w:t>
      </w:r>
      <w:r w:rsidR="00895218">
        <w:rPr>
          <w:rFonts w:ascii="Arial" w:hAnsi="Arial" w:cs="Arial"/>
        </w:rPr>
        <w:t>superannuation guarantee</w:t>
      </w:r>
    </w:p>
    <w:p w14:paraId="13F80C01" w14:textId="72FDA494"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retaining and using strong penalties</w:t>
      </w:r>
    </w:p>
    <w:p w14:paraId="2DF1377D" w14:textId="77777777" w:rsidR="00422481" w:rsidRPr="00422481" w:rsidRDefault="00422481" w:rsidP="00EC6083">
      <w:pPr>
        <w:pStyle w:val="OutlineNumbered1"/>
        <w:spacing w:line="360" w:lineRule="auto"/>
        <w:ind w:left="851" w:hanging="284"/>
        <w:rPr>
          <w:rFonts w:ascii="Arial" w:hAnsi="Arial" w:cs="Arial"/>
        </w:rPr>
      </w:pPr>
      <w:r w:rsidRPr="00422481">
        <w:rPr>
          <w:rFonts w:ascii="Arial" w:hAnsi="Arial" w:cs="Arial"/>
        </w:rPr>
        <w:t>extending the safety net for unpaid entitlements in the event of employer insolvency.</w:t>
      </w:r>
    </w:p>
    <w:p w14:paraId="6AB72542" w14:textId="4F5358D7" w:rsidR="00430891" w:rsidRDefault="001E0389" w:rsidP="00866916">
      <w:pPr>
        <w:pStyle w:val="ListParagraph"/>
        <w:numPr>
          <w:ilvl w:val="1"/>
          <w:numId w:val="57"/>
        </w:numPr>
        <w:spacing w:line="360" w:lineRule="auto"/>
        <w:contextualSpacing w:val="0"/>
        <w:jc w:val="both"/>
      </w:pPr>
      <w:r>
        <w:t>The analysis below considers these recommendations individually</w:t>
      </w:r>
      <w:r w:rsidR="00866916">
        <w:t xml:space="preserve">. </w:t>
      </w:r>
      <w:r w:rsidR="00430891">
        <w:t xml:space="preserve">Further work, together with targeted consultation, </w:t>
      </w:r>
      <w:r w:rsidR="00866916">
        <w:t>should be undertaken to consider these and other options in the context of a coherent package to improve compliance with the superannuation system</w:t>
      </w:r>
      <w:r w:rsidR="00941C6E">
        <w:t>.</w:t>
      </w:r>
      <w:r w:rsidR="00430891">
        <w:t xml:space="preserve"> </w:t>
      </w:r>
    </w:p>
    <w:p w14:paraId="0F1D4659" w14:textId="21093059" w:rsidR="00DF7716" w:rsidRPr="00DA6762" w:rsidRDefault="00DF7716" w:rsidP="00DF7716">
      <w:pPr>
        <w:pStyle w:val="Heading2"/>
        <w:rPr>
          <w:rFonts w:asciiTheme="minorHAnsi" w:hAnsiTheme="minorHAnsi"/>
        </w:rPr>
      </w:pPr>
      <w:bookmarkStart w:id="146" w:name="_Toc472892807"/>
      <w:bookmarkStart w:id="147" w:name="_Toc473540253"/>
      <w:bookmarkStart w:id="148" w:name="_Toc473554636"/>
      <w:bookmarkStart w:id="149" w:name="_Toc473625454"/>
      <w:bookmarkStart w:id="150" w:name="_Toc473629885"/>
      <w:bookmarkStart w:id="151" w:name="_Toc473631177"/>
      <w:bookmarkStart w:id="152" w:name="_Toc473631471"/>
      <w:bookmarkStart w:id="153" w:name="_Toc473636595"/>
      <w:bookmarkStart w:id="154" w:name="_Toc473635313"/>
      <w:r w:rsidRPr="00DA6762">
        <w:rPr>
          <w:rFonts w:asciiTheme="minorHAnsi" w:hAnsiTheme="minorHAnsi"/>
          <w:b/>
        </w:rPr>
        <w:t>ISA Recommendation 1</w:t>
      </w:r>
      <w:r w:rsidRPr="00DA6762">
        <w:rPr>
          <w:rFonts w:asciiTheme="minorHAnsi" w:hAnsiTheme="minorHAnsi"/>
        </w:rPr>
        <w:t xml:space="preserve">: Requiring real time payment and reporting of </w:t>
      </w:r>
      <w:r w:rsidR="00895218" w:rsidRPr="00DA6762">
        <w:rPr>
          <w:rFonts w:asciiTheme="minorHAnsi" w:hAnsiTheme="minorHAnsi" w:cs="Arial"/>
        </w:rPr>
        <w:t>superannuation guarantee</w:t>
      </w:r>
      <w:r w:rsidRPr="00DA6762">
        <w:rPr>
          <w:rFonts w:asciiTheme="minorHAnsi" w:hAnsiTheme="minorHAnsi"/>
        </w:rPr>
        <w:t xml:space="preserve"> payments and requiring </w:t>
      </w:r>
      <w:r w:rsidR="00895218" w:rsidRPr="00DA6762">
        <w:rPr>
          <w:rFonts w:asciiTheme="minorHAnsi" w:hAnsiTheme="minorHAnsi" w:cs="Arial"/>
        </w:rPr>
        <w:t>superannuation guarantee</w:t>
      </w:r>
      <w:r w:rsidRPr="00DA6762">
        <w:rPr>
          <w:rFonts w:asciiTheme="minorHAnsi" w:hAnsiTheme="minorHAnsi"/>
        </w:rPr>
        <w:t xml:space="preserve"> contributions to be paid monthly</w:t>
      </w:r>
      <w:bookmarkEnd w:id="146"/>
      <w:bookmarkEnd w:id="147"/>
      <w:bookmarkEnd w:id="148"/>
      <w:bookmarkEnd w:id="149"/>
      <w:bookmarkEnd w:id="150"/>
      <w:bookmarkEnd w:id="151"/>
      <w:bookmarkEnd w:id="152"/>
      <w:bookmarkEnd w:id="153"/>
      <w:bookmarkEnd w:id="154"/>
    </w:p>
    <w:p w14:paraId="712070FD" w14:textId="77777777" w:rsidR="00DF7716" w:rsidRPr="00BA4EDB" w:rsidRDefault="00DF7716" w:rsidP="00DF7716"/>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5C2FCD6D"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049B7DA5" w14:textId="77777777" w:rsidR="00DF7716" w:rsidRPr="000076A6" w:rsidRDefault="00DF7716" w:rsidP="00B33004">
            <w:pPr>
              <w:keepNext/>
              <w:spacing w:before="120" w:after="120"/>
              <w:jc w:val="both"/>
              <w:rPr>
                <w:b/>
                <w:sz w:val="20"/>
              </w:rPr>
            </w:pPr>
            <w:r w:rsidRPr="000076A6">
              <w:rPr>
                <w:b/>
                <w:sz w:val="20"/>
              </w:rPr>
              <w:t>Key Points</w:t>
            </w:r>
          </w:p>
        </w:tc>
      </w:tr>
      <w:tr w:rsidR="00DF7716" w:rsidRPr="000076A6" w14:paraId="4EE6AD4A"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30E8A810" w14:textId="4B7AFFC5" w:rsidR="00DF7716" w:rsidRPr="006D0E3F" w:rsidRDefault="00DF7716" w:rsidP="00DA6762">
            <w:pPr>
              <w:pStyle w:val="Bullet"/>
              <w:ind w:left="522" w:hanging="522"/>
              <w:rPr>
                <w:sz w:val="20"/>
              </w:rPr>
            </w:pPr>
            <w:r w:rsidRPr="00EE150C">
              <w:rPr>
                <w:sz w:val="20"/>
              </w:rPr>
              <w:t xml:space="preserve">As </w:t>
            </w:r>
            <w:r w:rsidR="00895218" w:rsidRPr="00895218">
              <w:rPr>
                <w:rFonts w:cs="Arial"/>
                <w:sz w:val="20"/>
              </w:rPr>
              <w:t>superannuation guarantee</w:t>
            </w:r>
            <w:r w:rsidRPr="00EE150C">
              <w:rPr>
                <w:sz w:val="20"/>
              </w:rPr>
              <w:t xml:space="preserve"> non</w:t>
            </w:r>
            <w:r w:rsidR="00CA242B">
              <w:rPr>
                <w:sz w:val="20"/>
              </w:rPr>
              <w:noBreakHyphen/>
            </w:r>
            <w:r w:rsidRPr="00EE150C">
              <w:rPr>
                <w:sz w:val="20"/>
              </w:rPr>
              <w:t xml:space="preserve">compliance is not </w:t>
            </w:r>
            <w:r>
              <w:rPr>
                <w:sz w:val="20"/>
              </w:rPr>
              <w:t>readily observable by</w:t>
            </w:r>
            <w:r w:rsidRPr="00EE150C">
              <w:rPr>
                <w:sz w:val="20"/>
              </w:rPr>
              <w:t xml:space="preserve"> </w:t>
            </w:r>
            <w:r w:rsidR="00BB6D73">
              <w:rPr>
                <w:sz w:val="20"/>
              </w:rPr>
              <w:t xml:space="preserve">the ATO, </w:t>
            </w:r>
            <w:r w:rsidRPr="00EE150C">
              <w:rPr>
                <w:sz w:val="20"/>
              </w:rPr>
              <w:t>employees</w:t>
            </w:r>
            <w:r w:rsidR="00BB6D73">
              <w:rPr>
                <w:sz w:val="20"/>
              </w:rPr>
              <w:t xml:space="preserve"> or</w:t>
            </w:r>
            <w:r w:rsidRPr="00EE150C">
              <w:rPr>
                <w:sz w:val="20"/>
              </w:rPr>
              <w:t xml:space="preserve"> super</w:t>
            </w:r>
            <w:r w:rsidR="00622A43">
              <w:rPr>
                <w:sz w:val="20"/>
              </w:rPr>
              <w:t>annuation</w:t>
            </w:r>
            <w:r w:rsidRPr="00EE150C">
              <w:rPr>
                <w:sz w:val="20"/>
              </w:rPr>
              <w:t xml:space="preserve"> funds</w:t>
            </w:r>
            <w:r w:rsidRPr="00CD1389">
              <w:rPr>
                <w:sz w:val="20"/>
              </w:rPr>
              <w:t>, mandating monthly</w:t>
            </w:r>
            <w:r w:rsidRPr="00DA289C">
              <w:rPr>
                <w:sz w:val="20"/>
              </w:rPr>
              <w:t xml:space="preserve"> </w:t>
            </w:r>
            <w:r w:rsidR="00895218" w:rsidRPr="00322C7C">
              <w:rPr>
                <w:rFonts w:cs="Arial"/>
                <w:sz w:val="20"/>
              </w:rPr>
              <w:t>superannuation guarantee</w:t>
            </w:r>
            <w:r w:rsidR="00895218">
              <w:rPr>
                <w:rFonts w:cs="Arial"/>
                <w:sz w:val="20"/>
              </w:rPr>
              <w:t xml:space="preserve"> </w:t>
            </w:r>
            <w:r w:rsidRPr="00DA289C">
              <w:rPr>
                <w:sz w:val="20"/>
              </w:rPr>
              <w:t xml:space="preserve">payments may provide </w:t>
            </w:r>
            <w:r>
              <w:rPr>
                <w:sz w:val="20"/>
              </w:rPr>
              <w:t xml:space="preserve">only </w:t>
            </w:r>
            <w:r w:rsidRPr="00DA289C">
              <w:rPr>
                <w:sz w:val="20"/>
              </w:rPr>
              <w:t>limited compliance improvements.</w:t>
            </w:r>
            <w:r>
              <w:rPr>
                <w:sz w:val="20"/>
              </w:rPr>
              <w:t xml:space="preserve"> Increasing the frequency of </w:t>
            </w:r>
            <w:r w:rsidR="00895218" w:rsidRPr="00322C7C">
              <w:rPr>
                <w:rFonts w:cs="Arial"/>
                <w:sz w:val="20"/>
              </w:rPr>
              <w:t>superannuation guarantee</w:t>
            </w:r>
            <w:r w:rsidR="00895218">
              <w:rPr>
                <w:rFonts w:cs="Arial"/>
                <w:sz w:val="20"/>
              </w:rPr>
              <w:t xml:space="preserve"> </w:t>
            </w:r>
            <w:r>
              <w:rPr>
                <w:sz w:val="20"/>
              </w:rPr>
              <w:t>payments</w:t>
            </w:r>
            <w:r w:rsidR="00866916">
              <w:rPr>
                <w:sz w:val="20"/>
              </w:rPr>
              <w:t xml:space="preserve"> c</w:t>
            </w:r>
            <w:r>
              <w:rPr>
                <w:sz w:val="20"/>
              </w:rPr>
              <w:t xml:space="preserve">ould </w:t>
            </w:r>
            <w:r w:rsidRPr="00EE150C" w:rsidDel="0057164F">
              <w:rPr>
                <w:sz w:val="20"/>
              </w:rPr>
              <w:t>create</w:t>
            </w:r>
            <w:r>
              <w:rPr>
                <w:sz w:val="20"/>
              </w:rPr>
              <w:t xml:space="preserve"> cash flow </w:t>
            </w:r>
            <w:r w:rsidRPr="006D0E3F">
              <w:rPr>
                <w:sz w:val="20"/>
              </w:rPr>
              <w:t xml:space="preserve">issues </w:t>
            </w:r>
            <w:r>
              <w:rPr>
                <w:sz w:val="20"/>
              </w:rPr>
              <w:t>for</w:t>
            </w:r>
            <w:r w:rsidR="00866916">
              <w:rPr>
                <w:sz w:val="20"/>
              </w:rPr>
              <w:t xml:space="preserve"> some </w:t>
            </w:r>
            <w:r>
              <w:rPr>
                <w:sz w:val="20"/>
              </w:rPr>
              <w:t>business</w:t>
            </w:r>
            <w:r w:rsidRPr="006D0E3F">
              <w:rPr>
                <w:sz w:val="20"/>
              </w:rPr>
              <w:t xml:space="preserve">, particularly small business. </w:t>
            </w:r>
          </w:p>
          <w:p w14:paraId="68844301" w14:textId="4BDD6D16" w:rsidR="00DF7716" w:rsidRDefault="00DF7716">
            <w:pPr>
              <w:pStyle w:val="Bullet"/>
              <w:spacing w:before="120" w:after="120"/>
              <w:ind w:left="522" w:hanging="522"/>
              <w:rPr>
                <w:sz w:val="20"/>
              </w:rPr>
            </w:pPr>
            <w:r>
              <w:rPr>
                <w:sz w:val="20"/>
              </w:rPr>
              <w:t>Timelier</w:t>
            </w:r>
            <w:r w:rsidRPr="00784E65">
              <w:rPr>
                <w:sz w:val="20"/>
              </w:rPr>
              <w:t xml:space="preserve"> reporting of superannuation data</w:t>
            </w:r>
            <w:r>
              <w:rPr>
                <w:sz w:val="20"/>
              </w:rPr>
              <w:t xml:space="preserve"> is critical for </w:t>
            </w:r>
            <w:r w:rsidRPr="00784E65">
              <w:rPr>
                <w:sz w:val="20"/>
              </w:rPr>
              <w:t xml:space="preserve">the ATO </w:t>
            </w:r>
            <w:r w:rsidRPr="006D0E3F">
              <w:rPr>
                <w:sz w:val="20"/>
              </w:rPr>
              <w:t xml:space="preserve">to </w:t>
            </w:r>
            <w:r>
              <w:rPr>
                <w:sz w:val="20"/>
              </w:rPr>
              <w:t>better</w:t>
            </w:r>
            <w:r w:rsidRPr="00784E65">
              <w:rPr>
                <w:sz w:val="20"/>
              </w:rPr>
              <w:t xml:space="preserve"> </w:t>
            </w:r>
            <w:r>
              <w:rPr>
                <w:sz w:val="20"/>
              </w:rPr>
              <w:t>identify</w:t>
            </w:r>
            <w:r w:rsidRPr="00784E65">
              <w:rPr>
                <w:sz w:val="20"/>
              </w:rPr>
              <w:t xml:space="preserve"> and </w:t>
            </w:r>
            <w:r w:rsidR="005B7C3C">
              <w:rPr>
                <w:sz w:val="20"/>
              </w:rPr>
              <w:t xml:space="preserve">respond to </w:t>
            </w:r>
            <w:r w:rsidRPr="00784E65">
              <w:rPr>
                <w:sz w:val="20"/>
              </w:rPr>
              <w:t>non</w:t>
            </w:r>
            <w:r w:rsidR="00CA242B">
              <w:rPr>
                <w:sz w:val="20"/>
              </w:rPr>
              <w:noBreakHyphen/>
            </w:r>
            <w:r w:rsidRPr="00784E65">
              <w:rPr>
                <w:sz w:val="20"/>
              </w:rPr>
              <w:t>compliance.</w:t>
            </w:r>
            <w:r w:rsidRPr="006D0E3F">
              <w:rPr>
                <w:sz w:val="20"/>
              </w:rPr>
              <w:t xml:space="preserve"> Single Touch P</w:t>
            </w:r>
            <w:r>
              <w:rPr>
                <w:sz w:val="20"/>
              </w:rPr>
              <w:t xml:space="preserve">ayroll will provide this data, </w:t>
            </w:r>
            <w:r w:rsidR="00866916">
              <w:rPr>
                <w:sz w:val="20"/>
              </w:rPr>
              <w:t>depending on final decisions about coverage</w:t>
            </w:r>
            <w:r>
              <w:rPr>
                <w:sz w:val="20"/>
              </w:rPr>
              <w:t>.</w:t>
            </w:r>
          </w:p>
          <w:p w14:paraId="350B6B5C" w14:textId="77777777" w:rsidR="00DF7716" w:rsidRPr="00827600" w:rsidRDefault="00DF7716">
            <w:pPr>
              <w:pStyle w:val="Bullet"/>
              <w:spacing w:before="120" w:after="120"/>
              <w:ind w:left="522" w:hanging="522"/>
              <w:rPr>
                <w:sz w:val="20"/>
              </w:rPr>
            </w:pPr>
            <w:r w:rsidRPr="00493AA9">
              <w:rPr>
                <w:sz w:val="20"/>
              </w:rPr>
              <w:t>Requiring p</w:t>
            </w:r>
            <w:r w:rsidRPr="00D254BC">
              <w:rPr>
                <w:sz w:val="20"/>
              </w:rPr>
              <w:t xml:space="preserve">ayslip reporting </w:t>
            </w:r>
            <w:r w:rsidRPr="00493AA9">
              <w:rPr>
                <w:sz w:val="20"/>
              </w:rPr>
              <w:t>is not a cost effective way to provide employees with more timely information.</w:t>
            </w:r>
            <w:r w:rsidRPr="006D0E3F">
              <w:rPr>
                <w:sz w:val="20"/>
              </w:rPr>
              <w:t xml:space="preserve"> </w:t>
            </w:r>
          </w:p>
          <w:p w14:paraId="122274C7" w14:textId="48B2FFDC" w:rsidR="00DF7716" w:rsidRPr="000076A6" w:rsidRDefault="00DF7716" w:rsidP="00B33004">
            <w:pPr>
              <w:pStyle w:val="Bullet"/>
              <w:spacing w:before="120" w:after="120"/>
              <w:ind w:left="522" w:hanging="522"/>
              <w:rPr>
                <w:sz w:val="20"/>
              </w:rPr>
            </w:pPr>
            <w:r>
              <w:rPr>
                <w:sz w:val="20"/>
              </w:rPr>
              <w:t>Requiring funds to report contributions data more regularly could improve visibility for employees and the ATO</w:t>
            </w:r>
            <w:r w:rsidR="00866916">
              <w:rPr>
                <w:sz w:val="20"/>
              </w:rPr>
              <w:t>, but will impose additional compliance costs</w:t>
            </w:r>
            <w:r w:rsidR="003A3B27">
              <w:rPr>
                <w:sz w:val="20"/>
              </w:rPr>
              <w:t xml:space="preserve"> on </w:t>
            </w:r>
            <w:r w:rsidR="00E267C2">
              <w:rPr>
                <w:sz w:val="20"/>
              </w:rPr>
              <w:t>funds</w:t>
            </w:r>
            <w:r>
              <w:rPr>
                <w:sz w:val="20"/>
              </w:rPr>
              <w:t>.</w:t>
            </w:r>
          </w:p>
        </w:tc>
      </w:tr>
    </w:tbl>
    <w:p w14:paraId="0292D62A" w14:textId="160E65DA" w:rsidR="00DF7716" w:rsidRDefault="00DF7716" w:rsidP="00B33004">
      <w:pPr>
        <w:pStyle w:val="Heading3"/>
        <w:ind w:left="720" w:hanging="720"/>
        <w:jc w:val="both"/>
      </w:pPr>
      <w:bookmarkStart w:id="155" w:name="_Toc472892808"/>
      <w:r>
        <w:t xml:space="preserve">Increased </w:t>
      </w:r>
      <w:r w:rsidR="00015E8A">
        <w:t xml:space="preserve">superannuation guarantee </w:t>
      </w:r>
      <w:r w:rsidRPr="00DA717C">
        <w:t>p</w:t>
      </w:r>
      <w:r>
        <w:t>ayment frequency</w:t>
      </w:r>
      <w:bookmarkEnd w:id="155"/>
    </w:p>
    <w:p w14:paraId="562EBA69" w14:textId="6014830E" w:rsidR="00DF7716" w:rsidRDefault="00DF7716" w:rsidP="00B33004">
      <w:pPr>
        <w:pStyle w:val="ListParagraph"/>
        <w:numPr>
          <w:ilvl w:val="1"/>
          <w:numId w:val="57"/>
        </w:numPr>
        <w:spacing w:line="360" w:lineRule="auto"/>
        <w:contextualSpacing w:val="0"/>
        <w:jc w:val="both"/>
      </w:pPr>
      <w:r>
        <w:t>T</w:t>
      </w:r>
      <w:r w:rsidRPr="001042CC">
        <w:t xml:space="preserve">he </w:t>
      </w:r>
      <w:r w:rsidR="00EE4845">
        <w:t>ISA Report</w:t>
      </w:r>
      <w:r w:rsidRPr="001042CC">
        <w:t xml:space="preserve"> </w:t>
      </w:r>
      <w:r>
        <w:t xml:space="preserve">proposes </w:t>
      </w:r>
      <w:r w:rsidRPr="001042CC">
        <w:t xml:space="preserve">that </w:t>
      </w:r>
      <w:r>
        <w:t>employers be required to pay their employees</w:t>
      </w:r>
      <w:r w:rsidR="0064382B">
        <w:t>’</w:t>
      </w:r>
      <w:r>
        <w:t xml:space="preserve"> </w:t>
      </w:r>
      <w:r w:rsidR="0041411C">
        <w:t xml:space="preserve">superannuation guarantee </w:t>
      </w:r>
      <w:r>
        <w:t>every month.</w:t>
      </w:r>
    </w:p>
    <w:p w14:paraId="50E2F02D" w14:textId="443B195E" w:rsidR="00DF7716" w:rsidDel="00E4209D" w:rsidRDefault="00DF7716" w:rsidP="008D2F28">
      <w:pPr>
        <w:pStyle w:val="ListParagraph"/>
        <w:numPr>
          <w:ilvl w:val="1"/>
          <w:numId w:val="57"/>
        </w:numPr>
        <w:spacing w:line="360" w:lineRule="auto"/>
        <w:contextualSpacing w:val="0"/>
        <w:jc w:val="both"/>
      </w:pPr>
      <w:r w:rsidRPr="009F2F8B">
        <w:t xml:space="preserve">Currently, employers are required to make </w:t>
      </w:r>
      <w:r w:rsidR="00015E8A">
        <w:t>superannuation guarantee</w:t>
      </w:r>
      <w:r w:rsidR="00015E8A" w:rsidRPr="009F2F8B">
        <w:t xml:space="preserve"> </w:t>
      </w:r>
      <w:r w:rsidRPr="009F2F8B">
        <w:t xml:space="preserve">contributions quarterly (within 28 days after the end of the quarter). </w:t>
      </w:r>
      <w:r>
        <w:t>T</w:t>
      </w:r>
      <w:r w:rsidRPr="009F2F8B">
        <w:t xml:space="preserve">he </w:t>
      </w:r>
      <w:r w:rsidR="00EE4845">
        <w:t>ISA Report</w:t>
      </w:r>
      <w:r w:rsidRPr="009F2F8B">
        <w:t xml:space="preserve"> </w:t>
      </w:r>
      <w:r>
        <w:t xml:space="preserve">claims </w:t>
      </w:r>
      <w:r w:rsidRPr="009F2F8B">
        <w:t xml:space="preserve">that this increases the risk of </w:t>
      </w:r>
      <w:r w:rsidR="00015E8A">
        <w:t>superannuation guarantee</w:t>
      </w:r>
      <w:r>
        <w:t xml:space="preserve"> </w:t>
      </w:r>
      <w:r w:rsidRPr="009F2F8B">
        <w:t>non</w:t>
      </w:r>
      <w:r w:rsidR="00CA242B">
        <w:noBreakHyphen/>
      </w:r>
      <w:r w:rsidRPr="009F2F8B">
        <w:t xml:space="preserve">compliance because it can take many months before </w:t>
      </w:r>
      <w:r>
        <w:t xml:space="preserve">employees can identify </w:t>
      </w:r>
      <w:r w:rsidRPr="009F2F8B">
        <w:t xml:space="preserve">unpaid </w:t>
      </w:r>
      <w:r w:rsidR="00015E8A">
        <w:t>superannuation guarantee</w:t>
      </w:r>
      <w:r w:rsidRPr="009F2F8B">
        <w:t xml:space="preserve">. </w:t>
      </w:r>
    </w:p>
    <w:p w14:paraId="5F5F08B6" w14:textId="4F8A817C" w:rsidR="00866916" w:rsidRDefault="00DF7716" w:rsidP="00B33004">
      <w:pPr>
        <w:pStyle w:val="ListParagraph"/>
        <w:numPr>
          <w:ilvl w:val="1"/>
          <w:numId w:val="57"/>
        </w:numPr>
        <w:spacing w:line="360" w:lineRule="auto"/>
        <w:contextualSpacing w:val="0"/>
        <w:jc w:val="both"/>
      </w:pPr>
      <w:r>
        <w:t xml:space="preserve">Compared to when quarterly </w:t>
      </w:r>
      <w:r w:rsidR="00015E8A">
        <w:t>superannuation guarantee</w:t>
      </w:r>
      <w:r>
        <w:t xml:space="preserve"> payments were mandated in 2002, there are </w:t>
      </w:r>
      <w:r w:rsidR="00B50BE4">
        <w:t>far less</w:t>
      </w:r>
      <w:r w:rsidR="00866916">
        <w:t xml:space="preserve"> </w:t>
      </w:r>
      <w:r>
        <w:t xml:space="preserve">technological barriers to monthly </w:t>
      </w:r>
      <w:r w:rsidR="00015E8A">
        <w:t>superannuation guarantee</w:t>
      </w:r>
      <w:r>
        <w:t xml:space="preserve"> payments</w:t>
      </w:r>
      <w:r w:rsidR="00B50BE4">
        <w:t xml:space="preserve"> now</w:t>
      </w:r>
      <w:r w:rsidR="00866916">
        <w:t xml:space="preserve">, although requiring more frequent payments would increase compliance costs and require employers </w:t>
      </w:r>
      <w:r w:rsidR="00941B52">
        <w:t xml:space="preserve">who use </w:t>
      </w:r>
      <w:r w:rsidR="00866916">
        <w:t>payroll software</w:t>
      </w:r>
      <w:r w:rsidR="00941B52">
        <w:t xml:space="preserve"> to update it</w:t>
      </w:r>
      <w:r w:rsidR="00866916">
        <w:t xml:space="preserve">. </w:t>
      </w:r>
    </w:p>
    <w:p w14:paraId="0DBFF87E" w14:textId="2F8EDF78" w:rsidR="00DF7716" w:rsidRDefault="00866916" w:rsidP="008D2F28">
      <w:pPr>
        <w:pStyle w:val="ListParagraph"/>
        <w:numPr>
          <w:ilvl w:val="1"/>
          <w:numId w:val="57"/>
        </w:numPr>
        <w:spacing w:line="360" w:lineRule="auto"/>
        <w:contextualSpacing w:val="0"/>
        <w:jc w:val="both"/>
      </w:pPr>
      <w:r>
        <w:t xml:space="preserve">The </w:t>
      </w:r>
      <w:r w:rsidRPr="00115DEB">
        <w:t xml:space="preserve">ATO </w:t>
      </w:r>
      <w:r>
        <w:t>has identified</w:t>
      </w:r>
      <w:r w:rsidRPr="00115DEB">
        <w:t xml:space="preserve"> cash flow as the single biggest issue preventing employers </w:t>
      </w:r>
      <w:r>
        <w:t xml:space="preserve">from </w:t>
      </w:r>
      <w:r w:rsidRPr="00115DEB">
        <w:t xml:space="preserve">complying with their </w:t>
      </w:r>
      <w:r w:rsidR="003C39F3">
        <w:t>superannuation guarantee</w:t>
      </w:r>
      <w:r w:rsidRPr="00115DEB">
        <w:t xml:space="preserve"> obligations.</w:t>
      </w:r>
      <w:r>
        <w:t xml:space="preserve"> </w:t>
      </w:r>
      <w:r w:rsidR="00DF7716">
        <w:t xml:space="preserve">Mandating monthly </w:t>
      </w:r>
      <w:r w:rsidR="003C39F3">
        <w:t>superannuation guarantee</w:t>
      </w:r>
      <w:r w:rsidR="00DF7716">
        <w:t xml:space="preserve"> payments could encourage businesses to manage their cash flows better, potentially improving compliance. Conversely, where firms face pressing cash flow issues they may become non</w:t>
      </w:r>
      <w:r w:rsidR="00CA242B">
        <w:noBreakHyphen/>
      </w:r>
      <w:r w:rsidR="00DF7716">
        <w:t>compliant sooner.</w:t>
      </w:r>
      <w:r>
        <w:t xml:space="preserve"> </w:t>
      </w:r>
      <w:r w:rsidR="00DF7716">
        <w:t xml:space="preserve">As mandating monthly </w:t>
      </w:r>
      <w:r w:rsidR="003C39F3">
        <w:t>superannuation guarantee</w:t>
      </w:r>
      <w:r w:rsidR="00DF7716">
        <w:t xml:space="preserve"> payments reduces the working capital available,</w:t>
      </w:r>
      <w:r w:rsidR="00DF7716" w:rsidRPr="008173E3">
        <w:t xml:space="preserve"> </w:t>
      </w:r>
      <w:r w:rsidR="00DF7716">
        <w:t>business, particularly small business, is likely to strongly oppose this</w:t>
      </w:r>
      <w:r>
        <w:t xml:space="preserve"> change</w:t>
      </w:r>
      <w:r w:rsidR="00DF7716" w:rsidRPr="009F2F8B">
        <w:t>.</w:t>
      </w:r>
    </w:p>
    <w:p w14:paraId="18ACB259" w14:textId="310EFA05" w:rsidR="00DF7716" w:rsidRDefault="00DF7716" w:rsidP="00B33004">
      <w:pPr>
        <w:pStyle w:val="ListParagraph"/>
        <w:numPr>
          <w:ilvl w:val="1"/>
          <w:numId w:val="57"/>
        </w:numPr>
        <w:spacing w:line="360" w:lineRule="auto"/>
        <w:contextualSpacing w:val="0"/>
        <w:jc w:val="both"/>
      </w:pPr>
      <w:r>
        <w:t>Th</w:t>
      </w:r>
      <w:r w:rsidR="00866916">
        <w:t>is</w:t>
      </w:r>
      <w:r>
        <w:t xml:space="preserve"> proposal may also have</w:t>
      </w:r>
      <w:r w:rsidRPr="009F2F8B">
        <w:t xml:space="preserve"> other flow</w:t>
      </w:r>
      <w:r w:rsidR="00CA242B">
        <w:noBreakHyphen/>
      </w:r>
      <w:r w:rsidRPr="009F2F8B">
        <w:t>on effects on employers</w:t>
      </w:r>
      <w:r>
        <w:t xml:space="preserve"> and </w:t>
      </w:r>
      <w:r w:rsidRPr="009F2F8B">
        <w:t xml:space="preserve">the ATO. For instance, where an employer </w:t>
      </w:r>
      <w:r>
        <w:t>is</w:t>
      </w:r>
      <w:r w:rsidRPr="009F2F8B">
        <w:t xml:space="preserve"> non</w:t>
      </w:r>
      <w:r w:rsidR="00CA242B">
        <w:noBreakHyphen/>
      </w:r>
      <w:r w:rsidRPr="009F2F8B">
        <w:t>compliant for one financial year, they would need to lodge twelve monthly SG</w:t>
      </w:r>
      <w:r>
        <w:t xml:space="preserve"> </w:t>
      </w:r>
      <w:r w:rsidRPr="009F2F8B">
        <w:t>C</w:t>
      </w:r>
      <w:r>
        <w:t>harge</w:t>
      </w:r>
      <w:r w:rsidRPr="009F2F8B">
        <w:t xml:space="preserve"> statements rather than just four quarterly statements, tripling </w:t>
      </w:r>
      <w:r>
        <w:t xml:space="preserve">the </w:t>
      </w:r>
      <w:r w:rsidRPr="009F2F8B">
        <w:t xml:space="preserve">compliance burden. </w:t>
      </w:r>
    </w:p>
    <w:p w14:paraId="7251CFB8" w14:textId="3C48E5CA" w:rsidR="00866916" w:rsidRDefault="00866916" w:rsidP="00866916">
      <w:pPr>
        <w:pStyle w:val="ListParagraph"/>
        <w:numPr>
          <w:ilvl w:val="1"/>
          <w:numId w:val="57"/>
        </w:numPr>
        <w:spacing w:line="360" w:lineRule="auto"/>
        <w:contextualSpacing w:val="0"/>
        <w:jc w:val="both"/>
      </w:pPr>
      <w:r>
        <w:t xml:space="preserve">Without changes to reporting requirements that improve the visibility of </w:t>
      </w:r>
      <w:r w:rsidR="003C39F3">
        <w:t>superannuation guarantee</w:t>
      </w:r>
      <w:r>
        <w:t xml:space="preserve"> non</w:t>
      </w:r>
      <w:r>
        <w:noBreakHyphen/>
        <w:t xml:space="preserve">compliance, a change to </w:t>
      </w:r>
      <w:r w:rsidR="001B4227">
        <w:t xml:space="preserve">require </w:t>
      </w:r>
      <w:r>
        <w:t xml:space="preserve">monthly </w:t>
      </w:r>
      <w:r w:rsidR="003C39F3">
        <w:t>superannuation guarantee</w:t>
      </w:r>
      <w:r>
        <w:t xml:space="preserve"> payments would not assist the ATO </w:t>
      </w:r>
      <w:r w:rsidRPr="009F2F8B">
        <w:t>detect non</w:t>
      </w:r>
      <w:r>
        <w:noBreakHyphen/>
      </w:r>
      <w:r w:rsidRPr="009F2F8B">
        <w:t xml:space="preserve">compliance sooner. </w:t>
      </w:r>
      <w:r>
        <w:t>It may assist employees identify missing contributions faster but only if they are engaged.</w:t>
      </w:r>
    </w:p>
    <w:p w14:paraId="7EC4F4AF" w14:textId="53A449C7" w:rsidR="00DF7716" w:rsidRPr="00253314" w:rsidRDefault="00DF7716" w:rsidP="007F62E7">
      <w:pPr>
        <w:pStyle w:val="Heading3"/>
        <w:jc w:val="both"/>
      </w:pPr>
      <w:bookmarkStart w:id="156" w:name="_Toc472892809"/>
      <w:r w:rsidRPr="00253314">
        <w:t>Real</w:t>
      </w:r>
      <w:r w:rsidR="00CA242B">
        <w:noBreakHyphen/>
      </w:r>
      <w:r w:rsidRPr="00253314">
        <w:t xml:space="preserve">time reporting of </w:t>
      </w:r>
      <w:r w:rsidR="003C39F3">
        <w:t>superannuation guarantee</w:t>
      </w:r>
      <w:r w:rsidRPr="00253314">
        <w:t xml:space="preserve"> payments to the ATO</w:t>
      </w:r>
      <w:bookmarkEnd w:id="156"/>
    </w:p>
    <w:p w14:paraId="64EBEBA3" w14:textId="06676348" w:rsidR="00DF7716" w:rsidRDefault="00DF7716" w:rsidP="00B33004">
      <w:pPr>
        <w:pStyle w:val="ListParagraph"/>
        <w:numPr>
          <w:ilvl w:val="1"/>
          <w:numId w:val="57"/>
        </w:numPr>
        <w:spacing w:line="360" w:lineRule="auto"/>
        <w:contextualSpacing w:val="0"/>
        <w:jc w:val="both"/>
      </w:pPr>
      <w:r>
        <w:t xml:space="preserve">The </w:t>
      </w:r>
      <w:r w:rsidR="00EE4845">
        <w:t>ISA Report</w:t>
      </w:r>
      <w:r>
        <w:t xml:space="preserve"> argues for real</w:t>
      </w:r>
      <w:r w:rsidR="00CA242B">
        <w:noBreakHyphen/>
      </w:r>
      <w:r>
        <w:t xml:space="preserve">time </w:t>
      </w:r>
      <w:r w:rsidR="003C39F3">
        <w:t>superannuation guarantee</w:t>
      </w:r>
      <w:r>
        <w:t xml:space="preserve"> payment reporting to the ATO to improve visibility of </w:t>
      </w:r>
      <w:r w:rsidR="003C39F3">
        <w:t>superannuation guarantee</w:t>
      </w:r>
      <w:r>
        <w:t xml:space="preserve"> non</w:t>
      </w:r>
      <w:r w:rsidR="00CA242B">
        <w:noBreakHyphen/>
      </w:r>
      <w:r>
        <w:t>compliance and, thereby, reduce incidence.</w:t>
      </w:r>
    </w:p>
    <w:p w14:paraId="49BBB50A" w14:textId="716841B1" w:rsidR="00DF7716" w:rsidRDefault="00DF7716" w:rsidP="00B33004">
      <w:pPr>
        <w:pStyle w:val="ListParagraph"/>
        <w:numPr>
          <w:ilvl w:val="1"/>
          <w:numId w:val="57"/>
        </w:numPr>
        <w:spacing w:line="360" w:lineRule="auto"/>
        <w:contextualSpacing w:val="0"/>
        <w:jc w:val="both"/>
      </w:pPr>
      <w:r w:rsidDel="00E4209D">
        <w:t>T</w:t>
      </w:r>
      <w:r w:rsidRPr="001042CC">
        <w:t>he ATO</w:t>
      </w:r>
      <w:r w:rsidRPr="001042CC" w:rsidDel="00E4209D">
        <w:t xml:space="preserve"> </w:t>
      </w:r>
      <w:r w:rsidDel="00E4209D">
        <w:t xml:space="preserve">has </w:t>
      </w:r>
      <w:r>
        <w:t xml:space="preserve">limited visibility of whether employers are meeting their </w:t>
      </w:r>
      <w:r w:rsidR="003C39F3">
        <w:t>superannuation guarantee</w:t>
      </w:r>
      <w:r>
        <w:t xml:space="preserve"> obligations</w:t>
      </w:r>
      <w:r w:rsidR="00866916">
        <w:t>,</w:t>
      </w:r>
      <w:r w:rsidR="005B7C3C">
        <w:t xml:space="preserve"> as discussed </w:t>
      </w:r>
      <w:r w:rsidR="0094100C">
        <w:t>above</w:t>
      </w:r>
      <w:r w:rsidR="005B7C3C">
        <w:t xml:space="preserve">. </w:t>
      </w:r>
    </w:p>
    <w:p w14:paraId="411D1EE5" w14:textId="5757A7B2" w:rsidR="00DF7716" w:rsidRDefault="00DF7716" w:rsidP="002107ED">
      <w:pPr>
        <w:pStyle w:val="ListParagraph"/>
        <w:numPr>
          <w:ilvl w:val="1"/>
          <w:numId w:val="57"/>
        </w:numPr>
        <w:spacing w:line="360" w:lineRule="auto"/>
        <w:contextualSpacing w:val="0"/>
        <w:jc w:val="both"/>
      </w:pPr>
      <w:r>
        <w:t>Through Single Touch Payroll,</w:t>
      </w:r>
      <w:r w:rsidDel="009B554F">
        <w:t xml:space="preserve"> </w:t>
      </w:r>
      <w:r w:rsidR="00B55E8F">
        <w:t xml:space="preserve">‘substantial’ </w:t>
      </w:r>
      <w:r>
        <w:t xml:space="preserve">employers will provide </w:t>
      </w:r>
      <w:r w:rsidR="002107ED">
        <w:t xml:space="preserve">data on </w:t>
      </w:r>
      <w:r>
        <w:t>real</w:t>
      </w:r>
      <w:r w:rsidR="00CA242B">
        <w:noBreakHyphen/>
      </w:r>
      <w:r>
        <w:t xml:space="preserve">time </w:t>
      </w:r>
      <w:r w:rsidRPr="001042CC">
        <w:t>wages</w:t>
      </w:r>
      <w:r>
        <w:t xml:space="preserve"> (including</w:t>
      </w:r>
      <w:r w:rsidR="00D31040">
        <w:t xml:space="preserve"> </w:t>
      </w:r>
      <w:r w:rsidR="002107ED">
        <w:t>ordinary times earnings</w:t>
      </w:r>
      <w:r>
        <w:t>)</w:t>
      </w:r>
      <w:r w:rsidRPr="001042CC">
        <w:t xml:space="preserve"> and </w:t>
      </w:r>
      <w:r w:rsidR="002107ED">
        <w:t xml:space="preserve">actual </w:t>
      </w:r>
      <w:r w:rsidRPr="001042CC">
        <w:t>super</w:t>
      </w:r>
      <w:r w:rsidR="00622A43">
        <w:t>annuation</w:t>
      </w:r>
      <w:r w:rsidRPr="001042CC">
        <w:t xml:space="preserve"> contribution</w:t>
      </w:r>
      <w:r w:rsidR="002107ED">
        <w:t>s</w:t>
      </w:r>
      <w:r w:rsidRPr="001042CC">
        <w:t xml:space="preserve"> </w:t>
      </w:r>
      <w:r>
        <w:t xml:space="preserve">to the ATO. </w:t>
      </w:r>
      <w:r w:rsidRPr="00A23278">
        <w:t xml:space="preserve">Real time visibility of </w:t>
      </w:r>
      <w:r w:rsidR="003C39F3">
        <w:t>superannuation guarantee</w:t>
      </w:r>
      <w:r w:rsidRPr="00A23278">
        <w:t xml:space="preserve"> liabilities and payments</w:t>
      </w:r>
      <w:r w:rsidR="002107ED">
        <w:t xml:space="preserve"> will e</w:t>
      </w:r>
      <w:r w:rsidRPr="00A23278">
        <w:t xml:space="preserve">nable the ATO to </w:t>
      </w:r>
      <w:r w:rsidR="008D2F28">
        <w:t>better</w:t>
      </w:r>
      <w:r w:rsidRPr="00A23278">
        <w:t xml:space="preserve"> monitor </w:t>
      </w:r>
      <w:r w:rsidR="003C39F3">
        <w:t>superannuation guarantee</w:t>
      </w:r>
      <w:r w:rsidRPr="00A23278">
        <w:t xml:space="preserve"> shortfalls at the employer and employee level</w:t>
      </w:r>
      <w:r w:rsidR="004C0F6F">
        <w:t xml:space="preserve"> and engage early before </w:t>
      </w:r>
      <w:r>
        <w:t>non</w:t>
      </w:r>
      <w:r w:rsidR="00CA242B">
        <w:noBreakHyphen/>
      </w:r>
      <w:r>
        <w:t xml:space="preserve">compliance </w:t>
      </w:r>
      <w:r w:rsidDel="00E4209D">
        <w:t>be</w:t>
      </w:r>
      <w:r w:rsidR="004C0F6F">
        <w:t>comes entrenched</w:t>
      </w:r>
      <w:r>
        <w:t>.</w:t>
      </w:r>
      <w:r w:rsidR="002107ED">
        <w:t xml:space="preserve"> </w:t>
      </w:r>
    </w:p>
    <w:p w14:paraId="1536FE00" w14:textId="38DF0419" w:rsidR="00DF7716" w:rsidRDefault="00DF7716" w:rsidP="00B33004">
      <w:pPr>
        <w:pStyle w:val="ListParagraph"/>
        <w:numPr>
          <w:ilvl w:val="1"/>
          <w:numId w:val="57"/>
        </w:numPr>
        <w:spacing w:line="360" w:lineRule="auto"/>
        <w:contextualSpacing w:val="0"/>
        <w:jc w:val="both"/>
      </w:pPr>
      <w:r w:rsidRPr="001042CC">
        <w:t xml:space="preserve">Improving </w:t>
      </w:r>
      <w:r w:rsidR="003C39F3">
        <w:t>superannuation guarantee</w:t>
      </w:r>
      <w:r w:rsidRPr="001042CC">
        <w:t xml:space="preserve"> reporting is critical to </w:t>
      </w:r>
      <w:r>
        <w:t xml:space="preserve">the ATO’s ability to monitor </w:t>
      </w:r>
      <w:r w:rsidR="003C39F3">
        <w:t>superannuation guarantee</w:t>
      </w:r>
      <w:r>
        <w:t xml:space="preserve"> compliance. Extending </w:t>
      </w:r>
      <w:r w:rsidR="00D31040">
        <w:t>Single Touch Payroll</w:t>
      </w:r>
      <w:r>
        <w:t xml:space="preserve"> such that all businesses must use </w:t>
      </w:r>
      <w:r w:rsidR="00D31040">
        <w:t xml:space="preserve">it </w:t>
      </w:r>
      <w:r>
        <w:t xml:space="preserve">would be the most effective approach to better identifying </w:t>
      </w:r>
      <w:r w:rsidR="003C39F3">
        <w:t>superannuation guarantee</w:t>
      </w:r>
      <w:r>
        <w:t xml:space="preserve"> non</w:t>
      </w:r>
      <w:r w:rsidR="00CA242B">
        <w:noBreakHyphen/>
      </w:r>
      <w:r>
        <w:t>compliance</w:t>
      </w:r>
      <w:r w:rsidRPr="001042CC">
        <w:t>.</w:t>
      </w:r>
      <w:r>
        <w:t xml:space="preserve"> While it would be highly beneficial to require small businesses to comply with </w:t>
      </w:r>
      <w:r w:rsidR="00D31040">
        <w:t>Single Touch Payroll</w:t>
      </w:r>
      <w:r>
        <w:t xml:space="preserve"> from </w:t>
      </w:r>
      <w:r w:rsidR="001B4227">
        <w:t xml:space="preserve">a </w:t>
      </w:r>
      <w:r w:rsidR="003C39F3">
        <w:t>superannuation guarantee</w:t>
      </w:r>
      <w:r>
        <w:t xml:space="preserve"> compliance perspective, this needs to be balanced against the compliance costs</w:t>
      </w:r>
      <w:r w:rsidR="00B55E8F">
        <w:t xml:space="preserve"> for employers</w:t>
      </w:r>
      <w:r>
        <w:t xml:space="preserve">. A pilot on the potential to extend </w:t>
      </w:r>
      <w:r w:rsidR="00D31040">
        <w:t>Single Touch Payroll</w:t>
      </w:r>
      <w:r>
        <w:t xml:space="preserve"> to small business is </w:t>
      </w:r>
      <w:r w:rsidR="00D31040">
        <w:t xml:space="preserve">expected </w:t>
      </w:r>
      <w:r>
        <w:t xml:space="preserve">to report </w:t>
      </w:r>
      <w:r w:rsidR="0014143E">
        <w:t xml:space="preserve">interim </w:t>
      </w:r>
      <w:r>
        <w:t xml:space="preserve">findings to government </w:t>
      </w:r>
      <w:r w:rsidR="007D4B65">
        <w:t xml:space="preserve">in </w:t>
      </w:r>
      <w:r w:rsidR="005B7C3C" w:rsidRPr="00CD678D">
        <w:t>April 2017</w:t>
      </w:r>
      <w:r>
        <w:t xml:space="preserve">. </w:t>
      </w:r>
      <w:r w:rsidR="00D31040" w:rsidDel="00FA6624">
        <w:t xml:space="preserve">Government will subsequently consider how and when small business will participate in Single Touch Payroll. </w:t>
      </w:r>
    </w:p>
    <w:p w14:paraId="79BB126C" w14:textId="5EAD06B3" w:rsidR="00DF7716" w:rsidRDefault="00DF7716" w:rsidP="00B33004">
      <w:pPr>
        <w:pStyle w:val="ListParagraph"/>
        <w:numPr>
          <w:ilvl w:val="1"/>
          <w:numId w:val="57"/>
        </w:numPr>
        <w:spacing w:line="360" w:lineRule="auto"/>
        <w:contextualSpacing w:val="0"/>
        <w:jc w:val="both"/>
      </w:pPr>
      <w:r>
        <w:t xml:space="preserve">An alternative to </w:t>
      </w:r>
      <w:r w:rsidR="00D31040">
        <w:t>Single Touch Payroll</w:t>
      </w:r>
      <w:r>
        <w:t xml:space="preserve"> (employer to ATO), would be more regular reports (monthly or quarterly) from funds to the ATO on superannuation payments. </w:t>
      </w:r>
      <w:r w:rsidR="008D2F28">
        <w:t xml:space="preserve">While this would represent </w:t>
      </w:r>
      <w:r>
        <w:t>an improvement on the status quo, this reporting would not include</w:t>
      </w:r>
      <w:r w:rsidR="00D31040">
        <w:t xml:space="preserve"> the </w:t>
      </w:r>
      <w:r w:rsidR="003C39F3">
        <w:t>superannuation guarantee</w:t>
      </w:r>
      <w:r w:rsidR="00D31040">
        <w:t xml:space="preserve"> amounts from payroll, nor</w:t>
      </w:r>
      <w:r>
        <w:t xml:space="preserve"> data</w:t>
      </w:r>
      <w:r w:rsidR="00D31040">
        <w:t xml:space="preserve"> that would help determine the liability (such as </w:t>
      </w:r>
      <w:r w:rsidR="002107ED">
        <w:t>ordinary time earnings</w:t>
      </w:r>
      <w:r w:rsidR="00D31040">
        <w:t>)</w:t>
      </w:r>
      <w:r>
        <w:t xml:space="preserve">, </w:t>
      </w:r>
      <w:r w:rsidR="008D2F28">
        <w:t>and it would impose additional compliance costs on funds</w:t>
      </w:r>
      <w:r>
        <w:t>.</w:t>
      </w:r>
    </w:p>
    <w:p w14:paraId="18BEC3EE" w14:textId="77777777" w:rsidR="00DF7716" w:rsidRDefault="00DF7716" w:rsidP="00B33004">
      <w:pPr>
        <w:pStyle w:val="Heading3"/>
        <w:ind w:left="720" w:hanging="720"/>
        <w:jc w:val="both"/>
      </w:pPr>
      <w:bookmarkStart w:id="157" w:name="_Toc472892810"/>
      <w:r w:rsidRPr="00FD5064">
        <w:t>More accurate payslip information</w:t>
      </w:r>
      <w:bookmarkEnd w:id="157"/>
    </w:p>
    <w:p w14:paraId="7ED89FD4" w14:textId="1928FBD2" w:rsidR="008D2F28" w:rsidRDefault="00DF7716" w:rsidP="00B33004">
      <w:pPr>
        <w:pStyle w:val="ListParagraph"/>
        <w:numPr>
          <w:ilvl w:val="1"/>
          <w:numId w:val="57"/>
        </w:numPr>
        <w:spacing w:line="360" w:lineRule="auto"/>
        <w:contextualSpacing w:val="0"/>
        <w:jc w:val="both"/>
      </w:pPr>
      <w:r>
        <w:t>T</w:t>
      </w:r>
      <w:r w:rsidRPr="001042CC">
        <w:t xml:space="preserve">he </w:t>
      </w:r>
      <w:r w:rsidR="00EE4845">
        <w:t>ISA Report</w:t>
      </w:r>
      <w:r w:rsidRPr="001042CC">
        <w:t xml:space="preserve"> </w:t>
      </w:r>
      <w:r>
        <w:t xml:space="preserve">proposes </w:t>
      </w:r>
      <w:r w:rsidRPr="001042CC">
        <w:t xml:space="preserve">that </w:t>
      </w:r>
      <w:r>
        <w:t>employers be required to</w:t>
      </w:r>
      <w:r w:rsidRPr="001042CC">
        <w:t xml:space="preserve"> report </w:t>
      </w:r>
      <w:r>
        <w:t xml:space="preserve">actual </w:t>
      </w:r>
      <w:r w:rsidR="003C39F3">
        <w:t>superannuation guarantee</w:t>
      </w:r>
      <w:r w:rsidRPr="001042CC">
        <w:t xml:space="preserve"> </w:t>
      </w:r>
      <w:r>
        <w:t xml:space="preserve">amounts </w:t>
      </w:r>
      <w:r w:rsidRPr="001042CC">
        <w:t>paid</w:t>
      </w:r>
      <w:r>
        <w:t xml:space="preserve"> on payslips so that employees can </w:t>
      </w:r>
      <w:r w:rsidR="008D2F28">
        <w:t xml:space="preserve">more easily </w:t>
      </w:r>
      <w:r>
        <w:t xml:space="preserve">monitor whether </w:t>
      </w:r>
      <w:r w:rsidR="003C39F3">
        <w:t>superannuation guarantee</w:t>
      </w:r>
      <w:r>
        <w:t xml:space="preserve"> is being paid.</w:t>
      </w:r>
      <w:r w:rsidR="00AE25E2">
        <w:t xml:space="preserve"> </w:t>
      </w:r>
      <w:r w:rsidR="00D25113">
        <w:t>Currently, payslips are required to include either the actual superannuation contribution amount paid during the pay period or the amount that is payable</w:t>
      </w:r>
      <w:r w:rsidR="008D2F28">
        <w:t xml:space="preserve"> by the employer</w:t>
      </w:r>
      <w:r w:rsidR="00D25113">
        <w:t xml:space="preserve">. </w:t>
      </w:r>
    </w:p>
    <w:p w14:paraId="696F3D54" w14:textId="54516A20" w:rsidR="002107ED" w:rsidRDefault="00D25113" w:rsidP="00B33004">
      <w:pPr>
        <w:pStyle w:val="ListParagraph"/>
        <w:numPr>
          <w:ilvl w:val="1"/>
          <w:numId w:val="57"/>
        </w:numPr>
        <w:spacing w:line="360" w:lineRule="auto"/>
        <w:contextualSpacing w:val="0"/>
        <w:jc w:val="both"/>
      </w:pPr>
      <w:r>
        <w:t xml:space="preserve">The ISA proposal reflects </w:t>
      </w:r>
      <w:r w:rsidR="008D2F28">
        <w:t xml:space="preserve">concerns </w:t>
      </w:r>
      <w:r>
        <w:t xml:space="preserve">that employees have limited visibility over </w:t>
      </w:r>
      <w:r w:rsidR="003C39F3">
        <w:t>superannuation guarantee</w:t>
      </w:r>
      <w:r>
        <w:t xml:space="preserve"> payment. </w:t>
      </w:r>
      <w:r w:rsidR="008D2F28">
        <w:t>Currently, individuals can only detect u</w:t>
      </w:r>
      <w:r>
        <w:t xml:space="preserve">nderpayment </w:t>
      </w:r>
      <w:r w:rsidR="008D2F28">
        <w:t>by either</w:t>
      </w:r>
      <w:r>
        <w:t xml:space="preserve"> </w:t>
      </w:r>
      <w:r w:rsidR="00AE25E2">
        <w:t>looking at their fund’s annual statement</w:t>
      </w:r>
      <w:r>
        <w:t xml:space="preserve"> or by </w:t>
      </w:r>
      <w:r w:rsidR="008D2F28">
        <w:t xml:space="preserve">directly </w:t>
      </w:r>
      <w:r>
        <w:t xml:space="preserve">checking </w:t>
      </w:r>
      <w:r w:rsidR="00AE25E2">
        <w:t>with their fund</w:t>
      </w:r>
      <w:r w:rsidR="00C95FCD">
        <w:t xml:space="preserve"> </w:t>
      </w:r>
      <w:r w:rsidR="001B4227">
        <w:t xml:space="preserve">more frequently </w:t>
      </w:r>
      <w:r w:rsidR="00C95FCD">
        <w:t>(for example, through an online portal)</w:t>
      </w:r>
      <w:r w:rsidR="00AE25E2">
        <w:t xml:space="preserve">, </w:t>
      </w:r>
      <w:r>
        <w:t xml:space="preserve">though few </w:t>
      </w:r>
      <w:r w:rsidR="00AE25E2">
        <w:t xml:space="preserve">employees </w:t>
      </w:r>
      <w:r>
        <w:t>are sufficiently engaged to do so.</w:t>
      </w:r>
      <w:r w:rsidR="00AE25E2">
        <w:t xml:space="preserve"> </w:t>
      </w:r>
    </w:p>
    <w:p w14:paraId="6B909E5F" w14:textId="5D273F5A" w:rsidR="00DF7716" w:rsidRDefault="008D2F28" w:rsidP="00B33004">
      <w:pPr>
        <w:pStyle w:val="ListParagraph"/>
        <w:numPr>
          <w:ilvl w:val="1"/>
          <w:numId w:val="57"/>
        </w:numPr>
        <w:spacing w:line="360" w:lineRule="auto"/>
        <w:contextualSpacing w:val="0"/>
        <w:jc w:val="both"/>
      </w:pPr>
      <w:r>
        <w:t xml:space="preserve">There is a risk that changing the payslip reporting arrangements may confuse or mislead employees. </w:t>
      </w:r>
      <w:r w:rsidR="00D00CC1">
        <w:t xml:space="preserve">Under current quarterly payment requirements, and with implementation of the ISA recommendation, compliant employers would report </w:t>
      </w:r>
      <w:r>
        <w:t xml:space="preserve">on payslips </w:t>
      </w:r>
      <w:r w:rsidR="00D00CC1">
        <w:t xml:space="preserve">a positive figure the four times a year payments are made and zero otherwise. </w:t>
      </w:r>
      <w:r w:rsidR="00DF7716">
        <w:t xml:space="preserve">Requiring payslip reporting would only </w:t>
      </w:r>
      <w:r>
        <w:t xml:space="preserve">make a difference if superannuation payments </w:t>
      </w:r>
      <w:r w:rsidR="00DF7716">
        <w:t xml:space="preserve">were </w:t>
      </w:r>
      <w:r>
        <w:t>aligned with payslip issuance</w:t>
      </w:r>
      <w:r w:rsidR="00DF7716">
        <w:t xml:space="preserve">. </w:t>
      </w:r>
    </w:p>
    <w:p w14:paraId="2618A111" w14:textId="45B64346" w:rsidR="00D00CC1" w:rsidRDefault="00DF7716" w:rsidP="00B33004">
      <w:pPr>
        <w:pStyle w:val="ListParagraph"/>
        <w:numPr>
          <w:ilvl w:val="1"/>
          <w:numId w:val="57"/>
        </w:numPr>
        <w:spacing w:line="360" w:lineRule="auto"/>
        <w:contextualSpacing w:val="0"/>
        <w:jc w:val="both"/>
      </w:pPr>
      <w:r>
        <w:t xml:space="preserve">The compliance costs </w:t>
      </w:r>
      <w:r w:rsidRPr="001042CC">
        <w:t xml:space="preserve">of </w:t>
      </w:r>
      <w:r>
        <w:t xml:space="preserve">this proposal would involve updating payroll software for all employers. </w:t>
      </w:r>
    </w:p>
    <w:p w14:paraId="19E7DB13" w14:textId="5261285D" w:rsidR="00DF7716" w:rsidRDefault="00DF7716" w:rsidP="00B33004">
      <w:pPr>
        <w:pStyle w:val="ListParagraph"/>
        <w:numPr>
          <w:ilvl w:val="1"/>
          <w:numId w:val="57"/>
        </w:numPr>
        <w:spacing w:line="360" w:lineRule="auto"/>
        <w:contextualSpacing w:val="0"/>
        <w:jc w:val="both"/>
      </w:pPr>
      <w:r>
        <w:t>An alternative to th</w:t>
      </w:r>
      <w:r w:rsidR="00AE25E2">
        <w:t>e ISA</w:t>
      </w:r>
      <w:r>
        <w:t xml:space="preserve"> proposal may be requiring funds to notify members whether or not they have received a payment in a quarter</w:t>
      </w:r>
      <w:r w:rsidR="008A4FB3">
        <w:t>.</w:t>
      </w:r>
      <w:r w:rsidR="00D00CC1">
        <w:rPr>
          <w:rStyle w:val="FootnoteReference"/>
        </w:rPr>
        <w:footnoteReference w:id="10"/>
      </w:r>
      <w:r>
        <w:t xml:space="preserve"> This measure was proposed in 2012 but not pr</w:t>
      </w:r>
      <w:r w:rsidR="00D70B20">
        <w:t>o</w:t>
      </w:r>
      <w:r>
        <w:t>c</w:t>
      </w:r>
      <w:r w:rsidR="00D70B20">
        <w:t>e</w:t>
      </w:r>
      <w:r>
        <w:t xml:space="preserve">eded with. </w:t>
      </w:r>
      <w:r w:rsidR="00AB3050">
        <w:t>Using payment information held by funds may be more reliable than relying on employer data</w:t>
      </w:r>
      <w:r w:rsidR="007A1E30">
        <w:t>, though</w:t>
      </w:r>
      <w:r w:rsidR="00AB3050">
        <w:t xml:space="preserve"> any such proposal would need to consider</w:t>
      </w:r>
      <w:r w:rsidR="00CA42FA">
        <w:t xml:space="preserve"> compliance costs for funds</w:t>
      </w:r>
      <w:r w:rsidR="00AB3050">
        <w:t>.</w:t>
      </w:r>
    </w:p>
    <w:p w14:paraId="6ECC2FD5" w14:textId="70F4027C" w:rsidR="00DF7716" w:rsidRDefault="00DF7716" w:rsidP="00AF60A5">
      <w:pPr>
        <w:pStyle w:val="Heading2"/>
        <w:tabs>
          <w:tab w:val="left" w:pos="0"/>
        </w:tabs>
      </w:pPr>
      <w:bookmarkStart w:id="158" w:name="_Toc473625455"/>
      <w:bookmarkStart w:id="159" w:name="_Toc473629886"/>
      <w:bookmarkStart w:id="160" w:name="_Toc472892811"/>
      <w:bookmarkStart w:id="161" w:name="_Toc473540254"/>
      <w:bookmarkStart w:id="162" w:name="_Toc473554637"/>
      <w:bookmarkStart w:id="163" w:name="_Toc473631178"/>
      <w:bookmarkStart w:id="164" w:name="_Toc473631472"/>
      <w:bookmarkStart w:id="165" w:name="_Toc473636596"/>
      <w:bookmarkStart w:id="166" w:name="_Toc473635314"/>
      <w:r w:rsidRPr="00827600">
        <w:rPr>
          <w:b/>
        </w:rPr>
        <w:t>ISA Recommendation 2:</w:t>
      </w:r>
      <w:r>
        <w:t xml:space="preserve"> </w:t>
      </w:r>
      <w:r w:rsidRPr="001042CC">
        <w:t xml:space="preserve">Amending the </w:t>
      </w:r>
      <w:r w:rsidRPr="001042CC">
        <w:rPr>
          <w:i/>
        </w:rPr>
        <w:t>Super</w:t>
      </w:r>
      <w:r w:rsidR="00FB2B37">
        <w:rPr>
          <w:i/>
        </w:rPr>
        <w:t>annuation</w:t>
      </w:r>
      <w:r w:rsidRPr="001042CC">
        <w:rPr>
          <w:i/>
        </w:rPr>
        <w:t xml:space="preserve"> Guarantee Administration Act 1992</w:t>
      </w:r>
      <w:r w:rsidRPr="001042CC">
        <w:t xml:space="preserve"> (SGAA) so that employers cannot count salary sacrifice amounts towards compliance with their obligation to pay </w:t>
      </w:r>
      <w:r w:rsidR="003C39F3">
        <w:t>superannuation guarantee</w:t>
      </w:r>
      <w:bookmarkEnd w:id="158"/>
      <w:bookmarkEnd w:id="159"/>
      <w:bookmarkEnd w:id="160"/>
      <w:bookmarkEnd w:id="161"/>
      <w:bookmarkEnd w:id="162"/>
      <w:bookmarkEnd w:id="163"/>
      <w:bookmarkEnd w:id="164"/>
      <w:bookmarkEnd w:id="165"/>
      <w:bookmarkEnd w:id="166"/>
    </w:p>
    <w:p w14:paraId="2A53E69B" w14:textId="77777777" w:rsidR="00DF7716" w:rsidRPr="00A542A7" w:rsidRDefault="00DF7716" w:rsidP="00B33004">
      <w:pPr>
        <w:jc w:val="both"/>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16E4F3B9"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6FC29542" w14:textId="77777777" w:rsidR="00DF7716" w:rsidRPr="000076A6" w:rsidRDefault="00DF7716">
            <w:pPr>
              <w:spacing w:before="120" w:after="120"/>
              <w:jc w:val="both"/>
              <w:rPr>
                <w:b/>
                <w:sz w:val="20"/>
              </w:rPr>
            </w:pPr>
            <w:r w:rsidRPr="000076A6">
              <w:rPr>
                <w:b/>
                <w:sz w:val="20"/>
              </w:rPr>
              <w:t>Key Points</w:t>
            </w:r>
          </w:p>
        </w:tc>
      </w:tr>
      <w:tr w:rsidR="00DF7716" w:rsidRPr="000076A6" w14:paraId="7ABF0646"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6866C583" w14:textId="5C1055B1" w:rsidR="00DF7716" w:rsidRPr="000076A6" w:rsidRDefault="00DF7716">
            <w:pPr>
              <w:pStyle w:val="Bullet"/>
              <w:spacing w:before="120" w:after="120"/>
              <w:rPr>
                <w:sz w:val="20"/>
              </w:rPr>
            </w:pPr>
            <w:r>
              <w:rPr>
                <w:sz w:val="20"/>
              </w:rPr>
              <w:t xml:space="preserve">A small number of employers are using their employees’ salary sacrifice arrangements to satisfy their </w:t>
            </w:r>
            <w:r w:rsidR="003C39F3" w:rsidRPr="00CD678D">
              <w:rPr>
                <w:sz w:val="20"/>
              </w:rPr>
              <w:t>superannuation guarantee</w:t>
            </w:r>
            <w:r>
              <w:rPr>
                <w:sz w:val="20"/>
              </w:rPr>
              <w:t xml:space="preserve"> obligation.</w:t>
            </w:r>
            <w:r w:rsidR="005B7C3C">
              <w:rPr>
                <w:sz w:val="20"/>
              </w:rPr>
              <w:t xml:space="preserve"> ATO compliance data does not indicate the practice is widespread. </w:t>
            </w:r>
          </w:p>
          <w:p w14:paraId="49B43377" w14:textId="79B450DF" w:rsidR="00DF7716" w:rsidRDefault="00DF7716">
            <w:pPr>
              <w:pStyle w:val="Bullet"/>
              <w:spacing w:before="120" w:after="120"/>
              <w:rPr>
                <w:sz w:val="20"/>
              </w:rPr>
            </w:pPr>
            <w:r>
              <w:rPr>
                <w:sz w:val="20"/>
              </w:rPr>
              <w:t xml:space="preserve">Some employers also calculate their </w:t>
            </w:r>
            <w:r w:rsidR="003C39F3" w:rsidRPr="00CD678D">
              <w:rPr>
                <w:sz w:val="20"/>
              </w:rPr>
              <w:t>superannuation guarantee</w:t>
            </w:r>
            <w:r>
              <w:rPr>
                <w:sz w:val="20"/>
              </w:rPr>
              <w:t xml:space="preserve"> obligation on the lower, post salary sacrifice, earnings.</w:t>
            </w:r>
          </w:p>
          <w:p w14:paraId="21274642" w14:textId="158F7898" w:rsidR="00DF7716" w:rsidRPr="000076A6" w:rsidRDefault="00DF7716" w:rsidP="00FC1CAE">
            <w:pPr>
              <w:pStyle w:val="Bullet"/>
              <w:spacing w:before="120" w:after="120"/>
              <w:rPr>
                <w:sz w:val="20"/>
              </w:rPr>
            </w:pPr>
            <w:r>
              <w:rPr>
                <w:sz w:val="20"/>
              </w:rPr>
              <w:t xml:space="preserve">Both problems can be resolved with straightforward legislation </w:t>
            </w:r>
            <w:r w:rsidR="00540862">
              <w:rPr>
                <w:sz w:val="20"/>
              </w:rPr>
              <w:t xml:space="preserve">that </w:t>
            </w:r>
            <w:r w:rsidR="008D2F28">
              <w:rPr>
                <w:sz w:val="20"/>
              </w:rPr>
              <w:t xml:space="preserve">would </w:t>
            </w:r>
            <w:r>
              <w:rPr>
                <w:sz w:val="20"/>
              </w:rPr>
              <w:t>address anomalies.</w:t>
            </w:r>
          </w:p>
        </w:tc>
      </w:tr>
    </w:tbl>
    <w:p w14:paraId="0D60A365" w14:textId="3C12232E" w:rsidR="00DF7716" w:rsidRDefault="00DF7716" w:rsidP="00AF60A5">
      <w:pPr>
        <w:pStyle w:val="Heading3"/>
        <w:jc w:val="both"/>
      </w:pPr>
      <w:r>
        <w:t xml:space="preserve">Using salary sacrifice arrangements to satisfy </w:t>
      </w:r>
      <w:r w:rsidR="003C39F3">
        <w:t>superannuation guarantee</w:t>
      </w:r>
      <w:r>
        <w:t xml:space="preserve"> obligations </w:t>
      </w:r>
    </w:p>
    <w:p w14:paraId="4F6905D3" w14:textId="1EDC6BE3" w:rsidR="00DF7716" w:rsidRDefault="00DF7716" w:rsidP="00220A5C">
      <w:pPr>
        <w:pStyle w:val="ListParagraph"/>
        <w:numPr>
          <w:ilvl w:val="1"/>
          <w:numId w:val="57"/>
        </w:numPr>
        <w:spacing w:line="360" w:lineRule="auto"/>
        <w:contextualSpacing w:val="0"/>
        <w:jc w:val="both"/>
      </w:pPr>
      <w:r>
        <w:t xml:space="preserve">Under the SGAA, all employer contributions (including salary sacrifice contributions) currently serve to satisfy the employer’s </w:t>
      </w:r>
      <w:r w:rsidR="003C39F3">
        <w:t>superannuation guarantee</w:t>
      </w:r>
      <w:r>
        <w:t xml:space="preserve"> obligation. For example, an employer’s obligation to contribute $9,500 in superannuation for a person earning $100,000 could be met in full (and without further employer contributions) if the employee salary sacrificed $9,500</w:t>
      </w:r>
      <w:r w:rsidR="008F1745">
        <w:t xml:space="preserve"> or more</w:t>
      </w:r>
      <w:r>
        <w:t xml:space="preserve">. There is no clear policy rationale for this, and it </w:t>
      </w:r>
      <w:r w:rsidR="00592E9C">
        <w:t xml:space="preserve">is </w:t>
      </w:r>
      <w:r w:rsidR="008D2F28">
        <w:t xml:space="preserve">largely </w:t>
      </w:r>
      <w:r>
        <w:t xml:space="preserve">an artefact of salary sacrifice not being in widespread use in 1992 when the </w:t>
      </w:r>
      <w:r w:rsidR="00D70B20">
        <w:t xml:space="preserve">SGAA </w:t>
      </w:r>
      <w:r w:rsidRPr="003D4159">
        <w:t xml:space="preserve">was drafted. </w:t>
      </w:r>
    </w:p>
    <w:p w14:paraId="03F3E868" w14:textId="376D95B0" w:rsidR="008D2F28" w:rsidRDefault="008D2F28" w:rsidP="008D2F28">
      <w:pPr>
        <w:pStyle w:val="ListParagraph"/>
        <w:numPr>
          <w:ilvl w:val="1"/>
          <w:numId w:val="57"/>
        </w:numPr>
        <w:spacing w:line="360" w:lineRule="auto"/>
        <w:contextualSpacing w:val="0"/>
        <w:jc w:val="both"/>
      </w:pPr>
      <w:r>
        <w:t xml:space="preserve">Furthermore, the Australian Government Solicitor has provided advice that the practice of employers using their employees’ salary sacrifice money to satisfy their own </w:t>
      </w:r>
      <w:r w:rsidR="003C39F3">
        <w:t>superannuation guarantee</w:t>
      </w:r>
      <w:r>
        <w:t xml:space="preserve"> obligation is likely to contravene the </w:t>
      </w:r>
      <w:r>
        <w:rPr>
          <w:i/>
        </w:rPr>
        <w:t xml:space="preserve">Fair Work Act 2009 </w:t>
      </w:r>
      <w:r>
        <w:t xml:space="preserve">(the Fair Work Act). The Fair Work Act does not permit deductions from wages if they are not ‘principally for the employee’s benefit’ or, if made pursuant to a term of a modern award, enterprise agreement or employment contract, if they directly or indirectly benefit the employer and are unreasonable in the circumstances. An employer in breach of the Fair Work Act is exposed to civil penalties. However, relying solely on enforcement of this interpretation </w:t>
      </w:r>
      <w:r w:rsidR="00AE52CF">
        <w:t xml:space="preserve">by the Fair Work Ombudsman (FWO) </w:t>
      </w:r>
      <w:r>
        <w:t xml:space="preserve">is unlikely to be particularly effective as in </w:t>
      </w:r>
      <w:r w:rsidR="003F37DE">
        <w:t>practice;</w:t>
      </w:r>
      <w:r>
        <w:t xml:space="preserve"> it does not have the specialist expertise to deal with complex superannuation matters.</w:t>
      </w:r>
      <w:r w:rsidR="004A72A0">
        <w:rPr>
          <w:rStyle w:val="FootnoteReference"/>
        </w:rPr>
        <w:footnoteReference w:id="11"/>
      </w:r>
      <w:r>
        <w:t xml:space="preserve"> </w:t>
      </w:r>
    </w:p>
    <w:p w14:paraId="0B1148F8" w14:textId="37A95618" w:rsidR="00DF7716" w:rsidRDefault="00DF7716" w:rsidP="00220A5C">
      <w:pPr>
        <w:pStyle w:val="ListParagraph"/>
        <w:numPr>
          <w:ilvl w:val="1"/>
          <w:numId w:val="57"/>
        </w:numPr>
        <w:spacing w:line="360" w:lineRule="auto"/>
        <w:contextualSpacing w:val="0"/>
        <w:jc w:val="both"/>
      </w:pPr>
      <w:r>
        <w:t xml:space="preserve">The </w:t>
      </w:r>
      <w:r w:rsidR="00EE4845">
        <w:t>ISA Report</w:t>
      </w:r>
      <w:r>
        <w:t xml:space="preserve"> suggests </w:t>
      </w:r>
      <w:r w:rsidR="003F37DE">
        <w:t>this</w:t>
      </w:r>
      <w:r>
        <w:t xml:space="preserve"> issue costs employees $1 billion a year. However, this is likely to be a very large overestimate. While the ATO’s </w:t>
      </w:r>
      <w:r w:rsidR="003C39F3">
        <w:t>superannuation guarantee</w:t>
      </w:r>
      <w:r>
        <w:t xml:space="preserve"> compliance program does not specifically target salary sacrifice arrangements, available evidence suggests that the practice is not widespread. Treasury receives </w:t>
      </w:r>
      <w:r w:rsidR="008D2F28">
        <w:t>only a very</w:t>
      </w:r>
      <w:r>
        <w:t xml:space="preserve"> small number of letters from individuals </w:t>
      </w:r>
      <w:r w:rsidR="008D2F28">
        <w:t xml:space="preserve">on this matter </w:t>
      </w:r>
      <w:r>
        <w:t xml:space="preserve">and the issue is </w:t>
      </w:r>
      <w:r w:rsidR="008D2F28">
        <w:t xml:space="preserve">rarely </w:t>
      </w:r>
      <w:r>
        <w:t xml:space="preserve">raised with the ATO during community engagement events. </w:t>
      </w:r>
    </w:p>
    <w:p w14:paraId="3129195A" w14:textId="6334E52D" w:rsidR="00DF7716" w:rsidRDefault="00DF7716" w:rsidP="00220A5C">
      <w:pPr>
        <w:pStyle w:val="ListParagraph"/>
        <w:numPr>
          <w:ilvl w:val="1"/>
          <w:numId w:val="57"/>
        </w:numPr>
        <w:spacing w:line="360" w:lineRule="auto"/>
        <w:contextualSpacing w:val="0"/>
        <w:jc w:val="both"/>
      </w:pPr>
      <w:r>
        <w:t xml:space="preserve">Recent superannuation reforms may reduce the </w:t>
      </w:r>
      <w:r w:rsidR="00D70B20">
        <w:t xml:space="preserve">practice </w:t>
      </w:r>
      <w:r>
        <w:t>as salary sacrifice arrangements will no longer be the only way employees can make concessional contributions. From 1 July 2017, individuals will be able to claim a deduction for personal superannuation contributions (where certain conditions are met)</w:t>
      </w:r>
      <w:r w:rsidR="009D3585">
        <w:t>, removing the need for them to salary sacrifice through their employer.</w:t>
      </w:r>
      <w:r>
        <w:t xml:space="preserve"> </w:t>
      </w:r>
    </w:p>
    <w:p w14:paraId="72B1E9A4" w14:textId="4285DA9D" w:rsidR="00DF7716" w:rsidRDefault="00DF7716" w:rsidP="00220A5C">
      <w:pPr>
        <w:pStyle w:val="ListParagraph"/>
        <w:numPr>
          <w:ilvl w:val="1"/>
          <w:numId w:val="57"/>
        </w:numPr>
        <w:spacing w:line="360" w:lineRule="auto"/>
        <w:contextualSpacing w:val="0"/>
        <w:jc w:val="both"/>
      </w:pPr>
      <w:r w:rsidRPr="001042CC">
        <w:t xml:space="preserve">This issue could be addressed by amending the SGAA to preclude the use of contributions made under salary sacrifice </w:t>
      </w:r>
      <w:r w:rsidR="00D70B20">
        <w:t xml:space="preserve">arrangements </w:t>
      </w:r>
      <w:r w:rsidRPr="001042CC">
        <w:t xml:space="preserve">to satisfy the employer’s </w:t>
      </w:r>
      <w:r w:rsidR="003C39F3">
        <w:t>superannuation guarantee</w:t>
      </w:r>
      <w:r w:rsidRPr="001042CC">
        <w:t xml:space="preserve"> obligation. </w:t>
      </w:r>
      <w:r>
        <w:t xml:space="preserve">This amendment would mean that the SG Charge would not be reduced if </w:t>
      </w:r>
      <w:r w:rsidR="003C39F3">
        <w:t>superannuation guarantee</w:t>
      </w:r>
      <w:r>
        <w:t xml:space="preserve"> contributions come from salary sacrifice amounts. </w:t>
      </w:r>
    </w:p>
    <w:p w14:paraId="2E5D1CFC" w14:textId="24209786" w:rsidR="00DF7716" w:rsidRDefault="00DF7716" w:rsidP="00220A5C">
      <w:pPr>
        <w:pStyle w:val="Heading3"/>
        <w:ind w:left="720" w:hanging="720"/>
        <w:jc w:val="both"/>
      </w:pPr>
      <w:r>
        <w:t xml:space="preserve">Reducing the </w:t>
      </w:r>
      <w:r w:rsidR="003C39F3">
        <w:t>superannuation guarantee</w:t>
      </w:r>
      <w:r>
        <w:t xml:space="preserve"> base</w:t>
      </w:r>
    </w:p>
    <w:p w14:paraId="452DB24F" w14:textId="5CCC657C" w:rsidR="00DF7716" w:rsidRDefault="00DF7716" w:rsidP="00220A5C">
      <w:pPr>
        <w:pStyle w:val="ListParagraph"/>
        <w:numPr>
          <w:ilvl w:val="1"/>
          <w:numId w:val="57"/>
        </w:numPr>
        <w:spacing w:line="360" w:lineRule="auto"/>
        <w:contextualSpacing w:val="0"/>
        <w:jc w:val="both"/>
      </w:pPr>
      <w:r>
        <w:t xml:space="preserve">Though not raised </w:t>
      </w:r>
      <w:r w:rsidR="00592E9C">
        <w:t>in</w:t>
      </w:r>
      <w:r>
        <w:t xml:space="preserve"> the </w:t>
      </w:r>
      <w:r w:rsidR="00EE4845">
        <w:t>ISA Report</w:t>
      </w:r>
      <w:r>
        <w:t xml:space="preserve">, salary sacrifice also reduces the base on which </w:t>
      </w:r>
      <w:r w:rsidR="003C39F3">
        <w:t>superannuation guarantee</w:t>
      </w:r>
      <w:r>
        <w:t xml:space="preserve"> contributions are calculated. In the example above</w:t>
      </w:r>
      <w:r w:rsidR="00FC1CAE">
        <w:t xml:space="preserve"> in paragraph </w:t>
      </w:r>
      <w:r w:rsidR="00A42E4C">
        <w:t>4</w:t>
      </w:r>
      <w:r w:rsidR="00FC1CAE">
        <w:t>.19</w:t>
      </w:r>
      <w:r>
        <w:t xml:space="preserve">, salary sacrifice reduces the </w:t>
      </w:r>
      <w:r w:rsidR="003C39F3">
        <w:t>superannuation guarantee</w:t>
      </w:r>
      <w:r>
        <w:t xml:space="preserve"> base to $90,500 and the </w:t>
      </w:r>
      <w:r w:rsidR="0034748A">
        <w:t xml:space="preserve">required </w:t>
      </w:r>
      <w:r w:rsidR="003C39F3">
        <w:t>superannuation guarantee</w:t>
      </w:r>
      <w:r>
        <w:t xml:space="preserve"> contribution </w:t>
      </w:r>
      <w:r w:rsidR="0034748A">
        <w:t>t</w:t>
      </w:r>
      <w:r>
        <w:t>o $8,598</w:t>
      </w:r>
      <w:r w:rsidR="00A42E4C">
        <w:t>.</w:t>
      </w:r>
      <w:r>
        <w:t xml:space="preserve"> Complaints to the ATO and Treasury show that this practice occurs, albeit in small numbers. If legislative change</w:t>
      </w:r>
      <w:r w:rsidR="0034748A">
        <w:t>s</w:t>
      </w:r>
      <w:r>
        <w:t xml:space="preserve"> w</w:t>
      </w:r>
      <w:r w:rsidR="0034748A">
        <w:t>ere</w:t>
      </w:r>
      <w:r>
        <w:t xml:space="preserve"> made to remedy the primary issue (the use of sacrificed amounts to satisfy an employer’s </w:t>
      </w:r>
      <w:r w:rsidR="003C39F3">
        <w:t>superannuation guarantee</w:t>
      </w:r>
      <w:r>
        <w:t xml:space="preserve"> obligation), it would be straightforward to extend this to address this base issue simultaneously.</w:t>
      </w:r>
    </w:p>
    <w:p w14:paraId="051E5479" w14:textId="4E76E6F6" w:rsidR="0034748A" w:rsidRDefault="0034748A" w:rsidP="00220A5C">
      <w:pPr>
        <w:pStyle w:val="ListParagraph"/>
        <w:numPr>
          <w:ilvl w:val="1"/>
          <w:numId w:val="57"/>
        </w:numPr>
        <w:spacing w:line="360" w:lineRule="auto"/>
        <w:contextualSpacing w:val="0"/>
        <w:jc w:val="both"/>
      </w:pPr>
      <w:r>
        <w:t>Essentially, both practices are inconsistent with the policy intention of the tax concession which is to encourage employees to save for their retirement</w:t>
      </w:r>
      <w:r w:rsidR="009D3585">
        <w:t>, and resolving these issues would reduce uncertainty and improve alignment between the SGAA and Fair Work Act.</w:t>
      </w:r>
    </w:p>
    <w:p w14:paraId="779B5C47" w14:textId="38D6AAA3" w:rsidR="00DF7716" w:rsidRDefault="00DF7716" w:rsidP="00AF60A5">
      <w:pPr>
        <w:pStyle w:val="Heading2"/>
      </w:pPr>
      <w:bookmarkStart w:id="167" w:name="_Toc472892812"/>
      <w:bookmarkStart w:id="168" w:name="_Toc473540255"/>
      <w:bookmarkStart w:id="169" w:name="_Toc473554638"/>
      <w:bookmarkStart w:id="170" w:name="_Toc473625456"/>
      <w:bookmarkStart w:id="171" w:name="_Toc473629887"/>
      <w:bookmarkStart w:id="172" w:name="_Toc473631179"/>
      <w:bookmarkStart w:id="173" w:name="_Toc473631473"/>
      <w:bookmarkStart w:id="174" w:name="_Toc473636597"/>
      <w:bookmarkStart w:id="175" w:name="_Toc473635315"/>
      <w:r w:rsidRPr="00827600">
        <w:rPr>
          <w:b/>
        </w:rPr>
        <w:t>ISA Recommendation 3:</w:t>
      </w:r>
      <w:r w:rsidRPr="0082507F">
        <w:t xml:space="preserve"> Facilitating collection of unpaid </w:t>
      </w:r>
      <w:r w:rsidR="003C39F3">
        <w:t>superannuation guarantee</w:t>
      </w:r>
      <w:r w:rsidRPr="0082507F">
        <w:t xml:space="preserve"> by superannuation funds directly</w:t>
      </w:r>
      <w:bookmarkEnd w:id="167"/>
      <w:bookmarkEnd w:id="168"/>
      <w:bookmarkEnd w:id="169"/>
      <w:bookmarkEnd w:id="170"/>
      <w:bookmarkEnd w:id="171"/>
      <w:bookmarkEnd w:id="172"/>
      <w:bookmarkEnd w:id="173"/>
      <w:bookmarkEnd w:id="174"/>
      <w:bookmarkEnd w:id="175"/>
    </w:p>
    <w:p w14:paraId="1E300416" w14:textId="77777777" w:rsidR="00DF7716" w:rsidRPr="00A542A7" w:rsidRDefault="00DF7716" w:rsidP="00220A5C">
      <w:pPr>
        <w:jc w:val="both"/>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71E59A78"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33196FDF" w14:textId="77777777" w:rsidR="00DF7716" w:rsidRPr="000076A6" w:rsidRDefault="00DF7716">
            <w:pPr>
              <w:spacing w:before="120" w:after="120"/>
              <w:jc w:val="both"/>
              <w:rPr>
                <w:b/>
                <w:sz w:val="20"/>
              </w:rPr>
            </w:pPr>
            <w:r w:rsidRPr="000076A6">
              <w:rPr>
                <w:b/>
                <w:sz w:val="20"/>
              </w:rPr>
              <w:t>Key Points</w:t>
            </w:r>
          </w:p>
        </w:tc>
      </w:tr>
      <w:tr w:rsidR="00DF7716" w:rsidRPr="000076A6" w14:paraId="2B61D97B"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657B3349" w14:textId="1E5CFB6B" w:rsidR="00DF7716" w:rsidRDefault="00DF7716">
            <w:pPr>
              <w:pStyle w:val="Bullet"/>
              <w:spacing w:before="120" w:after="120"/>
              <w:rPr>
                <w:sz w:val="20"/>
              </w:rPr>
            </w:pPr>
            <w:r>
              <w:rPr>
                <w:sz w:val="20"/>
              </w:rPr>
              <w:t xml:space="preserve">Funds do not have sufficient information to identify, monitor and recover unpaid </w:t>
            </w:r>
            <w:r w:rsidR="003C39F3">
              <w:rPr>
                <w:sz w:val="20"/>
              </w:rPr>
              <w:t>superannuation guarantee</w:t>
            </w:r>
            <w:r>
              <w:rPr>
                <w:sz w:val="20"/>
              </w:rPr>
              <w:t xml:space="preserve">. </w:t>
            </w:r>
          </w:p>
          <w:p w14:paraId="426B59D3" w14:textId="77777777" w:rsidR="00DF7716" w:rsidRPr="000076A6" w:rsidRDefault="00DF7716">
            <w:pPr>
              <w:pStyle w:val="Bullet"/>
              <w:spacing w:before="120" w:after="120"/>
              <w:rPr>
                <w:sz w:val="20"/>
              </w:rPr>
            </w:pPr>
            <w:r>
              <w:rPr>
                <w:sz w:val="20"/>
              </w:rPr>
              <w:t>However, funds may be well</w:t>
            </w:r>
            <w:r w:rsidR="00CA242B">
              <w:rPr>
                <w:sz w:val="20"/>
              </w:rPr>
              <w:noBreakHyphen/>
            </w:r>
            <w:r>
              <w:rPr>
                <w:sz w:val="20"/>
              </w:rPr>
              <w:t>placed to provide information to the ATO if employer contributions become irregular or cease.</w:t>
            </w:r>
          </w:p>
        </w:tc>
      </w:tr>
    </w:tbl>
    <w:p w14:paraId="63E117C0" w14:textId="635A540B" w:rsidR="00DF7716" w:rsidRDefault="00DF7716" w:rsidP="003D5FC5">
      <w:pPr>
        <w:pStyle w:val="ListParagraph"/>
        <w:numPr>
          <w:ilvl w:val="1"/>
          <w:numId w:val="57"/>
        </w:numPr>
        <w:spacing w:line="360" w:lineRule="auto"/>
        <w:contextualSpacing w:val="0"/>
        <w:jc w:val="both"/>
      </w:pPr>
      <w:r w:rsidRPr="001042CC">
        <w:t xml:space="preserve">The </w:t>
      </w:r>
      <w:r w:rsidR="00EE4845">
        <w:t>ISA Report</w:t>
      </w:r>
      <w:r w:rsidRPr="001042CC">
        <w:t xml:space="preserve"> asserts that superannuation funds are best placed to recover unpaid </w:t>
      </w:r>
      <w:r w:rsidR="003C39F3">
        <w:t>superannuation guarantee</w:t>
      </w:r>
      <w:r w:rsidRPr="001042CC">
        <w:t xml:space="preserve"> on behalf of their members but do not </w:t>
      </w:r>
      <w:r>
        <w:t>currently</w:t>
      </w:r>
      <w:r w:rsidRPr="001042CC">
        <w:t xml:space="preserve"> have a mechanism for doing so. </w:t>
      </w:r>
      <w:r>
        <w:t xml:space="preserve">Some industry funds have contractual agreements with employers that enable them to recover unpaid superannuation. </w:t>
      </w:r>
      <w:r w:rsidR="003D5FC5">
        <w:t xml:space="preserve">The </w:t>
      </w:r>
      <w:r>
        <w:t>proposal suggests that all funds should adopt an enforcement role</w:t>
      </w:r>
      <w:r w:rsidR="003D5FC5">
        <w:t>, though it is not clear from the ISA report how this would operate in practice</w:t>
      </w:r>
      <w:r w:rsidR="009B5DA7">
        <w:t xml:space="preserve"> or who would ultimately bear the cost of collection activities</w:t>
      </w:r>
      <w:r w:rsidR="003D5FC5">
        <w:t>.</w:t>
      </w:r>
    </w:p>
    <w:p w14:paraId="4D59194F" w14:textId="1B5717EB" w:rsidR="00DF7716" w:rsidRDefault="003D5FC5" w:rsidP="003D5FC5">
      <w:pPr>
        <w:pStyle w:val="ListParagraph"/>
        <w:numPr>
          <w:ilvl w:val="1"/>
          <w:numId w:val="57"/>
        </w:numPr>
        <w:spacing w:line="360" w:lineRule="auto"/>
        <w:contextualSpacing w:val="0"/>
        <w:jc w:val="both"/>
      </w:pPr>
      <w:r>
        <w:t xml:space="preserve">Mandating </w:t>
      </w:r>
      <w:r w:rsidR="003C39F3">
        <w:t>superannuation guarantee</w:t>
      </w:r>
      <w:r w:rsidR="001D21F1">
        <w:t xml:space="preserve"> enforcement by superannuation funds is problematic </w:t>
      </w:r>
      <w:r w:rsidR="0004437D">
        <w:t>because</w:t>
      </w:r>
      <w:r>
        <w:t xml:space="preserve"> </w:t>
      </w:r>
      <w:r w:rsidR="00DF7716">
        <w:t>the SG Charge</w:t>
      </w:r>
      <w:r>
        <w:t xml:space="preserve"> is</w:t>
      </w:r>
      <w:r w:rsidR="00DF7716">
        <w:t xml:space="preserve"> a tax debt to the Commonwealth. This debt can only be pursued by the Commonwealth</w:t>
      </w:r>
      <w:r>
        <w:t>. E</w:t>
      </w:r>
      <w:r w:rsidR="00DF7716">
        <w:t>ven if it were possible</w:t>
      </w:r>
      <w:r>
        <w:t xml:space="preserve"> to change this architecture</w:t>
      </w:r>
      <w:r w:rsidR="00DF7716">
        <w:t>,</w:t>
      </w:r>
      <w:r>
        <w:t xml:space="preserve"> it</w:t>
      </w:r>
      <w:r w:rsidR="00DF7716">
        <w:t xml:space="preserve"> would represent a duplication of </w:t>
      </w:r>
      <w:r w:rsidR="00DF7716" w:rsidRPr="001042CC">
        <w:t xml:space="preserve">the ATO’s </w:t>
      </w:r>
      <w:r w:rsidR="00DF7716">
        <w:t>existing compliance activities.</w:t>
      </w:r>
      <w:r w:rsidR="00DF7716" w:rsidRPr="00F06478">
        <w:rPr>
          <w:vertAlign w:val="superscript"/>
        </w:rPr>
        <w:footnoteReference w:id="12"/>
      </w:r>
    </w:p>
    <w:p w14:paraId="6E2CCF80" w14:textId="075C6899" w:rsidR="001D21F1" w:rsidRDefault="00953C3F" w:rsidP="00F06478">
      <w:pPr>
        <w:pStyle w:val="ListParagraph"/>
        <w:numPr>
          <w:ilvl w:val="1"/>
          <w:numId w:val="57"/>
        </w:numPr>
        <w:spacing w:line="360" w:lineRule="auto"/>
        <w:contextualSpacing w:val="0"/>
        <w:jc w:val="both"/>
      </w:pPr>
      <w:r>
        <w:t>Further</w:t>
      </w:r>
      <w:r w:rsidR="00DF7716">
        <w:t xml:space="preserve">, </w:t>
      </w:r>
      <w:r w:rsidR="003D5FC5">
        <w:t xml:space="preserve">as </w:t>
      </w:r>
      <w:r w:rsidR="00DF7716">
        <w:t xml:space="preserve">superannuation funds do not know </w:t>
      </w:r>
      <w:r w:rsidR="003D5FC5">
        <w:t xml:space="preserve">their </w:t>
      </w:r>
      <w:r w:rsidR="00DF7716">
        <w:t>member’s ordinary time earnings (OTE)</w:t>
      </w:r>
      <w:r w:rsidR="003D5FC5">
        <w:t xml:space="preserve">, they do not know whether or how much </w:t>
      </w:r>
      <w:r w:rsidR="003C39F3">
        <w:t>superannuation guarantee</w:t>
      </w:r>
      <w:r w:rsidR="003D5FC5">
        <w:t xml:space="preserve"> an employer should contribute</w:t>
      </w:r>
      <w:r w:rsidR="00DF7716">
        <w:t xml:space="preserve">. Without this information, funds’ attempts at collection of unpaid </w:t>
      </w:r>
      <w:r w:rsidR="003C39F3">
        <w:t>superannuation guarantee</w:t>
      </w:r>
      <w:r w:rsidR="00DF7716">
        <w:t xml:space="preserve"> would be inefficient and fraught with error. Alternatively, requiring employers to provide funds this information would raise serious privacy concerns and increase </w:t>
      </w:r>
      <w:r w:rsidR="00DF7716" w:rsidRPr="001042CC">
        <w:t>the regulatory burden on employers</w:t>
      </w:r>
      <w:r w:rsidR="00DF7716">
        <w:t xml:space="preserve">. </w:t>
      </w:r>
    </w:p>
    <w:p w14:paraId="63C474EC" w14:textId="77777777" w:rsidR="00094056" w:rsidRDefault="009C7DDC" w:rsidP="00D15BB1">
      <w:pPr>
        <w:pStyle w:val="ListParagraph"/>
        <w:numPr>
          <w:ilvl w:val="1"/>
          <w:numId w:val="57"/>
        </w:numPr>
        <w:spacing w:line="360" w:lineRule="auto"/>
        <w:contextualSpacing w:val="0"/>
        <w:jc w:val="both"/>
      </w:pPr>
      <w:r>
        <w:t xml:space="preserve">The ISA position reflects the fact that funds are the first to become aware when employers have not made payments. </w:t>
      </w:r>
      <w:r w:rsidR="009E4BF0">
        <w:t xml:space="preserve">Rather than enforcement, </w:t>
      </w:r>
      <w:r w:rsidR="00F51DAF">
        <w:t xml:space="preserve">superannuation funds could use their observations of employer and employee behaviour (payments and engagement levels respectively) to build enhanced relationship management models, </w:t>
      </w:r>
      <w:r w:rsidR="0034748A">
        <w:t xml:space="preserve">adopt </w:t>
      </w:r>
      <w:r w:rsidR="00F51DAF">
        <w:t xml:space="preserve">‘nudge’ strategies or </w:t>
      </w:r>
      <w:r w:rsidR="0034748A">
        <w:t xml:space="preserve">make </w:t>
      </w:r>
      <w:r w:rsidR="00F51DAF">
        <w:t xml:space="preserve">referrals to the ATO.  </w:t>
      </w:r>
      <w:r w:rsidR="009E4BF0">
        <w:t>C</w:t>
      </w:r>
      <w:r w:rsidR="003D5FC5">
        <w:t xml:space="preserve">urrently, the ATO receives very few referrals of this nature from superannuation funds. </w:t>
      </w:r>
    </w:p>
    <w:p w14:paraId="629D9F88" w14:textId="3E841EF0" w:rsidR="00D15BB1" w:rsidRDefault="00953C3F" w:rsidP="00D15BB1">
      <w:pPr>
        <w:pStyle w:val="ListParagraph"/>
        <w:numPr>
          <w:ilvl w:val="1"/>
          <w:numId w:val="57"/>
        </w:numPr>
        <w:spacing w:line="360" w:lineRule="auto"/>
        <w:contextualSpacing w:val="0"/>
        <w:jc w:val="both"/>
      </w:pPr>
      <w:r w:rsidRPr="00512677">
        <w:t xml:space="preserve">Further work </w:t>
      </w:r>
      <w:r w:rsidR="008269EE">
        <w:t>is</w:t>
      </w:r>
      <w:r w:rsidRPr="00512677">
        <w:t xml:space="preserve"> needed to </w:t>
      </w:r>
      <w:r w:rsidR="008269EE">
        <w:t>examine this recommendation further</w:t>
      </w:r>
      <w:r w:rsidRPr="00512677">
        <w:t>, considering what, if any, obligations are appropriate to give to funds and the compliance costs they involve.</w:t>
      </w:r>
      <w:r w:rsidR="00D15BB1" w:rsidRPr="00D15BB1">
        <w:t xml:space="preserve"> </w:t>
      </w:r>
      <w:r w:rsidR="00D15BB1">
        <w:t xml:space="preserve">It is likely such a proposal would be opposed by a number of funds, particularly from the retail sector. </w:t>
      </w:r>
    </w:p>
    <w:p w14:paraId="76C77222" w14:textId="77777777" w:rsidR="00DF7716" w:rsidRDefault="00DF7716" w:rsidP="00AF60A5">
      <w:pPr>
        <w:pStyle w:val="Heading2"/>
      </w:pPr>
      <w:bookmarkStart w:id="176" w:name="_Toc472892813"/>
      <w:bookmarkStart w:id="177" w:name="_Toc473540256"/>
      <w:bookmarkStart w:id="178" w:name="_Toc473554639"/>
      <w:bookmarkStart w:id="179" w:name="_Toc473625457"/>
      <w:bookmarkStart w:id="180" w:name="_Toc473629888"/>
      <w:bookmarkStart w:id="181" w:name="_Toc473631180"/>
      <w:bookmarkStart w:id="182" w:name="_Toc473631474"/>
      <w:bookmarkStart w:id="183" w:name="_Toc473636598"/>
      <w:bookmarkStart w:id="184" w:name="_Toc473635316"/>
      <w:r w:rsidRPr="00827600">
        <w:rPr>
          <w:b/>
        </w:rPr>
        <w:t>ISA Recommendation 4:</w:t>
      </w:r>
      <w:r w:rsidRPr="000014EE">
        <w:t xml:space="preserve"> Measuring and reporting on the extent of the problem</w:t>
      </w:r>
      <w:bookmarkEnd w:id="176"/>
      <w:bookmarkEnd w:id="177"/>
      <w:bookmarkEnd w:id="178"/>
      <w:bookmarkEnd w:id="179"/>
      <w:bookmarkEnd w:id="180"/>
      <w:bookmarkEnd w:id="181"/>
      <w:bookmarkEnd w:id="182"/>
      <w:bookmarkEnd w:id="183"/>
      <w:bookmarkEnd w:id="184"/>
    </w:p>
    <w:p w14:paraId="5C726854" w14:textId="77777777" w:rsidR="00DF7716" w:rsidRPr="00A542A7" w:rsidRDefault="00DF7716" w:rsidP="00F06478">
      <w:pPr>
        <w:jc w:val="both"/>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5FCFFE81"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2C194099" w14:textId="77777777" w:rsidR="00DF7716" w:rsidRPr="000076A6" w:rsidRDefault="00DF7716">
            <w:pPr>
              <w:spacing w:before="120" w:after="120"/>
              <w:jc w:val="both"/>
              <w:rPr>
                <w:b/>
                <w:sz w:val="20"/>
              </w:rPr>
            </w:pPr>
            <w:r w:rsidRPr="000076A6">
              <w:rPr>
                <w:b/>
                <w:sz w:val="20"/>
              </w:rPr>
              <w:t>Key Points</w:t>
            </w:r>
          </w:p>
        </w:tc>
      </w:tr>
      <w:tr w:rsidR="00DF7716" w:rsidRPr="000076A6" w14:paraId="60947894"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087DE3AF" w14:textId="6DA3C1BD" w:rsidR="00311D6D" w:rsidRPr="0034748A" w:rsidRDefault="00311D6D" w:rsidP="0041411C">
            <w:pPr>
              <w:pStyle w:val="Bullet"/>
              <w:spacing w:before="120" w:after="120"/>
              <w:rPr>
                <w:sz w:val="20"/>
              </w:rPr>
            </w:pPr>
            <w:r>
              <w:rPr>
                <w:sz w:val="20"/>
              </w:rPr>
              <w:t xml:space="preserve">The ATO is </w:t>
            </w:r>
            <w:r w:rsidR="00781C68">
              <w:rPr>
                <w:sz w:val="20"/>
              </w:rPr>
              <w:t xml:space="preserve">committed to </w:t>
            </w:r>
            <w:r>
              <w:rPr>
                <w:sz w:val="20"/>
              </w:rPr>
              <w:t xml:space="preserve">developing its ‘top down’ estimate of the </w:t>
            </w:r>
            <w:r w:rsidR="0041411C">
              <w:rPr>
                <w:sz w:val="20"/>
              </w:rPr>
              <w:t xml:space="preserve">superannuation guarantee </w:t>
            </w:r>
            <w:r>
              <w:rPr>
                <w:sz w:val="20"/>
              </w:rPr>
              <w:t>‘gap’</w:t>
            </w:r>
            <w:r w:rsidR="0034748A">
              <w:rPr>
                <w:sz w:val="20"/>
              </w:rPr>
              <w:t xml:space="preserve">. It is </w:t>
            </w:r>
            <w:r>
              <w:rPr>
                <w:sz w:val="20"/>
              </w:rPr>
              <w:t xml:space="preserve">working with a panel of experts to improve its </w:t>
            </w:r>
            <w:r w:rsidR="00DF7716">
              <w:rPr>
                <w:sz w:val="20"/>
              </w:rPr>
              <w:t>credib</w:t>
            </w:r>
            <w:r>
              <w:rPr>
                <w:sz w:val="20"/>
              </w:rPr>
              <w:t xml:space="preserve">ility </w:t>
            </w:r>
            <w:r w:rsidR="00DF7716">
              <w:rPr>
                <w:sz w:val="20"/>
              </w:rPr>
              <w:t>and reliab</w:t>
            </w:r>
            <w:r>
              <w:rPr>
                <w:sz w:val="20"/>
              </w:rPr>
              <w:t xml:space="preserve">ility to ensure it </w:t>
            </w:r>
            <w:r w:rsidR="00DF7716">
              <w:rPr>
                <w:sz w:val="20"/>
              </w:rPr>
              <w:t>contribute</w:t>
            </w:r>
            <w:r>
              <w:rPr>
                <w:sz w:val="20"/>
              </w:rPr>
              <w:t>s</w:t>
            </w:r>
            <w:r w:rsidR="00DF7716">
              <w:rPr>
                <w:sz w:val="20"/>
              </w:rPr>
              <w:t xml:space="preserve"> constructively to public discourse. </w:t>
            </w:r>
          </w:p>
        </w:tc>
      </w:tr>
    </w:tbl>
    <w:p w14:paraId="3AE2B4F6" w14:textId="301F4412" w:rsidR="00DF7716" w:rsidRDefault="00DF7716" w:rsidP="00F06478">
      <w:pPr>
        <w:pStyle w:val="ListParagraph"/>
        <w:numPr>
          <w:ilvl w:val="1"/>
          <w:numId w:val="57"/>
        </w:numPr>
        <w:spacing w:line="360" w:lineRule="auto"/>
        <w:contextualSpacing w:val="0"/>
        <w:jc w:val="both"/>
      </w:pPr>
      <w:r>
        <w:t xml:space="preserve">The </w:t>
      </w:r>
      <w:r w:rsidR="00EE4845">
        <w:t>ISA Report</w:t>
      </w:r>
      <w:r w:rsidRPr="001042CC">
        <w:t xml:space="preserve"> recommends improved measuring and reporting on the extent of </w:t>
      </w:r>
      <w:r w:rsidR="003C39F3">
        <w:t>superannuation guarantee</w:t>
      </w:r>
      <w:r w:rsidRPr="001042CC">
        <w:t xml:space="preserve"> non</w:t>
      </w:r>
      <w:r w:rsidR="00CA242B">
        <w:noBreakHyphen/>
      </w:r>
      <w:r w:rsidRPr="001042CC">
        <w:t xml:space="preserve">compliance. </w:t>
      </w:r>
      <w:r w:rsidR="00311D6D">
        <w:t>M</w:t>
      </w:r>
      <w:r w:rsidRPr="001042CC">
        <w:t xml:space="preserve">easurement and </w:t>
      </w:r>
      <w:r>
        <w:t xml:space="preserve">public </w:t>
      </w:r>
      <w:r w:rsidRPr="001042CC">
        <w:t xml:space="preserve">reporting of unpaid </w:t>
      </w:r>
      <w:r w:rsidR="003C39F3">
        <w:t>superannuation guarantee</w:t>
      </w:r>
      <w:r w:rsidRPr="001042CC">
        <w:t xml:space="preserve"> </w:t>
      </w:r>
      <w:r>
        <w:t>would in</w:t>
      </w:r>
      <w:r w:rsidRPr="001042CC">
        <w:t>crease</w:t>
      </w:r>
      <w:r>
        <w:t xml:space="preserve"> transparency, arguably contributing constructively to public discourse</w:t>
      </w:r>
      <w:r w:rsidRPr="001042CC">
        <w:t xml:space="preserve">. </w:t>
      </w:r>
    </w:p>
    <w:p w14:paraId="26450A20" w14:textId="5760C562" w:rsidR="0089302F" w:rsidRDefault="00E81123" w:rsidP="00F06478">
      <w:pPr>
        <w:pStyle w:val="ListParagraph"/>
        <w:numPr>
          <w:ilvl w:val="1"/>
          <w:numId w:val="57"/>
        </w:numPr>
        <w:spacing w:line="360" w:lineRule="auto"/>
        <w:contextualSpacing w:val="0"/>
        <w:jc w:val="both"/>
      </w:pPr>
      <w:r>
        <w:t>As noted throughout this report</w:t>
      </w:r>
      <w:r w:rsidR="00DF7716">
        <w:t>,</w:t>
      </w:r>
      <w:r w:rsidRPr="00E81123">
        <w:t xml:space="preserve"> </w:t>
      </w:r>
      <w:r>
        <w:t>c</w:t>
      </w:r>
      <w:r w:rsidRPr="001042CC">
        <w:t xml:space="preserve">urrently the ATO only collects reliable data on total wages </w:t>
      </w:r>
      <w:r w:rsidRPr="001F6381">
        <w:t>and not OTE; the</w:t>
      </w:r>
      <w:r w:rsidRPr="001042CC">
        <w:t xml:space="preserve"> earnings on which </w:t>
      </w:r>
      <w:r w:rsidR="003C39F3">
        <w:t>superannuation guarantee</w:t>
      </w:r>
      <w:r w:rsidRPr="001042CC">
        <w:t xml:space="preserve"> is payable</w:t>
      </w:r>
      <w:r>
        <w:t>. I</w:t>
      </w:r>
      <w:r w:rsidR="00DF7716" w:rsidRPr="001042CC">
        <w:t xml:space="preserve">mproved reporting on unpaid </w:t>
      </w:r>
      <w:r w:rsidR="003C39F3">
        <w:t>superannuation guarantee</w:t>
      </w:r>
      <w:r w:rsidR="00DF7716" w:rsidRPr="001042CC">
        <w:t xml:space="preserve"> would require </w:t>
      </w:r>
      <w:r w:rsidR="00D15BB1">
        <w:t xml:space="preserve">more comprehensive </w:t>
      </w:r>
      <w:r w:rsidR="00DF7716" w:rsidRPr="001042CC">
        <w:t>data collection</w:t>
      </w:r>
      <w:r w:rsidR="0089302F">
        <w:t xml:space="preserve"> than is currently available</w:t>
      </w:r>
      <w:r w:rsidR="00DF7716" w:rsidRPr="001042CC">
        <w:t xml:space="preserve">. </w:t>
      </w:r>
      <w:r w:rsidR="00DF7716">
        <w:t xml:space="preserve"> </w:t>
      </w:r>
    </w:p>
    <w:p w14:paraId="41A22F6A" w14:textId="66B89F62" w:rsidR="0089302F" w:rsidRDefault="0089302F" w:rsidP="0089302F">
      <w:pPr>
        <w:pStyle w:val="ListParagraph"/>
        <w:numPr>
          <w:ilvl w:val="1"/>
          <w:numId w:val="57"/>
        </w:numPr>
        <w:spacing w:line="360" w:lineRule="auto"/>
        <w:contextualSpacing w:val="0"/>
        <w:jc w:val="both"/>
      </w:pPr>
      <w:r>
        <w:t xml:space="preserve">Information about the ATO’s Tax Gap Research Program can be found </w:t>
      </w:r>
      <w:r w:rsidR="0094100C">
        <w:t>above</w:t>
      </w:r>
      <w:r w:rsidRPr="0094100C">
        <w:t>.</w:t>
      </w:r>
      <w:r>
        <w:t xml:space="preserve"> </w:t>
      </w:r>
      <w:r w:rsidR="0034748A">
        <w:t xml:space="preserve">Such </w:t>
      </w:r>
      <w:r w:rsidR="00A93E8E">
        <w:t xml:space="preserve">‘top down’ </w:t>
      </w:r>
      <w:r w:rsidR="0034748A">
        <w:t>e</w:t>
      </w:r>
      <w:r w:rsidR="003F166A">
        <w:t xml:space="preserve">stimates </w:t>
      </w:r>
      <w:r>
        <w:t>of aggr</w:t>
      </w:r>
      <w:r w:rsidR="00D15BB1">
        <w:t>e</w:t>
      </w:r>
      <w:r>
        <w:t xml:space="preserve">gate </w:t>
      </w:r>
      <w:r w:rsidR="003C39F3">
        <w:t>superannuation guarantee</w:t>
      </w:r>
      <w:r>
        <w:t xml:space="preserve"> non</w:t>
      </w:r>
      <w:r>
        <w:noBreakHyphen/>
        <w:t xml:space="preserve">compliance </w:t>
      </w:r>
      <w:r w:rsidR="00311D6D">
        <w:t>do</w:t>
      </w:r>
      <w:r>
        <w:t xml:space="preserve"> not </w:t>
      </w:r>
      <w:r w:rsidR="003F166A">
        <w:t xml:space="preserve">directly contribute </w:t>
      </w:r>
      <w:r>
        <w:t xml:space="preserve">to a compliance program. The ATO already conducts extensive data and risk analysis for this purpose. </w:t>
      </w:r>
    </w:p>
    <w:p w14:paraId="0B7FBD68" w14:textId="53C75548" w:rsidR="00DF7716" w:rsidRDefault="00DF7716" w:rsidP="00AF60A5">
      <w:pPr>
        <w:pStyle w:val="Heading2"/>
      </w:pPr>
      <w:bookmarkStart w:id="185" w:name="_Toc473625458"/>
      <w:bookmarkStart w:id="186" w:name="_Toc473629889"/>
      <w:bookmarkStart w:id="187" w:name="_Toc472892814"/>
      <w:bookmarkStart w:id="188" w:name="_Toc473540257"/>
      <w:bookmarkStart w:id="189" w:name="_Toc473554640"/>
      <w:bookmarkStart w:id="190" w:name="_Toc473631181"/>
      <w:bookmarkStart w:id="191" w:name="_Toc473631475"/>
      <w:bookmarkStart w:id="192" w:name="_Toc473636599"/>
      <w:bookmarkStart w:id="193" w:name="_Toc473635317"/>
      <w:r w:rsidRPr="00827600">
        <w:rPr>
          <w:b/>
        </w:rPr>
        <w:t>ISA Recommendation 5:</w:t>
      </w:r>
      <w:r>
        <w:t xml:space="preserve"> </w:t>
      </w:r>
      <w:r w:rsidRPr="001042CC">
        <w:t xml:space="preserve">Increase ability of regulators to recover unpaid </w:t>
      </w:r>
      <w:r w:rsidR="003C39F3">
        <w:t>superannuation guarantee</w:t>
      </w:r>
      <w:bookmarkEnd w:id="185"/>
      <w:bookmarkEnd w:id="186"/>
      <w:bookmarkEnd w:id="187"/>
      <w:bookmarkEnd w:id="188"/>
      <w:bookmarkEnd w:id="189"/>
      <w:bookmarkEnd w:id="190"/>
      <w:bookmarkEnd w:id="191"/>
      <w:bookmarkEnd w:id="192"/>
      <w:bookmarkEnd w:id="193"/>
    </w:p>
    <w:p w14:paraId="3E9207D6" w14:textId="77777777" w:rsidR="00DF7716" w:rsidRPr="00A542A7" w:rsidRDefault="00DF7716" w:rsidP="00F06478">
      <w:pPr>
        <w:jc w:val="both"/>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4EBB9D34"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03437A68" w14:textId="77777777" w:rsidR="00DF7716" w:rsidRPr="000076A6" w:rsidRDefault="00DF7716">
            <w:pPr>
              <w:spacing w:before="120" w:after="120"/>
              <w:jc w:val="both"/>
              <w:rPr>
                <w:b/>
                <w:sz w:val="20"/>
              </w:rPr>
            </w:pPr>
            <w:r w:rsidRPr="000076A6">
              <w:rPr>
                <w:b/>
                <w:sz w:val="20"/>
              </w:rPr>
              <w:t>Key Points</w:t>
            </w:r>
          </w:p>
        </w:tc>
      </w:tr>
      <w:tr w:rsidR="00DF7716" w:rsidRPr="000076A6" w14:paraId="06FC79B0"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0E8AC14B" w14:textId="03A14C51" w:rsidR="00FF3453" w:rsidRDefault="00E163C2" w:rsidP="00FF3453">
            <w:pPr>
              <w:pStyle w:val="Bullet"/>
              <w:spacing w:before="120" w:after="120"/>
              <w:rPr>
                <w:rFonts w:ascii="Arial" w:eastAsia="Arial" w:hAnsi="Arial" w:cs="Times New Roman"/>
                <w:color w:val="000000"/>
                <w:sz w:val="20"/>
              </w:rPr>
            </w:pPr>
            <w:r>
              <w:rPr>
                <w:sz w:val="20"/>
              </w:rPr>
              <w:t xml:space="preserve">The ATO has around 500 staff working on </w:t>
            </w:r>
            <w:r w:rsidR="003C39F3" w:rsidRPr="00CD678D">
              <w:rPr>
                <w:sz w:val="20"/>
              </w:rPr>
              <w:t>superannuation guarantee</w:t>
            </w:r>
            <w:r w:rsidR="003C39F3" w:rsidDel="003C39F3">
              <w:rPr>
                <w:sz w:val="20"/>
              </w:rPr>
              <w:t xml:space="preserve"> </w:t>
            </w:r>
            <w:r w:rsidR="00BA399B">
              <w:rPr>
                <w:sz w:val="20"/>
              </w:rPr>
              <w:t>compliance</w:t>
            </w:r>
            <w:r>
              <w:rPr>
                <w:sz w:val="20"/>
              </w:rPr>
              <w:t xml:space="preserve">.  </w:t>
            </w:r>
            <w:r w:rsidR="00FF3453">
              <w:rPr>
                <w:sz w:val="20"/>
              </w:rPr>
              <w:t xml:space="preserve">Increased ATO </w:t>
            </w:r>
            <w:r>
              <w:rPr>
                <w:sz w:val="20"/>
              </w:rPr>
              <w:t xml:space="preserve">staffing would need to be considered in parallel with systemic changes </w:t>
            </w:r>
            <w:r w:rsidR="00FF3453">
              <w:rPr>
                <w:sz w:val="20"/>
              </w:rPr>
              <w:t xml:space="preserve">(such as timeliness of data and collection mechanisms). </w:t>
            </w:r>
          </w:p>
          <w:p w14:paraId="7C2605DA" w14:textId="4DF18CA7" w:rsidR="00FF3453" w:rsidRPr="00CD678D" w:rsidRDefault="00FF3453">
            <w:pPr>
              <w:pStyle w:val="Bullet"/>
            </w:pPr>
            <w:r w:rsidRPr="00CD678D">
              <w:rPr>
                <w:sz w:val="20"/>
              </w:rPr>
              <w:t xml:space="preserve">Many </w:t>
            </w:r>
            <w:r w:rsidR="003C39F3">
              <w:rPr>
                <w:sz w:val="20"/>
              </w:rPr>
              <w:t>superannuation guarantee</w:t>
            </w:r>
            <w:r w:rsidR="003C39F3" w:rsidRPr="00CD678D">
              <w:rPr>
                <w:sz w:val="20"/>
              </w:rPr>
              <w:t xml:space="preserve"> </w:t>
            </w:r>
            <w:r w:rsidRPr="00CD678D">
              <w:rPr>
                <w:sz w:val="20"/>
              </w:rPr>
              <w:t xml:space="preserve">debts are not collected as they are </w:t>
            </w:r>
            <w:r w:rsidR="003F37DE" w:rsidRPr="00CD678D">
              <w:rPr>
                <w:sz w:val="20"/>
              </w:rPr>
              <w:t>irrecoverable due to insolvency</w:t>
            </w:r>
            <w:r w:rsidR="00BA14D1" w:rsidRPr="00CD678D">
              <w:rPr>
                <w:sz w:val="20"/>
              </w:rPr>
              <w:t xml:space="preserve"> </w:t>
            </w:r>
            <w:r w:rsidR="003D1480">
              <w:rPr>
                <w:sz w:val="20"/>
              </w:rPr>
              <w:t>or highly costly to pursue</w:t>
            </w:r>
            <w:r w:rsidR="00BA14D1" w:rsidRPr="00CD678D">
              <w:rPr>
                <w:sz w:val="20"/>
              </w:rPr>
              <w:t>.</w:t>
            </w:r>
            <w:r w:rsidRPr="00CD678D">
              <w:rPr>
                <w:sz w:val="20"/>
              </w:rPr>
              <w:t xml:space="preserve"> </w:t>
            </w:r>
          </w:p>
          <w:p w14:paraId="59BB7175" w14:textId="47486BD6" w:rsidR="00014619" w:rsidRPr="00A016C5" w:rsidRDefault="00FF3453" w:rsidP="003C39F3">
            <w:pPr>
              <w:pStyle w:val="Bullet"/>
              <w:spacing w:before="120" w:after="120"/>
              <w:rPr>
                <w:rFonts w:ascii="Arial" w:eastAsia="Arial" w:hAnsi="Arial" w:cs="Times New Roman"/>
                <w:color w:val="000000"/>
                <w:sz w:val="20"/>
              </w:rPr>
            </w:pPr>
            <w:r w:rsidRPr="00014619">
              <w:rPr>
                <w:rFonts w:eastAsiaTheme="minorHAnsi"/>
                <w:sz w:val="20"/>
              </w:rPr>
              <w:t xml:space="preserve">Expanding the role of the FWO in </w:t>
            </w:r>
            <w:r w:rsidR="003C39F3">
              <w:rPr>
                <w:rFonts w:eastAsiaTheme="minorHAnsi"/>
                <w:sz w:val="20"/>
              </w:rPr>
              <w:t>superannuation guarantee</w:t>
            </w:r>
            <w:r w:rsidR="003C39F3" w:rsidRPr="00014619">
              <w:rPr>
                <w:rFonts w:eastAsiaTheme="minorHAnsi"/>
                <w:sz w:val="20"/>
              </w:rPr>
              <w:t xml:space="preserve"> </w:t>
            </w:r>
            <w:r w:rsidRPr="00014619">
              <w:rPr>
                <w:rFonts w:eastAsiaTheme="minorHAnsi"/>
                <w:sz w:val="20"/>
              </w:rPr>
              <w:t xml:space="preserve">compliance </w:t>
            </w:r>
            <w:r w:rsidR="00E163C2" w:rsidRPr="00014619">
              <w:rPr>
                <w:rFonts w:eastAsiaTheme="minorHAnsi"/>
                <w:sz w:val="20"/>
              </w:rPr>
              <w:t xml:space="preserve">could </w:t>
            </w:r>
            <w:r w:rsidRPr="00014619">
              <w:rPr>
                <w:rFonts w:eastAsiaTheme="minorHAnsi"/>
                <w:sz w:val="20"/>
              </w:rPr>
              <w:t>duplicate work conducted by the ATO</w:t>
            </w:r>
            <w:r w:rsidR="00D15BB1" w:rsidRPr="00014619">
              <w:rPr>
                <w:rFonts w:eastAsiaTheme="minorHAnsi"/>
                <w:sz w:val="20"/>
              </w:rPr>
              <w:t>.</w:t>
            </w:r>
            <w:r w:rsidR="00014619" w:rsidRPr="00424CE3">
              <w:rPr>
                <w:rFonts w:eastAsiaTheme="minorHAnsi"/>
                <w:sz w:val="20"/>
              </w:rPr>
              <w:t xml:space="preserve"> For example, </w:t>
            </w:r>
            <w:r w:rsidR="00014619">
              <w:rPr>
                <w:rFonts w:eastAsiaTheme="minorHAnsi"/>
                <w:sz w:val="20"/>
              </w:rPr>
              <w:t>p</w:t>
            </w:r>
            <w:r w:rsidR="00014619" w:rsidRPr="00014619">
              <w:rPr>
                <w:sz w:val="20"/>
              </w:rPr>
              <w:t xml:space="preserve">roviding the FWO with equivalent powers as the ATO’s Director’s Penalty Notices will not address </w:t>
            </w:r>
            <w:r w:rsidR="003C39F3">
              <w:rPr>
                <w:sz w:val="20"/>
              </w:rPr>
              <w:t>superannuation guarantee</w:t>
            </w:r>
            <w:r w:rsidR="003C39F3" w:rsidRPr="00014619">
              <w:rPr>
                <w:sz w:val="20"/>
              </w:rPr>
              <w:t xml:space="preserve"> </w:t>
            </w:r>
            <w:r w:rsidR="00014619" w:rsidRPr="00014619">
              <w:rPr>
                <w:sz w:val="20"/>
              </w:rPr>
              <w:t>non</w:t>
            </w:r>
            <w:r w:rsidR="00014619" w:rsidRPr="00014619">
              <w:rPr>
                <w:sz w:val="20"/>
              </w:rPr>
              <w:noBreakHyphen/>
              <w:t xml:space="preserve">compliance. Instead, enhancing certain aspects of the </w:t>
            </w:r>
            <w:r w:rsidR="00014619" w:rsidRPr="00D07C36">
              <w:rPr>
                <w:sz w:val="20"/>
              </w:rPr>
              <w:t xml:space="preserve">Director Penalty Notice regime may better assist the ATO with proactively identifying and recovering unpaid </w:t>
            </w:r>
            <w:r w:rsidR="003C39F3">
              <w:rPr>
                <w:sz w:val="20"/>
              </w:rPr>
              <w:t>superannuation guarantee</w:t>
            </w:r>
            <w:r w:rsidR="00014619" w:rsidRPr="00D07C36">
              <w:rPr>
                <w:sz w:val="20"/>
              </w:rPr>
              <w:t xml:space="preserve">. </w:t>
            </w:r>
          </w:p>
        </w:tc>
      </w:tr>
    </w:tbl>
    <w:p w14:paraId="2C03C865" w14:textId="77777777" w:rsidR="00D07C36" w:rsidRDefault="00D07C36" w:rsidP="00A016C5">
      <w:pPr>
        <w:spacing w:line="360" w:lineRule="auto"/>
        <w:jc w:val="both"/>
      </w:pPr>
      <w:bookmarkStart w:id="194" w:name="_Toc472892815"/>
    </w:p>
    <w:p w14:paraId="28C27046" w14:textId="6B1A31D0" w:rsidR="00803FB7" w:rsidRPr="00F534C7" w:rsidRDefault="00803FB7" w:rsidP="00803FB7">
      <w:pPr>
        <w:pStyle w:val="ListParagraph"/>
        <w:numPr>
          <w:ilvl w:val="1"/>
          <w:numId w:val="57"/>
        </w:numPr>
        <w:spacing w:line="360" w:lineRule="auto"/>
        <w:contextualSpacing w:val="0"/>
        <w:jc w:val="both"/>
      </w:pPr>
      <w:r w:rsidRPr="00F534C7">
        <w:t xml:space="preserve">The </w:t>
      </w:r>
      <w:r w:rsidR="00EE4845">
        <w:t>ISA Report</w:t>
      </w:r>
      <w:r w:rsidRPr="00F534C7">
        <w:t xml:space="preserve"> </w:t>
      </w:r>
      <w:r>
        <w:t xml:space="preserve">called for an increase in the ability of regulators to recover unpaid </w:t>
      </w:r>
      <w:r w:rsidR="003C39F3">
        <w:t>superannuation guarantee</w:t>
      </w:r>
      <w:r>
        <w:t>. The role</w:t>
      </w:r>
      <w:r w:rsidR="007F1D16">
        <w:t>s</w:t>
      </w:r>
      <w:r>
        <w:t xml:space="preserve"> of the ATO and FWO have been considered below. </w:t>
      </w:r>
    </w:p>
    <w:p w14:paraId="1ED502CC" w14:textId="55E6279E" w:rsidR="00DF1E66" w:rsidRDefault="00DF1E66" w:rsidP="00DF1E66">
      <w:pPr>
        <w:pStyle w:val="Heading3"/>
        <w:jc w:val="both"/>
      </w:pPr>
      <w:r>
        <w:t>ATO</w:t>
      </w:r>
      <w:r w:rsidR="00803FB7">
        <w:t>-i</w:t>
      </w:r>
      <w:r w:rsidR="00A03C5D">
        <w:t xml:space="preserve">nitiated </w:t>
      </w:r>
      <w:r>
        <w:t>compliance</w:t>
      </w:r>
    </w:p>
    <w:p w14:paraId="6CD905E0" w14:textId="03C2DB0F" w:rsidR="00DF1E66" w:rsidRPr="00F534C7" w:rsidRDefault="00DF1E66" w:rsidP="00DF1E66">
      <w:pPr>
        <w:pStyle w:val="ListParagraph"/>
        <w:numPr>
          <w:ilvl w:val="1"/>
          <w:numId w:val="57"/>
        </w:numPr>
        <w:spacing w:line="360" w:lineRule="auto"/>
        <w:contextualSpacing w:val="0"/>
        <w:jc w:val="both"/>
      </w:pPr>
      <w:r w:rsidRPr="00F534C7">
        <w:t xml:space="preserve">The </w:t>
      </w:r>
      <w:r w:rsidR="00EE4845">
        <w:t>ISA Report</w:t>
      </w:r>
      <w:r w:rsidRPr="00F534C7">
        <w:t xml:space="preserve"> </w:t>
      </w:r>
      <w:r>
        <w:t xml:space="preserve">recommends allocating significant resources to recovering unpaid </w:t>
      </w:r>
      <w:r w:rsidR="003C39F3">
        <w:t>superannuation guarantee</w:t>
      </w:r>
      <w:r>
        <w:t xml:space="preserve"> </w:t>
      </w:r>
      <w:r w:rsidRPr="004A299A">
        <w:t xml:space="preserve">regardless of whether an employee lodges a </w:t>
      </w:r>
      <w:r>
        <w:t>complaint.</w:t>
      </w:r>
    </w:p>
    <w:p w14:paraId="5CC3644D" w14:textId="655A89F1" w:rsidR="00DF1E66" w:rsidRDefault="003F166A" w:rsidP="00DF1E66">
      <w:pPr>
        <w:pStyle w:val="ListParagraph"/>
        <w:numPr>
          <w:ilvl w:val="1"/>
          <w:numId w:val="57"/>
        </w:numPr>
        <w:spacing w:line="360" w:lineRule="auto"/>
        <w:contextualSpacing w:val="0"/>
        <w:jc w:val="both"/>
      </w:pPr>
      <w:r>
        <w:t xml:space="preserve">The ATO could take further steps to </w:t>
      </w:r>
      <w:r w:rsidR="00DF1E66">
        <w:t>identify and recove</w:t>
      </w:r>
      <w:r w:rsidR="00DF1E66" w:rsidDel="00166ED0">
        <w:t>ring</w:t>
      </w:r>
      <w:r w:rsidR="00DF1E66">
        <w:t xml:space="preserve"> unpaid </w:t>
      </w:r>
      <w:r w:rsidR="003C39F3">
        <w:t>superannuation guarantee</w:t>
      </w:r>
      <w:r w:rsidR="00DF1E66">
        <w:t xml:space="preserve"> by:</w:t>
      </w:r>
    </w:p>
    <w:p w14:paraId="4EEBB676" w14:textId="39EDD399" w:rsidR="00DF1E66" w:rsidRPr="00A528A6" w:rsidRDefault="00DF1E66" w:rsidP="00DF1E66">
      <w:pPr>
        <w:pStyle w:val="ListParagraph"/>
        <w:numPr>
          <w:ilvl w:val="0"/>
          <w:numId w:val="36"/>
        </w:numPr>
        <w:spacing w:line="360" w:lineRule="auto"/>
        <w:ind w:left="851" w:hanging="284"/>
        <w:contextualSpacing w:val="0"/>
        <w:jc w:val="both"/>
      </w:pPr>
      <w:r>
        <w:t>increasing the n</w:t>
      </w:r>
      <w:r w:rsidR="001B7335">
        <w:t>umber of employers investigated</w:t>
      </w:r>
    </w:p>
    <w:p w14:paraId="43C3BA90" w14:textId="1705335A" w:rsidR="00DF1E66" w:rsidRPr="00A528A6" w:rsidRDefault="00DF1E66" w:rsidP="00DF1E66">
      <w:pPr>
        <w:pStyle w:val="ListParagraph"/>
        <w:numPr>
          <w:ilvl w:val="0"/>
          <w:numId w:val="36"/>
        </w:numPr>
        <w:spacing w:line="360" w:lineRule="auto"/>
        <w:ind w:left="851" w:hanging="284"/>
        <w:contextualSpacing w:val="0"/>
        <w:jc w:val="both"/>
      </w:pPr>
      <w:r>
        <w:t xml:space="preserve">investing in the ATO’s IT systems and </w:t>
      </w:r>
      <w:r w:rsidR="006023C8">
        <w:t>data matching</w:t>
      </w:r>
    </w:p>
    <w:p w14:paraId="46D8FD28" w14:textId="70B33AE0" w:rsidR="00DF1E66" w:rsidRPr="00F534C7" w:rsidRDefault="000A20D8" w:rsidP="00DF1E66">
      <w:pPr>
        <w:pStyle w:val="ListParagraph"/>
        <w:numPr>
          <w:ilvl w:val="0"/>
          <w:numId w:val="36"/>
        </w:numPr>
        <w:spacing w:line="360" w:lineRule="auto"/>
        <w:ind w:left="851" w:hanging="284"/>
        <w:contextualSpacing w:val="0"/>
        <w:jc w:val="both"/>
      </w:pPr>
      <w:r>
        <w:t>increasing investment in debt recovery activities</w:t>
      </w:r>
      <w:r w:rsidR="00DF1E66" w:rsidRPr="00F534C7">
        <w:t>.</w:t>
      </w:r>
    </w:p>
    <w:p w14:paraId="0D74AF04" w14:textId="5D6AC4EE" w:rsidR="00DF1E66" w:rsidRPr="00063969" w:rsidRDefault="00DF1E66" w:rsidP="00DF1E66">
      <w:pPr>
        <w:pStyle w:val="ListParagraph"/>
        <w:numPr>
          <w:ilvl w:val="1"/>
          <w:numId w:val="57"/>
        </w:numPr>
        <w:spacing w:line="360" w:lineRule="auto"/>
        <w:contextualSpacing w:val="0"/>
        <w:jc w:val="both"/>
      </w:pPr>
      <w:r>
        <w:t>Doing so would require additional resources</w:t>
      </w:r>
      <w:r w:rsidR="000A20D8">
        <w:t>.</w:t>
      </w:r>
      <w:r>
        <w:t xml:space="preserve"> </w:t>
      </w:r>
    </w:p>
    <w:p w14:paraId="506AEADE" w14:textId="11F25528" w:rsidR="00DF1E66" w:rsidRDefault="00DF1E66" w:rsidP="00DF1E66">
      <w:pPr>
        <w:pStyle w:val="ListParagraph"/>
        <w:numPr>
          <w:ilvl w:val="1"/>
          <w:numId w:val="57"/>
        </w:numPr>
        <w:spacing w:line="360" w:lineRule="auto"/>
        <w:contextualSpacing w:val="0"/>
        <w:jc w:val="both"/>
      </w:pPr>
      <w:r w:rsidRPr="00F534C7">
        <w:t>Currently, data limitations discussed in Recommendation</w:t>
      </w:r>
      <w:r w:rsidR="00A3400C">
        <w:t> </w:t>
      </w:r>
      <w:r w:rsidRPr="00F534C7">
        <w:t>1 reduce the effectiveness of such resource investments.</w:t>
      </w:r>
      <w:r>
        <w:t xml:space="preserve"> Also, </w:t>
      </w:r>
      <w:r w:rsidR="0045701A">
        <w:t xml:space="preserve">by allocating more resources </w:t>
      </w:r>
      <w:r w:rsidR="002515ED">
        <w:t>to</w:t>
      </w:r>
      <w:r w:rsidR="0045701A">
        <w:t xml:space="preserve"> its self-initiated case work, the ATO will go deeper into the ‘case pool’ and this will mean lower adjustments to the SG Charge per case.</w:t>
      </w:r>
      <w:r w:rsidR="00283E92">
        <w:t xml:space="preserve"> </w:t>
      </w:r>
    </w:p>
    <w:p w14:paraId="30C12C41" w14:textId="6411CB41" w:rsidR="00DF1E66" w:rsidRDefault="00DF1E66" w:rsidP="00DF1E66">
      <w:pPr>
        <w:pStyle w:val="Heading3"/>
        <w:ind w:left="720" w:hanging="720"/>
        <w:jc w:val="both"/>
      </w:pPr>
      <w:r>
        <w:t xml:space="preserve">Collecting unpaid </w:t>
      </w:r>
      <w:r w:rsidR="003C39F3">
        <w:t>superannuation guarantee</w:t>
      </w:r>
    </w:p>
    <w:p w14:paraId="7DCB78C6" w14:textId="7AD8C0AA" w:rsidR="00DF1E66" w:rsidRPr="00F534C7" w:rsidRDefault="00DF1E66" w:rsidP="00DF1E66">
      <w:pPr>
        <w:pStyle w:val="ListParagraph"/>
        <w:numPr>
          <w:ilvl w:val="1"/>
          <w:numId w:val="57"/>
        </w:numPr>
        <w:spacing w:line="360" w:lineRule="auto"/>
        <w:contextualSpacing w:val="0"/>
        <w:jc w:val="both"/>
      </w:pPr>
      <w:r w:rsidRPr="00F534C7">
        <w:t xml:space="preserve">The </w:t>
      </w:r>
      <w:r w:rsidR="00EE4845">
        <w:t>ISA Report</w:t>
      </w:r>
      <w:r w:rsidRPr="00F534C7">
        <w:t xml:space="preserve"> also raises concern that only 51 per cent of debts </w:t>
      </w:r>
      <w:r w:rsidR="00D15BB1">
        <w:t xml:space="preserve">identified by the ATO </w:t>
      </w:r>
      <w:r w:rsidRPr="00F534C7">
        <w:t xml:space="preserve">result in payment of </w:t>
      </w:r>
      <w:r w:rsidR="003C39F3">
        <w:t>superannuation guarantee</w:t>
      </w:r>
      <w:r w:rsidRPr="00F534C7">
        <w:t>.</w:t>
      </w:r>
    </w:p>
    <w:p w14:paraId="6FF1CB01" w14:textId="348E4479" w:rsidR="00A03C5D" w:rsidRDefault="009D0C66" w:rsidP="00512677">
      <w:pPr>
        <w:pStyle w:val="ListParagraph"/>
        <w:numPr>
          <w:ilvl w:val="1"/>
          <w:numId w:val="57"/>
        </w:numPr>
        <w:spacing w:line="360" w:lineRule="auto"/>
        <w:contextualSpacing w:val="0"/>
        <w:jc w:val="both"/>
      </w:pPr>
      <w:r>
        <w:t xml:space="preserve">The ATO’s approach to debt management </w:t>
      </w:r>
      <w:r w:rsidR="00A03C5D">
        <w:t>as outlined</w:t>
      </w:r>
      <w:r>
        <w:t xml:space="preserve"> </w:t>
      </w:r>
      <w:r w:rsidR="0094100C">
        <w:t xml:space="preserve">earlier </w:t>
      </w:r>
      <w:r w:rsidR="00A03C5D">
        <w:t xml:space="preserve">identifies two critical challenges to its ability to collect outstanding </w:t>
      </w:r>
      <w:r w:rsidR="003C39F3">
        <w:t>superannuation guarantee</w:t>
      </w:r>
      <w:r w:rsidR="002515ED">
        <w:t>:</w:t>
      </w:r>
    </w:p>
    <w:p w14:paraId="5ED411FE" w14:textId="48B07C53" w:rsidR="00A03C5D" w:rsidRDefault="00A93E8E" w:rsidP="00A016C5">
      <w:pPr>
        <w:pStyle w:val="ListParagraph"/>
        <w:numPr>
          <w:ilvl w:val="2"/>
          <w:numId w:val="57"/>
        </w:numPr>
        <w:spacing w:line="360" w:lineRule="auto"/>
        <w:contextualSpacing w:val="0"/>
        <w:jc w:val="both"/>
      </w:pPr>
      <w:r>
        <w:t>the economic viability of co</w:t>
      </w:r>
      <w:r w:rsidR="001B7335">
        <w:t>llecting relatively small debts</w:t>
      </w:r>
      <w:r w:rsidR="00A03C5D">
        <w:t xml:space="preserve"> </w:t>
      </w:r>
    </w:p>
    <w:p w14:paraId="38D634AF" w14:textId="6A5BE764" w:rsidR="00DF1E66" w:rsidRPr="00085327" w:rsidRDefault="00A03C5D" w:rsidP="00A016C5">
      <w:pPr>
        <w:pStyle w:val="ListParagraph"/>
        <w:numPr>
          <w:ilvl w:val="2"/>
          <w:numId w:val="57"/>
        </w:numPr>
        <w:spacing w:line="360" w:lineRule="auto"/>
        <w:contextualSpacing w:val="0"/>
        <w:jc w:val="both"/>
      </w:pPr>
      <w:r>
        <w:t>the high instances of insolvency</w:t>
      </w:r>
      <w:r w:rsidR="009D0C66">
        <w:t xml:space="preserve">. </w:t>
      </w:r>
    </w:p>
    <w:p w14:paraId="0CAFF40C" w14:textId="33BBFBEA" w:rsidR="00DF1E66" w:rsidRDefault="00DF1E66" w:rsidP="00DF1E66">
      <w:pPr>
        <w:pStyle w:val="ListParagraph"/>
        <w:numPr>
          <w:ilvl w:val="1"/>
          <w:numId w:val="57"/>
        </w:numPr>
        <w:spacing w:line="360" w:lineRule="auto"/>
        <w:contextualSpacing w:val="0"/>
        <w:jc w:val="both"/>
      </w:pPr>
      <w:r w:rsidRPr="00F534C7">
        <w:t>The ATO could consider reallocating existing debt collection resources to recover SG Charge debts</w:t>
      </w:r>
      <w:r w:rsidR="00A03C5D">
        <w:t>, however, w</w:t>
      </w:r>
      <w:r w:rsidR="003F166A">
        <w:t xml:space="preserve">ithout additional resources this </w:t>
      </w:r>
      <w:r w:rsidRPr="00F534C7">
        <w:t>would be at the expense of recovering much</w:t>
      </w:r>
      <w:r w:rsidR="006023C8">
        <w:t xml:space="preserve"> </w:t>
      </w:r>
      <w:r w:rsidRPr="00F534C7">
        <w:t xml:space="preserve">larger </w:t>
      </w:r>
      <w:r w:rsidR="003F166A">
        <w:t xml:space="preserve">(tax) </w:t>
      </w:r>
      <w:r w:rsidRPr="00F534C7">
        <w:t xml:space="preserve">debts. </w:t>
      </w:r>
    </w:p>
    <w:p w14:paraId="730F173E" w14:textId="77777777" w:rsidR="002515ED" w:rsidRDefault="002515ED" w:rsidP="00DF1E66">
      <w:pPr>
        <w:pStyle w:val="ListParagraph"/>
        <w:numPr>
          <w:ilvl w:val="1"/>
          <w:numId w:val="57"/>
        </w:numPr>
        <w:spacing w:line="360" w:lineRule="auto"/>
        <w:contextualSpacing w:val="0"/>
        <w:jc w:val="both"/>
      </w:pPr>
      <w:r>
        <w:t>Given the high level of insolvency in this area m</w:t>
      </w:r>
      <w:r w:rsidRPr="00063969">
        <w:t>ore work needs</w:t>
      </w:r>
      <w:r>
        <w:t xml:space="preserve"> to </w:t>
      </w:r>
      <w:r w:rsidRPr="00063969">
        <w:t>be done</w:t>
      </w:r>
      <w:r>
        <w:t xml:space="preserve"> to </w:t>
      </w:r>
      <w:r w:rsidRPr="00063969">
        <w:t>consider</w:t>
      </w:r>
      <w:r>
        <w:t xml:space="preserve"> i</w:t>
      </w:r>
      <w:r w:rsidRPr="00063969">
        <w:t>mprovements to the recovery of SG Charge</w:t>
      </w:r>
      <w:r>
        <w:t xml:space="preserve">. </w:t>
      </w:r>
    </w:p>
    <w:p w14:paraId="7223DC91" w14:textId="695C6A69" w:rsidR="002515ED" w:rsidRDefault="002515ED" w:rsidP="00DF1E66">
      <w:pPr>
        <w:pStyle w:val="ListParagraph"/>
        <w:numPr>
          <w:ilvl w:val="1"/>
          <w:numId w:val="57"/>
        </w:numPr>
        <w:spacing w:line="360" w:lineRule="auto"/>
        <w:contextualSpacing w:val="0"/>
        <w:jc w:val="both"/>
      </w:pPr>
      <w:r>
        <w:t>One area of potential change is enhancing the Commissioner’s current powers which require a taxpayer to provide a bond/security where the Commissioner perceives an SG Charge liability is at risk of not being paid.</w:t>
      </w:r>
    </w:p>
    <w:p w14:paraId="01ABAD1D" w14:textId="50E59712" w:rsidR="002515ED" w:rsidRDefault="006B4BF9" w:rsidP="00DF1E66">
      <w:pPr>
        <w:pStyle w:val="ListParagraph"/>
        <w:numPr>
          <w:ilvl w:val="1"/>
          <w:numId w:val="57"/>
        </w:numPr>
        <w:spacing w:line="360" w:lineRule="auto"/>
        <w:contextualSpacing w:val="0"/>
        <w:jc w:val="both"/>
      </w:pPr>
      <w:r>
        <w:t xml:space="preserve">Another area is to consider </w:t>
      </w:r>
      <w:r w:rsidRPr="00DD4CE3">
        <w:t xml:space="preserve">enhancing certain </w:t>
      </w:r>
      <w:r>
        <w:t xml:space="preserve">operational </w:t>
      </w:r>
      <w:r w:rsidRPr="00DD4CE3">
        <w:t xml:space="preserve">aspects of the </w:t>
      </w:r>
      <w:r>
        <w:t>Director Penalty Notice</w:t>
      </w:r>
      <w:r w:rsidRPr="00DD4CE3">
        <w:t xml:space="preserve"> regim</w:t>
      </w:r>
      <w:r>
        <w:t>e</w:t>
      </w:r>
      <w:r w:rsidR="00EC59BD">
        <w:t xml:space="preserve"> (which holds directors personally liable for their company’s unpaid </w:t>
      </w:r>
      <w:r w:rsidR="003C39F3">
        <w:t>superannuation guarantee</w:t>
      </w:r>
      <w:r w:rsidR="00EC59BD">
        <w:t>)</w:t>
      </w:r>
      <w:r w:rsidR="002515ED">
        <w:t>.</w:t>
      </w:r>
      <w:r w:rsidR="006023C8">
        <w:t xml:space="preserve"> </w:t>
      </w:r>
    </w:p>
    <w:p w14:paraId="308316B5" w14:textId="12E16176" w:rsidR="00DF7716" w:rsidRDefault="00DF7716" w:rsidP="00AF60A5">
      <w:pPr>
        <w:pStyle w:val="Heading3"/>
        <w:jc w:val="both"/>
      </w:pPr>
      <w:r>
        <w:t xml:space="preserve">Empowering the FWO to recover unpaid </w:t>
      </w:r>
      <w:r w:rsidR="003C39F3">
        <w:t>superannuation guarantee</w:t>
      </w:r>
      <w:bookmarkEnd w:id="194"/>
    </w:p>
    <w:p w14:paraId="300AF738" w14:textId="10C5A7AD" w:rsidR="00DF7716" w:rsidRDefault="00DF7716" w:rsidP="001946D5">
      <w:pPr>
        <w:pStyle w:val="ListParagraph"/>
        <w:numPr>
          <w:ilvl w:val="1"/>
          <w:numId w:val="57"/>
        </w:numPr>
        <w:spacing w:line="360" w:lineRule="auto"/>
        <w:contextualSpacing w:val="0"/>
        <w:jc w:val="both"/>
      </w:pPr>
      <w:r>
        <w:t xml:space="preserve">The </w:t>
      </w:r>
      <w:r w:rsidR="00EE4845">
        <w:t>ISA Report</w:t>
      </w:r>
      <w:r>
        <w:t xml:space="preserve"> recommends empowering</w:t>
      </w:r>
      <w:r w:rsidRPr="001042CC">
        <w:t xml:space="preserve"> the </w:t>
      </w:r>
      <w:r>
        <w:t xml:space="preserve">FWO to recover unpaid </w:t>
      </w:r>
      <w:r w:rsidR="003C39F3">
        <w:t>superannuation guarantee</w:t>
      </w:r>
      <w:r>
        <w:t>.</w:t>
      </w:r>
    </w:p>
    <w:p w14:paraId="2FBAF48A" w14:textId="63EF45BD" w:rsidR="00DF7716" w:rsidRDefault="00DF7716" w:rsidP="00617E67">
      <w:pPr>
        <w:pStyle w:val="ListParagraph"/>
        <w:numPr>
          <w:ilvl w:val="1"/>
          <w:numId w:val="57"/>
        </w:numPr>
        <w:spacing w:line="360" w:lineRule="auto"/>
        <w:contextualSpacing w:val="0"/>
        <w:jc w:val="both"/>
      </w:pPr>
      <w:r>
        <w:t xml:space="preserve">Currently, the FWO enforces superannuation related obligations in industrial instruments, such as modern awards and enterprise agreements. In practice, this means that the ATO enforces compliance by employers to contribute the 9.5 per cent </w:t>
      </w:r>
      <w:r w:rsidR="003C39F3">
        <w:t>superannuation guarantee</w:t>
      </w:r>
      <w:r>
        <w:t xml:space="preserve"> contribution under the superannuation laws, whereas the FWO is responsible for making sure employers meet any higher </w:t>
      </w:r>
      <w:r w:rsidR="003C39F3">
        <w:t>superannuation guarantee</w:t>
      </w:r>
      <w:r>
        <w:t xml:space="preserve"> contributions in an industrial instrument made under workplace laws. </w:t>
      </w:r>
    </w:p>
    <w:p w14:paraId="324419C4" w14:textId="62898F76" w:rsidR="00DF7716" w:rsidRDefault="00DF7716" w:rsidP="0063150D">
      <w:pPr>
        <w:pStyle w:val="ListParagraph"/>
        <w:numPr>
          <w:ilvl w:val="1"/>
          <w:numId w:val="57"/>
        </w:numPr>
        <w:spacing w:line="360" w:lineRule="auto"/>
        <w:contextualSpacing w:val="0"/>
        <w:jc w:val="both"/>
      </w:pPr>
      <w:r>
        <w:t xml:space="preserve">Complaints about superannuation payable under a modern award and enterprise agreement are a very small proportion of total superannuation complaints received by the Government. </w:t>
      </w:r>
      <w:r w:rsidR="00A979A9">
        <w:t xml:space="preserve">In most cases, employees who contact the FWO with concerns about superannuation payments are referred to the ATO for assistance. </w:t>
      </w:r>
      <w:r w:rsidRPr="0005170E">
        <w:t>In 2015</w:t>
      </w:r>
      <w:r w:rsidR="00CA242B">
        <w:noBreakHyphen/>
      </w:r>
      <w:r w:rsidRPr="0005170E">
        <w:t>16, the FWO directly assisted employees to resolve 103 workplace relations disputes that included allegations of non</w:t>
      </w:r>
      <w:r w:rsidR="00CA242B">
        <w:noBreakHyphen/>
      </w:r>
      <w:r w:rsidRPr="0005170E">
        <w:t xml:space="preserve">payment or underpayment of superannuation. </w:t>
      </w:r>
      <w:r>
        <w:t xml:space="preserve"> In 2015</w:t>
      </w:r>
      <w:r w:rsidR="00CA242B">
        <w:noBreakHyphen/>
      </w:r>
      <w:r>
        <w:t xml:space="preserve">16, the ATO received approximately </w:t>
      </w:r>
      <w:r w:rsidR="00FA28D6">
        <w:t>19,000</w:t>
      </w:r>
      <w:r w:rsidR="00C513D1">
        <w:t>–</w:t>
      </w:r>
      <w:r>
        <w:t xml:space="preserve">20,000 </w:t>
      </w:r>
      <w:r w:rsidR="00FA28D6">
        <w:t>employee notifications</w:t>
      </w:r>
      <w:r>
        <w:t xml:space="preserve">. </w:t>
      </w:r>
    </w:p>
    <w:p w14:paraId="799D408D" w14:textId="3DA64D7B" w:rsidR="00DF7716" w:rsidRDefault="00DF7716" w:rsidP="0063150D">
      <w:pPr>
        <w:pStyle w:val="ListParagraph"/>
        <w:numPr>
          <w:ilvl w:val="1"/>
          <w:numId w:val="57"/>
        </w:numPr>
        <w:spacing w:line="360" w:lineRule="auto"/>
        <w:contextualSpacing w:val="0"/>
        <w:jc w:val="both"/>
      </w:pPr>
      <w:r>
        <w:t xml:space="preserve">By empowering the FWO to recover unpaid </w:t>
      </w:r>
      <w:r w:rsidR="003C39F3">
        <w:t>superannuation guarantee</w:t>
      </w:r>
      <w:r>
        <w:t xml:space="preserve">, employees would be able to </w:t>
      </w:r>
      <w:r w:rsidR="008453F8">
        <w:t xml:space="preserve">raise concerns with </w:t>
      </w:r>
      <w:r>
        <w:t xml:space="preserve">all unpaid work related entitlements via the same agency. </w:t>
      </w:r>
    </w:p>
    <w:p w14:paraId="20C264F3" w14:textId="3D570F4E" w:rsidR="00DF7716" w:rsidRDefault="00403AFF" w:rsidP="0063150D">
      <w:pPr>
        <w:pStyle w:val="ListParagraph"/>
        <w:numPr>
          <w:ilvl w:val="1"/>
          <w:numId w:val="57"/>
        </w:numPr>
        <w:spacing w:line="360" w:lineRule="auto"/>
        <w:contextualSpacing w:val="0"/>
        <w:jc w:val="both"/>
      </w:pPr>
      <w:r>
        <w:t>The</w:t>
      </w:r>
      <w:r w:rsidR="00DF7716">
        <w:t xml:space="preserve"> FWO is not in receipt of sufficient information to be an effective enforcement agency for unpaid </w:t>
      </w:r>
      <w:r w:rsidR="003C39F3">
        <w:t>superannuation guarantee</w:t>
      </w:r>
      <w:r w:rsidR="00DF7716">
        <w:t>. The FWO responds to complaints made by employees by gathering payment information from both the employee and the employer</w:t>
      </w:r>
      <w:r w:rsidR="00A979A9">
        <w:t>. T</w:t>
      </w:r>
      <w:r w:rsidR="00DF7716">
        <w:t xml:space="preserve">he FWO </w:t>
      </w:r>
      <w:r w:rsidR="00A979A9">
        <w:t>does not have</w:t>
      </w:r>
      <w:r w:rsidR="00DF7716">
        <w:t xml:space="preserve"> its own information on payments to an employee and therefore has limited ability to proactively monitor </w:t>
      </w:r>
      <w:r w:rsidR="003C39F3">
        <w:t>superannuation guarantee</w:t>
      </w:r>
      <w:r w:rsidR="00DF7716">
        <w:t xml:space="preserve"> compliance. </w:t>
      </w:r>
    </w:p>
    <w:p w14:paraId="20A0F552" w14:textId="77777777" w:rsidR="00DF7716" w:rsidRDefault="00DF7716" w:rsidP="00163AE4">
      <w:pPr>
        <w:pStyle w:val="ListParagraph"/>
        <w:numPr>
          <w:ilvl w:val="1"/>
          <w:numId w:val="57"/>
        </w:numPr>
        <w:spacing w:line="360" w:lineRule="auto"/>
        <w:contextualSpacing w:val="0"/>
        <w:jc w:val="both"/>
      </w:pPr>
      <w:r>
        <w:t xml:space="preserve">The FWO would require additional funding and access to information for any expanded superannuation compliance role. </w:t>
      </w:r>
    </w:p>
    <w:p w14:paraId="67E03E07" w14:textId="77777777" w:rsidR="00DF7716" w:rsidRDefault="00DF7716" w:rsidP="00AF60A5">
      <w:pPr>
        <w:pStyle w:val="Heading2"/>
      </w:pPr>
      <w:bookmarkStart w:id="195" w:name="_Toc472892817"/>
      <w:bookmarkStart w:id="196" w:name="_Toc473540258"/>
      <w:bookmarkStart w:id="197" w:name="_Toc473554641"/>
      <w:bookmarkStart w:id="198" w:name="_Toc473625459"/>
      <w:bookmarkStart w:id="199" w:name="_Toc473629890"/>
      <w:bookmarkStart w:id="200" w:name="_Toc473631182"/>
      <w:bookmarkStart w:id="201" w:name="_Toc473631476"/>
      <w:bookmarkStart w:id="202" w:name="_Toc473636600"/>
      <w:bookmarkStart w:id="203" w:name="_Toc473635318"/>
      <w:r w:rsidRPr="00827600">
        <w:rPr>
          <w:b/>
        </w:rPr>
        <w:t>ISA Recommendation 6:</w:t>
      </w:r>
      <w:r w:rsidRPr="001042CC">
        <w:t xml:space="preserve"> Retaining and using strong penalties</w:t>
      </w:r>
      <w:bookmarkEnd w:id="195"/>
      <w:bookmarkEnd w:id="196"/>
      <w:bookmarkEnd w:id="197"/>
      <w:bookmarkEnd w:id="198"/>
      <w:bookmarkEnd w:id="199"/>
      <w:bookmarkEnd w:id="200"/>
      <w:bookmarkEnd w:id="201"/>
      <w:bookmarkEnd w:id="202"/>
      <w:bookmarkEnd w:id="203"/>
    </w:p>
    <w:p w14:paraId="20B87B85" w14:textId="77777777" w:rsidR="00DF7716" w:rsidRPr="00A542A7" w:rsidRDefault="00DF7716">
      <w:pPr>
        <w:jc w:val="both"/>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79538DBB"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60676326" w14:textId="77777777" w:rsidR="00DF7716" w:rsidRPr="000076A6" w:rsidRDefault="00DF7716">
            <w:pPr>
              <w:spacing w:before="120" w:after="120"/>
              <w:jc w:val="both"/>
              <w:rPr>
                <w:b/>
                <w:sz w:val="20"/>
              </w:rPr>
            </w:pPr>
            <w:r w:rsidRPr="000076A6">
              <w:rPr>
                <w:b/>
                <w:sz w:val="20"/>
              </w:rPr>
              <w:t>Key Points</w:t>
            </w:r>
          </w:p>
        </w:tc>
      </w:tr>
      <w:tr w:rsidR="00DF7716" w:rsidRPr="000076A6" w14:paraId="44FD0ED5"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32AA293E" w14:textId="3E60888F" w:rsidR="00DF7716" w:rsidRPr="00967F3C" w:rsidRDefault="00187247" w:rsidP="00120A61">
            <w:pPr>
              <w:pStyle w:val="Bullet"/>
              <w:rPr>
                <w:sz w:val="20"/>
              </w:rPr>
            </w:pPr>
            <w:r>
              <w:rPr>
                <w:sz w:val="20"/>
              </w:rPr>
              <w:t xml:space="preserve">The current SG Charge and penalty regime may prevent employers from coming forward. Consequently, a more holistic and differentiated approach to the implications of </w:t>
            </w:r>
            <w:r w:rsidR="003C39F3">
              <w:rPr>
                <w:sz w:val="20"/>
              </w:rPr>
              <w:t xml:space="preserve">superannuation guarantee </w:t>
            </w:r>
            <w:r>
              <w:rPr>
                <w:sz w:val="20"/>
              </w:rPr>
              <w:t>non</w:t>
            </w:r>
            <w:r w:rsidR="00CA242B">
              <w:rPr>
                <w:sz w:val="20"/>
              </w:rPr>
              <w:noBreakHyphen/>
            </w:r>
            <w:r>
              <w:rPr>
                <w:sz w:val="20"/>
              </w:rPr>
              <w:t xml:space="preserve">compliance for an employer should be explored.  </w:t>
            </w:r>
          </w:p>
        </w:tc>
      </w:tr>
    </w:tbl>
    <w:p w14:paraId="3B2EDD04" w14:textId="77777777" w:rsidR="00187247" w:rsidRDefault="00187247" w:rsidP="00187247">
      <w:pPr>
        <w:pStyle w:val="Heading3"/>
        <w:ind w:left="720" w:hanging="720"/>
        <w:jc w:val="both"/>
      </w:pPr>
      <w:r>
        <w:t xml:space="preserve">Penalties to promote compliance </w:t>
      </w:r>
    </w:p>
    <w:p w14:paraId="0FE1C1EA" w14:textId="79A92C5C" w:rsidR="00187247" w:rsidRDefault="00187247" w:rsidP="00187247">
      <w:pPr>
        <w:pStyle w:val="ListParagraph"/>
        <w:numPr>
          <w:ilvl w:val="1"/>
          <w:numId w:val="57"/>
        </w:numPr>
        <w:spacing w:line="360" w:lineRule="auto"/>
        <w:contextualSpacing w:val="0"/>
        <w:jc w:val="both"/>
      </w:pPr>
      <w:r w:rsidRPr="001042CC">
        <w:t xml:space="preserve">The </w:t>
      </w:r>
      <w:r w:rsidR="00EE4845">
        <w:t>ISA Report</w:t>
      </w:r>
      <w:r w:rsidRPr="001042CC">
        <w:t xml:space="preserve"> opposes the changes to right size the penalty regime in the </w:t>
      </w:r>
      <w:r w:rsidR="003C39F3">
        <w:t>superannuation guarantee</w:t>
      </w:r>
      <w:r w:rsidRPr="001042CC">
        <w:t xml:space="preserve"> legislation in the Treasury Legislation Am</w:t>
      </w:r>
      <w:r>
        <w:t>endment (Repeal Day) Bill 2016.</w:t>
      </w:r>
      <w:r w:rsidRPr="00120A61">
        <w:rPr>
          <w:vertAlign w:val="superscript"/>
        </w:rPr>
        <w:footnoteReference w:id="13"/>
      </w:r>
      <w:r>
        <w:t xml:space="preserve"> </w:t>
      </w:r>
    </w:p>
    <w:p w14:paraId="62D8F137" w14:textId="77777777" w:rsidR="00187247" w:rsidRDefault="00187247" w:rsidP="00187247">
      <w:pPr>
        <w:pStyle w:val="ListParagraph"/>
        <w:numPr>
          <w:ilvl w:val="1"/>
          <w:numId w:val="57"/>
        </w:numPr>
        <w:spacing w:line="360" w:lineRule="auto"/>
        <w:contextualSpacing w:val="0"/>
        <w:jc w:val="both"/>
      </w:pPr>
      <w:r>
        <w:t>The presence and imposition of strong penalties is an important aspect of dissuading employers who choose not to comply and encouraging willing participation.</w:t>
      </w:r>
    </w:p>
    <w:p w14:paraId="37AAC890" w14:textId="77777777" w:rsidR="00187247" w:rsidRDefault="00187247" w:rsidP="00187247">
      <w:pPr>
        <w:pStyle w:val="ListParagraph"/>
        <w:numPr>
          <w:ilvl w:val="1"/>
          <w:numId w:val="57"/>
        </w:numPr>
        <w:spacing w:line="360" w:lineRule="auto"/>
        <w:contextualSpacing w:val="0"/>
        <w:jc w:val="both"/>
      </w:pPr>
      <w:r>
        <w:t>Currently, where an employer is non</w:t>
      </w:r>
      <w:r w:rsidR="00CA242B">
        <w:noBreakHyphen/>
      </w:r>
      <w:r>
        <w:t xml:space="preserve">compliant with their SG obligations the consequences are that: </w:t>
      </w:r>
    </w:p>
    <w:p w14:paraId="2DDD0046" w14:textId="1413FCF1" w:rsidR="00187247" w:rsidRDefault="00187247" w:rsidP="00187247">
      <w:pPr>
        <w:pStyle w:val="ListParagraph"/>
        <w:numPr>
          <w:ilvl w:val="0"/>
          <w:numId w:val="36"/>
        </w:numPr>
        <w:spacing w:line="360" w:lineRule="auto"/>
        <w:ind w:left="851" w:hanging="284"/>
        <w:contextualSpacing w:val="0"/>
        <w:jc w:val="both"/>
      </w:pPr>
      <w:r>
        <w:t>they are subject to the SG Charge (including an interest component, administrative component and a shortfall based on salary or wages rath</w:t>
      </w:r>
      <w:r w:rsidR="001B7335">
        <w:t>er than ordinary time earnings)</w:t>
      </w:r>
    </w:p>
    <w:p w14:paraId="12604D9B" w14:textId="54A0F7D7" w:rsidR="00187247" w:rsidRDefault="00187247" w:rsidP="00187247">
      <w:pPr>
        <w:pStyle w:val="ListParagraph"/>
        <w:numPr>
          <w:ilvl w:val="0"/>
          <w:numId w:val="36"/>
        </w:numPr>
        <w:spacing w:line="360" w:lineRule="auto"/>
        <w:ind w:left="851" w:hanging="284"/>
        <w:contextualSpacing w:val="0"/>
        <w:jc w:val="both"/>
      </w:pPr>
      <w:r>
        <w:t>they lose tax deductibility of certain amounts (late payments and SG Charge are both non</w:t>
      </w:r>
      <w:r w:rsidR="00CA242B">
        <w:noBreakHyphen/>
      </w:r>
      <w:r>
        <w:t xml:space="preserve">deductible in contrast to </w:t>
      </w:r>
      <w:r w:rsidR="0041411C">
        <w:t xml:space="preserve">superannuation guarantee </w:t>
      </w:r>
      <w:r w:rsidR="001B7335">
        <w:t>payments)</w:t>
      </w:r>
    </w:p>
    <w:p w14:paraId="138DF46D" w14:textId="0AE7A23D" w:rsidR="00187247" w:rsidRDefault="00187247" w:rsidP="00187247">
      <w:pPr>
        <w:pStyle w:val="ListParagraph"/>
        <w:numPr>
          <w:ilvl w:val="0"/>
          <w:numId w:val="36"/>
        </w:numPr>
        <w:spacing w:line="360" w:lineRule="auto"/>
        <w:ind w:left="851" w:hanging="284"/>
        <w:contextualSpacing w:val="0"/>
        <w:jc w:val="both"/>
      </w:pPr>
      <w:r>
        <w:t xml:space="preserve">the employer may be subject to a penalty of up to 200 per cent of the SG Charge. </w:t>
      </w:r>
    </w:p>
    <w:p w14:paraId="47E6A727" w14:textId="77777777" w:rsidR="00187247" w:rsidRDefault="00187247" w:rsidP="00187247">
      <w:pPr>
        <w:pStyle w:val="ListParagraph"/>
        <w:numPr>
          <w:ilvl w:val="1"/>
          <w:numId w:val="57"/>
        </w:numPr>
        <w:spacing w:line="360" w:lineRule="auto"/>
        <w:contextualSpacing w:val="0"/>
        <w:jc w:val="both"/>
      </w:pPr>
      <w:r>
        <w:t>Based on anecdotal evidence, the current SG Charge and penalty system may discourage some employers from voluntarily disclosing errors and undertaking self</w:t>
      </w:r>
      <w:r w:rsidR="00CA242B">
        <w:noBreakHyphen/>
      </w:r>
      <w:r>
        <w:t xml:space="preserve">correction. </w:t>
      </w:r>
    </w:p>
    <w:p w14:paraId="76A76DCA" w14:textId="29E640D3" w:rsidR="00187247" w:rsidRDefault="00187247" w:rsidP="00187247">
      <w:pPr>
        <w:pStyle w:val="ListParagraph"/>
        <w:numPr>
          <w:ilvl w:val="1"/>
          <w:numId w:val="57"/>
        </w:numPr>
        <w:spacing w:line="360" w:lineRule="auto"/>
        <w:contextualSpacing w:val="0"/>
        <w:jc w:val="both"/>
      </w:pPr>
      <w:r>
        <w:t xml:space="preserve">A differentiated compliance approach where employer behaviour is appropriately taken into account may help to improve </w:t>
      </w:r>
      <w:r w:rsidR="0041411C">
        <w:t xml:space="preserve">superannuation guarantee </w:t>
      </w:r>
      <w:r>
        <w:t>compliance compared to a uniform approach. For example, this would treat recalcitrant employers more harshly than those employers who accidentally did the wrong thing and came forward.</w:t>
      </w:r>
    </w:p>
    <w:p w14:paraId="46E8745E" w14:textId="31B8AE60" w:rsidR="00EC59BD" w:rsidRDefault="00187247" w:rsidP="00187247">
      <w:pPr>
        <w:pStyle w:val="ListParagraph"/>
        <w:numPr>
          <w:ilvl w:val="1"/>
          <w:numId w:val="57"/>
        </w:numPr>
        <w:spacing w:line="360" w:lineRule="auto"/>
        <w:contextualSpacing w:val="0"/>
        <w:jc w:val="both"/>
      </w:pPr>
      <w:r>
        <w:t xml:space="preserve">More work needs to be undertaken </w:t>
      </w:r>
      <w:r w:rsidR="00D637BC">
        <w:t xml:space="preserve">to </w:t>
      </w:r>
      <w:r w:rsidR="005F5A92">
        <w:t>increase</w:t>
      </w:r>
      <w:r w:rsidR="00D637BC">
        <w:t xml:space="preserve"> the effectiveness of penalties and sanction</w:t>
      </w:r>
      <w:r w:rsidR="00C02E30">
        <w:t xml:space="preserve">s to improve employer compliance with </w:t>
      </w:r>
      <w:r w:rsidR="00F8609A">
        <w:t xml:space="preserve">superannuation guarantee </w:t>
      </w:r>
      <w:r w:rsidR="00C02E30">
        <w:t>obligations.</w:t>
      </w:r>
      <w:r>
        <w:t xml:space="preserve"> </w:t>
      </w:r>
    </w:p>
    <w:p w14:paraId="015D20DF" w14:textId="381F7A76" w:rsidR="00EC59BD" w:rsidRDefault="00EC59BD" w:rsidP="00EC59BD">
      <w:pPr>
        <w:pStyle w:val="Heading3"/>
        <w:ind w:left="720" w:hanging="720"/>
        <w:jc w:val="both"/>
      </w:pPr>
      <w:r>
        <w:t xml:space="preserve">Director Penalty Notices </w:t>
      </w:r>
    </w:p>
    <w:p w14:paraId="102BCA6F" w14:textId="19271E34" w:rsidR="00187247" w:rsidRDefault="00EC59BD">
      <w:pPr>
        <w:pStyle w:val="ListParagraph"/>
        <w:numPr>
          <w:ilvl w:val="1"/>
          <w:numId w:val="57"/>
        </w:numPr>
        <w:spacing w:line="360" w:lineRule="auto"/>
        <w:contextualSpacing w:val="0"/>
        <w:jc w:val="both"/>
      </w:pPr>
      <w:r>
        <w:t xml:space="preserve">The ISA’s sixth recommendation noted that the FWO be given equivalent powers as those of the ATO. Potential changes to the Director Penalty Notice regime are discussed in the above section. </w:t>
      </w:r>
    </w:p>
    <w:p w14:paraId="3C15BB58" w14:textId="77777777" w:rsidR="00DF7716" w:rsidRDefault="00DF7716" w:rsidP="00AF60A5">
      <w:pPr>
        <w:pStyle w:val="Heading2"/>
      </w:pPr>
      <w:bookmarkStart w:id="204" w:name="_Toc472892820"/>
      <w:bookmarkStart w:id="205" w:name="_Toc473540259"/>
      <w:bookmarkStart w:id="206" w:name="_Toc473554642"/>
      <w:bookmarkStart w:id="207" w:name="_Toc473625460"/>
      <w:bookmarkStart w:id="208" w:name="_Toc473629891"/>
      <w:bookmarkStart w:id="209" w:name="_Toc473631183"/>
      <w:bookmarkStart w:id="210" w:name="_Toc473631477"/>
      <w:bookmarkStart w:id="211" w:name="_Toc473636601"/>
      <w:bookmarkStart w:id="212" w:name="_Toc473635319"/>
      <w:r w:rsidRPr="00827600">
        <w:rPr>
          <w:b/>
        </w:rPr>
        <w:t>ISA Recommendation 7:</w:t>
      </w:r>
      <w:r>
        <w:t xml:space="preserve"> </w:t>
      </w:r>
      <w:r w:rsidRPr="001042CC">
        <w:t>Extending the safety net for unpaid entitlements in the event of employer insolvency</w:t>
      </w:r>
      <w:bookmarkEnd w:id="204"/>
      <w:bookmarkEnd w:id="205"/>
      <w:bookmarkEnd w:id="206"/>
      <w:bookmarkEnd w:id="207"/>
      <w:bookmarkEnd w:id="208"/>
      <w:bookmarkEnd w:id="209"/>
      <w:bookmarkEnd w:id="210"/>
      <w:bookmarkEnd w:id="211"/>
      <w:bookmarkEnd w:id="212"/>
    </w:p>
    <w:p w14:paraId="28C10566" w14:textId="77777777" w:rsidR="00DF7716" w:rsidRPr="00A542A7" w:rsidRDefault="00DF7716" w:rsidP="001946D5">
      <w:pPr>
        <w:jc w:val="both"/>
      </w:pPr>
    </w:p>
    <w:tbl>
      <w:tblPr>
        <w:tblStyle w:val="MediumList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7716" w:rsidRPr="000076A6" w14:paraId="58AF3808" w14:textId="77777777" w:rsidTr="00592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0FF8D926" w14:textId="77777777" w:rsidR="00DF7716" w:rsidRPr="000076A6" w:rsidRDefault="00DF7716">
            <w:pPr>
              <w:spacing w:before="120" w:after="120"/>
              <w:jc w:val="both"/>
              <w:rPr>
                <w:b/>
                <w:sz w:val="20"/>
              </w:rPr>
            </w:pPr>
            <w:r w:rsidRPr="000076A6">
              <w:rPr>
                <w:b/>
                <w:sz w:val="20"/>
              </w:rPr>
              <w:t>Key Points</w:t>
            </w:r>
          </w:p>
        </w:tc>
      </w:tr>
      <w:tr w:rsidR="00DF7716" w:rsidRPr="000076A6" w14:paraId="7D8838EC" w14:textId="77777777" w:rsidTr="0059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Borders>
              <w:top w:val="none" w:sz="0" w:space="0" w:color="auto"/>
              <w:left w:val="none" w:sz="0" w:space="0" w:color="auto"/>
              <w:bottom w:val="none" w:sz="0" w:space="0" w:color="auto"/>
              <w:right w:val="none" w:sz="0" w:space="0" w:color="auto"/>
            </w:tcBorders>
          </w:tcPr>
          <w:p w14:paraId="550571B5" w14:textId="0CBE64E5" w:rsidR="00DF7716" w:rsidRDefault="00DF7716">
            <w:pPr>
              <w:pStyle w:val="Bullet"/>
              <w:spacing w:before="120" w:after="120"/>
              <w:ind w:left="522" w:hanging="522"/>
              <w:rPr>
                <w:sz w:val="20"/>
              </w:rPr>
            </w:pPr>
            <w:r w:rsidRPr="0005170E">
              <w:rPr>
                <w:sz w:val="20"/>
              </w:rPr>
              <w:t xml:space="preserve">There are significant costs and risks associated with the expansion of the Fair Entitlements Guarantee (FEG) to </w:t>
            </w:r>
            <w:r>
              <w:rPr>
                <w:sz w:val="20"/>
              </w:rPr>
              <w:t xml:space="preserve">include unpaid </w:t>
            </w:r>
            <w:r w:rsidR="0041411C">
              <w:rPr>
                <w:sz w:val="20"/>
              </w:rPr>
              <w:t xml:space="preserve">superannuation guarantee </w:t>
            </w:r>
            <w:r>
              <w:rPr>
                <w:sz w:val="20"/>
              </w:rPr>
              <w:t>contributions.</w:t>
            </w:r>
          </w:p>
          <w:p w14:paraId="4CE80EAF" w14:textId="7F315AE9" w:rsidR="00DF7716" w:rsidRPr="0005170E" w:rsidRDefault="00DF7716">
            <w:pPr>
              <w:pStyle w:val="Bullet"/>
              <w:spacing w:before="120" w:after="120"/>
              <w:ind w:left="522" w:hanging="522"/>
              <w:rPr>
                <w:sz w:val="20"/>
              </w:rPr>
            </w:pPr>
            <w:r>
              <w:rPr>
                <w:sz w:val="20"/>
              </w:rPr>
              <w:t>Extending FEG</w:t>
            </w:r>
            <w:r w:rsidRPr="0005170E">
              <w:rPr>
                <w:sz w:val="20"/>
              </w:rPr>
              <w:t xml:space="preserve"> </w:t>
            </w:r>
            <w:r w:rsidR="0097392D">
              <w:rPr>
                <w:sz w:val="20"/>
              </w:rPr>
              <w:t>may</w:t>
            </w:r>
            <w:r w:rsidR="0097392D" w:rsidRPr="0005170E">
              <w:rPr>
                <w:sz w:val="20"/>
              </w:rPr>
              <w:t xml:space="preserve"> </w:t>
            </w:r>
            <w:r w:rsidRPr="0005170E">
              <w:rPr>
                <w:sz w:val="20"/>
              </w:rPr>
              <w:t>exacerbate the existing moral hazard in FEG, creating a disincentive for employers to meet their superannuation obligations and rely on FEG to meet entitlements.</w:t>
            </w:r>
          </w:p>
        </w:tc>
      </w:tr>
    </w:tbl>
    <w:p w14:paraId="6DFC9E68" w14:textId="2379A5EA" w:rsidR="00DF7716" w:rsidRDefault="00DF7716" w:rsidP="001946D5">
      <w:pPr>
        <w:pStyle w:val="ListParagraph"/>
        <w:numPr>
          <w:ilvl w:val="1"/>
          <w:numId w:val="57"/>
        </w:numPr>
        <w:spacing w:line="360" w:lineRule="auto"/>
        <w:contextualSpacing w:val="0"/>
        <w:jc w:val="both"/>
      </w:pPr>
      <w:r>
        <w:t xml:space="preserve">The </w:t>
      </w:r>
      <w:r w:rsidR="00EE4845">
        <w:t>ISA Report</w:t>
      </w:r>
      <w:r>
        <w:t xml:space="preserve"> recommends extending the Government funded safety net for unpaid entitlements in the event of employer insolvency to include superannuation contributions owing by the employer.</w:t>
      </w:r>
    </w:p>
    <w:p w14:paraId="0F55F28C" w14:textId="77777777" w:rsidR="00DF7716" w:rsidRDefault="00DF7716" w:rsidP="001946D5">
      <w:pPr>
        <w:pStyle w:val="ListParagraph"/>
        <w:numPr>
          <w:ilvl w:val="1"/>
          <w:numId w:val="57"/>
        </w:numPr>
        <w:spacing w:line="360" w:lineRule="auto"/>
        <w:contextualSpacing w:val="0"/>
        <w:jc w:val="both"/>
      </w:pPr>
      <w:r>
        <w:t>The Fair Entitlements Guarantee (FEG) is a safety net scheme providing assistance for certain categories of unpaid employment entitlements when employees lose their job through liquidation or bankruptcy of their employer.  The intention of FEG is to protect accrued employment entitlements payable on redundancy that would otherwise be lost due to employer insolvency.</w:t>
      </w:r>
    </w:p>
    <w:p w14:paraId="6F469496" w14:textId="0C03BC60" w:rsidR="00DF7716" w:rsidRDefault="00DF7716" w:rsidP="001946D5">
      <w:pPr>
        <w:pStyle w:val="ListParagraph"/>
        <w:numPr>
          <w:ilvl w:val="1"/>
          <w:numId w:val="57"/>
        </w:numPr>
        <w:spacing w:line="360" w:lineRule="auto"/>
        <w:contextualSpacing w:val="0"/>
        <w:jc w:val="both"/>
      </w:pPr>
      <w:r>
        <w:t xml:space="preserve">Unpaid employer </w:t>
      </w:r>
      <w:r w:rsidR="0041411C">
        <w:t xml:space="preserve">superannuation guarantee </w:t>
      </w:r>
      <w:r>
        <w:t xml:space="preserve">contribution amounts owed by an insolvent employer to employees are not currently covered under FEG, nor have they been covered under any of the predecessor schemes to FEG which have operated since 2000. Unpaid employer </w:t>
      </w:r>
      <w:r w:rsidR="0041411C">
        <w:t>superannuation guarantee</w:t>
      </w:r>
      <w:r w:rsidR="0041411C" w:rsidDel="0041411C">
        <w:t xml:space="preserve"> </w:t>
      </w:r>
      <w:r>
        <w:t xml:space="preserve">contributions differ from the other categories of entitlements covered under FEG because they are intended to provide for retirement. As such, employer </w:t>
      </w:r>
      <w:r w:rsidR="0041411C">
        <w:t>superannuation guarantee</w:t>
      </w:r>
      <w:r>
        <w:t xml:space="preserve"> contributions are not immediately payable to the employee upon the loss of a job due to the insolvency of an employer.</w:t>
      </w:r>
    </w:p>
    <w:p w14:paraId="01BF3362" w14:textId="1287B9B6" w:rsidR="00DF7716" w:rsidRDefault="00DF7716" w:rsidP="001946D5">
      <w:pPr>
        <w:pStyle w:val="ListParagraph"/>
        <w:numPr>
          <w:ilvl w:val="1"/>
          <w:numId w:val="57"/>
        </w:numPr>
        <w:spacing w:line="360" w:lineRule="auto"/>
        <w:contextualSpacing w:val="0"/>
        <w:jc w:val="both"/>
      </w:pPr>
      <w:r>
        <w:t>FEG does provide very limited coverage for voluntary super</w:t>
      </w:r>
      <w:r w:rsidR="00622A43">
        <w:t>annuation</w:t>
      </w:r>
      <w:r>
        <w:t xml:space="preserve"> contributions that are made by employees in certain circumstances. When the voluntary contribution is deducted from wages under a formal salary sacrifice arrangement, but not passed on to the super</w:t>
      </w:r>
      <w:r w:rsidR="00622A43">
        <w:t>annuation</w:t>
      </w:r>
      <w:r>
        <w:t xml:space="preserve"> fund within </w:t>
      </w:r>
      <w:r w:rsidR="00424CE3">
        <w:t>13 </w:t>
      </w:r>
      <w:r>
        <w:t>weeks of the end of employment, such payments are treated as unpaid wages and covered under FEG.</w:t>
      </w:r>
    </w:p>
    <w:p w14:paraId="1F22F7DE" w14:textId="70F52593" w:rsidR="00DF7716" w:rsidRDefault="00DF7716" w:rsidP="001946D5">
      <w:pPr>
        <w:pStyle w:val="ListParagraph"/>
        <w:numPr>
          <w:ilvl w:val="1"/>
          <w:numId w:val="57"/>
        </w:numPr>
        <w:spacing w:line="360" w:lineRule="auto"/>
        <w:contextualSpacing w:val="0"/>
        <w:jc w:val="both"/>
      </w:pPr>
      <w:r>
        <w:t xml:space="preserve">Expanding FEG to include </w:t>
      </w:r>
      <w:r w:rsidR="0041411C">
        <w:t>superannuation guarantee</w:t>
      </w:r>
      <w:r w:rsidR="00B02BB0">
        <w:t xml:space="preserve"> </w:t>
      </w:r>
      <w:r>
        <w:t xml:space="preserve">contributions would ensure employees’ retirement savings are not improperly diminished in circumstances when their employer goes into liquidation without having met its obligations. However, this </w:t>
      </w:r>
      <w:r w:rsidR="007938A3">
        <w:t>c</w:t>
      </w:r>
      <w:r>
        <w:t xml:space="preserve">ould incentivise employers in financial difficulty to not make provision to pay </w:t>
      </w:r>
      <w:r w:rsidR="0041411C">
        <w:t>superannuation guarantee</w:t>
      </w:r>
      <w:r w:rsidR="00B02BB0">
        <w:t xml:space="preserve"> </w:t>
      </w:r>
      <w:r>
        <w:t xml:space="preserve">contributions and would come at a significant cost to Government. </w:t>
      </w:r>
    </w:p>
    <w:p w14:paraId="1B8BBB25" w14:textId="07AF7C21" w:rsidR="00DF7716" w:rsidRDefault="00DF7716" w:rsidP="001946D5">
      <w:pPr>
        <w:pStyle w:val="ListParagraph"/>
        <w:numPr>
          <w:ilvl w:val="1"/>
          <w:numId w:val="57"/>
        </w:numPr>
        <w:spacing w:line="360" w:lineRule="auto"/>
        <w:contextualSpacing w:val="0"/>
        <w:jc w:val="both"/>
      </w:pPr>
      <w:r>
        <w:t xml:space="preserve">FEG already acts as a disincentive for employers in financial distress to set aside employee entitlements. This is because the employer knows the unpaid entitlements will be met by the Government in the event of their insolvency. Expanding the entitlements covered by FEG would further incentivise employers to not make provisions for </w:t>
      </w:r>
      <w:r w:rsidR="0041411C">
        <w:t>superannuation guarantee</w:t>
      </w:r>
      <w:r w:rsidR="00B02BB0">
        <w:t xml:space="preserve"> </w:t>
      </w:r>
      <w:r>
        <w:t>obligations and increased a reliance on FEG. It may also increase the risk of businesses trading while insolvent.</w:t>
      </w:r>
    </w:p>
    <w:p w14:paraId="5A974D76" w14:textId="2C371E70" w:rsidR="00DF7716" w:rsidRDefault="00DF7716" w:rsidP="001946D5">
      <w:pPr>
        <w:pStyle w:val="ListParagraph"/>
        <w:numPr>
          <w:ilvl w:val="1"/>
          <w:numId w:val="57"/>
        </w:numPr>
        <w:spacing w:line="360" w:lineRule="auto"/>
        <w:contextualSpacing w:val="0"/>
        <w:jc w:val="both"/>
      </w:pPr>
      <w:r>
        <w:t xml:space="preserve">A substantial increase in Administered Funding and departmental resources would be required to expand FEG as proposed in the </w:t>
      </w:r>
      <w:r w:rsidR="00EE4845">
        <w:t>ISA Report</w:t>
      </w:r>
      <w:r>
        <w:t xml:space="preserve">. Modelling by the Department of Employment in collaboration with Treasury and the ATO shows that the cost of the scheme would increase by up to $801.2 million over the forward estimates (this figure could be reduced by capping the amount of unpaid </w:t>
      </w:r>
      <w:r w:rsidR="0041411C">
        <w:t>superannuation guarantee</w:t>
      </w:r>
      <w:r>
        <w:t xml:space="preserve"> contributions recoverable under FEG).</w:t>
      </w:r>
      <w:r w:rsidR="007B5185">
        <w:rPr>
          <w:rStyle w:val="FootnoteReference"/>
        </w:rPr>
        <w:footnoteReference w:id="14"/>
      </w:r>
      <w:r>
        <w:t xml:space="preserve"> </w:t>
      </w:r>
    </w:p>
    <w:p w14:paraId="79838B98" w14:textId="59976828" w:rsidR="00DF7716" w:rsidRDefault="00DF7716" w:rsidP="001946D5">
      <w:pPr>
        <w:pStyle w:val="ListParagraph"/>
        <w:numPr>
          <w:ilvl w:val="1"/>
          <w:numId w:val="57"/>
        </w:numPr>
        <w:spacing w:line="360" w:lineRule="auto"/>
        <w:contextualSpacing w:val="0"/>
        <w:jc w:val="both"/>
      </w:pPr>
      <w:r>
        <w:t>With the continued rollout of Single Touch Payroll, the estimated figures for the expansion of FEG may be overstated. This is because the ATO will have more real</w:t>
      </w:r>
      <w:r w:rsidR="00CA242B">
        <w:noBreakHyphen/>
      </w:r>
      <w:r>
        <w:t xml:space="preserve">time data, enabling them to intervene early with any </w:t>
      </w:r>
      <w:r w:rsidR="0041411C">
        <w:t>superannuation guarantee</w:t>
      </w:r>
      <w:r>
        <w:t xml:space="preserve"> underpayments, reducing the need for FEG claims.  </w:t>
      </w:r>
    </w:p>
    <w:p w14:paraId="468F3D5B" w14:textId="2083AC96" w:rsidR="00DF7716" w:rsidRDefault="00DF7716" w:rsidP="001946D5">
      <w:pPr>
        <w:pStyle w:val="ListParagraph"/>
        <w:numPr>
          <w:ilvl w:val="1"/>
          <w:numId w:val="57"/>
        </w:numPr>
        <w:spacing w:line="360" w:lineRule="auto"/>
        <w:contextualSpacing w:val="0"/>
        <w:jc w:val="both"/>
      </w:pPr>
      <w:r>
        <w:t xml:space="preserve">The ISA recommendation would increase the complexity of administering FEG, potentially slowing down the approval process (the current average processing time for a FEG claim is 10.5 weeks). Unpaid </w:t>
      </w:r>
      <w:r w:rsidR="0041411C">
        <w:t>superannuation guarantee</w:t>
      </w:r>
      <w:r>
        <w:t xml:space="preserve"> contributions are calculated differently to other entitlements provided for by FEG and are not generally paid directly to the employee. </w:t>
      </w:r>
    </w:p>
    <w:p w14:paraId="00319E8F" w14:textId="77777777" w:rsidR="00DF7716" w:rsidRDefault="00DF7716" w:rsidP="001946D5">
      <w:pPr>
        <w:pStyle w:val="ListParagraph"/>
        <w:numPr>
          <w:ilvl w:val="1"/>
          <w:numId w:val="57"/>
        </w:numPr>
        <w:spacing w:line="360" w:lineRule="auto"/>
        <w:contextualSpacing w:val="0"/>
        <w:jc w:val="both"/>
      </w:pPr>
      <w:r>
        <w:t>Legislative changes to include superannuation in the FEG would create significant complexity in managing overlap between the ATO’s ongoing role to enforce SG Charge compliance and FEG’s role as a creditor in liquidation or bankruptcy once payments are made.</w:t>
      </w:r>
      <w:r w:rsidRPr="00AB5C06" w:rsidDel="00D23216">
        <w:t xml:space="preserve"> </w:t>
      </w:r>
    </w:p>
    <w:p w14:paraId="0A9C86E7" w14:textId="77777777" w:rsidR="005E07DB" w:rsidRDefault="005E07DB" w:rsidP="001946D5">
      <w:pPr>
        <w:spacing w:line="360" w:lineRule="auto"/>
        <w:jc w:val="both"/>
      </w:pPr>
    </w:p>
    <w:p w14:paraId="31F0132D" w14:textId="77777777" w:rsidR="005E07DB" w:rsidRDefault="005E07DB" w:rsidP="001946D5">
      <w:pPr>
        <w:spacing w:before="0" w:line="240" w:lineRule="auto"/>
        <w:jc w:val="both"/>
      </w:pPr>
      <w:r>
        <w:br w:type="page"/>
      </w:r>
    </w:p>
    <w:p w14:paraId="621C8399" w14:textId="77777777" w:rsidR="005E07DB" w:rsidRDefault="00422EC4" w:rsidP="001946D5">
      <w:pPr>
        <w:pStyle w:val="Heading1"/>
        <w:framePr w:wrap="notBeside"/>
        <w:spacing w:before="0"/>
        <w:jc w:val="both"/>
      </w:pPr>
      <w:bookmarkStart w:id="213" w:name="_Toc473540260"/>
      <w:bookmarkStart w:id="214" w:name="_Toc473554643"/>
      <w:bookmarkStart w:id="215" w:name="_Toc473625461"/>
      <w:bookmarkStart w:id="216" w:name="_Toc473629892"/>
      <w:bookmarkStart w:id="217" w:name="_Toc473631184"/>
      <w:bookmarkStart w:id="218" w:name="_Toc473631478"/>
      <w:bookmarkStart w:id="219" w:name="_Toc473636602"/>
      <w:bookmarkStart w:id="220" w:name="_Toc473635320"/>
      <w:r>
        <w:t xml:space="preserve">Appendix </w:t>
      </w:r>
      <w:r w:rsidR="005E07DB">
        <w:t>1</w:t>
      </w:r>
      <w:bookmarkEnd w:id="213"/>
      <w:bookmarkEnd w:id="214"/>
      <w:bookmarkEnd w:id="215"/>
      <w:bookmarkEnd w:id="216"/>
      <w:bookmarkEnd w:id="217"/>
      <w:bookmarkEnd w:id="218"/>
      <w:bookmarkEnd w:id="219"/>
      <w:bookmarkEnd w:id="220"/>
    </w:p>
    <w:p w14:paraId="7AF16280" w14:textId="77777777" w:rsidR="005E07DB" w:rsidRDefault="00B402BB" w:rsidP="001946D5">
      <w:pPr>
        <w:pStyle w:val="Heading2"/>
        <w:jc w:val="both"/>
      </w:pPr>
      <w:bookmarkStart w:id="221" w:name="_Toc473540261"/>
      <w:bookmarkStart w:id="222" w:name="_Toc473554644"/>
      <w:bookmarkStart w:id="223" w:name="_Toc473625462"/>
      <w:bookmarkStart w:id="224" w:name="_Toc473629893"/>
      <w:bookmarkStart w:id="225" w:name="_Toc473631185"/>
      <w:bookmarkStart w:id="226" w:name="_Toc473631479"/>
      <w:bookmarkStart w:id="227" w:name="_Toc473636603"/>
      <w:bookmarkStart w:id="228" w:name="_Toc473635321"/>
      <w:r>
        <w:t>T</w:t>
      </w:r>
      <w:r w:rsidR="005E07DB">
        <w:t>erms of Reference</w:t>
      </w:r>
      <w:bookmarkEnd w:id="221"/>
      <w:bookmarkEnd w:id="222"/>
      <w:bookmarkEnd w:id="223"/>
      <w:bookmarkEnd w:id="224"/>
      <w:bookmarkEnd w:id="225"/>
      <w:bookmarkEnd w:id="226"/>
      <w:bookmarkEnd w:id="227"/>
      <w:bookmarkEnd w:id="228"/>
      <w:r w:rsidR="005E07DB">
        <w:t xml:space="preserve"> </w:t>
      </w:r>
    </w:p>
    <w:p w14:paraId="195CCFE6" w14:textId="77777777" w:rsidR="00D46EEB" w:rsidRDefault="00D46EEB" w:rsidP="001946D5">
      <w:pPr>
        <w:pStyle w:val="Heading4"/>
        <w:jc w:val="both"/>
      </w:pPr>
      <w:r>
        <w:t>Term of Reference 1</w:t>
      </w:r>
    </w:p>
    <w:p w14:paraId="18A066BA" w14:textId="51B7CA68" w:rsidR="00D46EEB" w:rsidRPr="00D46EEB" w:rsidRDefault="00D46EEB" w:rsidP="001946D5">
      <w:pPr>
        <w:jc w:val="both"/>
      </w:pPr>
      <w:r w:rsidRPr="00D46EEB">
        <w:t xml:space="preserve">Analyse the information and data available in order to establish ‘fact base’ and to identify characteristics and detect drivers of </w:t>
      </w:r>
      <w:r w:rsidR="0041411C">
        <w:t>superannuation guarantee</w:t>
      </w:r>
      <w:r w:rsidRPr="00D46EEB">
        <w:t xml:space="preserve"> non</w:t>
      </w:r>
      <w:r w:rsidR="00CA242B">
        <w:noBreakHyphen/>
      </w:r>
      <w:r w:rsidRPr="00D46EEB">
        <w:t>compliance. Also have reference to:</w:t>
      </w:r>
    </w:p>
    <w:p w14:paraId="5C919B93" w14:textId="77777777" w:rsidR="00D46EEB" w:rsidRPr="00D46EEB" w:rsidRDefault="00D46EEB">
      <w:pPr>
        <w:pStyle w:val="ListParagraph"/>
        <w:numPr>
          <w:ilvl w:val="0"/>
          <w:numId w:val="61"/>
        </w:numPr>
        <w:spacing w:line="360" w:lineRule="auto"/>
        <w:jc w:val="both"/>
      </w:pPr>
      <w:r w:rsidRPr="00D46EEB">
        <w:t>The extent of non</w:t>
      </w:r>
      <w:r w:rsidR="00CA242B">
        <w:noBreakHyphen/>
      </w:r>
      <w:r w:rsidRPr="00D46EEB">
        <w:t xml:space="preserve">compliance amongst insolvent employers, </w:t>
      </w:r>
    </w:p>
    <w:p w14:paraId="590A4479" w14:textId="12DCD5BF" w:rsidR="00D46EEB" w:rsidRPr="00D46EEB" w:rsidRDefault="00D46EEB">
      <w:pPr>
        <w:pStyle w:val="ListParagraph"/>
        <w:numPr>
          <w:ilvl w:val="0"/>
          <w:numId w:val="61"/>
        </w:numPr>
        <w:spacing w:line="360" w:lineRule="auto"/>
        <w:jc w:val="both"/>
      </w:pPr>
      <w:r w:rsidRPr="00D46EEB">
        <w:t xml:space="preserve">The extent to which salary sacrifice is used to meet </w:t>
      </w:r>
      <w:r w:rsidR="0041411C">
        <w:t>superannuation guarantee</w:t>
      </w:r>
      <w:r w:rsidRPr="00D46EEB">
        <w:t xml:space="preserve"> obligations.</w:t>
      </w:r>
    </w:p>
    <w:p w14:paraId="79F1A946" w14:textId="77777777" w:rsidR="00D46EEB" w:rsidRDefault="00D46EEB" w:rsidP="001946D5">
      <w:pPr>
        <w:pStyle w:val="Heading4"/>
        <w:jc w:val="both"/>
      </w:pPr>
      <w:r>
        <w:t>Term of Reference 2</w:t>
      </w:r>
    </w:p>
    <w:p w14:paraId="46F7E208" w14:textId="3D00AB52" w:rsidR="00D46EEB" w:rsidRPr="00D46EEB" w:rsidRDefault="00D46EEB" w:rsidP="001946D5">
      <w:pPr>
        <w:jc w:val="both"/>
      </w:pPr>
      <w:r w:rsidRPr="00D46EEB">
        <w:t xml:space="preserve">Develop and consider administrative options to improve compliance and foster participation in the </w:t>
      </w:r>
      <w:r w:rsidR="0041411C">
        <w:t>superannuation guarantee</w:t>
      </w:r>
      <w:r w:rsidRPr="00D46EEB">
        <w:t xml:space="preserve"> system by employers. Have reference to:</w:t>
      </w:r>
    </w:p>
    <w:p w14:paraId="2EA733A2" w14:textId="5DB945B3" w:rsidR="00D46EEB" w:rsidRPr="00D46EEB" w:rsidRDefault="00D46EEB">
      <w:pPr>
        <w:pStyle w:val="ListParagraph"/>
        <w:numPr>
          <w:ilvl w:val="0"/>
          <w:numId w:val="62"/>
        </w:numPr>
        <w:spacing w:line="360" w:lineRule="auto"/>
        <w:jc w:val="both"/>
      </w:pPr>
      <w:r w:rsidRPr="00D46EEB">
        <w:t xml:space="preserve">Information about </w:t>
      </w:r>
      <w:r w:rsidR="0041411C">
        <w:t>superannuation guarantee</w:t>
      </w:r>
      <w:r w:rsidRPr="00D46EEB">
        <w:t xml:space="preserve"> payments coming to the ATO</w:t>
      </w:r>
    </w:p>
    <w:p w14:paraId="5F74A8D0" w14:textId="77777777" w:rsidR="00D46EEB" w:rsidRPr="00D46EEB" w:rsidRDefault="00D46EEB">
      <w:pPr>
        <w:pStyle w:val="ListParagraph"/>
        <w:numPr>
          <w:ilvl w:val="0"/>
          <w:numId w:val="62"/>
        </w:numPr>
        <w:spacing w:line="360" w:lineRule="auto"/>
        <w:jc w:val="both"/>
      </w:pPr>
      <w:r w:rsidRPr="00D46EEB">
        <w:t>The use of deterrents, such as prosecutions and audits</w:t>
      </w:r>
    </w:p>
    <w:p w14:paraId="197D2109" w14:textId="77777777" w:rsidR="00D46EEB" w:rsidRPr="00D46EEB" w:rsidRDefault="00D46EEB">
      <w:pPr>
        <w:pStyle w:val="ListParagraph"/>
        <w:numPr>
          <w:ilvl w:val="0"/>
          <w:numId w:val="62"/>
        </w:numPr>
        <w:spacing w:line="360" w:lineRule="auto"/>
        <w:jc w:val="both"/>
      </w:pPr>
      <w:r w:rsidRPr="00D46EEB">
        <w:t>Review service offerings to support employers (including understanding the employee/contractor distinction), such as online forms and tools for employers</w:t>
      </w:r>
    </w:p>
    <w:p w14:paraId="70691834" w14:textId="72CB4840" w:rsidR="00D46EEB" w:rsidRPr="00D46EEB" w:rsidRDefault="00D46EEB">
      <w:pPr>
        <w:pStyle w:val="ListParagraph"/>
        <w:numPr>
          <w:ilvl w:val="0"/>
          <w:numId w:val="62"/>
        </w:numPr>
        <w:spacing w:line="360" w:lineRule="auto"/>
        <w:jc w:val="both"/>
      </w:pPr>
      <w:r w:rsidRPr="00D46EEB">
        <w:t>The role of superannuation funds to assist employer compliance</w:t>
      </w:r>
      <w:r w:rsidR="003F37DE">
        <w:t>.</w:t>
      </w:r>
    </w:p>
    <w:p w14:paraId="0AD27D1A" w14:textId="77777777" w:rsidR="00D46EEB" w:rsidRDefault="00D46EEB" w:rsidP="00617E67">
      <w:pPr>
        <w:pStyle w:val="Heading4"/>
        <w:jc w:val="both"/>
      </w:pPr>
      <w:r>
        <w:t>Term of Reference 1</w:t>
      </w:r>
    </w:p>
    <w:p w14:paraId="48160BD0" w14:textId="27B3C6DC" w:rsidR="00D46EEB" w:rsidRPr="00D46EEB" w:rsidRDefault="00D46EEB" w:rsidP="00617E67">
      <w:pPr>
        <w:jc w:val="both"/>
      </w:pPr>
      <w:r w:rsidRPr="00D46EEB">
        <w:t xml:space="preserve">Develop and consider policy options to address </w:t>
      </w:r>
      <w:r w:rsidR="0041411C">
        <w:t>superannuation guarantee</w:t>
      </w:r>
      <w:r w:rsidRPr="00D46EEB">
        <w:t xml:space="preserve"> non</w:t>
      </w:r>
      <w:r w:rsidR="00CA242B">
        <w:noBreakHyphen/>
      </w:r>
      <w:r w:rsidRPr="00D46EEB">
        <w:t>compliance, including potential legislative change. Have reference to:</w:t>
      </w:r>
    </w:p>
    <w:p w14:paraId="10CFFB57" w14:textId="77777777" w:rsidR="00D46EEB" w:rsidRPr="00D46EEB" w:rsidRDefault="00D46EEB">
      <w:pPr>
        <w:pStyle w:val="ListParagraph"/>
        <w:numPr>
          <w:ilvl w:val="0"/>
          <w:numId w:val="63"/>
        </w:numPr>
        <w:spacing w:line="360" w:lineRule="auto"/>
        <w:jc w:val="both"/>
      </w:pPr>
      <w:r w:rsidRPr="00D46EEB">
        <w:t>Potential to improve compliance through collection of more timely and accurate data</w:t>
      </w:r>
    </w:p>
    <w:p w14:paraId="15E9E4BE" w14:textId="36E0AFCD" w:rsidR="00D46EEB" w:rsidRPr="00D46EEB" w:rsidRDefault="00D46EEB">
      <w:pPr>
        <w:pStyle w:val="ListParagraph"/>
        <w:numPr>
          <w:ilvl w:val="0"/>
          <w:numId w:val="63"/>
        </w:numPr>
        <w:spacing w:line="360" w:lineRule="auto"/>
        <w:jc w:val="both"/>
      </w:pPr>
      <w:r>
        <w:t>T</w:t>
      </w:r>
      <w:r w:rsidRPr="00D46EEB">
        <w:t xml:space="preserve">he frequency of employers paying </w:t>
      </w:r>
      <w:r w:rsidR="0041411C">
        <w:t>superannuation guarantee</w:t>
      </w:r>
    </w:p>
    <w:p w14:paraId="48F8FFF9" w14:textId="45667E34" w:rsidR="00D46EEB" w:rsidRPr="00D46EEB" w:rsidRDefault="00D46EEB">
      <w:pPr>
        <w:pStyle w:val="ListParagraph"/>
        <w:numPr>
          <w:ilvl w:val="0"/>
          <w:numId w:val="63"/>
        </w:numPr>
        <w:spacing w:line="360" w:lineRule="auto"/>
        <w:jc w:val="both"/>
      </w:pPr>
      <w:r w:rsidRPr="00D46EEB">
        <w:t>The appropriateness of penalties and interest rates for non</w:t>
      </w:r>
      <w:r w:rsidR="00CA242B">
        <w:noBreakHyphen/>
      </w:r>
      <w:r w:rsidRPr="00D46EEB">
        <w:t>compliance</w:t>
      </w:r>
      <w:r w:rsidR="003F37DE">
        <w:t>.</w:t>
      </w:r>
      <w:r w:rsidRPr="00D46EEB">
        <w:t> </w:t>
      </w:r>
    </w:p>
    <w:p w14:paraId="1380E115" w14:textId="77777777" w:rsidR="005E07DB" w:rsidRDefault="005E07DB" w:rsidP="00617E67">
      <w:pPr>
        <w:spacing w:line="360" w:lineRule="auto"/>
        <w:jc w:val="both"/>
      </w:pPr>
    </w:p>
    <w:p w14:paraId="52478C23" w14:textId="77777777" w:rsidR="00637CC6" w:rsidRDefault="00DF7716" w:rsidP="00617E67">
      <w:pPr>
        <w:spacing w:beforeLines="140" w:before="336" w:line="360" w:lineRule="auto"/>
        <w:jc w:val="both"/>
        <w:rPr>
          <w:bCs/>
        </w:rPr>
      </w:pPr>
      <w:r>
        <w:rPr>
          <w:bCs/>
        </w:rPr>
        <w:br w:type="page"/>
      </w:r>
    </w:p>
    <w:p w14:paraId="5E3C7564" w14:textId="2503F4E5" w:rsidR="00DA0B72" w:rsidRDefault="00DA0B72" w:rsidP="00DA0B72">
      <w:pPr>
        <w:pStyle w:val="Heading1"/>
        <w:framePr w:wrap="notBeside"/>
        <w:spacing w:before="0"/>
        <w:jc w:val="both"/>
      </w:pPr>
      <w:bookmarkStart w:id="229" w:name="_Toc473625463"/>
      <w:bookmarkStart w:id="230" w:name="_Toc473629894"/>
      <w:bookmarkStart w:id="231" w:name="_Toc473631186"/>
      <w:bookmarkStart w:id="232" w:name="_Toc473631480"/>
      <w:bookmarkStart w:id="233" w:name="_Toc473636604"/>
      <w:bookmarkStart w:id="234" w:name="_Toc473635322"/>
      <w:r>
        <w:t>Appendix 2</w:t>
      </w:r>
      <w:bookmarkEnd w:id="229"/>
      <w:bookmarkEnd w:id="230"/>
      <w:bookmarkEnd w:id="231"/>
      <w:bookmarkEnd w:id="232"/>
      <w:bookmarkEnd w:id="233"/>
      <w:bookmarkEnd w:id="234"/>
    </w:p>
    <w:p w14:paraId="50706B19" w14:textId="399851FC" w:rsidR="00DA0B72" w:rsidRDefault="00DA0B72" w:rsidP="00DA0B72">
      <w:pPr>
        <w:pStyle w:val="Heading2"/>
        <w:jc w:val="both"/>
      </w:pPr>
      <w:bookmarkStart w:id="235" w:name="_Toc473625464"/>
      <w:bookmarkStart w:id="236" w:name="_Toc473629895"/>
      <w:bookmarkStart w:id="237" w:name="_Toc473631187"/>
      <w:bookmarkStart w:id="238" w:name="_Toc473631481"/>
      <w:bookmarkStart w:id="239" w:name="_Toc473636605"/>
      <w:bookmarkStart w:id="240" w:name="_Toc473635323"/>
      <w:r>
        <w:t>Cross Agency Working Group Members</w:t>
      </w:r>
      <w:bookmarkEnd w:id="235"/>
      <w:bookmarkEnd w:id="236"/>
      <w:bookmarkEnd w:id="237"/>
      <w:bookmarkEnd w:id="238"/>
      <w:bookmarkEnd w:id="239"/>
      <w:bookmarkEnd w:id="240"/>
    </w:p>
    <w:tbl>
      <w:tblPr>
        <w:tblStyle w:val="TableGrid"/>
        <w:tblW w:w="0" w:type="auto"/>
        <w:tblLook w:val="04A0" w:firstRow="1" w:lastRow="0" w:firstColumn="1" w:lastColumn="0" w:noHBand="0" w:noVBand="1"/>
      </w:tblPr>
      <w:tblGrid>
        <w:gridCol w:w="4536"/>
        <w:gridCol w:w="4534"/>
      </w:tblGrid>
      <w:tr w:rsidR="00DA0B72" w14:paraId="50DBCAFE" w14:textId="77777777" w:rsidTr="00DA0B72">
        <w:tc>
          <w:tcPr>
            <w:tcW w:w="4643" w:type="dxa"/>
          </w:tcPr>
          <w:p w14:paraId="3902AAC5" w14:textId="798A52EA" w:rsidR="00DA0B72" w:rsidRPr="00CD678D" w:rsidRDefault="00DA0B72" w:rsidP="00CD678D">
            <w:pPr>
              <w:spacing w:beforeLines="140" w:before="336" w:line="360" w:lineRule="auto"/>
              <w:rPr>
                <w:b/>
              </w:rPr>
            </w:pPr>
            <w:r>
              <w:rPr>
                <w:b/>
              </w:rPr>
              <w:t>Agency</w:t>
            </w:r>
          </w:p>
        </w:tc>
        <w:tc>
          <w:tcPr>
            <w:tcW w:w="4643" w:type="dxa"/>
          </w:tcPr>
          <w:p w14:paraId="365E0B14" w14:textId="2DF852BE" w:rsidR="00DA0B72" w:rsidRPr="00CD678D" w:rsidRDefault="00DA0B72" w:rsidP="00CD678D">
            <w:pPr>
              <w:spacing w:beforeLines="140" w:before="336" w:line="360" w:lineRule="auto"/>
              <w:rPr>
                <w:b/>
              </w:rPr>
            </w:pPr>
            <w:r w:rsidRPr="00CD678D">
              <w:rPr>
                <w:b/>
              </w:rPr>
              <w:t>Members</w:t>
            </w:r>
          </w:p>
        </w:tc>
      </w:tr>
      <w:tr w:rsidR="00DA0B72" w14:paraId="4C63B8A5" w14:textId="77777777" w:rsidTr="00DA0B72">
        <w:tc>
          <w:tcPr>
            <w:tcW w:w="4643" w:type="dxa"/>
          </w:tcPr>
          <w:p w14:paraId="1B074C1D" w14:textId="28922269" w:rsidR="00DA0B72" w:rsidRDefault="00DA0B72" w:rsidP="00CD678D">
            <w:pPr>
              <w:spacing w:beforeLines="140" w:before="336" w:line="360" w:lineRule="auto"/>
            </w:pPr>
            <w:r>
              <w:t>Australian Taxation Office</w:t>
            </w:r>
          </w:p>
        </w:tc>
        <w:tc>
          <w:tcPr>
            <w:tcW w:w="4643" w:type="dxa"/>
          </w:tcPr>
          <w:p w14:paraId="01FFC636" w14:textId="17554F3D" w:rsidR="00DA0B72" w:rsidRDefault="00DA0B72" w:rsidP="00CD678D">
            <w:pPr>
              <w:spacing w:beforeLines="150" w:before="360" w:line="360" w:lineRule="auto"/>
            </w:pPr>
            <w:r>
              <w:t>James O’Halloran, Chair</w:t>
            </w:r>
            <w:r>
              <w:br/>
            </w:r>
            <w:r w:rsidR="004A5AF7" w:rsidRPr="00CD678D">
              <w:rPr>
                <w:sz w:val="16"/>
              </w:rPr>
              <w:t>Deputy Commissioner, Superannuation</w:t>
            </w:r>
            <w:r w:rsidR="004A5AF7">
              <w:br/>
            </w:r>
            <w:r>
              <w:t>Debbie Rawlings</w:t>
            </w:r>
            <w:r w:rsidR="004A5AF7">
              <w:br/>
            </w:r>
            <w:r w:rsidR="004A5AF7" w:rsidRPr="00CD678D">
              <w:rPr>
                <w:sz w:val="16"/>
              </w:rPr>
              <w:t>Assistant Commissioner, Superannuation</w:t>
            </w:r>
          </w:p>
        </w:tc>
      </w:tr>
      <w:tr w:rsidR="00DA0B72" w14:paraId="5B2B3026" w14:textId="77777777" w:rsidTr="00DA0B72">
        <w:tc>
          <w:tcPr>
            <w:tcW w:w="4643" w:type="dxa"/>
          </w:tcPr>
          <w:p w14:paraId="28AF602C" w14:textId="0028301C" w:rsidR="00DA0B72" w:rsidRDefault="00DA0B72" w:rsidP="00CD678D">
            <w:pPr>
              <w:spacing w:beforeLines="140" w:before="336" w:line="360" w:lineRule="auto"/>
            </w:pPr>
            <w:r>
              <w:t>Department of the Treasury</w:t>
            </w:r>
          </w:p>
        </w:tc>
        <w:tc>
          <w:tcPr>
            <w:tcW w:w="4643" w:type="dxa"/>
          </w:tcPr>
          <w:p w14:paraId="6B093460" w14:textId="7D3F0D1B" w:rsidR="00DA0B72" w:rsidRDefault="00DA0B72" w:rsidP="00CD678D">
            <w:pPr>
              <w:spacing w:beforeLines="140" w:before="336" w:line="360" w:lineRule="auto"/>
            </w:pPr>
            <w:r>
              <w:t>Jenny Wilkinson</w:t>
            </w:r>
            <w:r>
              <w:br/>
            </w:r>
            <w:r w:rsidR="004A5AF7" w:rsidRPr="00CD678D">
              <w:rPr>
                <w:sz w:val="16"/>
              </w:rPr>
              <w:t>Division Head, Retirement Income Policy Division</w:t>
            </w:r>
            <w:r w:rsidR="004A5AF7">
              <w:br/>
            </w:r>
            <w:r>
              <w:t>Robb Preston</w:t>
            </w:r>
            <w:r w:rsidR="004A5AF7">
              <w:br/>
            </w:r>
            <w:r w:rsidR="004A5AF7" w:rsidRPr="00CD678D">
              <w:rPr>
                <w:sz w:val="16"/>
              </w:rPr>
              <w:t>Manager, Retirement Income Policy Division</w:t>
            </w:r>
          </w:p>
        </w:tc>
      </w:tr>
      <w:tr w:rsidR="00DA0B72" w14:paraId="7017CAD5" w14:textId="77777777" w:rsidTr="00DA0B72">
        <w:tc>
          <w:tcPr>
            <w:tcW w:w="4643" w:type="dxa"/>
          </w:tcPr>
          <w:p w14:paraId="22E30397" w14:textId="398BBCB6" w:rsidR="00DA0B72" w:rsidRDefault="00DA0B72" w:rsidP="00CD678D">
            <w:pPr>
              <w:spacing w:beforeLines="140" w:before="336" w:line="360" w:lineRule="auto"/>
            </w:pPr>
            <w:r>
              <w:t>Department of Employment</w:t>
            </w:r>
          </w:p>
        </w:tc>
        <w:tc>
          <w:tcPr>
            <w:tcW w:w="4643" w:type="dxa"/>
          </w:tcPr>
          <w:p w14:paraId="7A0D6CE7" w14:textId="6AD2CA33" w:rsidR="00DA0B72" w:rsidRDefault="00DA0B72" w:rsidP="00CD678D">
            <w:pPr>
              <w:spacing w:beforeLines="140" w:before="336" w:line="360" w:lineRule="auto"/>
            </w:pPr>
            <w:r>
              <w:t>David Denney</w:t>
            </w:r>
            <w:r w:rsidR="004A5AF7">
              <w:br/>
            </w:r>
            <w:r w:rsidR="004A5AF7" w:rsidRPr="00CD678D">
              <w:rPr>
                <w:sz w:val="16"/>
              </w:rPr>
              <w:t>Branch Manager, Workplace Relations Economic Strategy</w:t>
            </w:r>
          </w:p>
        </w:tc>
      </w:tr>
      <w:tr w:rsidR="00DA0B72" w14:paraId="3213169B" w14:textId="77777777" w:rsidTr="00DA0B72">
        <w:tc>
          <w:tcPr>
            <w:tcW w:w="4643" w:type="dxa"/>
          </w:tcPr>
          <w:p w14:paraId="5BCD4364" w14:textId="5342B903" w:rsidR="00DA0B72" w:rsidRDefault="00DA0B72" w:rsidP="00CD678D">
            <w:pPr>
              <w:spacing w:beforeLines="140" w:before="336" w:line="360" w:lineRule="auto"/>
            </w:pPr>
            <w:r>
              <w:t>Australian Prudential Regulation Authority</w:t>
            </w:r>
          </w:p>
        </w:tc>
        <w:tc>
          <w:tcPr>
            <w:tcW w:w="4643" w:type="dxa"/>
          </w:tcPr>
          <w:p w14:paraId="6C9F3076" w14:textId="6FFF6D13" w:rsidR="00DA0B72" w:rsidRDefault="00DA0B72" w:rsidP="00CD678D">
            <w:pPr>
              <w:spacing w:beforeLines="140" w:before="336" w:line="360" w:lineRule="auto"/>
            </w:pPr>
            <w:r>
              <w:t>Sacha Vidler</w:t>
            </w:r>
            <w:r w:rsidR="004A5AF7">
              <w:br/>
            </w:r>
            <w:r w:rsidR="004A5AF7" w:rsidRPr="00CD678D">
              <w:rPr>
                <w:sz w:val="16"/>
              </w:rPr>
              <w:t>Head (acting), Industry Team</w:t>
            </w:r>
          </w:p>
        </w:tc>
      </w:tr>
      <w:tr w:rsidR="00DA0B72" w14:paraId="3FF9800A" w14:textId="77777777" w:rsidTr="00DA0B72">
        <w:tc>
          <w:tcPr>
            <w:tcW w:w="4643" w:type="dxa"/>
          </w:tcPr>
          <w:p w14:paraId="2156F5D4" w14:textId="7F6E5824" w:rsidR="00DA0B72" w:rsidRDefault="00DA0B72" w:rsidP="00CD678D">
            <w:pPr>
              <w:spacing w:beforeLines="140" w:before="336" w:line="360" w:lineRule="auto"/>
            </w:pPr>
            <w:r>
              <w:t>Australian Securities and Investment Commission</w:t>
            </w:r>
          </w:p>
        </w:tc>
        <w:tc>
          <w:tcPr>
            <w:tcW w:w="4643" w:type="dxa"/>
          </w:tcPr>
          <w:p w14:paraId="20217E5D" w14:textId="3460111F" w:rsidR="00DA0B72" w:rsidRDefault="00DA0B72" w:rsidP="00CD678D">
            <w:pPr>
              <w:spacing w:beforeLines="140" w:before="336" w:line="360" w:lineRule="auto"/>
            </w:pPr>
            <w:r>
              <w:t>Gerard Fitzpatrick</w:t>
            </w:r>
            <w:r w:rsidR="004A5AF7">
              <w:br/>
            </w:r>
            <w:r w:rsidR="004A5AF7">
              <w:rPr>
                <w:sz w:val="16"/>
              </w:rPr>
              <w:t xml:space="preserve">Senior Executive Leader, Investment Managers and Superannuation </w:t>
            </w:r>
          </w:p>
        </w:tc>
      </w:tr>
    </w:tbl>
    <w:p w14:paraId="18F831A2" w14:textId="77777777" w:rsidR="00DA0B72" w:rsidRDefault="00DA0B72" w:rsidP="00CD678D">
      <w:pPr>
        <w:spacing w:beforeLines="140" w:before="336" w:line="360" w:lineRule="auto"/>
      </w:pPr>
    </w:p>
    <w:p w14:paraId="307FDEBA" w14:textId="644BD9B3" w:rsidR="00DA0B72" w:rsidRDefault="00DA0B72" w:rsidP="00DA0B72">
      <w:pPr>
        <w:spacing w:beforeLines="140" w:before="336" w:line="360" w:lineRule="auto"/>
        <w:jc w:val="both"/>
        <w:sectPr w:rsidR="00DA0B72">
          <w:headerReference w:type="default" r:id="rId28"/>
          <w:footerReference w:type="default" r:id="rId29"/>
          <w:pgSz w:w="11906" w:h="16838" w:code="9"/>
          <w:pgMar w:top="1418" w:right="1418" w:bottom="1418" w:left="1418" w:header="397" w:footer="454" w:gutter="0"/>
          <w:cols w:space="720"/>
          <w:docGrid w:linePitch="360"/>
        </w:sectPr>
      </w:pPr>
    </w:p>
    <w:p w14:paraId="1DD80CAF" w14:textId="77777777" w:rsidR="00885E8A" w:rsidRDefault="00885E8A" w:rsidP="00885E8A"/>
    <w:sectPr w:rsidR="00885E8A" w:rsidSect="00885E8A">
      <w:headerReference w:type="default" r:id="rId30"/>
      <w:footerReference w:type="default" r:id="rId31"/>
      <w:type w:val="evenPage"/>
      <w:pgSz w:w="11906" w:h="16838" w:code="9"/>
      <w:pgMar w:top="1418" w:right="1418" w:bottom="1418" w:left="1418" w:header="39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34630" w14:textId="77777777" w:rsidR="00B8566F" w:rsidRDefault="00B8566F" w:rsidP="00885E8A">
      <w:r>
        <w:separator/>
      </w:r>
    </w:p>
  </w:endnote>
  <w:endnote w:type="continuationSeparator" w:id="0">
    <w:p w14:paraId="7042D973" w14:textId="77777777" w:rsidR="00B8566F" w:rsidRDefault="00B8566F" w:rsidP="00885E8A">
      <w:r>
        <w:continuationSeparator/>
      </w:r>
    </w:p>
  </w:endnote>
  <w:endnote w:type="continuationNotice" w:id="1">
    <w:p w14:paraId="5376CED6" w14:textId="77777777" w:rsidR="00B8566F" w:rsidRDefault="00B856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4051" w14:textId="77777777" w:rsidR="009B2A58" w:rsidRDefault="009B2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18C1" w14:textId="77777777" w:rsidR="009B2A58" w:rsidRDefault="009B2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13F7C" w14:textId="77777777" w:rsidR="009B2A58" w:rsidRDefault="009B2A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9E86" w14:textId="77777777" w:rsidR="00B8566F" w:rsidRPr="00A73D97" w:rsidRDefault="00B8566F" w:rsidP="00885E8A">
    <w:pPr>
      <w:pStyle w:val="Footer"/>
      <w:tabs>
        <w:tab w:val="clear" w:pos="4513"/>
        <w:tab w:val="clear" w:pos="9026"/>
        <w:tab w:val="right" w:pos="9923"/>
      </w:tabs>
      <w:rPr>
        <w:lang w:val="en-US"/>
      </w:rPr>
    </w:pPr>
    <w:r w:rsidRPr="0055313B">
      <w:rPr>
        <w:rStyle w:val="Classification"/>
      </w:rPr>
      <w:t>[Classification]</w:t>
    </w:r>
    <w:r>
      <w:rPr>
        <w:rStyle w:val="Classification"/>
      </w:rPr>
      <w:t xml:space="preserve"> </w:t>
    </w:r>
    <w:r w:rsidRPr="0044347B">
      <w:rPr>
        <w:lang w:val="en-US"/>
      </w:rPr>
      <w:t xml:space="preserve"> [Internal/External]</w:t>
    </w:r>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Pr="00CD678D">
      <w:rPr>
        <w:caps w:val="0"/>
        <w:noProof/>
        <w:sz w:val="20"/>
        <w:lang w:val="en-US"/>
      </w:rPr>
      <w:t>3</w:t>
    </w:r>
    <w:r w:rsidRPr="00F67130">
      <w:rPr>
        <w:noProof/>
        <w:sz w:val="2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36C6" w14:textId="716D5A20" w:rsidR="00B8566F" w:rsidRPr="00A73D97" w:rsidRDefault="00B8566F" w:rsidP="00885E8A">
    <w:pPr>
      <w:pStyle w:val="Footer"/>
      <w:tabs>
        <w:tab w:val="clear" w:pos="4513"/>
        <w:tab w:val="clear" w:pos="9026"/>
        <w:tab w:val="right" w:pos="9923"/>
      </w:tabs>
      <w:rPr>
        <w:lang w:val="en-US"/>
      </w:rPr>
    </w:pPr>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00FA2A0D" w:rsidRPr="00FA2A0D">
      <w:rPr>
        <w:caps w:val="0"/>
        <w:noProof/>
        <w:sz w:val="20"/>
        <w:lang w:val="en-US"/>
      </w:rPr>
      <w:t>2</w:t>
    </w:r>
    <w:r w:rsidRPr="00F67130">
      <w:rPr>
        <w:noProof/>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B4B4" w14:textId="0B2774EA" w:rsidR="00B8566F" w:rsidRPr="00A73D97" w:rsidRDefault="00B8566F" w:rsidP="00885E8A">
    <w:pPr>
      <w:pStyle w:val="Footer"/>
      <w:tabs>
        <w:tab w:val="clear" w:pos="4513"/>
        <w:tab w:val="clear" w:pos="9026"/>
        <w:tab w:val="right" w:pos="9923"/>
      </w:tabs>
      <w:rPr>
        <w:lang w:val="en-US"/>
      </w:rPr>
    </w:pPr>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00FA2A0D" w:rsidRPr="00FA2A0D">
      <w:rPr>
        <w:caps w:val="0"/>
        <w:noProof/>
        <w:sz w:val="20"/>
        <w:lang w:val="en-US"/>
      </w:rPr>
      <w:t>37</w:t>
    </w:r>
    <w:r w:rsidRPr="00F67130">
      <w:rPr>
        <w:noProof/>
        <w:sz w:val="20"/>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E235" w14:textId="77777777" w:rsidR="00B8566F" w:rsidRDefault="00B8566F">
    <w:pPr>
      <w:pStyle w:val="Footer"/>
    </w:pPr>
    <w:r>
      <w:rPr>
        <w:noProof/>
        <w:lang w:eastAsia="en-AU"/>
      </w:rPr>
      <w:drawing>
        <wp:anchor distT="0" distB="0" distL="114300" distR="114300" simplePos="0" relativeHeight="251658244" behindDoc="0" locked="0" layoutInCell="1" allowOverlap="1" wp14:anchorId="7B2040EA" wp14:editId="1F674DC4">
          <wp:simplePos x="0" y="0"/>
          <wp:positionH relativeFrom="column">
            <wp:posOffset>-576580</wp:posOffset>
          </wp:positionH>
          <wp:positionV relativeFrom="paragraph">
            <wp:posOffset>-685165</wp:posOffset>
          </wp:positionV>
          <wp:extent cx="1562100" cy="800100"/>
          <wp:effectExtent l="0" t="0" r="0" b="0"/>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516C9" w14:textId="77777777" w:rsidR="00B8566F" w:rsidRDefault="00B8566F" w:rsidP="00885E8A">
      <w:r>
        <w:separator/>
      </w:r>
    </w:p>
  </w:footnote>
  <w:footnote w:type="continuationSeparator" w:id="0">
    <w:p w14:paraId="7B20935C" w14:textId="77777777" w:rsidR="00B8566F" w:rsidRDefault="00B8566F" w:rsidP="00885E8A">
      <w:r>
        <w:continuationSeparator/>
      </w:r>
    </w:p>
  </w:footnote>
  <w:footnote w:type="continuationNotice" w:id="1">
    <w:p w14:paraId="52746B72" w14:textId="77777777" w:rsidR="00B8566F" w:rsidRDefault="00B8566F">
      <w:pPr>
        <w:spacing w:before="0" w:line="240" w:lineRule="auto"/>
      </w:pPr>
    </w:p>
  </w:footnote>
  <w:footnote w:id="2">
    <w:p w14:paraId="5A978DF7" w14:textId="64C5290E" w:rsidR="00B8566F" w:rsidRDefault="00B8566F">
      <w:pPr>
        <w:pStyle w:val="FootnoteText"/>
      </w:pPr>
      <w:r>
        <w:rPr>
          <w:rStyle w:val="FootnoteReference"/>
        </w:rPr>
        <w:footnoteRef/>
      </w:r>
      <w:r>
        <w:t xml:space="preserve"> </w:t>
      </w:r>
      <w:r w:rsidRPr="00CD678D">
        <w:t xml:space="preserve">The ISA Report estimates that there is </w:t>
      </w:r>
      <w:r>
        <w:t>superannuation guarantee</w:t>
      </w:r>
      <w:r w:rsidRPr="00CD678D">
        <w:t xml:space="preserve"> underpayment of $2.4 billion with a further $0.8 billion identified in the CBUS commissioned report by Tria Investment Partners which included the cash economy.</w:t>
      </w:r>
    </w:p>
  </w:footnote>
  <w:footnote w:id="3">
    <w:p w14:paraId="2C80B2BC" w14:textId="2668F4F2" w:rsidR="00B8566F" w:rsidRDefault="00B8566F">
      <w:pPr>
        <w:pStyle w:val="FootnoteText"/>
      </w:pPr>
      <w:r>
        <w:rPr>
          <w:rStyle w:val="FootnoteReference"/>
        </w:rPr>
        <w:footnoteRef/>
      </w:r>
      <w:r>
        <w:t xml:space="preserve"> </w:t>
      </w:r>
      <w:r w:rsidRPr="000657D4">
        <w:rPr>
          <w:szCs w:val="16"/>
        </w:rPr>
        <w:t>June 2015 (reissued August 2016) APRA annual superannuation bulletins (includes contributions to SMSFs and salary sacrifice).</w:t>
      </w:r>
    </w:p>
  </w:footnote>
  <w:footnote w:id="4">
    <w:p w14:paraId="591F1C50" w14:textId="7AC4F944" w:rsidR="00B8566F" w:rsidRDefault="00B8566F">
      <w:pPr>
        <w:pStyle w:val="FootnoteText"/>
      </w:pPr>
      <w:r>
        <w:rPr>
          <w:rStyle w:val="FootnoteReference"/>
        </w:rPr>
        <w:footnoteRef/>
      </w:r>
      <w:r>
        <w:t xml:space="preserve"> ATO compliance data shows around 70 per cent of people who report non-compliance to the ATO are ex-employees.  </w:t>
      </w:r>
    </w:p>
  </w:footnote>
  <w:footnote w:id="5">
    <w:p w14:paraId="3D20A4E1" w14:textId="7905205F" w:rsidR="00B8566F" w:rsidRPr="00F85F63" w:rsidRDefault="00B8566F" w:rsidP="00CD678D">
      <w:pPr>
        <w:pStyle w:val="NormalWeb"/>
        <w:shd w:val="clear" w:color="auto" w:fill="FFFFFF"/>
      </w:pPr>
      <w:r w:rsidRPr="00CD678D">
        <w:rPr>
          <w:rStyle w:val="FootnoteReference"/>
          <w:rFonts w:ascii="Arial" w:hAnsi="Arial"/>
          <w:sz w:val="16"/>
        </w:rPr>
        <w:footnoteRef/>
      </w:r>
      <w:r w:rsidRPr="00CD678D">
        <w:rPr>
          <w:rFonts w:ascii="Arial" w:hAnsi="Arial" w:cs="Arial"/>
          <w:sz w:val="16"/>
          <w:szCs w:val="16"/>
        </w:rPr>
        <w:t xml:space="preserve"> </w:t>
      </w:r>
      <w:r w:rsidRPr="00CD678D">
        <w:rPr>
          <w:rFonts w:ascii="Arial" w:hAnsi="Arial" w:cs="Arial"/>
          <w:color w:val="000000"/>
          <w:sz w:val="16"/>
          <w:szCs w:val="16"/>
        </w:rPr>
        <w:t>Debts that are irrecoverable-at-law are mainly limited to circumstances associated with insolvency. The Tax Office has little control over write-offs in this category, which simply reflect the outcome of insolvency action.</w:t>
      </w:r>
      <w:r w:rsidRPr="00CD678D">
        <w:rPr>
          <w:rFonts w:ascii="Arial" w:hAnsi="Arial"/>
          <w:color w:val="000000"/>
          <w:sz w:val="16"/>
        </w:rPr>
        <w:t xml:space="preserve"> </w:t>
      </w:r>
    </w:p>
  </w:footnote>
  <w:footnote w:id="6">
    <w:p w14:paraId="198E072D" w14:textId="55BFA1E1" w:rsidR="00B8566F" w:rsidRDefault="00B8566F" w:rsidP="0022707F">
      <w:pPr>
        <w:pStyle w:val="FootnoteText"/>
      </w:pPr>
      <w:r>
        <w:rPr>
          <w:rStyle w:val="FootnoteReference"/>
        </w:rPr>
        <w:footnoteRef/>
      </w:r>
      <w:r>
        <w:t xml:space="preserve"> Members of the ATO’s expert panel are </w:t>
      </w:r>
      <w:r w:rsidRPr="00837BB1">
        <w:t>Chris Richardson</w:t>
      </w:r>
      <w:r>
        <w:t xml:space="preserve"> (</w:t>
      </w:r>
      <w:r w:rsidRPr="00837BB1">
        <w:t>Deloitte Access Economics</w:t>
      </w:r>
      <w:r>
        <w:t>)</w:t>
      </w:r>
      <w:r w:rsidRPr="00837BB1">
        <w:t>, Professor Neil Warren</w:t>
      </w:r>
      <w:r>
        <w:t xml:space="preserve"> (</w:t>
      </w:r>
      <w:r w:rsidRPr="00837BB1">
        <w:t>University of New South Wales</w:t>
      </w:r>
      <w:r>
        <w:t>)</w:t>
      </w:r>
      <w:r w:rsidRPr="00837BB1">
        <w:t>, and Richard Highfield</w:t>
      </w:r>
      <w:r>
        <w:t xml:space="preserve"> (</w:t>
      </w:r>
      <w:r w:rsidRPr="00837BB1">
        <w:t>former advisor to the Organisation for Economic Co-operation and Development and internationall</w:t>
      </w:r>
      <w:r>
        <w:t>y recognised tax gap expert).</w:t>
      </w:r>
    </w:p>
  </w:footnote>
  <w:footnote w:id="7">
    <w:p w14:paraId="4EFC9EFD" w14:textId="77777777" w:rsidR="005A7565" w:rsidRDefault="005A7565" w:rsidP="005A7565">
      <w:pPr>
        <w:pStyle w:val="FootnoteText"/>
      </w:pPr>
      <w:r>
        <w:rPr>
          <w:rStyle w:val="FootnoteReference"/>
        </w:rPr>
        <w:footnoteRef/>
      </w:r>
      <w:r>
        <w:t xml:space="preserve"> The main contributors to this chapter are the ATO and Treasury (on behalf of the Working Group).</w:t>
      </w:r>
    </w:p>
  </w:footnote>
  <w:footnote w:id="8">
    <w:p w14:paraId="48B50AF3" w14:textId="2DE89B3A" w:rsidR="00B8566F" w:rsidRDefault="00B8566F">
      <w:pPr>
        <w:pStyle w:val="FootnoteText"/>
      </w:pPr>
      <w:r>
        <w:rPr>
          <w:rStyle w:val="FootnoteReference"/>
        </w:rPr>
        <w:footnoteRef/>
      </w:r>
      <w:r>
        <w:t xml:space="preserve"> The</w:t>
      </w:r>
      <w:r w:rsidRPr="00A016C5">
        <w:rPr>
          <w:color w:val="auto"/>
        </w:rPr>
        <w:t xml:space="preserve"> ABS survey does not capture </w:t>
      </w:r>
      <w:r>
        <w:t>superannuation guarantee</w:t>
      </w:r>
      <w:r w:rsidRPr="00A016C5">
        <w:rPr>
          <w:color w:val="auto"/>
        </w:rPr>
        <w:t xml:space="preserve"> contributions and therefore cannot be used to estimate </w:t>
      </w:r>
      <w:r>
        <w:t>superannuation guarantee</w:t>
      </w:r>
      <w:r w:rsidRPr="00A016C5">
        <w:rPr>
          <w:color w:val="auto"/>
        </w:rPr>
        <w:t xml:space="preserve"> compliance.  Also as a confidential survey of around only 14,000 households, the Survey of Income and Housing cannot </w:t>
      </w:r>
      <w:r>
        <w:rPr>
          <w:color w:val="auto"/>
        </w:rPr>
        <w:t>drive</w:t>
      </w:r>
      <w:r w:rsidRPr="00A016C5">
        <w:rPr>
          <w:color w:val="auto"/>
        </w:rPr>
        <w:t xml:space="preserve"> </w:t>
      </w:r>
      <w:r>
        <w:rPr>
          <w:color w:val="auto"/>
        </w:rPr>
        <w:t xml:space="preserve">the ATO’s </w:t>
      </w:r>
      <w:r w:rsidRPr="00A016C5">
        <w:rPr>
          <w:color w:val="auto"/>
        </w:rPr>
        <w:t xml:space="preserve">compliance </w:t>
      </w:r>
      <w:r>
        <w:rPr>
          <w:color w:val="auto"/>
        </w:rPr>
        <w:t>and enforcement program.</w:t>
      </w:r>
    </w:p>
  </w:footnote>
  <w:footnote w:id="9">
    <w:p w14:paraId="65FAE5DD" w14:textId="4F97CEBF" w:rsidR="00B8566F" w:rsidRDefault="00B8566F">
      <w:pPr>
        <w:pStyle w:val="FootnoteText"/>
      </w:pPr>
      <w:r>
        <w:rPr>
          <w:rStyle w:val="FootnoteReference"/>
        </w:rPr>
        <w:footnoteRef/>
      </w:r>
      <w:r>
        <w:t xml:space="preserve"> Note the ISA’s report uses data for 2013-14 where the statutory rate of superannuation guarantee was 9.25 per cent (it has been 9.5 per cent from 1 July 2014).</w:t>
      </w:r>
    </w:p>
  </w:footnote>
  <w:footnote w:id="10">
    <w:p w14:paraId="797FF302" w14:textId="0F376FC1" w:rsidR="00B8566F" w:rsidRDefault="00B8566F">
      <w:pPr>
        <w:pStyle w:val="FootnoteText"/>
      </w:pPr>
      <w:r>
        <w:rPr>
          <w:rStyle w:val="FootnoteReference"/>
        </w:rPr>
        <w:footnoteRef/>
      </w:r>
      <w:r>
        <w:t xml:space="preserve"> Currently, funds are only required to contact members yearly to provide an annual statement, and employees can be unaware that their employer has not made superannuation contributions for up to eighteen months due to time lags. The detail in the annual statement might not be sufficient to identify which employer has failed to pay (if the employee has multiple employers). </w:t>
      </w:r>
    </w:p>
  </w:footnote>
  <w:footnote w:id="11">
    <w:p w14:paraId="1746D531" w14:textId="77777777" w:rsidR="00B8566F" w:rsidRPr="00CD678D" w:rsidRDefault="00B8566F" w:rsidP="004A72A0">
      <w:pPr>
        <w:rPr>
          <w:rFonts w:cs="Arial"/>
          <w:color w:val="auto"/>
          <w:sz w:val="16"/>
          <w:szCs w:val="16"/>
        </w:rPr>
      </w:pPr>
      <w:r w:rsidRPr="00CD678D">
        <w:rPr>
          <w:rStyle w:val="FootnoteReference"/>
          <w:rFonts w:cs="Arial"/>
          <w:color w:val="auto"/>
          <w:sz w:val="16"/>
          <w:szCs w:val="16"/>
        </w:rPr>
        <w:footnoteRef/>
      </w:r>
      <w:r w:rsidRPr="00CD678D">
        <w:rPr>
          <w:rFonts w:cs="Arial"/>
          <w:color w:val="auto"/>
          <w:sz w:val="16"/>
          <w:szCs w:val="16"/>
        </w:rPr>
        <w:t xml:space="preserve"> The Fair Work Ombudsman (FWO) has a limited jurisdiction under the </w:t>
      </w:r>
      <w:r w:rsidRPr="00CD678D">
        <w:rPr>
          <w:rFonts w:cs="Arial"/>
          <w:i/>
          <w:iCs/>
          <w:color w:val="auto"/>
          <w:sz w:val="16"/>
          <w:szCs w:val="16"/>
        </w:rPr>
        <w:t>Fair Work Act 2009</w:t>
      </w:r>
      <w:r w:rsidRPr="00CD678D">
        <w:rPr>
          <w:rFonts w:cs="Arial"/>
          <w:color w:val="auto"/>
          <w:sz w:val="16"/>
          <w:szCs w:val="16"/>
        </w:rPr>
        <w:t xml:space="preserve"> (FW Act) relating to superannuation entitlements, which is confined to providing advice about, and enforcing compliance with: terms of modern awards and enterprise agreements which require employers to make superannuation contributions by reference to or in way that is consistent with the Superannuation Guarantee (Administration) Act 1992; and record keeping and payslip requirements relating to superannuation contributions and funds as prescribed by the </w:t>
      </w:r>
      <w:r w:rsidRPr="00CD678D">
        <w:rPr>
          <w:rFonts w:cs="Arial"/>
          <w:i/>
          <w:iCs/>
          <w:color w:val="auto"/>
          <w:sz w:val="16"/>
          <w:szCs w:val="16"/>
        </w:rPr>
        <w:t>Fair Work Regulations 2009</w:t>
      </w:r>
    </w:p>
    <w:p w14:paraId="25291B3B" w14:textId="54BEB740" w:rsidR="00B8566F" w:rsidRDefault="00B8566F">
      <w:pPr>
        <w:pStyle w:val="FootnoteText"/>
      </w:pPr>
    </w:p>
  </w:footnote>
  <w:footnote w:id="12">
    <w:p w14:paraId="3C9A9DAC" w14:textId="0DE34497" w:rsidR="00B8566F" w:rsidRDefault="00B8566F" w:rsidP="00DF7716">
      <w:pPr>
        <w:pStyle w:val="FootnoteText"/>
      </w:pPr>
      <w:r>
        <w:rPr>
          <w:rStyle w:val="FootnoteReference"/>
        </w:rPr>
        <w:footnoteRef/>
      </w:r>
      <w:r>
        <w:t xml:space="preserve"> Additional note: some superannuation funds will pay closer attention to the payment of superannuation guarantee as the funds’ insurance offerings are connected to whether the member is (or is not) with a particular employer, but this is not universal.</w:t>
      </w:r>
    </w:p>
  </w:footnote>
  <w:footnote w:id="13">
    <w:p w14:paraId="129F9266" w14:textId="77777777" w:rsidR="00B8566F" w:rsidRDefault="00B8566F" w:rsidP="00187247">
      <w:pPr>
        <w:pStyle w:val="FootnoteText"/>
      </w:pPr>
      <w:r w:rsidRPr="00193C2A">
        <w:rPr>
          <w:rStyle w:val="FootnoteReference"/>
        </w:rPr>
        <w:footnoteRef/>
      </w:r>
      <w:r w:rsidRPr="003222EA">
        <w:t xml:space="preserve"> The Repeal Day Bill changes were to:</w:t>
      </w:r>
      <w:r>
        <w:t xml:space="preserve"> </w:t>
      </w:r>
    </w:p>
    <w:p w14:paraId="0EC00E67" w14:textId="62CB081B" w:rsidR="00B8566F" w:rsidRDefault="00B8566F" w:rsidP="00187247">
      <w:pPr>
        <w:pStyle w:val="FootnoteText"/>
        <w:numPr>
          <w:ilvl w:val="0"/>
          <w:numId w:val="51"/>
        </w:numPr>
        <w:ind w:left="426" w:hanging="357"/>
      </w:pPr>
      <w:r>
        <w:t xml:space="preserve">align the earnings base for calculating the SG charge (currently salary or wages) with the earnings base for calculating superannuation guarantee contributions (ordinary time earnings) </w:t>
      </w:r>
    </w:p>
    <w:p w14:paraId="78F5337F" w14:textId="2202D6F1" w:rsidR="00B8566F" w:rsidRDefault="00B8566F" w:rsidP="00187247">
      <w:pPr>
        <w:pStyle w:val="FootnoteText"/>
        <w:numPr>
          <w:ilvl w:val="0"/>
          <w:numId w:val="51"/>
        </w:numPr>
        <w:spacing w:before="0"/>
        <w:ind w:left="426" w:hanging="357"/>
      </w:pPr>
      <w:r>
        <w:t xml:space="preserve">align the nominal interest on unpaid or late superannuation guarantee contributions with the period over which they are actually outstanding, and </w:t>
      </w:r>
    </w:p>
    <w:p w14:paraId="71C5842C" w14:textId="77777777" w:rsidR="00B8566F" w:rsidRDefault="00B8566F" w:rsidP="00187247">
      <w:pPr>
        <w:pStyle w:val="FootnoteText"/>
        <w:numPr>
          <w:ilvl w:val="0"/>
          <w:numId w:val="51"/>
        </w:numPr>
        <w:spacing w:before="0"/>
        <w:ind w:left="426"/>
      </w:pPr>
      <w:r>
        <w:t>align the penalties imposed under the SG charge regime (potentially up to 200 per cent of the liability) with the tax admin penalties (up to 75 per cent of the liability).</w:t>
      </w:r>
    </w:p>
  </w:footnote>
  <w:footnote w:id="14">
    <w:p w14:paraId="0BD71414" w14:textId="61FC9AF0" w:rsidR="00B8566F" w:rsidRDefault="00B8566F">
      <w:pPr>
        <w:pStyle w:val="FootnoteText"/>
      </w:pPr>
      <w:r>
        <w:rPr>
          <w:rStyle w:val="FootnoteReference"/>
        </w:rPr>
        <w:footnoteRef/>
      </w:r>
      <w:r>
        <w:t xml:space="preserve"> Based on this modelling, this would represent approximately a 70 per cent expansion of FEG funding. The increased cost would be driven by a nearly 50 per cent increase in the number of FEG applications. This is based on the Australian Securities and Investments Commission’s insolvency data which demonstrate significantly more insolvent entities have unpaid superannuation than other unpaid employment entitlements. To process the additional applications and quantify superannuation guarantee liabilities owed by insolvent employers, additional departmental staff would be required at an estimated cost of around $45 million.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1A80B" w14:textId="77777777" w:rsidR="009B2A58" w:rsidRDefault="009B2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240E" w14:textId="77777777" w:rsidR="00B8566F" w:rsidRDefault="00B8566F">
    <w:pPr>
      <w:pStyle w:val="Header"/>
    </w:pPr>
    <w:r>
      <w:rPr>
        <w:noProof/>
        <w:lang w:eastAsia="en-AU"/>
      </w:rPr>
      <w:drawing>
        <wp:anchor distT="0" distB="0" distL="0" distR="0" simplePos="0" relativeHeight="251658243" behindDoc="0" locked="1" layoutInCell="1" allowOverlap="1" wp14:anchorId="685C6E18" wp14:editId="3CF88AE0">
          <wp:simplePos x="0" y="0"/>
          <wp:positionH relativeFrom="page">
            <wp:align>left</wp:align>
          </wp:positionH>
          <wp:positionV relativeFrom="page">
            <wp:align>bottom</wp:align>
          </wp:positionV>
          <wp:extent cx="7560310" cy="6426200"/>
          <wp:effectExtent l="0" t="0" r="254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426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AB21" w14:textId="77777777" w:rsidR="009B2A58" w:rsidRDefault="009B2A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48B0" w14:textId="77777777" w:rsidR="00B8566F" w:rsidRDefault="00B8566F">
    <w:pPr>
      <w:pStyle w:val="Header"/>
    </w:pPr>
    <w:r>
      <w:rPr>
        <w:noProof/>
        <w:lang w:eastAsia="en-AU"/>
      </w:rPr>
      <mc:AlternateContent>
        <mc:Choice Requires="wps">
          <w:drawing>
            <wp:anchor distT="0" distB="0" distL="114300" distR="114300" simplePos="0" relativeHeight="251658242" behindDoc="0" locked="1" layoutInCell="1" allowOverlap="1" wp14:anchorId="25F48C64" wp14:editId="31BAAA13">
              <wp:simplePos x="0" y="0"/>
              <wp:positionH relativeFrom="page">
                <wp:posOffset>900430</wp:posOffset>
              </wp:positionH>
              <wp:positionV relativeFrom="page">
                <wp:posOffset>540385</wp:posOffset>
              </wp:positionV>
              <wp:extent cx="5760085" cy="92519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251950"/>
                      </a:xfrm>
                      <a:prstGeom prst="rect">
                        <a:avLst/>
                      </a:prstGeom>
                      <a:solidFill>
                        <a:srgbClr val="F3FA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0.9pt;margin-top:42.55pt;width:453.55pt;height:72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" fillcolor="#f3fafa" stroked="f" strokeweight="2pt">
              <v:path arrowok="t"/>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7BF8" w14:textId="10E4154E" w:rsidR="00B8566F" w:rsidRDefault="00B856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21455" w14:textId="77777777" w:rsidR="00B8566F" w:rsidRDefault="00B856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3C036" w14:textId="77777777" w:rsidR="00B8566F" w:rsidRDefault="00B8566F">
    <w:pPr>
      <w:pStyle w:val="Header"/>
    </w:pPr>
    <w:r>
      <w:rPr>
        <w:noProof/>
        <w:lang w:eastAsia="en-AU"/>
      </w:rPr>
      <w:drawing>
        <wp:anchor distT="0" distB="0" distL="0" distR="0" simplePos="0" relativeHeight="251658240" behindDoc="0" locked="0" layoutInCell="1" allowOverlap="1" wp14:anchorId="2343788B" wp14:editId="6E7434F3">
          <wp:simplePos x="0" y="0"/>
          <wp:positionH relativeFrom="page">
            <wp:posOffset>0</wp:posOffset>
          </wp:positionH>
          <wp:positionV relativeFrom="page">
            <wp:posOffset>9525</wp:posOffset>
          </wp:positionV>
          <wp:extent cx="7560310" cy="10694670"/>
          <wp:effectExtent l="0" t="0" r="254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0D5"/>
    <w:multiLevelType w:val="multilevel"/>
    <w:tmpl w:val="1DF45C28"/>
    <w:lvl w:ilvl="0">
      <w:start w:val="1"/>
      <w:numFmt w:val="decimal"/>
      <w:lvlText w:val="%1."/>
      <w:lvlJc w:val="left"/>
      <w:pPr>
        <w:ind w:left="360" w:hanging="360"/>
      </w:pPr>
      <w:rPr>
        <w:rFonts w:hint="default"/>
      </w:rPr>
    </w:lvl>
    <w:lvl w:ilvl="1">
      <w:start w:val="1"/>
      <w:numFmt w:val="decimal"/>
      <w:lvlText w:val="%1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EC6627"/>
    <w:multiLevelType w:val="hybridMultilevel"/>
    <w:tmpl w:val="72F6E51A"/>
    <w:lvl w:ilvl="0" w:tplc="0C090019">
      <w:start w:val="1"/>
      <w:numFmt w:val="lowerLetter"/>
      <w:lvlText w:val="%1."/>
      <w:lvlJc w:val="left"/>
      <w:pPr>
        <w:ind w:left="782" w:hanging="360"/>
      </w:pPr>
      <w:rPr>
        <w:rFonts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
    <w:nsid w:val="0A215086"/>
    <w:multiLevelType w:val="multilevel"/>
    <w:tmpl w:val="B03E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53FC9"/>
    <w:multiLevelType w:val="multilevel"/>
    <w:tmpl w:val="440848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AA22A2F"/>
    <w:multiLevelType w:val="hybridMultilevel"/>
    <w:tmpl w:val="1C622680"/>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5">
    <w:nsid w:val="0DD43DDC"/>
    <w:multiLevelType w:val="multilevel"/>
    <w:tmpl w:val="D5E09B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473D48"/>
    <w:multiLevelType w:val="hybridMultilevel"/>
    <w:tmpl w:val="41AA64B0"/>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7">
    <w:nsid w:val="12C411AD"/>
    <w:multiLevelType w:val="multilevel"/>
    <w:tmpl w:val="631811E8"/>
    <w:lvl w:ilvl="0">
      <w:start w:val="1"/>
      <w:numFmt w:val="none"/>
      <w:lvlText w:val="7."/>
      <w:lvlJc w:val="left"/>
      <w:pPr>
        <w:ind w:left="360" w:hanging="360"/>
      </w:pPr>
      <w:rPr>
        <w:rFonts w:hint="default"/>
      </w:rPr>
    </w:lvl>
    <w:lvl w:ilvl="1">
      <w:start w:val="1"/>
      <w:numFmt w:val="decimal"/>
      <w:lvlText w:val="%1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032C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7B67F9"/>
    <w:multiLevelType w:val="hybridMultilevel"/>
    <w:tmpl w:val="2F2ACA3C"/>
    <w:lvl w:ilvl="0" w:tplc="0C090001">
      <w:start w:val="1"/>
      <w:numFmt w:val="bullet"/>
      <w:lvlText w:val=""/>
      <w:lvlJc w:val="left"/>
      <w:pPr>
        <w:ind w:left="927" w:hanging="360"/>
      </w:pPr>
      <w:rPr>
        <w:rFonts w:ascii="Symbol" w:hAnsi="Symbol" w:hint="default"/>
        <w:b w:val="0"/>
        <w:color w:val="auto"/>
        <w:sz w:val="22"/>
      </w:rPr>
    </w:lvl>
    <w:lvl w:ilvl="1" w:tplc="0C090001">
      <w:start w:val="1"/>
      <w:numFmt w:val="bullet"/>
      <w:lvlText w:val=""/>
      <w:lvlJc w:val="left"/>
      <w:pPr>
        <w:ind w:left="2007" w:hanging="360"/>
      </w:pPr>
      <w:rPr>
        <w:rFonts w:ascii="Symbol" w:hAnsi="Symbol" w:hint="default"/>
        <w:b w:val="0"/>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20A17592"/>
    <w:multiLevelType w:val="multilevel"/>
    <w:tmpl w:val="D05CF98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3C00E4"/>
    <w:multiLevelType w:val="hybridMultilevel"/>
    <w:tmpl w:val="72F6E51A"/>
    <w:lvl w:ilvl="0" w:tplc="0C090019">
      <w:start w:val="1"/>
      <w:numFmt w:val="lowerLetter"/>
      <w:lvlText w:val="%1."/>
      <w:lvlJc w:val="left"/>
      <w:pPr>
        <w:ind w:left="782" w:hanging="360"/>
      </w:pPr>
      <w:rPr>
        <w:rFonts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2">
    <w:nsid w:val="227F1CB3"/>
    <w:multiLevelType w:val="hybridMultilevel"/>
    <w:tmpl w:val="CDDC216C"/>
    <w:lvl w:ilvl="0" w:tplc="B94C2210">
      <w:start w:val="1"/>
      <w:numFmt w:val="decimal"/>
      <w:lvlText w:val="%1."/>
      <w:lvlJc w:val="left"/>
      <w:pPr>
        <w:ind w:left="567" w:hanging="567"/>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224A24"/>
    <w:multiLevelType w:val="multilevel"/>
    <w:tmpl w:val="44CEEDE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4">
    <w:nsid w:val="30196491"/>
    <w:multiLevelType w:val="hybridMultilevel"/>
    <w:tmpl w:val="C8C2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1E7909"/>
    <w:multiLevelType w:val="hybridMultilevel"/>
    <w:tmpl w:val="89AC078A"/>
    <w:lvl w:ilvl="0" w:tplc="17BE12B8">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2CE43A3"/>
    <w:multiLevelType w:val="multilevel"/>
    <w:tmpl w:val="8E6E8B88"/>
    <w:lvl w:ilvl="0">
      <w:start w:val="1"/>
      <w:numFmt w:val="none"/>
      <w:lvlText w:val="4"/>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6145156"/>
    <w:multiLevelType w:val="multilevel"/>
    <w:tmpl w:val="AB1A76AC"/>
    <w:numStyleLink w:val="Headings"/>
  </w:abstractNum>
  <w:abstractNum w:abstractNumId="18">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nsid w:val="3DB21D61"/>
    <w:multiLevelType w:val="hybridMultilevel"/>
    <w:tmpl w:val="7736C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1E043C"/>
    <w:multiLevelType w:val="hybridMultilevel"/>
    <w:tmpl w:val="4BF0B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A12F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D70D50"/>
    <w:multiLevelType w:val="hybridMultilevel"/>
    <w:tmpl w:val="75AA7430"/>
    <w:lvl w:ilvl="0" w:tplc="395E23D8">
      <w:start w:val="1"/>
      <w:numFmt w:val="decimal"/>
      <w:lvlText w:val="%1."/>
      <w:lvlJc w:val="left"/>
      <w:pPr>
        <w:ind w:left="360" w:hanging="360"/>
      </w:pPr>
      <w:rPr>
        <w:rFonts w:ascii="Arial" w:hAnsi="Arial"/>
        <w:b w:val="0"/>
        <w:color w:val="auto"/>
        <w:sz w:val="22"/>
      </w:rPr>
    </w:lvl>
    <w:lvl w:ilvl="1" w:tplc="0C090001">
      <w:start w:val="1"/>
      <w:numFmt w:val="bullet"/>
      <w:lvlText w:val=""/>
      <w:lvlJc w:val="left"/>
      <w:pPr>
        <w:ind w:left="1440" w:hanging="360"/>
      </w:pPr>
      <w:rPr>
        <w:rFonts w:ascii="Symbol" w:hAnsi="Symbol"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AE3CDC"/>
    <w:multiLevelType w:val="multilevel"/>
    <w:tmpl w:val="214839EC"/>
    <w:lvl w:ilvl="0">
      <w:start w:val="2"/>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5205E6"/>
    <w:multiLevelType w:val="hybridMultilevel"/>
    <w:tmpl w:val="F1749C18"/>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nsid w:val="4DF73B66"/>
    <w:multiLevelType w:val="multilevel"/>
    <w:tmpl w:val="D66EE542"/>
    <w:lvl w:ilvl="0">
      <w:start w:val="1"/>
      <w:numFmt w:val="bullet"/>
      <w:lvlText w:val=""/>
      <w:lvlJc w:val="left"/>
      <w:pPr>
        <w:ind w:left="360" w:hanging="360"/>
      </w:pPr>
      <w:rPr>
        <w:rFonts w:ascii="Symbol" w:hAnsi="Symbol"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956086"/>
    <w:multiLevelType w:val="multilevel"/>
    <w:tmpl w:val="4762D44C"/>
    <w:lvl w:ilvl="0">
      <w:start w:val="2"/>
      <w:numFmt w:val="none"/>
      <w:lvlText w:val="2."/>
      <w:lvlJc w:val="left"/>
      <w:pPr>
        <w:ind w:left="360" w:hanging="360"/>
      </w:pPr>
      <w:rPr>
        <w:rFonts w:hint="default"/>
      </w:rPr>
    </w:lvl>
    <w:lvl w:ilvl="1">
      <w:start w:val="1"/>
      <w:numFmt w:val="decimal"/>
      <w:lvlText w:val="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5D42F3"/>
    <w:multiLevelType w:val="multilevel"/>
    <w:tmpl w:val="D0C6CF1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9C47BF9"/>
    <w:multiLevelType w:val="hybridMultilevel"/>
    <w:tmpl w:val="A3162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1E66F9"/>
    <w:multiLevelType w:val="hybridMultilevel"/>
    <w:tmpl w:val="59CEA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6679BA"/>
      </w:rPr>
    </w:lvl>
    <w:lvl w:ilvl="1">
      <w:start w:val="1"/>
      <w:numFmt w:val="bullet"/>
      <w:pStyle w:val="Bulletedlist2"/>
      <w:lvlText w:val="–"/>
      <w:lvlJc w:val="left"/>
      <w:pPr>
        <w:ind w:left="539" w:hanging="255"/>
      </w:pPr>
      <w:rPr>
        <w:rFonts w:ascii="Arial" w:hAnsi="Arial" w:hint="default"/>
        <w:color w:val="6679BA"/>
      </w:rPr>
    </w:lvl>
    <w:lvl w:ilvl="2">
      <w:start w:val="1"/>
      <w:numFmt w:val="bullet"/>
      <w:pStyle w:val="Bulletedlist3"/>
      <w:lvlText w:val="-"/>
      <w:lvlJc w:val="left"/>
      <w:pPr>
        <w:ind w:left="737" w:hanging="198"/>
      </w:pPr>
      <w:rPr>
        <w:rFonts w:hint="default"/>
        <w:color w:val="6679BA"/>
      </w:rPr>
    </w:lvl>
    <w:lvl w:ilvl="3">
      <w:start w:val="1"/>
      <w:numFmt w:val="bullet"/>
      <w:pStyle w:val="Boxbulletedlist1"/>
      <w:lvlText w:val="&gt;"/>
      <w:lvlJc w:val="left"/>
      <w:pPr>
        <w:ind w:left="624" w:hanging="284"/>
      </w:pPr>
      <w:rPr>
        <w:rFonts w:ascii="Arial" w:hAnsi="Arial" w:hint="default"/>
        <w:color w:val="6679BA"/>
      </w:rPr>
    </w:lvl>
    <w:lvl w:ilvl="4">
      <w:start w:val="1"/>
      <w:numFmt w:val="bullet"/>
      <w:pStyle w:val="Boxbulletedlist2"/>
      <w:lvlText w:val="–"/>
      <w:lvlJc w:val="left"/>
      <w:pPr>
        <w:ind w:left="879" w:hanging="255"/>
      </w:pPr>
      <w:rPr>
        <w:rFonts w:ascii="Arial" w:hAnsi="Arial" w:hint="default"/>
        <w:color w:val="6679BA"/>
      </w:rPr>
    </w:lvl>
    <w:lvl w:ilvl="5">
      <w:start w:val="1"/>
      <w:numFmt w:val="bullet"/>
      <w:pStyle w:val="Boxbulletedlist3"/>
      <w:lvlText w:val="-"/>
      <w:lvlJc w:val="left"/>
      <w:pPr>
        <w:ind w:left="1077" w:hanging="198"/>
      </w:pPr>
      <w:rPr>
        <w:rFonts w:ascii="Arial" w:hAnsi="Arial" w:hint="default"/>
        <w:color w:val="6679BA"/>
      </w:rPr>
    </w:lvl>
    <w:lvl w:ilvl="6">
      <w:start w:val="1"/>
      <w:numFmt w:val="bullet"/>
      <w:pStyle w:val="Tablebulletedlist1"/>
      <w:lvlText w:val="&gt;"/>
      <w:lvlJc w:val="left"/>
      <w:pPr>
        <w:ind w:left="510" w:hanging="283"/>
      </w:pPr>
      <w:rPr>
        <w:rFonts w:ascii="Arial" w:hAnsi="Arial" w:hint="default"/>
        <w:color w:val="6679BA"/>
      </w:rPr>
    </w:lvl>
    <w:lvl w:ilvl="7">
      <w:start w:val="1"/>
      <w:numFmt w:val="bullet"/>
      <w:pStyle w:val="Tablebulletedlist2"/>
      <w:lvlText w:val="–"/>
      <w:lvlJc w:val="left"/>
      <w:pPr>
        <w:ind w:left="765" w:hanging="255"/>
      </w:pPr>
      <w:rPr>
        <w:rFonts w:ascii="Arial" w:hAnsi="Arial" w:hint="default"/>
        <w:color w:val="6679BA"/>
      </w:rPr>
    </w:lvl>
    <w:lvl w:ilvl="8">
      <w:start w:val="1"/>
      <w:numFmt w:val="bullet"/>
      <w:pStyle w:val="Tablebulletedlist3"/>
      <w:lvlText w:val="-"/>
      <w:lvlJc w:val="left"/>
      <w:pPr>
        <w:ind w:left="964" w:hanging="199"/>
      </w:pPr>
      <w:rPr>
        <w:rFonts w:ascii="Arial" w:hAnsi="Arial" w:hint="default"/>
        <w:color w:val="6679BA"/>
      </w:rPr>
    </w:lvl>
  </w:abstractNum>
  <w:abstractNum w:abstractNumId="31">
    <w:nsid w:val="5BAD41E0"/>
    <w:multiLevelType w:val="multilevel"/>
    <w:tmpl w:val="084A585A"/>
    <w:lvl w:ilvl="0">
      <w:start w:val="2"/>
      <w:numFmt w:val="none"/>
      <w:lvlText w:val="4."/>
      <w:lvlJc w:val="left"/>
      <w:pPr>
        <w:ind w:left="360" w:hanging="360"/>
      </w:pPr>
      <w:rPr>
        <w:rFonts w:hint="default"/>
      </w:rPr>
    </w:lvl>
    <w:lvl w:ilvl="1">
      <w:start w:val="1"/>
      <w:numFmt w:val="decimal"/>
      <w:lvlText w:val="4.%2."/>
      <w:lvlJc w:val="left"/>
      <w:pPr>
        <w:ind w:left="567"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C447558"/>
    <w:multiLevelType w:val="hybridMultilevel"/>
    <w:tmpl w:val="72F6E51A"/>
    <w:lvl w:ilvl="0" w:tplc="0C090019">
      <w:start w:val="1"/>
      <w:numFmt w:val="lowerLetter"/>
      <w:lvlText w:val="%1."/>
      <w:lvlJc w:val="left"/>
      <w:pPr>
        <w:ind w:left="782" w:hanging="360"/>
      </w:pPr>
      <w:rPr>
        <w:rFonts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3">
    <w:nsid w:val="5C4E6D5D"/>
    <w:multiLevelType w:val="hybridMultilevel"/>
    <w:tmpl w:val="72F6E51A"/>
    <w:lvl w:ilvl="0" w:tplc="0C090019">
      <w:start w:val="1"/>
      <w:numFmt w:val="lowerLetter"/>
      <w:lvlText w:val="%1."/>
      <w:lvlJc w:val="left"/>
      <w:pPr>
        <w:ind w:left="782" w:hanging="360"/>
      </w:pPr>
      <w:rPr>
        <w:rFonts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4">
    <w:nsid w:val="5E3E44BB"/>
    <w:multiLevelType w:val="multilevel"/>
    <w:tmpl w:val="CD221638"/>
    <w:lvl w:ilvl="0">
      <w:start w:val="2"/>
      <w:numFmt w:val="none"/>
      <w:lvlText w:val="3."/>
      <w:lvlJc w:val="left"/>
      <w:pPr>
        <w:ind w:left="360" w:hanging="360"/>
      </w:pPr>
      <w:rPr>
        <w:rFonts w:hint="default"/>
      </w:rPr>
    </w:lvl>
    <w:lvl w:ilvl="1">
      <w:start w:val="1"/>
      <w:numFmt w:val="decimal"/>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0683396"/>
    <w:multiLevelType w:val="multilevel"/>
    <w:tmpl w:val="2FB22A8C"/>
    <w:lvl w:ilvl="0">
      <w:start w:val="1"/>
      <w:numFmt w:val="none"/>
      <w:lvlText w:val="6."/>
      <w:lvlJc w:val="left"/>
      <w:pPr>
        <w:ind w:left="360" w:hanging="360"/>
      </w:pPr>
      <w:rPr>
        <w:rFonts w:hint="default"/>
      </w:rPr>
    </w:lvl>
    <w:lvl w:ilvl="1">
      <w:start w:val="1"/>
      <w:numFmt w:val="decimal"/>
      <w:lvlText w:val="6%1.%2."/>
      <w:lvlJc w:val="left"/>
      <w:pPr>
        <w:ind w:left="1359"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1414F5D"/>
    <w:multiLevelType w:val="hybridMultilevel"/>
    <w:tmpl w:val="130E5B8C"/>
    <w:lvl w:ilvl="0" w:tplc="FB7EABBE">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1524078"/>
    <w:multiLevelType w:val="multilevel"/>
    <w:tmpl w:val="68C23744"/>
    <w:lvl w:ilvl="0">
      <w:start w:val="2"/>
      <w:numFmt w:val="none"/>
      <w:lvlText w:val="3."/>
      <w:lvlJc w:val="left"/>
      <w:pPr>
        <w:ind w:left="360" w:hanging="360"/>
      </w:pPr>
      <w:rPr>
        <w:rFonts w:hint="default"/>
      </w:rPr>
    </w:lvl>
    <w:lvl w:ilvl="1">
      <w:start w:val="1"/>
      <w:numFmt w:val="decimal"/>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7EA458D"/>
    <w:multiLevelType w:val="hybridMultilevel"/>
    <w:tmpl w:val="F2C64A08"/>
    <w:lvl w:ilvl="0" w:tplc="6A5846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5F6C53"/>
    <w:multiLevelType w:val="multilevel"/>
    <w:tmpl w:val="E07EF55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CB70B9"/>
    <w:multiLevelType w:val="multilevel"/>
    <w:tmpl w:val="6166F1B6"/>
    <w:lvl w:ilvl="0">
      <w:start w:val="1"/>
      <w:numFmt w:val="none"/>
      <w:lvlText w:val="4"/>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D126E86"/>
    <w:multiLevelType w:val="multilevel"/>
    <w:tmpl w:val="237A8AA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D8C4669"/>
    <w:multiLevelType w:val="hybridMultilevel"/>
    <w:tmpl w:val="FA761E6A"/>
    <w:lvl w:ilvl="0" w:tplc="679E9552">
      <w:numFmt w:val="bullet"/>
      <w:lvlText w:val=""/>
      <w:lvlJc w:val="left"/>
      <w:pPr>
        <w:ind w:left="360" w:hanging="360"/>
      </w:pPr>
      <w:rPr>
        <w:rFonts w:ascii="Symbol" w:eastAsia="Calibri" w:hAnsi="Symbol" w:cs="Times New Roman"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7DEB052D"/>
    <w:multiLevelType w:val="multilevel"/>
    <w:tmpl w:val="237A8AA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18"/>
  </w:num>
  <w:num w:numId="11">
    <w:abstractNumId w:val="30"/>
  </w:num>
  <w:num w:numId="12">
    <w:abstractNumId w:val="30"/>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12"/>
  </w:num>
  <w:num w:numId="25">
    <w:abstractNumId w:val="41"/>
  </w:num>
  <w:num w:numId="26">
    <w:abstractNumId w:val="2"/>
  </w:num>
  <w:num w:numId="27">
    <w:abstractNumId w:val="24"/>
  </w:num>
  <w:num w:numId="28">
    <w:abstractNumId w:val="43"/>
  </w:num>
  <w:num w:numId="29">
    <w:abstractNumId w:val="5"/>
  </w:num>
  <w:num w:numId="30">
    <w:abstractNumId w:val="29"/>
  </w:num>
  <w:num w:numId="31">
    <w:abstractNumId w:val="3"/>
  </w:num>
  <w:num w:numId="32">
    <w:abstractNumId w:val="42"/>
  </w:num>
  <w:num w:numId="33">
    <w:abstractNumId w:val="26"/>
  </w:num>
  <w:num w:numId="34">
    <w:abstractNumId w:val="14"/>
  </w:num>
  <w:num w:numId="35">
    <w:abstractNumId w:val="9"/>
  </w:num>
  <w:num w:numId="36">
    <w:abstractNumId w:val="20"/>
  </w:num>
  <w:num w:numId="37">
    <w:abstractNumId w:val="19"/>
  </w:num>
  <w:num w:numId="38">
    <w:abstractNumId w:val="10"/>
  </w:num>
  <w:num w:numId="39">
    <w:abstractNumId w:val="16"/>
  </w:num>
  <w:num w:numId="40">
    <w:abstractNumId w:val="40"/>
  </w:num>
  <w:num w:numId="41">
    <w:abstractNumId w:val="15"/>
  </w:num>
  <w:num w:numId="42">
    <w:abstractNumId w:val="33"/>
  </w:num>
  <w:num w:numId="43">
    <w:abstractNumId w:val="39"/>
  </w:num>
  <w:num w:numId="44">
    <w:abstractNumId w:val="27"/>
  </w:num>
  <w:num w:numId="45">
    <w:abstractNumId w:val="35"/>
  </w:num>
  <w:num w:numId="46">
    <w:abstractNumId w:val="37"/>
  </w:num>
  <w:num w:numId="47">
    <w:abstractNumId w:val="38"/>
  </w:num>
  <w:num w:numId="48">
    <w:abstractNumId w:val="7"/>
  </w:num>
  <w:num w:numId="49">
    <w:abstractNumId w:val="0"/>
  </w:num>
  <w:num w:numId="50">
    <w:abstractNumId w:val="13"/>
  </w:num>
  <w:num w:numId="51">
    <w:abstractNumId w:val="28"/>
  </w:num>
  <w:num w:numId="52">
    <w:abstractNumId w:val="36"/>
  </w:num>
  <w:num w:numId="53">
    <w:abstractNumId w:val="4"/>
  </w:num>
  <w:num w:numId="54">
    <w:abstractNumId w:val="8"/>
  </w:num>
  <w:num w:numId="55">
    <w:abstractNumId w:val="17"/>
  </w:num>
  <w:num w:numId="56">
    <w:abstractNumId w:val="34"/>
  </w:num>
  <w:num w:numId="57">
    <w:abstractNumId w:val="31"/>
  </w:num>
  <w:num w:numId="58">
    <w:abstractNumId w:val="6"/>
  </w:num>
  <w:num w:numId="59">
    <w:abstractNumId w:val="23"/>
  </w:num>
  <w:num w:numId="60">
    <w:abstractNumId w:val="25"/>
  </w:num>
  <w:num w:numId="61">
    <w:abstractNumId w:val="32"/>
  </w:num>
  <w:num w:numId="62">
    <w:abstractNumId w:val="1"/>
  </w:num>
  <w:num w:numId="63">
    <w:abstractNumId w:val="11"/>
  </w:num>
  <w:num w:numId="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95"/>
    <w:rsid w:val="00001F2A"/>
    <w:rsid w:val="00002EEE"/>
    <w:rsid w:val="000070B2"/>
    <w:rsid w:val="00013ED3"/>
    <w:rsid w:val="00014619"/>
    <w:rsid w:val="00015081"/>
    <w:rsid w:val="00015E8A"/>
    <w:rsid w:val="00016B4A"/>
    <w:rsid w:val="000239EB"/>
    <w:rsid w:val="000264AD"/>
    <w:rsid w:val="000264EC"/>
    <w:rsid w:val="00027A07"/>
    <w:rsid w:val="00027E87"/>
    <w:rsid w:val="00030FCB"/>
    <w:rsid w:val="00032EE7"/>
    <w:rsid w:val="00035539"/>
    <w:rsid w:val="00036AFD"/>
    <w:rsid w:val="000379A8"/>
    <w:rsid w:val="0004281A"/>
    <w:rsid w:val="0004437D"/>
    <w:rsid w:val="000455E3"/>
    <w:rsid w:val="00050D78"/>
    <w:rsid w:val="000519EF"/>
    <w:rsid w:val="000657D4"/>
    <w:rsid w:val="00072730"/>
    <w:rsid w:val="0007543E"/>
    <w:rsid w:val="000756C2"/>
    <w:rsid w:val="00080056"/>
    <w:rsid w:val="0008442B"/>
    <w:rsid w:val="00094056"/>
    <w:rsid w:val="000944DD"/>
    <w:rsid w:val="00095EB8"/>
    <w:rsid w:val="00096AA4"/>
    <w:rsid w:val="000A071A"/>
    <w:rsid w:val="000A20D8"/>
    <w:rsid w:val="000A50F4"/>
    <w:rsid w:val="000A6A49"/>
    <w:rsid w:val="000A7E27"/>
    <w:rsid w:val="000B05DB"/>
    <w:rsid w:val="000B1B4E"/>
    <w:rsid w:val="000B5C90"/>
    <w:rsid w:val="000C0799"/>
    <w:rsid w:val="000D02BA"/>
    <w:rsid w:val="000D0314"/>
    <w:rsid w:val="000D07C6"/>
    <w:rsid w:val="000D16AB"/>
    <w:rsid w:val="000D2593"/>
    <w:rsid w:val="000E0560"/>
    <w:rsid w:val="000E4E76"/>
    <w:rsid w:val="000E5A17"/>
    <w:rsid w:val="000E6009"/>
    <w:rsid w:val="000E604B"/>
    <w:rsid w:val="000E748D"/>
    <w:rsid w:val="000E7B65"/>
    <w:rsid w:val="000F0EA1"/>
    <w:rsid w:val="000F38B1"/>
    <w:rsid w:val="000F68B7"/>
    <w:rsid w:val="000F7B48"/>
    <w:rsid w:val="00105D93"/>
    <w:rsid w:val="00112888"/>
    <w:rsid w:val="00113A06"/>
    <w:rsid w:val="0011484F"/>
    <w:rsid w:val="00115402"/>
    <w:rsid w:val="00115E5C"/>
    <w:rsid w:val="00120A61"/>
    <w:rsid w:val="0012202B"/>
    <w:rsid w:val="00123CE5"/>
    <w:rsid w:val="001253AF"/>
    <w:rsid w:val="001314D9"/>
    <w:rsid w:val="0013367C"/>
    <w:rsid w:val="001350C0"/>
    <w:rsid w:val="00137D41"/>
    <w:rsid w:val="00141209"/>
    <w:rsid w:val="0014143E"/>
    <w:rsid w:val="0014178E"/>
    <w:rsid w:val="00141C0F"/>
    <w:rsid w:val="00145C5B"/>
    <w:rsid w:val="00147974"/>
    <w:rsid w:val="0015149F"/>
    <w:rsid w:val="001515BD"/>
    <w:rsid w:val="00152B78"/>
    <w:rsid w:val="00154116"/>
    <w:rsid w:val="001552AD"/>
    <w:rsid w:val="001558FC"/>
    <w:rsid w:val="00157788"/>
    <w:rsid w:val="001610B1"/>
    <w:rsid w:val="00161C27"/>
    <w:rsid w:val="00163417"/>
    <w:rsid w:val="00163AE4"/>
    <w:rsid w:val="00164172"/>
    <w:rsid w:val="00165039"/>
    <w:rsid w:val="00165542"/>
    <w:rsid w:val="00166ED0"/>
    <w:rsid w:val="00167C50"/>
    <w:rsid w:val="00170503"/>
    <w:rsid w:val="001710EB"/>
    <w:rsid w:val="00171B5D"/>
    <w:rsid w:val="00174E25"/>
    <w:rsid w:val="00177366"/>
    <w:rsid w:val="00180545"/>
    <w:rsid w:val="00186F0C"/>
    <w:rsid w:val="00187247"/>
    <w:rsid w:val="00187378"/>
    <w:rsid w:val="00187B70"/>
    <w:rsid w:val="001931D8"/>
    <w:rsid w:val="00193C2A"/>
    <w:rsid w:val="001946D5"/>
    <w:rsid w:val="00194758"/>
    <w:rsid w:val="00195FE3"/>
    <w:rsid w:val="0019710B"/>
    <w:rsid w:val="00197531"/>
    <w:rsid w:val="00197F37"/>
    <w:rsid w:val="001A5BB6"/>
    <w:rsid w:val="001B0DDF"/>
    <w:rsid w:val="001B17F7"/>
    <w:rsid w:val="001B1AE5"/>
    <w:rsid w:val="001B4227"/>
    <w:rsid w:val="001B7335"/>
    <w:rsid w:val="001C0069"/>
    <w:rsid w:val="001C1897"/>
    <w:rsid w:val="001C57B5"/>
    <w:rsid w:val="001D21F1"/>
    <w:rsid w:val="001D3E2C"/>
    <w:rsid w:val="001D5C91"/>
    <w:rsid w:val="001D6018"/>
    <w:rsid w:val="001D6697"/>
    <w:rsid w:val="001D7105"/>
    <w:rsid w:val="001E011F"/>
    <w:rsid w:val="001E0389"/>
    <w:rsid w:val="001E0E09"/>
    <w:rsid w:val="001E3AA2"/>
    <w:rsid w:val="001E4581"/>
    <w:rsid w:val="001E61FF"/>
    <w:rsid w:val="001F533E"/>
    <w:rsid w:val="001F5FAB"/>
    <w:rsid w:val="001F68D4"/>
    <w:rsid w:val="00200D0E"/>
    <w:rsid w:val="002107ED"/>
    <w:rsid w:val="0021385A"/>
    <w:rsid w:val="0021393C"/>
    <w:rsid w:val="002141F2"/>
    <w:rsid w:val="00215A0A"/>
    <w:rsid w:val="0021686B"/>
    <w:rsid w:val="002170CE"/>
    <w:rsid w:val="00217BF7"/>
    <w:rsid w:val="00220A5C"/>
    <w:rsid w:val="00222A91"/>
    <w:rsid w:val="0022707F"/>
    <w:rsid w:val="002311C1"/>
    <w:rsid w:val="0024526C"/>
    <w:rsid w:val="00246768"/>
    <w:rsid w:val="00250125"/>
    <w:rsid w:val="002515ED"/>
    <w:rsid w:val="00254D16"/>
    <w:rsid w:val="00255214"/>
    <w:rsid w:val="002554EF"/>
    <w:rsid w:val="00257F19"/>
    <w:rsid w:val="002625C1"/>
    <w:rsid w:val="0026472C"/>
    <w:rsid w:val="00267604"/>
    <w:rsid w:val="00270203"/>
    <w:rsid w:val="00273235"/>
    <w:rsid w:val="00280957"/>
    <w:rsid w:val="00282445"/>
    <w:rsid w:val="00283E92"/>
    <w:rsid w:val="002862A8"/>
    <w:rsid w:val="00292FE7"/>
    <w:rsid w:val="002946F3"/>
    <w:rsid w:val="002959C6"/>
    <w:rsid w:val="00296C18"/>
    <w:rsid w:val="002A6B6E"/>
    <w:rsid w:val="002B0D7F"/>
    <w:rsid w:val="002B5173"/>
    <w:rsid w:val="002C02EE"/>
    <w:rsid w:val="002C43F9"/>
    <w:rsid w:val="002C48F3"/>
    <w:rsid w:val="002C7556"/>
    <w:rsid w:val="002D1E30"/>
    <w:rsid w:val="002D2DE7"/>
    <w:rsid w:val="002D5E81"/>
    <w:rsid w:val="002E4D05"/>
    <w:rsid w:val="002E6645"/>
    <w:rsid w:val="002F0BBB"/>
    <w:rsid w:val="002F34AF"/>
    <w:rsid w:val="002F7702"/>
    <w:rsid w:val="003024C6"/>
    <w:rsid w:val="0030763F"/>
    <w:rsid w:val="0030782A"/>
    <w:rsid w:val="00311BFE"/>
    <w:rsid w:val="00311D6D"/>
    <w:rsid w:val="00312360"/>
    <w:rsid w:val="003128E9"/>
    <w:rsid w:val="00312A10"/>
    <w:rsid w:val="00313109"/>
    <w:rsid w:val="003142B0"/>
    <w:rsid w:val="00315E43"/>
    <w:rsid w:val="003221FC"/>
    <w:rsid w:val="003222EA"/>
    <w:rsid w:val="00323891"/>
    <w:rsid w:val="00326424"/>
    <w:rsid w:val="00344002"/>
    <w:rsid w:val="003444F2"/>
    <w:rsid w:val="00344C89"/>
    <w:rsid w:val="00344D49"/>
    <w:rsid w:val="00344E3D"/>
    <w:rsid w:val="0034748A"/>
    <w:rsid w:val="0034792F"/>
    <w:rsid w:val="00351A2E"/>
    <w:rsid w:val="00352DD6"/>
    <w:rsid w:val="00352DE0"/>
    <w:rsid w:val="00353FA2"/>
    <w:rsid w:val="00354444"/>
    <w:rsid w:val="00354EDA"/>
    <w:rsid w:val="00364665"/>
    <w:rsid w:val="003755A6"/>
    <w:rsid w:val="00375DF7"/>
    <w:rsid w:val="00376582"/>
    <w:rsid w:val="0038019F"/>
    <w:rsid w:val="003817B3"/>
    <w:rsid w:val="00382442"/>
    <w:rsid w:val="00384889"/>
    <w:rsid w:val="003902B0"/>
    <w:rsid w:val="003907B8"/>
    <w:rsid w:val="003911C6"/>
    <w:rsid w:val="00391AE0"/>
    <w:rsid w:val="00393204"/>
    <w:rsid w:val="0039468A"/>
    <w:rsid w:val="00396881"/>
    <w:rsid w:val="003A2317"/>
    <w:rsid w:val="003A28CC"/>
    <w:rsid w:val="003A2982"/>
    <w:rsid w:val="003A2E80"/>
    <w:rsid w:val="003A33DD"/>
    <w:rsid w:val="003A3B27"/>
    <w:rsid w:val="003A610B"/>
    <w:rsid w:val="003A7E71"/>
    <w:rsid w:val="003A7EE4"/>
    <w:rsid w:val="003C0094"/>
    <w:rsid w:val="003C0572"/>
    <w:rsid w:val="003C0713"/>
    <w:rsid w:val="003C39F3"/>
    <w:rsid w:val="003C6E19"/>
    <w:rsid w:val="003D0394"/>
    <w:rsid w:val="003D1480"/>
    <w:rsid w:val="003D184D"/>
    <w:rsid w:val="003D3846"/>
    <w:rsid w:val="003D5FC5"/>
    <w:rsid w:val="003E2C1D"/>
    <w:rsid w:val="003E4465"/>
    <w:rsid w:val="003E6898"/>
    <w:rsid w:val="003E6A6D"/>
    <w:rsid w:val="003E7356"/>
    <w:rsid w:val="003F166A"/>
    <w:rsid w:val="003F2C3C"/>
    <w:rsid w:val="003F37DE"/>
    <w:rsid w:val="003F45FF"/>
    <w:rsid w:val="003F6A1F"/>
    <w:rsid w:val="0040166D"/>
    <w:rsid w:val="00403AFF"/>
    <w:rsid w:val="004063B7"/>
    <w:rsid w:val="0040785C"/>
    <w:rsid w:val="0041411C"/>
    <w:rsid w:val="00422481"/>
    <w:rsid w:val="00422EC4"/>
    <w:rsid w:val="00424CE3"/>
    <w:rsid w:val="00426259"/>
    <w:rsid w:val="00426F21"/>
    <w:rsid w:val="00427FF7"/>
    <w:rsid w:val="00430891"/>
    <w:rsid w:val="00435C5E"/>
    <w:rsid w:val="0043794F"/>
    <w:rsid w:val="00444052"/>
    <w:rsid w:val="0044492A"/>
    <w:rsid w:val="00444C96"/>
    <w:rsid w:val="00447CA2"/>
    <w:rsid w:val="004538C9"/>
    <w:rsid w:val="0045701A"/>
    <w:rsid w:val="00464015"/>
    <w:rsid w:val="004670DF"/>
    <w:rsid w:val="004672B3"/>
    <w:rsid w:val="00472B32"/>
    <w:rsid w:val="00472D0B"/>
    <w:rsid w:val="0047678A"/>
    <w:rsid w:val="00481433"/>
    <w:rsid w:val="004840AB"/>
    <w:rsid w:val="00486602"/>
    <w:rsid w:val="004910B9"/>
    <w:rsid w:val="004926B8"/>
    <w:rsid w:val="004949FC"/>
    <w:rsid w:val="0049579A"/>
    <w:rsid w:val="00495935"/>
    <w:rsid w:val="004A04FA"/>
    <w:rsid w:val="004A206E"/>
    <w:rsid w:val="004A25C3"/>
    <w:rsid w:val="004A5AF7"/>
    <w:rsid w:val="004A72A0"/>
    <w:rsid w:val="004A7C6E"/>
    <w:rsid w:val="004B4171"/>
    <w:rsid w:val="004C0F6F"/>
    <w:rsid w:val="004C1847"/>
    <w:rsid w:val="004C7872"/>
    <w:rsid w:val="004D2918"/>
    <w:rsid w:val="004D77C4"/>
    <w:rsid w:val="004E0AD7"/>
    <w:rsid w:val="004E1BB8"/>
    <w:rsid w:val="004E20C7"/>
    <w:rsid w:val="004E4471"/>
    <w:rsid w:val="004E45B7"/>
    <w:rsid w:val="004E5E66"/>
    <w:rsid w:val="004E6E35"/>
    <w:rsid w:val="00511F8A"/>
    <w:rsid w:val="00512677"/>
    <w:rsid w:val="0051271F"/>
    <w:rsid w:val="0051434C"/>
    <w:rsid w:val="00515952"/>
    <w:rsid w:val="005200D6"/>
    <w:rsid w:val="00520DE2"/>
    <w:rsid w:val="0052150B"/>
    <w:rsid w:val="00522642"/>
    <w:rsid w:val="005250FB"/>
    <w:rsid w:val="00532E8B"/>
    <w:rsid w:val="00533446"/>
    <w:rsid w:val="00534B47"/>
    <w:rsid w:val="00540862"/>
    <w:rsid w:val="00540BA5"/>
    <w:rsid w:val="0054236A"/>
    <w:rsid w:val="00545C51"/>
    <w:rsid w:val="00545E0F"/>
    <w:rsid w:val="00546934"/>
    <w:rsid w:val="00550C30"/>
    <w:rsid w:val="00554715"/>
    <w:rsid w:val="00556041"/>
    <w:rsid w:val="00557156"/>
    <w:rsid w:val="005578F8"/>
    <w:rsid w:val="00557AB2"/>
    <w:rsid w:val="00561B34"/>
    <w:rsid w:val="00566C94"/>
    <w:rsid w:val="005672BF"/>
    <w:rsid w:val="00567A8D"/>
    <w:rsid w:val="005718F7"/>
    <w:rsid w:val="0057228F"/>
    <w:rsid w:val="00575779"/>
    <w:rsid w:val="00575843"/>
    <w:rsid w:val="0057751C"/>
    <w:rsid w:val="005828F4"/>
    <w:rsid w:val="0058455C"/>
    <w:rsid w:val="00587D75"/>
    <w:rsid w:val="00592280"/>
    <w:rsid w:val="00592B09"/>
    <w:rsid w:val="00592E9C"/>
    <w:rsid w:val="00593036"/>
    <w:rsid w:val="005A282A"/>
    <w:rsid w:val="005A5270"/>
    <w:rsid w:val="005A7565"/>
    <w:rsid w:val="005B4883"/>
    <w:rsid w:val="005B4F88"/>
    <w:rsid w:val="005B7C3C"/>
    <w:rsid w:val="005C21BF"/>
    <w:rsid w:val="005C308E"/>
    <w:rsid w:val="005C373D"/>
    <w:rsid w:val="005C42A1"/>
    <w:rsid w:val="005C7C45"/>
    <w:rsid w:val="005C7E8B"/>
    <w:rsid w:val="005D1602"/>
    <w:rsid w:val="005D2DA1"/>
    <w:rsid w:val="005D43E4"/>
    <w:rsid w:val="005D50DE"/>
    <w:rsid w:val="005D53F0"/>
    <w:rsid w:val="005E07DB"/>
    <w:rsid w:val="005E3A1C"/>
    <w:rsid w:val="005E3C14"/>
    <w:rsid w:val="005E3FB3"/>
    <w:rsid w:val="005E45ED"/>
    <w:rsid w:val="005E58F1"/>
    <w:rsid w:val="005F5A92"/>
    <w:rsid w:val="005F6C9D"/>
    <w:rsid w:val="006023C8"/>
    <w:rsid w:val="00602D0F"/>
    <w:rsid w:val="0061417A"/>
    <w:rsid w:val="00617E67"/>
    <w:rsid w:val="00620814"/>
    <w:rsid w:val="00622952"/>
    <w:rsid w:val="00622A43"/>
    <w:rsid w:val="00625BA2"/>
    <w:rsid w:val="00630368"/>
    <w:rsid w:val="0063150D"/>
    <w:rsid w:val="00633E95"/>
    <w:rsid w:val="00636DA4"/>
    <w:rsid w:val="00637CC6"/>
    <w:rsid w:val="0064382B"/>
    <w:rsid w:val="00643A33"/>
    <w:rsid w:val="00651A98"/>
    <w:rsid w:val="00653FCD"/>
    <w:rsid w:val="00655396"/>
    <w:rsid w:val="0066035C"/>
    <w:rsid w:val="0066105A"/>
    <w:rsid w:val="00662BDA"/>
    <w:rsid w:val="00663026"/>
    <w:rsid w:val="006631E7"/>
    <w:rsid w:val="00663A0B"/>
    <w:rsid w:val="00665F00"/>
    <w:rsid w:val="00667D05"/>
    <w:rsid w:val="006730D5"/>
    <w:rsid w:val="00674E2F"/>
    <w:rsid w:val="00680383"/>
    <w:rsid w:val="00680D87"/>
    <w:rsid w:val="00687C9D"/>
    <w:rsid w:val="006905AB"/>
    <w:rsid w:val="0069326B"/>
    <w:rsid w:val="0069781F"/>
    <w:rsid w:val="00697C0D"/>
    <w:rsid w:val="006A05A5"/>
    <w:rsid w:val="006A188B"/>
    <w:rsid w:val="006A1E37"/>
    <w:rsid w:val="006A281C"/>
    <w:rsid w:val="006A6198"/>
    <w:rsid w:val="006B4BF9"/>
    <w:rsid w:val="006B7420"/>
    <w:rsid w:val="006B7BCE"/>
    <w:rsid w:val="006C120C"/>
    <w:rsid w:val="006C28CC"/>
    <w:rsid w:val="006C63D1"/>
    <w:rsid w:val="006C6C90"/>
    <w:rsid w:val="006D0130"/>
    <w:rsid w:val="006D2B74"/>
    <w:rsid w:val="006D45E1"/>
    <w:rsid w:val="006D570B"/>
    <w:rsid w:val="006F15BB"/>
    <w:rsid w:val="006F2AD8"/>
    <w:rsid w:val="006F6F65"/>
    <w:rsid w:val="00700A5E"/>
    <w:rsid w:val="00703835"/>
    <w:rsid w:val="007118F5"/>
    <w:rsid w:val="00712A97"/>
    <w:rsid w:val="00715B55"/>
    <w:rsid w:val="00720307"/>
    <w:rsid w:val="00721851"/>
    <w:rsid w:val="00724543"/>
    <w:rsid w:val="00724BC3"/>
    <w:rsid w:val="00725CF4"/>
    <w:rsid w:val="00726CEA"/>
    <w:rsid w:val="00731CDA"/>
    <w:rsid w:val="00732050"/>
    <w:rsid w:val="00737B49"/>
    <w:rsid w:val="007445C2"/>
    <w:rsid w:val="00745AB2"/>
    <w:rsid w:val="0075139B"/>
    <w:rsid w:val="00755A12"/>
    <w:rsid w:val="007578FA"/>
    <w:rsid w:val="007614E6"/>
    <w:rsid w:val="00772176"/>
    <w:rsid w:val="00776771"/>
    <w:rsid w:val="0077705D"/>
    <w:rsid w:val="00777513"/>
    <w:rsid w:val="00781C68"/>
    <w:rsid w:val="007825F1"/>
    <w:rsid w:val="00787A93"/>
    <w:rsid w:val="007901FF"/>
    <w:rsid w:val="007923D8"/>
    <w:rsid w:val="007938A3"/>
    <w:rsid w:val="007943B4"/>
    <w:rsid w:val="00795948"/>
    <w:rsid w:val="0079768F"/>
    <w:rsid w:val="007A1E30"/>
    <w:rsid w:val="007A1E4E"/>
    <w:rsid w:val="007B1666"/>
    <w:rsid w:val="007B2061"/>
    <w:rsid w:val="007B5185"/>
    <w:rsid w:val="007B51EE"/>
    <w:rsid w:val="007C4FAF"/>
    <w:rsid w:val="007C5ED6"/>
    <w:rsid w:val="007C6284"/>
    <w:rsid w:val="007D467F"/>
    <w:rsid w:val="007D4B65"/>
    <w:rsid w:val="007D5709"/>
    <w:rsid w:val="007D75CD"/>
    <w:rsid w:val="007D7E44"/>
    <w:rsid w:val="007E0507"/>
    <w:rsid w:val="007E2241"/>
    <w:rsid w:val="007E2E79"/>
    <w:rsid w:val="007E3393"/>
    <w:rsid w:val="007F05CD"/>
    <w:rsid w:val="007F0765"/>
    <w:rsid w:val="007F16F6"/>
    <w:rsid w:val="007F1D16"/>
    <w:rsid w:val="007F1F9F"/>
    <w:rsid w:val="007F2BCA"/>
    <w:rsid w:val="007F3236"/>
    <w:rsid w:val="007F363A"/>
    <w:rsid w:val="007F3881"/>
    <w:rsid w:val="007F62E7"/>
    <w:rsid w:val="007F7A78"/>
    <w:rsid w:val="007F7D58"/>
    <w:rsid w:val="00803FB7"/>
    <w:rsid w:val="00804E03"/>
    <w:rsid w:val="00807AD6"/>
    <w:rsid w:val="00811A12"/>
    <w:rsid w:val="00811A70"/>
    <w:rsid w:val="00812E26"/>
    <w:rsid w:val="00825328"/>
    <w:rsid w:val="008269EE"/>
    <w:rsid w:val="00827678"/>
    <w:rsid w:val="00832C57"/>
    <w:rsid w:val="008348D7"/>
    <w:rsid w:val="00834D93"/>
    <w:rsid w:val="00837E61"/>
    <w:rsid w:val="008409F1"/>
    <w:rsid w:val="008442AB"/>
    <w:rsid w:val="008453F8"/>
    <w:rsid w:val="00845407"/>
    <w:rsid w:val="008466D5"/>
    <w:rsid w:val="00847AAB"/>
    <w:rsid w:val="00850F42"/>
    <w:rsid w:val="00852084"/>
    <w:rsid w:val="00855016"/>
    <w:rsid w:val="0085541F"/>
    <w:rsid w:val="00855F9E"/>
    <w:rsid w:val="00856132"/>
    <w:rsid w:val="00860261"/>
    <w:rsid w:val="00866916"/>
    <w:rsid w:val="00866D0F"/>
    <w:rsid w:val="0087097D"/>
    <w:rsid w:val="00872814"/>
    <w:rsid w:val="00875337"/>
    <w:rsid w:val="00877499"/>
    <w:rsid w:val="00880D2A"/>
    <w:rsid w:val="00883A82"/>
    <w:rsid w:val="00885E8A"/>
    <w:rsid w:val="00886967"/>
    <w:rsid w:val="00891238"/>
    <w:rsid w:val="00891C08"/>
    <w:rsid w:val="0089302F"/>
    <w:rsid w:val="00895218"/>
    <w:rsid w:val="00896177"/>
    <w:rsid w:val="008A0C75"/>
    <w:rsid w:val="008A1735"/>
    <w:rsid w:val="008A43F5"/>
    <w:rsid w:val="008A4FB3"/>
    <w:rsid w:val="008A5466"/>
    <w:rsid w:val="008B0439"/>
    <w:rsid w:val="008B1F40"/>
    <w:rsid w:val="008B53C9"/>
    <w:rsid w:val="008B6DB7"/>
    <w:rsid w:val="008C177F"/>
    <w:rsid w:val="008C2E18"/>
    <w:rsid w:val="008C5F58"/>
    <w:rsid w:val="008C7F97"/>
    <w:rsid w:val="008D2E58"/>
    <w:rsid w:val="008D2F28"/>
    <w:rsid w:val="008D5255"/>
    <w:rsid w:val="008D52E5"/>
    <w:rsid w:val="008D5A20"/>
    <w:rsid w:val="008E1C16"/>
    <w:rsid w:val="008F01D4"/>
    <w:rsid w:val="008F0CC2"/>
    <w:rsid w:val="008F1745"/>
    <w:rsid w:val="008F388C"/>
    <w:rsid w:val="008F3928"/>
    <w:rsid w:val="008F6BA7"/>
    <w:rsid w:val="00907072"/>
    <w:rsid w:val="00907120"/>
    <w:rsid w:val="0090739E"/>
    <w:rsid w:val="00913C1E"/>
    <w:rsid w:val="00920AB9"/>
    <w:rsid w:val="00927B06"/>
    <w:rsid w:val="00936CC0"/>
    <w:rsid w:val="009373C9"/>
    <w:rsid w:val="0094100C"/>
    <w:rsid w:val="00941814"/>
    <w:rsid w:val="00941B52"/>
    <w:rsid w:val="00941C6E"/>
    <w:rsid w:val="00944025"/>
    <w:rsid w:val="009506DE"/>
    <w:rsid w:val="0095194C"/>
    <w:rsid w:val="0095296D"/>
    <w:rsid w:val="00953767"/>
    <w:rsid w:val="00953C3F"/>
    <w:rsid w:val="00955DF2"/>
    <w:rsid w:val="00961727"/>
    <w:rsid w:val="00961C8D"/>
    <w:rsid w:val="00965FA3"/>
    <w:rsid w:val="009676F7"/>
    <w:rsid w:val="00970858"/>
    <w:rsid w:val="00970915"/>
    <w:rsid w:val="0097392D"/>
    <w:rsid w:val="0097583D"/>
    <w:rsid w:val="00981C86"/>
    <w:rsid w:val="00985B0B"/>
    <w:rsid w:val="009869B9"/>
    <w:rsid w:val="00986AD0"/>
    <w:rsid w:val="009A023E"/>
    <w:rsid w:val="009A0BCA"/>
    <w:rsid w:val="009A1889"/>
    <w:rsid w:val="009B151D"/>
    <w:rsid w:val="009B2A58"/>
    <w:rsid w:val="009B3726"/>
    <w:rsid w:val="009B5332"/>
    <w:rsid w:val="009B5DA7"/>
    <w:rsid w:val="009B61A4"/>
    <w:rsid w:val="009C057D"/>
    <w:rsid w:val="009C60B7"/>
    <w:rsid w:val="009C61C6"/>
    <w:rsid w:val="009C7DDC"/>
    <w:rsid w:val="009D0C66"/>
    <w:rsid w:val="009D3585"/>
    <w:rsid w:val="009D3760"/>
    <w:rsid w:val="009D4C8D"/>
    <w:rsid w:val="009E29AD"/>
    <w:rsid w:val="009E3300"/>
    <w:rsid w:val="009E4BF0"/>
    <w:rsid w:val="009F254D"/>
    <w:rsid w:val="009F61F1"/>
    <w:rsid w:val="009F6844"/>
    <w:rsid w:val="009F6870"/>
    <w:rsid w:val="009F7436"/>
    <w:rsid w:val="00A008C6"/>
    <w:rsid w:val="00A00CFF"/>
    <w:rsid w:val="00A016C5"/>
    <w:rsid w:val="00A03C5D"/>
    <w:rsid w:val="00A11539"/>
    <w:rsid w:val="00A13EDE"/>
    <w:rsid w:val="00A14413"/>
    <w:rsid w:val="00A16586"/>
    <w:rsid w:val="00A1679D"/>
    <w:rsid w:val="00A17886"/>
    <w:rsid w:val="00A17B4F"/>
    <w:rsid w:val="00A22FF9"/>
    <w:rsid w:val="00A23356"/>
    <w:rsid w:val="00A3400C"/>
    <w:rsid w:val="00A35304"/>
    <w:rsid w:val="00A3658F"/>
    <w:rsid w:val="00A36F6E"/>
    <w:rsid w:val="00A42E4C"/>
    <w:rsid w:val="00A43426"/>
    <w:rsid w:val="00A44E8C"/>
    <w:rsid w:val="00A46A63"/>
    <w:rsid w:val="00A529BF"/>
    <w:rsid w:val="00A61E5E"/>
    <w:rsid w:val="00A76875"/>
    <w:rsid w:val="00A80E28"/>
    <w:rsid w:val="00A93E8E"/>
    <w:rsid w:val="00A97492"/>
    <w:rsid w:val="00A979A9"/>
    <w:rsid w:val="00AA4E76"/>
    <w:rsid w:val="00AA6BE7"/>
    <w:rsid w:val="00AB1050"/>
    <w:rsid w:val="00AB295E"/>
    <w:rsid w:val="00AB3050"/>
    <w:rsid w:val="00AB388C"/>
    <w:rsid w:val="00AC2E09"/>
    <w:rsid w:val="00AC3950"/>
    <w:rsid w:val="00AC3B7E"/>
    <w:rsid w:val="00AC4609"/>
    <w:rsid w:val="00AC6BBA"/>
    <w:rsid w:val="00AC785B"/>
    <w:rsid w:val="00AD17E0"/>
    <w:rsid w:val="00AD45F0"/>
    <w:rsid w:val="00AD730D"/>
    <w:rsid w:val="00AD730E"/>
    <w:rsid w:val="00AD79F8"/>
    <w:rsid w:val="00AE09D0"/>
    <w:rsid w:val="00AE25E2"/>
    <w:rsid w:val="00AE29AA"/>
    <w:rsid w:val="00AE5214"/>
    <w:rsid w:val="00AE52CF"/>
    <w:rsid w:val="00AE793D"/>
    <w:rsid w:val="00AF18C7"/>
    <w:rsid w:val="00AF2427"/>
    <w:rsid w:val="00AF60A5"/>
    <w:rsid w:val="00B00CB1"/>
    <w:rsid w:val="00B02BB0"/>
    <w:rsid w:val="00B02C5C"/>
    <w:rsid w:val="00B0761A"/>
    <w:rsid w:val="00B07D74"/>
    <w:rsid w:val="00B07EBE"/>
    <w:rsid w:val="00B13B15"/>
    <w:rsid w:val="00B14C62"/>
    <w:rsid w:val="00B2054A"/>
    <w:rsid w:val="00B20708"/>
    <w:rsid w:val="00B304A3"/>
    <w:rsid w:val="00B32480"/>
    <w:rsid w:val="00B33004"/>
    <w:rsid w:val="00B343DE"/>
    <w:rsid w:val="00B3445F"/>
    <w:rsid w:val="00B35BF9"/>
    <w:rsid w:val="00B364E3"/>
    <w:rsid w:val="00B37149"/>
    <w:rsid w:val="00B402BB"/>
    <w:rsid w:val="00B440DE"/>
    <w:rsid w:val="00B50BE4"/>
    <w:rsid w:val="00B5314C"/>
    <w:rsid w:val="00B534D9"/>
    <w:rsid w:val="00B55E8F"/>
    <w:rsid w:val="00B563AE"/>
    <w:rsid w:val="00B60238"/>
    <w:rsid w:val="00B608C9"/>
    <w:rsid w:val="00B6687C"/>
    <w:rsid w:val="00B66AD7"/>
    <w:rsid w:val="00B71B75"/>
    <w:rsid w:val="00B71BE5"/>
    <w:rsid w:val="00B72632"/>
    <w:rsid w:val="00B7681A"/>
    <w:rsid w:val="00B76E07"/>
    <w:rsid w:val="00B77363"/>
    <w:rsid w:val="00B81416"/>
    <w:rsid w:val="00B8248F"/>
    <w:rsid w:val="00B829ED"/>
    <w:rsid w:val="00B8566F"/>
    <w:rsid w:val="00B85A66"/>
    <w:rsid w:val="00B85B00"/>
    <w:rsid w:val="00B87B13"/>
    <w:rsid w:val="00B92D71"/>
    <w:rsid w:val="00B95EE5"/>
    <w:rsid w:val="00B96A0E"/>
    <w:rsid w:val="00B96B6F"/>
    <w:rsid w:val="00B96CF3"/>
    <w:rsid w:val="00BA14D1"/>
    <w:rsid w:val="00BA1C4F"/>
    <w:rsid w:val="00BA399B"/>
    <w:rsid w:val="00BA7078"/>
    <w:rsid w:val="00BB0257"/>
    <w:rsid w:val="00BB10BB"/>
    <w:rsid w:val="00BB6BB2"/>
    <w:rsid w:val="00BB6D73"/>
    <w:rsid w:val="00BC0F66"/>
    <w:rsid w:val="00BC4225"/>
    <w:rsid w:val="00BC7F34"/>
    <w:rsid w:val="00BD103B"/>
    <w:rsid w:val="00BD4BBC"/>
    <w:rsid w:val="00BD6B91"/>
    <w:rsid w:val="00BD6E52"/>
    <w:rsid w:val="00BE3475"/>
    <w:rsid w:val="00BE46DF"/>
    <w:rsid w:val="00BE6E21"/>
    <w:rsid w:val="00BF1BD2"/>
    <w:rsid w:val="00BF5ACE"/>
    <w:rsid w:val="00BF5D53"/>
    <w:rsid w:val="00BF67EB"/>
    <w:rsid w:val="00BF6AEA"/>
    <w:rsid w:val="00BF7B86"/>
    <w:rsid w:val="00C01892"/>
    <w:rsid w:val="00C02E30"/>
    <w:rsid w:val="00C07AFC"/>
    <w:rsid w:val="00C107AF"/>
    <w:rsid w:val="00C10AB2"/>
    <w:rsid w:val="00C12B03"/>
    <w:rsid w:val="00C12D3D"/>
    <w:rsid w:val="00C201DE"/>
    <w:rsid w:val="00C20B54"/>
    <w:rsid w:val="00C30231"/>
    <w:rsid w:val="00C3270F"/>
    <w:rsid w:val="00C3446D"/>
    <w:rsid w:val="00C35535"/>
    <w:rsid w:val="00C374A7"/>
    <w:rsid w:val="00C4750A"/>
    <w:rsid w:val="00C513D1"/>
    <w:rsid w:val="00C54E73"/>
    <w:rsid w:val="00C64520"/>
    <w:rsid w:val="00C67820"/>
    <w:rsid w:val="00C73331"/>
    <w:rsid w:val="00C768BA"/>
    <w:rsid w:val="00C7754E"/>
    <w:rsid w:val="00C776B8"/>
    <w:rsid w:val="00C818D3"/>
    <w:rsid w:val="00C825F5"/>
    <w:rsid w:val="00C82979"/>
    <w:rsid w:val="00C84DB7"/>
    <w:rsid w:val="00C851D9"/>
    <w:rsid w:val="00C914E2"/>
    <w:rsid w:val="00C9154C"/>
    <w:rsid w:val="00C938B7"/>
    <w:rsid w:val="00C949DF"/>
    <w:rsid w:val="00C95FCD"/>
    <w:rsid w:val="00C97AA0"/>
    <w:rsid w:val="00CA242B"/>
    <w:rsid w:val="00CA30CE"/>
    <w:rsid w:val="00CA42FA"/>
    <w:rsid w:val="00CA58E7"/>
    <w:rsid w:val="00CA7729"/>
    <w:rsid w:val="00CC262B"/>
    <w:rsid w:val="00CC36D6"/>
    <w:rsid w:val="00CC3BFD"/>
    <w:rsid w:val="00CC574C"/>
    <w:rsid w:val="00CC5BB8"/>
    <w:rsid w:val="00CD1CD3"/>
    <w:rsid w:val="00CD1D05"/>
    <w:rsid w:val="00CD1F03"/>
    <w:rsid w:val="00CD3B5C"/>
    <w:rsid w:val="00CD5526"/>
    <w:rsid w:val="00CD5AE5"/>
    <w:rsid w:val="00CD6186"/>
    <w:rsid w:val="00CD664E"/>
    <w:rsid w:val="00CD678D"/>
    <w:rsid w:val="00CE46B4"/>
    <w:rsid w:val="00CE49D7"/>
    <w:rsid w:val="00CE6493"/>
    <w:rsid w:val="00CE68A6"/>
    <w:rsid w:val="00CE7934"/>
    <w:rsid w:val="00CF4076"/>
    <w:rsid w:val="00CF6156"/>
    <w:rsid w:val="00D00CC1"/>
    <w:rsid w:val="00D01243"/>
    <w:rsid w:val="00D030C8"/>
    <w:rsid w:val="00D07899"/>
    <w:rsid w:val="00D07C36"/>
    <w:rsid w:val="00D14110"/>
    <w:rsid w:val="00D14367"/>
    <w:rsid w:val="00D1598E"/>
    <w:rsid w:val="00D15BB1"/>
    <w:rsid w:val="00D25113"/>
    <w:rsid w:val="00D31040"/>
    <w:rsid w:val="00D31B0C"/>
    <w:rsid w:val="00D321CF"/>
    <w:rsid w:val="00D343AC"/>
    <w:rsid w:val="00D36F23"/>
    <w:rsid w:val="00D37D07"/>
    <w:rsid w:val="00D411F4"/>
    <w:rsid w:val="00D424E2"/>
    <w:rsid w:val="00D46CB7"/>
    <w:rsid w:val="00D46EEB"/>
    <w:rsid w:val="00D51D5A"/>
    <w:rsid w:val="00D53860"/>
    <w:rsid w:val="00D53A11"/>
    <w:rsid w:val="00D637BC"/>
    <w:rsid w:val="00D63E5D"/>
    <w:rsid w:val="00D70B20"/>
    <w:rsid w:val="00D7267C"/>
    <w:rsid w:val="00D72E59"/>
    <w:rsid w:val="00D76697"/>
    <w:rsid w:val="00D76FE2"/>
    <w:rsid w:val="00D80202"/>
    <w:rsid w:val="00D80A99"/>
    <w:rsid w:val="00D84EC8"/>
    <w:rsid w:val="00D86401"/>
    <w:rsid w:val="00D91DD2"/>
    <w:rsid w:val="00D922B2"/>
    <w:rsid w:val="00D94273"/>
    <w:rsid w:val="00DA0B72"/>
    <w:rsid w:val="00DA5AB8"/>
    <w:rsid w:val="00DA6762"/>
    <w:rsid w:val="00DA70C4"/>
    <w:rsid w:val="00DA793D"/>
    <w:rsid w:val="00DB131C"/>
    <w:rsid w:val="00DB4227"/>
    <w:rsid w:val="00DC14C9"/>
    <w:rsid w:val="00DC261D"/>
    <w:rsid w:val="00DC26BD"/>
    <w:rsid w:val="00DC3555"/>
    <w:rsid w:val="00DD0007"/>
    <w:rsid w:val="00DD1D27"/>
    <w:rsid w:val="00DD4E76"/>
    <w:rsid w:val="00DD6838"/>
    <w:rsid w:val="00DE21A6"/>
    <w:rsid w:val="00DE4E8C"/>
    <w:rsid w:val="00DE4EE4"/>
    <w:rsid w:val="00DF0D7A"/>
    <w:rsid w:val="00DF1E66"/>
    <w:rsid w:val="00DF2C10"/>
    <w:rsid w:val="00DF302F"/>
    <w:rsid w:val="00DF7118"/>
    <w:rsid w:val="00DF7716"/>
    <w:rsid w:val="00E0043F"/>
    <w:rsid w:val="00E0046A"/>
    <w:rsid w:val="00E01BC2"/>
    <w:rsid w:val="00E115E2"/>
    <w:rsid w:val="00E1212A"/>
    <w:rsid w:val="00E13E74"/>
    <w:rsid w:val="00E15D54"/>
    <w:rsid w:val="00E163C2"/>
    <w:rsid w:val="00E17C4E"/>
    <w:rsid w:val="00E267C2"/>
    <w:rsid w:val="00E26D42"/>
    <w:rsid w:val="00E344DC"/>
    <w:rsid w:val="00E34BAE"/>
    <w:rsid w:val="00E402D2"/>
    <w:rsid w:val="00E4209D"/>
    <w:rsid w:val="00E42496"/>
    <w:rsid w:val="00E464F8"/>
    <w:rsid w:val="00E4678F"/>
    <w:rsid w:val="00E471A1"/>
    <w:rsid w:val="00E54EA0"/>
    <w:rsid w:val="00E62927"/>
    <w:rsid w:val="00E63C6E"/>
    <w:rsid w:val="00E67924"/>
    <w:rsid w:val="00E73D0B"/>
    <w:rsid w:val="00E73EFD"/>
    <w:rsid w:val="00E74686"/>
    <w:rsid w:val="00E747E6"/>
    <w:rsid w:val="00E81123"/>
    <w:rsid w:val="00E817A5"/>
    <w:rsid w:val="00E841F2"/>
    <w:rsid w:val="00E85B28"/>
    <w:rsid w:val="00E91541"/>
    <w:rsid w:val="00E923AA"/>
    <w:rsid w:val="00E9370A"/>
    <w:rsid w:val="00EA013F"/>
    <w:rsid w:val="00EA3C8E"/>
    <w:rsid w:val="00EB00BD"/>
    <w:rsid w:val="00EB0CC8"/>
    <w:rsid w:val="00EB1293"/>
    <w:rsid w:val="00EB2090"/>
    <w:rsid w:val="00EB6007"/>
    <w:rsid w:val="00EB794B"/>
    <w:rsid w:val="00EC048C"/>
    <w:rsid w:val="00EC146E"/>
    <w:rsid w:val="00EC2B1D"/>
    <w:rsid w:val="00EC2D1B"/>
    <w:rsid w:val="00EC3C9A"/>
    <w:rsid w:val="00EC59BD"/>
    <w:rsid w:val="00EC6083"/>
    <w:rsid w:val="00EC757D"/>
    <w:rsid w:val="00EC75E3"/>
    <w:rsid w:val="00ED2C24"/>
    <w:rsid w:val="00ED72FA"/>
    <w:rsid w:val="00EE2E5A"/>
    <w:rsid w:val="00EE4845"/>
    <w:rsid w:val="00EF5DDE"/>
    <w:rsid w:val="00F049D6"/>
    <w:rsid w:val="00F06478"/>
    <w:rsid w:val="00F06DF3"/>
    <w:rsid w:val="00F118CD"/>
    <w:rsid w:val="00F11CAF"/>
    <w:rsid w:val="00F137E3"/>
    <w:rsid w:val="00F26B9A"/>
    <w:rsid w:val="00F30395"/>
    <w:rsid w:val="00F32EC3"/>
    <w:rsid w:val="00F33E68"/>
    <w:rsid w:val="00F347E1"/>
    <w:rsid w:val="00F41963"/>
    <w:rsid w:val="00F4506A"/>
    <w:rsid w:val="00F454B8"/>
    <w:rsid w:val="00F45E31"/>
    <w:rsid w:val="00F466F7"/>
    <w:rsid w:val="00F47108"/>
    <w:rsid w:val="00F51DAF"/>
    <w:rsid w:val="00F534C7"/>
    <w:rsid w:val="00F540E5"/>
    <w:rsid w:val="00F551A6"/>
    <w:rsid w:val="00F60B0D"/>
    <w:rsid w:val="00F60C2B"/>
    <w:rsid w:val="00F614BC"/>
    <w:rsid w:val="00F64079"/>
    <w:rsid w:val="00F644EE"/>
    <w:rsid w:val="00F6494E"/>
    <w:rsid w:val="00F64EE8"/>
    <w:rsid w:val="00F65EE8"/>
    <w:rsid w:val="00F676C8"/>
    <w:rsid w:val="00F71C27"/>
    <w:rsid w:val="00F71E2E"/>
    <w:rsid w:val="00F71FA9"/>
    <w:rsid w:val="00F7693C"/>
    <w:rsid w:val="00F81BBF"/>
    <w:rsid w:val="00F857FF"/>
    <w:rsid w:val="00F85F63"/>
    <w:rsid w:val="00F8609A"/>
    <w:rsid w:val="00F87C29"/>
    <w:rsid w:val="00F910D3"/>
    <w:rsid w:val="00FA120A"/>
    <w:rsid w:val="00FA28D6"/>
    <w:rsid w:val="00FA2A0D"/>
    <w:rsid w:val="00FA2C29"/>
    <w:rsid w:val="00FA2F26"/>
    <w:rsid w:val="00FA4F52"/>
    <w:rsid w:val="00FA5AE7"/>
    <w:rsid w:val="00FA6624"/>
    <w:rsid w:val="00FA7144"/>
    <w:rsid w:val="00FB057F"/>
    <w:rsid w:val="00FB2B37"/>
    <w:rsid w:val="00FB42FE"/>
    <w:rsid w:val="00FC1214"/>
    <w:rsid w:val="00FC1CAE"/>
    <w:rsid w:val="00FC4357"/>
    <w:rsid w:val="00FD2DEF"/>
    <w:rsid w:val="00FE06B1"/>
    <w:rsid w:val="00FE4D42"/>
    <w:rsid w:val="00FE6EBB"/>
    <w:rsid w:val="00FF0944"/>
    <w:rsid w:val="00FF0B9D"/>
    <w:rsid w:val="00FF12C4"/>
    <w:rsid w:val="00FF3453"/>
    <w:rsid w:val="00FF54F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DC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Arial" w:hAnsi="Courier"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4" w:qFormat="1"/>
    <w:lsdException w:name="heading 2" w:semiHidden="0" w:uiPriority="4" w:qFormat="1"/>
    <w:lsdException w:name="heading 3" w:semiHidden="0" w:uiPriority="4" w:qFormat="1"/>
    <w:lsdException w:name="heading 4" w:semiHidden="0" w:uiPriority="4" w:qFormat="1"/>
    <w:lsdException w:name="heading 5" w:semiHidden="0" w:uiPriority="4" w:qFormat="1"/>
    <w:lsdException w:name="heading 6" w:semiHidden="0" w:uiPriority="4" w:qFormat="1"/>
    <w:lsdException w:name="heading 7" w:semiHidden="0" w:uiPriority="4" w:qFormat="1"/>
    <w:lsdException w:name="heading 8" w:semiHidden="0" w:uiPriority="4" w:qFormat="1"/>
    <w:lsdException w:name="heading 9" w:semiHidden="0"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iPriority="49"/>
    <w:lsdException w:name="footer" w:semiHidden="0" w:uiPriority="49"/>
    <w:lsdException w:name="caption" w:semiHidden="0" w:uiPriority="14" w:qFormat="1"/>
    <w:lsdException w:name="page number" w:uiPriority="49"/>
    <w:lsdException w:name="endnote text" w:uiPriority="44"/>
    <w:lsdException w:name="Title" w:semiHidden="0" w:uiPriority="36" w:qFormat="1"/>
    <w:lsdException w:name="Default Paragraph Font" w:uiPriority="1" w:unhideWhenUsed="1"/>
    <w:lsdException w:name="Body Text" w:semiHidden="0" w:uiPriority="0" w:qFormat="1"/>
    <w:lsdException w:name="Subtitle" w:semiHidden="0" w:uiPriority="37" w:qFormat="1"/>
    <w:lsdException w:name="Date" w:uiPriority="38"/>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qFormat="1"/>
    <w:lsdException w:name="Medium Grid 2"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qFormat="1"/>
    <w:lsdException w:name="Quote" w:semiHidden="0" w:uiPriority="73" w:qFormat="1"/>
    <w:lsdException w:name="Intense Quote" w:semiHidden="0" w:uiPriority="60" w:qFormat="1"/>
    <w:lsdException w:name="Medium List 2 Accent 1" w:semiHidden="0" w:uiPriority="66"/>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qFormat="1"/>
    <w:lsdException w:name="Colorful Grid Accent 1" w:uiPriority="9" w:qFormat="1"/>
    <w:lsdException w:name="Light Shading Accent 2"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CF3469"/>
    <w:pPr>
      <w:spacing w:before="140" w:line="240" w:lineRule="atLeast"/>
    </w:pPr>
    <w:rPr>
      <w:rFonts w:ascii="Arial" w:hAnsi="Arial"/>
      <w:color w:val="000000"/>
      <w:sz w:val="22"/>
      <w:lang w:eastAsia="en-US"/>
    </w:rPr>
  </w:style>
  <w:style w:type="paragraph" w:styleId="Heading1">
    <w:name w:val="heading 1"/>
    <w:next w:val="Normal"/>
    <w:link w:val="Heading1Char"/>
    <w:uiPriority w:val="4"/>
    <w:qFormat/>
    <w:rsid w:val="00A35A7F"/>
    <w:pPr>
      <w:keepNext/>
      <w:keepLines/>
      <w:framePr w:w="9072" w:wrap="notBeside" w:vAnchor="text" w:hAnchor="text" w:y="1"/>
      <w:spacing w:before="340" w:line="600" w:lineRule="exact"/>
      <w:outlineLvl w:val="0"/>
    </w:pPr>
    <w:rPr>
      <w:rFonts w:ascii="Calibri" w:eastAsia="Times New Roman" w:hAnsi="Calibri"/>
      <w:bCs/>
      <w:color w:val="2B3054"/>
      <w:sz w:val="56"/>
      <w:szCs w:val="28"/>
      <w:lang w:eastAsia="en-US"/>
    </w:rPr>
  </w:style>
  <w:style w:type="paragraph" w:styleId="Heading2">
    <w:name w:val="heading 2"/>
    <w:next w:val="Normal"/>
    <w:link w:val="Heading2Char"/>
    <w:uiPriority w:val="4"/>
    <w:qFormat/>
    <w:rsid w:val="00A35A7F"/>
    <w:pPr>
      <w:keepNext/>
      <w:keepLines/>
      <w:spacing w:before="400" w:line="460" w:lineRule="exact"/>
      <w:outlineLvl w:val="1"/>
    </w:pPr>
    <w:rPr>
      <w:rFonts w:ascii="Calibri" w:eastAsia="Times New Roman" w:hAnsi="Calibri"/>
      <w:bCs/>
      <w:color w:val="0F979B"/>
      <w:sz w:val="42"/>
      <w:szCs w:val="26"/>
      <w:lang w:eastAsia="en-US"/>
    </w:rPr>
  </w:style>
  <w:style w:type="paragraph" w:styleId="Heading3">
    <w:name w:val="heading 3"/>
    <w:next w:val="Normal"/>
    <w:link w:val="Heading3Char"/>
    <w:uiPriority w:val="4"/>
    <w:qFormat/>
    <w:rsid w:val="009B438D"/>
    <w:pPr>
      <w:keepNext/>
      <w:keepLines/>
      <w:spacing w:before="400" w:line="380" w:lineRule="exact"/>
      <w:outlineLvl w:val="2"/>
    </w:pPr>
    <w:rPr>
      <w:rFonts w:ascii="Calibri" w:eastAsia="Times New Roman" w:hAnsi="Calibri"/>
      <w:bCs/>
      <w:color w:val="2B3054"/>
      <w:sz w:val="34"/>
      <w:lang w:eastAsia="en-US"/>
    </w:rPr>
  </w:style>
  <w:style w:type="paragraph" w:styleId="Heading4">
    <w:name w:val="heading 4"/>
    <w:next w:val="Normal"/>
    <w:link w:val="Heading4Char"/>
    <w:uiPriority w:val="4"/>
    <w:qFormat/>
    <w:rsid w:val="00A35A7F"/>
    <w:pPr>
      <w:keepNext/>
      <w:keepLines/>
      <w:spacing w:before="400" w:line="300" w:lineRule="exact"/>
      <w:outlineLvl w:val="3"/>
    </w:pPr>
    <w:rPr>
      <w:rFonts w:ascii="Calibri" w:eastAsia="Times New Roman" w:hAnsi="Calibri"/>
      <w:b/>
      <w:bCs/>
      <w:iCs/>
      <w:color w:val="15565F"/>
      <w:sz w:val="26"/>
      <w:lang w:eastAsia="en-US"/>
    </w:rPr>
  </w:style>
  <w:style w:type="paragraph" w:styleId="Heading5">
    <w:name w:val="heading 5"/>
    <w:next w:val="BodyText"/>
    <w:link w:val="Heading5Char"/>
    <w:uiPriority w:val="4"/>
    <w:qFormat/>
    <w:rsid w:val="00B670EF"/>
    <w:pPr>
      <w:keepNext/>
      <w:keepLines/>
      <w:spacing w:before="200"/>
      <w:outlineLvl w:val="4"/>
    </w:pPr>
    <w:rPr>
      <w:rFonts w:ascii="Calibri" w:eastAsia="Times New Roman" w:hAnsi="Calibri"/>
      <w:color w:val="074A4D"/>
      <w:lang w:eastAsia="en-US"/>
    </w:rPr>
  </w:style>
  <w:style w:type="paragraph" w:styleId="Heading6">
    <w:name w:val="heading 6"/>
    <w:next w:val="BodyText"/>
    <w:link w:val="Heading6Char"/>
    <w:uiPriority w:val="4"/>
    <w:qFormat/>
    <w:rsid w:val="00B670EF"/>
    <w:pPr>
      <w:keepNext/>
      <w:keepLines/>
      <w:spacing w:before="200"/>
      <w:outlineLvl w:val="5"/>
    </w:pPr>
    <w:rPr>
      <w:rFonts w:ascii="Calibri" w:eastAsia="Times New Roman" w:hAnsi="Calibri"/>
      <w:i/>
      <w:iCs/>
      <w:color w:val="074A4D"/>
      <w:lang w:eastAsia="en-US"/>
    </w:rPr>
  </w:style>
  <w:style w:type="paragraph" w:styleId="Heading7">
    <w:name w:val="heading 7"/>
    <w:next w:val="BodyText"/>
    <w:link w:val="Heading7Char"/>
    <w:uiPriority w:val="4"/>
    <w:qFormat/>
    <w:rsid w:val="00B670EF"/>
    <w:pPr>
      <w:keepNext/>
      <w:keepLines/>
      <w:spacing w:before="200"/>
      <w:outlineLvl w:val="6"/>
    </w:pPr>
    <w:rPr>
      <w:rFonts w:ascii="Calibri" w:eastAsia="Times New Roman" w:hAnsi="Calibri"/>
      <w:i/>
      <w:iCs/>
      <w:color w:val="404040"/>
      <w:lang w:eastAsia="en-US"/>
    </w:rPr>
  </w:style>
  <w:style w:type="paragraph" w:styleId="Heading8">
    <w:name w:val="heading 8"/>
    <w:next w:val="BodyText"/>
    <w:link w:val="Heading8Char"/>
    <w:uiPriority w:val="4"/>
    <w:qFormat/>
    <w:rsid w:val="00B670EF"/>
    <w:pPr>
      <w:keepNext/>
      <w:keepLines/>
      <w:spacing w:before="200"/>
      <w:outlineLvl w:val="7"/>
    </w:pPr>
    <w:rPr>
      <w:rFonts w:ascii="Calibri" w:eastAsia="Times New Roman" w:hAnsi="Calibri"/>
      <w:color w:val="404040"/>
      <w:lang w:eastAsia="en-US"/>
    </w:rPr>
  </w:style>
  <w:style w:type="paragraph" w:styleId="Heading9">
    <w:name w:val="heading 9"/>
    <w:next w:val="BodyText"/>
    <w:link w:val="Heading9Char"/>
    <w:uiPriority w:val="4"/>
    <w:qFormat/>
    <w:rsid w:val="00B670EF"/>
    <w:pPr>
      <w:keepNext/>
      <w:keepLines/>
      <w:spacing w:before="200"/>
      <w:outlineLvl w:val="8"/>
    </w:pPr>
    <w:rPr>
      <w:rFonts w:ascii="Calibri" w:eastAsia="Times New Roman" w:hAnsi="Calibri"/>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35A7F"/>
    <w:rPr>
      <w:rFonts w:ascii="Calibri" w:eastAsia="Times New Roman" w:hAnsi="Calibri"/>
      <w:bCs/>
      <w:color w:val="2B3054"/>
      <w:sz w:val="56"/>
      <w:szCs w:val="28"/>
      <w:lang w:val="en-AU" w:eastAsia="en-US" w:bidi="ar-SA"/>
    </w:rPr>
  </w:style>
  <w:style w:type="paragraph" w:styleId="Footer">
    <w:name w:val="footer"/>
    <w:link w:val="FooterChar"/>
    <w:uiPriority w:val="49"/>
    <w:semiHidden/>
    <w:rsid w:val="004F244C"/>
    <w:pPr>
      <w:tabs>
        <w:tab w:val="center" w:pos="4513"/>
        <w:tab w:val="right" w:pos="9026"/>
      </w:tabs>
      <w:spacing w:line="200" w:lineRule="exact"/>
      <w:ind w:left="-851"/>
    </w:pPr>
    <w:rPr>
      <w:rFonts w:ascii="Arial" w:hAnsi="Arial"/>
      <w:caps/>
      <w:color w:val="666666"/>
      <w:sz w:val="16"/>
      <w:lang w:eastAsia="en-US"/>
    </w:rPr>
  </w:style>
  <w:style w:type="character" w:customStyle="1" w:styleId="FooterChar">
    <w:name w:val="Footer Char"/>
    <w:basedOn w:val="DefaultParagraphFont"/>
    <w:link w:val="Footer"/>
    <w:uiPriority w:val="49"/>
    <w:semiHidden/>
    <w:rsid w:val="004F244C"/>
    <w:rPr>
      <w:rFonts w:ascii="Arial" w:hAnsi="Arial"/>
      <w:caps/>
      <w:color w:val="666666"/>
      <w:sz w:val="16"/>
      <w:lang w:val="en-AU" w:eastAsia="en-US" w:bidi="ar-SA"/>
    </w:rPr>
  </w:style>
  <w:style w:type="paragraph" w:styleId="Header">
    <w:name w:val="header"/>
    <w:link w:val="HeaderChar"/>
    <w:uiPriority w:val="49"/>
    <w:semiHidden/>
    <w:rsid w:val="00B670EF"/>
    <w:pPr>
      <w:tabs>
        <w:tab w:val="center" w:pos="4513"/>
        <w:tab w:val="right" w:pos="9026"/>
      </w:tabs>
      <w:spacing w:line="300" w:lineRule="atLeast"/>
    </w:pPr>
    <w:rPr>
      <w:rFonts w:ascii="Calibri" w:hAnsi="Calibri"/>
      <w:color w:val="656263"/>
      <w:lang w:eastAsia="en-US"/>
    </w:rPr>
  </w:style>
  <w:style w:type="character" w:customStyle="1" w:styleId="HeaderChar">
    <w:name w:val="Header Char"/>
    <w:basedOn w:val="DefaultParagraphFont"/>
    <w:link w:val="Header"/>
    <w:uiPriority w:val="49"/>
    <w:semiHidden/>
    <w:rsid w:val="00B670EF"/>
    <w:rPr>
      <w:rFonts w:ascii="Calibri" w:hAnsi="Calibri"/>
      <w:color w:val="656263"/>
      <w:lang w:val="en-AU" w:eastAsia="en-US" w:bidi="ar-SA"/>
    </w:rPr>
  </w:style>
  <w:style w:type="character" w:customStyle="1" w:styleId="Heading2Char">
    <w:name w:val="Heading 2 Char"/>
    <w:basedOn w:val="DefaultParagraphFont"/>
    <w:link w:val="Heading2"/>
    <w:uiPriority w:val="4"/>
    <w:rsid w:val="00A35A7F"/>
    <w:rPr>
      <w:rFonts w:ascii="Calibri" w:eastAsia="Times New Roman" w:hAnsi="Calibri"/>
      <w:bCs/>
      <w:color w:val="0F979B"/>
      <w:sz w:val="42"/>
      <w:szCs w:val="26"/>
      <w:lang w:val="en-AU" w:eastAsia="en-US" w:bidi="ar-SA"/>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Arial" w:hAnsi="Arial"/>
      <w:color w:val="000000"/>
    </w:rPr>
  </w:style>
  <w:style w:type="character" w:customStyle="1" w:styleId="Heading3Char">
    <w:name w:val="Heading 3 Char"/>
    <w:basedOn w:val="DefaultParagraphFont"/>
    <w:link w:val="Heading3"/>
    <w:uiPriority w:val="4"/>
    <w:rsid w:val="009B438D"/>
    <w:rPr>
      <w:rFonts w:ascii="Calibri" w:eastAsia="Times New Roman" w:hAnsi="Calibri"/>
      <w:bCs/>
      <w:color w:val="2B3054"/>
      <w:sz w:val="34"/>
      <w:lang w:eastAsia="en-US"/>
    </w:rPr>
  </w:style>
  <w:style w:type="character" w:customStyle="1" w:styleId="Heading4Char">
    <w:name w:val="Heading 4 Char"/>
    <w:basedOn w:val="DefaultParagraphFont"/>
    <w:link w:val="Heading4"/>
    <w:uiPriority w:val="4"/>
    <w:rsid w:val="00A35A7F"/>
    <w:rPr>
      <w:rFonts w:ascii="Calibri" w:eastAsia="Times New Roman" w:hAnsi="Calibri"/>
      <w:b/>
      <w:bCs/>
      <w:iCs/>
      <w:color w:val="15565F"/>
      <w:sz w:val="26"/>
      <w:lang w:val="en-AU" w:eastAsia="en-US" w:bidi="ar-SA"/>
    </w:rPr>
  </w:style>
  <w:style w:type="paragraph" w:styleId="Subtitle">
    <w:name w:val="Subtitle"/>
    <w:link w:val="SubtitleChar"/>
    <w:uiPriority w:val="37"/>
    <w:qFormat/>
    <w:rsid w:val="006D2122"/>
    <w:pPr>
      <w:numPr>
        <w:ilvl w:val="1"/>
      </w:numPr>
      <w:spacing w:line="480" w:lineRule="atLeast"/>
      <w:jc w:val="right"/>
    </w:pPr>
    <w:rPr>
      <w:rFonts w:ascii="Calibri" w:eastAsia="Times New Roman" w:hAnsi="Calibri"/>
      <w:iCs/>
      <w:color w:val="656565"/>
      <w:sz w:val="36"/>
      <w:szCs w:val="24"/>
      <w:lang w:eastAsia="en-US"/>
    </w:rPr>
  </w:style>
  <w:style w:type="character" w:customStyle="1" w:styleId="SubtitleChar">
    <w:name w:val="Subtitle Char"/>
    <w:basedOn w:val="DefaultParagraphFont"/>
    <w:link w:val="Subtitle"/>
    <w:uiPriority w:val="37"/>
    <w:rsid w:val="006D2122"/>
    <w:rPr>
      <w:rFonts w:ascii="Calibri" w:eastAsia="Times New Roman" w:hAnsi="Calibri"/>
      <w:iCs/>
      <w:color w:val="656565"/>
      <w:sz w:val="36"/>
      <w:szCs w:val="24"/>
      <w:lang w:val="en-AU" w:eastAsia="en-US" w:bidi="ar-SA"/>
    </w:rPr>
  </w:style>
  <w:style w:type="paragraph" w:styleId="Title">
    <w:name w:val="Title"/>
    <w:link w:val="TitleChar"/>
    <w:uiPriority w:val="36"/>
    <w:qFormat/>
    <w:rsid w:val="006D2122"/>
    <w:pPr>
      <w:spacing w:line="680" w:lineRule="exact"/>
      <w:jc w:val="right"/>
    </w:pPr>
    <w:rPr>
      <w:rFonts w:ascii="Calibri" w:eastAsia="Times New Roman" w:hAnsi="Calibri"/>
      <w:color w:val="0F979B"/>
      <w:spacing w:val="-10"/>
      <w:kern w:val="28"/>
      <w:sz w:val="64"/>
      <w:szCs w:val="52"/>
      <w:lang w:eastAsia="en-US"/>
    </w:rPr>
  </w:style>
  <w:style w:type="character" w:customStyle="1" w:styleId="TitleChar">
    <w:name w:val="Title Char"/>
    <w:basedOn w:val="DefaultParagraphFont"/>
    <w:link w:val="Title"/>
    <w:uiPriority w:val="36"/>
    <w:rsid w:val="006D2122"/>
    <w:rPr>
      <w:rFonts w:ascii="Calibri" w:eastAsia="Times New Roman" w:hAnsi="Calibri"/>
      <w:color w:val="0F979B"/>
      <w:spacing w:val="-10"/>
      <w:kern w:val="28"/>
      <w:sz w:val="64"/>
      <w:szCs w:val="52"/>
      <w:lang w:val="en-AU" w:eastAsia="en-US" w:bidi="ar-SA"/>
    </w:rPr>
  </w:style>
  <w:style w:type="paragraph" w:styleId="Caption">
    <w:name w:val="caption"/>
    <w:next w:val="Normal"/>
    <w:link w:val="CaptionChar"/>
    <w:uiPriority w:val="14"/>
    <w:qFormat/>
    <w:rsid w:val="00F52DD1"/>
    <w:pPr>
      <w:keepNext/>
      <w:keepLines/>
      <w:spacing w:before="400" w:after="200" w:line="300" w:lineRule="exact"/>
    </w:pPr>
    <w:rPr>
      <w:rFonts w:ascii="Calibri" w:hAnsi="Calibri"/>
      <w:b/>
      <w:bCs/>
      <w:color w:val="666666"/>
      <w:sz w:val="26"/>
      <w:szCs w:val="18"/>
      <w:lang w:eastAsia="en-US"/>
    </w:rPr>
  </w:style>
  <w:style w:type="paragraph" w:styleId="Date">
    <w:name w:val="Date"/>
    <w:link w:val="DateChar"/>
    <w:uiPriority w:val="38"/>
    <w:semiHidden/>
    <w:rsid w:val="00B670EF"/>
    <w:rPr>
      <w:rFonts w:ascii="Arial" w:hAnsi="Arial"/>
      <w:lang w:eastAsia="en-US"/>
    </w:rPr>
  </w:style>
  <w:style w:type="character" w:customStyle="1" w:styleId="DateChar">
    <w:name w:val="Date Char"/>
    <w:basedOn w:val="DefaultParagraphFont"/>
    <w:link w:val="Date"/>
    <w:uiPriority w:val="38"/>
    <w:semiHidden/>
    <w:rsid w:val="00B670EF"/>
    <w:rPr>
      <w:rFonts w:ascii="Arial" w:hAnsi="Arial"/>
      <w:lang w:val="en-AU" w:eastAsia="en-US" w:bidi="ar-SA"/>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Arial" w:hAnsi="Arial"/>
      <w:color w:val="000000"/>
    </w:rPr>
  </w:style>
  <w:style w:type="paragraph" w:styleId="FootnoteText">
    <w:name w:val="footnote text"/>
    <w:link w:val="FootnoteTextChar"/>
    <w:uiPriority w:val="99"/>
    <w:qFormat/>
    <w:rsid w:val="00B670EF"/>
    <w:pPr>
      <w:spacing w:before="142" w:line="200" w:lineRule="atLeast"/>
    </w:pPr>
    <w:rPr>
      <w:rFonts w:ascii="Arial" w:hAnsi="Arial"/>
      <w:color w:val="000000"/>
      <w:sz w:val="16"/>
      <w:lang w:eastAsia="en-US"/>
    </w:rPr>
  </w:style>
  <w:style w:type="character" w:customStyle="1" w:styleId="FootnoteTextChar">
    <w:name w:val="Footnote Text Char"/>
    <w:basedOn w:val="DefaultParagraphFont"/>
    <w:link w:val="FootnoteText"/>
    <w:uiPriority w:val="99"/>
    <w:rsid w:val="00175961"/>
    <w:rPr>
      <w:rFonts w:ascii="Arial" w:hAnsi="Arial"/>
      <w:color w:val="000000"/>
      <w:sz w:val="16"/>
      <w:lang w:val="en-AU" w:eastAsia="en-US" w:bidi="ar-SA"/>
    </w:rPr>
  </w:style>
  <w:style w:type="paragraph" w:customStyle="1" w:styleId="ColorfulGrid-Accent11">
    <w:name w:val="Colorful Grid - Accent 11"/>
    <w:link w:val="ColorfulGrid-Accent1Char"/>
    <w:uiPriority w:val="9"/>
    <w:semiHidden/>
    <w:qFormat/>
    <w:rsid w:val="00B670EF"/>
    <w:rPr>
      <w:rFonts w:ascii="Arial" w:hAnsi="Arial"/>
      <w:i/>
      <w:iCs/>
      <w:color w:val="000000"/>
      <w:lang w:eastAsia="en-US"/>
    </w:rPr>
  </w:style>
  <w:style w:type="character" w:customStyle="1" w:styleId="ColorfulGrid-Accent1Char">
    <w:name w:val="Colorful Grid - Accent 1 Char"/>
    <w:basedOn w:val="DefaultParagraphFont"/>
    <w:link w:val="ColorfulGrid-Accent11"/>
    <w:uiPriority w:val="9"/>
    <w:semiHidden/>
    <w:rsid w:val="00B670EF"/>
    <w:rPr>
      <w:rFonts w:ascii="Arial" w:hAnsi="Arial"/>
      <w:i/>
      <w:iCs/>
      <w:color w:val="000000"/>
      <w:lang w:val="en-AU" w:eastAsia="en-US" w:bidi="ar-SA"/>
    </w:rPr>
  </w:style>
  <w:style w:type="paragraph" w:styleId="TableofFigures">
    <w:name w:val="table of figures"/>
    <w:uiPriority w:val="99"/>
    <w:semiHidden/>
    <w:rsid w:val="00B670EF"/>
    <w:rPr>
      <w:rFonts w:ascii="Arial" w:hAnsi="Arial"/>
      <w:lang w:eastAsia="en-US"/>
    </w:rPr>
  </w:style>
  <w:style w:type="paragraph" w:styleId="TOC1">
    <w:name w:val="toc 1"/>
    <w:basedOn w:val="Normal"/>
    <w:uiPriority w:val="39"/>
    <w:rsid w:val="006D2122"/>
    <w:pPr>
      <w:tabs>
        <w:tab w:val="right" w:pos="8505"/>
      </w:tabs>
      <w:spacing w:before="170"/>
      <w:ind w:left="567" w:right="1418"/>
    </w:pPr>
    <w:rPr>
      <w:b/>
    </w:rPr>
  </w:style>
  <w:style w:type="paragraph" w:styleId="TOC2">
    <w:name w:val="toc 2"/>
    <w:basedOn w:val="Normal"/>
    <w:uiPriority w:val="39"/>
    <w:rsid w:val="006D2122"/>
    <w:pPr>
      <w:tabs>
        <w:tab w:val="right" w:pos="8505"/>
      </w:tabs>
      <w:spacing w:before="113"/>
      <w:ind w:left="567" w:right="1418"/>
    </w:pPr>
  </w:style>
  <w:style w:type="paragraph" w:styleId="TOC3">
    <w:name w:val="toc 3"/>
    <w:autoRedefine/>
    <w:uiPriority w:val="39"/>
    <w:semiHidden/>
    <w:rsid w:val="00B670EF"/>
    <w:pPr>
      <w:spacing w:after="100"/>
      <w:ind w:left="400"/>
    </w:pPr>
    <w:rPr>
      <w:rFonts w:ascii="Arial" w:hAnsi="Arial"/>
      <w:lang w:eastAsia="en-US"/>
    </w:rPr>
  </w:style>
  <w:style w:type="paragraph" w:customStyle="1" w:styleId="TOCHeading1">
    <w:name w:val="TOC Heading1"/>
    <w:next w:val="BodyText"/>
    <w:uiPriority w:val="39"/>
    <w:qFormat/>
    <w:rsid w:val="00A22E93"/>
    <w:pPr>
      <w:spacing w:before="940" w:after="940" w:line="600" w:lineRule="exact"/>
    </w:pPr>
    <w:rPr>
      <w:rFonts w:ascii="Calibri" w:eastAsia="Times New Roman" w:hAnsi="Calibri"/>
      <w:bCs/>
      <w:color w:val="0F979B"/>
      <w:sz w:val="56"/>
      <w:szCs w:val="28"/>
      <w:lang w:eastAsia="en-US"/>
    </w:rPr>
  </w:style>
  <w:style w:type="character" w:customStyle="1" w:styleId="Heading5Char">
    <w:name w:val="Heading 5 Char"/>
    <w:basedOn w:val="DefaultParagraphFont"/>
    <w:link w:val="Heading5"/>
    <w:uiPriority w:val="4"/>
    <w:semiHidden/>
    <w:rsid w:val="00B670EF"/>
    <w:rPr>
      <w:rFonts w:ascii="Calibri" w:eastAsia="Times New Roman" w:hAnsi="Calibri"/>
      <w:color w:val="074A4D"/>
      <w:lang w:val="en-AU" w:eastAsia="en-US" w:bidi="ar-SA"/>
    </w:rPr>
  </w:style>
  <w:style w:type="character" w:customStyle="1" w:styleId="Heading6Char">
    <w:name w:val="Heading 6 Char"/>
    <w:basedOn w:val="DefaultParagraphFont"/>
    <w:link w:val="Heading6"/>
    <w:uiPriority w:val="4"/>
    <w:semiHidden/>
    <w:rsid w:val="00B670EF"/>
    <w:rPr>
      <w:rFonts w:ascii="Calibri" w:eastAsia="Times New Roman" w:hAnsi="Calibri"/>
      <w:i/>
      <w:iCs/>
      <w:color w:val="074A4D"/>
      <w:lang w:val="en-AU" w:eastAsia="en-US" w:bidi="ar-SA"/>
    </w:rPr>
  </w:style>
  <w:style w:type="character" w:customStyle="1" w:styleId="Heading7Char">
    <w:name w:val="Heading 7 Char"/>
    <w:basedOn w:val="DefaultParagraphFont"/>
    <w:link w:val="Heading7"/>
    <w:uiPriority w:val="4"/>
    <w:semiHidden/>
    <w:rsid w:val="00B670EF"/>
    <w:rPr>
      <w:rFonts w:ascii="Calibri" w:eastAsia="Times New Roman" w:hAnsi="Calibri"/>
      <w:i/>
      <w:iCs/>
      <w:color w:val="404040"/>
      <w:lang w:val="en-AU" w:eastAsia="en-US" w:bidi="ar-SA"/>
    </w:rPr>
  </w:style>
  <w:style w:type="character" w:customStyle="1" w:styleId="Heading8Char">
    <w:name w:val="Heading 8 Char"/>
    <w:basedOn w:val="DefaultParagraphFont"/>
    <w:link w:val="Heading8"/>
    <w:uiPriority w:val="4"/>
    <w:semiHidden/>
    <w:rsid w:val="00B670EF"/>
    <w:rPr>
      <w:rFonts w:ascii="Calibri" w:eastAsia="Times New Roman" w:hAnsi="Calibri"/>
      <w:color w:val="404040"/>
      <w:lang w:val="en-AU" w:eastAsia="en-US" w:bidi="ar-SA"/>
    </w:rPr>
  </w:style>
  <w:style w:type="character" w:customStyle="1" w:styleId="Heading9Char">
    <w:name w:val="Heading 9 Char"/>
    <w:basedOn w:val="DefaultParagraphFont"/>
    <w:link w:val="Heading9"/>
    <w:uiPriority w:val="4"/>
    <w:semiHidden/>
    <w:rsid w:val="00B670EF"/>
    <w:rPr>
      <w:rFonts w:ascii="Calibri" w:eastAsia="Times New Roman" w:hAnsi="Calibri"/>
      <w:i/>
      <w:iCs/>
      <w:color w:val="404040"/>
      <w:lang w:val="en-AU" w:eastAsia="en-US" w:bidi="ar-SA"/>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6116C"/>
    <w:pPr>
      <w:framePr w:w="9072" w:wrap="notBeside" w:vAnchor="text" w:hAnchor="text" w:y="1"/>
      <w:spacing w:before="120"/>
    </w:pPr>
    <w:rPr>
      <w:color w:val="4D4D4D"/>
    </w:rPr>
  </w:style>
  <w:style w:type="table" w:customStyle="1" w:styleId="ATOTable">
    <w:name w:val="ATO Table"/>
    <w:basedOn w:val="TableNormal"/>
    <w:uiPriority w:val="99"/>
    <w:rsid w:val="00073B8D"/>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character" w:customStyle="1" w:styleId="CaptionChar">
    <w:name w:val="Caption Char"/>
    <w:basedOn w:val="DefaultParagraphFont"/>
    <w:link w:val="Caption"/>
    <w:uiPriority w:val="14"/>
    <w:rsid w:val="00F52DD1"/>
    <w:rPr>
      <w:rFonts w:ascii="Calibri" w:hAnsi="Calibri"/>
      <w:b/>
      <w:bCs/>
      <w:color w:val="666666"/>
      <w:sz w:val="26"/>
      <w:szCs w:val="18"/>
      <w:lang w:val="en-AU" w:eastAsia="en-US" w:bidi="ar-SA"/>
    </w:rPr>
  </w:style>
  <w:style w:type="character" w:customStyle="1" w:styleId="MediumGrid11">
    <w:name w:val="Medium Grid 11"/>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Arial" w:hAnsi="Arial"/>
      <w:color w:val="000000"/>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Calibri" w:hAnsi="Calibri"/>
      <w:b w:val="0"/>
      <w:bCs w:val="0"/>
      <w:color w:val="666666"/>
      <w:sz w:val="26"/>
      <w:szCs w:val="18"/>
      <w:lang w:val="en-AU" w:eastAsia="en-US" w:bidi="ar-SA"/>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Arial" w:hAnsi="Arial"/>
      <w:b/>
      <w:color w:val="000000"/>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Arial" w:hAnsi="Arial"/>
      <w:color w:val="000000"/>
    </w:rPr>
  </w:style>
  <w:style w:type="character" w:customStyle="1" w:styleId="Navy">
    <w:name w:val="Navy"/>
    <w:uiPriority w:val="99"/>
    <w:qFormat/>
    <w:rsid w:val="00B670EF"/>
    <w:rPr>
      <w:color w:val="2B3054"/>
    </w:rPr>
  </w:style>
  <w:style w:type="paragraph" w:customStyle="1" w:styleId="PageTitle">
    <w:name w:val="Page Title"/>
    <w:basedOn w:val="Title"/>
    <w:uiPriority w:val="36"/>
    <w:semiHidden/>
    <w:qFormat/>
    <w:rsid w:val="00B670EF"/>
    <w:pPr>
      <w:framePr w:wrap="around" w:hAnchor="text"/>
      <w:jc w:val="both"/>
    </w:p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rPr>
  </w:style>
  <w:style w:type="character" w:customStyle="1" w:styleId="Classification">
    <w:name w:val="Classification"/>
    <w:uiPriority w:val="49"/>
    <w:qFormat/>
    <w:rsid w:val="002B0C38"/>
    <w:rPr>
      <w:b/>
      <w:color w:val="666666"/>
      <w:sz w:val="22"/>
      <w:lang w:val="en-US"/>
    </w:rPr>
  </w:style>
  <w:style w:type="paragraph" w:customStyle="1" w:styleId="TOCDivider">
    <w:name w:val="TOC Divider"/>
    <w:next w:val="Normal"/>
    <w:uiPriority w:val="39"/>
    <w:qFormat/>
    <w:rsid w:val="009D334A"/>
    <w:pPr>
      <w:spacing w:before="284" w:line="840" w:lineRule="exact"/>
      <w:ind w:left="567" w:right="567"/>
    </w:pPr>
    <w:rPr>
      <w:rFonts w:ascii="Calibri" w:hAnsi="Calibri"/>
      <w:color w:val="3FACAF"/>
      <w:sz w:val="80"/>
      <w:lang w:eastAsia="en-US"/>
    </w:rPr>
  </w:style>
  <w:style w:type="character" w:styleId="Hyperlink">
    <w:name w:val="Hyperlink"/>
    <w:basedOn w:val="DefaultParagraphFont"/>
    <w:uiPriority w:val="99"/>
    <w:rsid w:val="0006646A"/>
    <w:rPr>
      <w:color w:val="0000FC"/>
      <w:u w:val="single"/>
    </w:rPr>
  </w:style>
  <w:style w:type="paragraph" w:customStyle="1" w:styleId="ClassificationInfo">
    <w:name w:val="Classification Info"/>
    <w:uiPriority w:val="99"/>
    <w:rsid w:val="005975AA"/>
    <w:pPr>
      <w:framePr w:wrap="around" w:vAnchor="page" w:hAnchor="page" w:x="738" w:y="15849"/>
      <w:spacing w:line="220" w:lineRule="exact"/>
    </w:pPr>
    <w:rPr>
      <w:rFonts w:ascii="Arial" w:hAnsi="Arial"/>
      <w:b/>
      <w:caps/>
      <w:color w:val="FFFFFF"/>
      <w:sz w:val="22"/>
      <w:lang w:val="en-US" w:eastAsia="en-US"/>
    </w:rPr>
  </w:style>
  <w:style w:type="paragraph" w:customStyle="1" w:styleId="InternalExternal">
    <w:name w:val="Internal/External"/>
    <w:uiPriority w:val="99"/>
    <w:rsid w:val="005975AA"/>
    <w:pPr>
      <w:framePr w:wrap="around" w:vAnchor="page" w:hAnchor="page" w:x="738" w:y="16132"/>
      <w:spacing w:line="160" w:lineRule="exact"/>
    </w:pPr>
    <w:rPr>
      <w:rFonts w:ascii="Arial" w:hAnsi="Arial"/>
      <w:caps/>
      <w:color w:val="FFFFFF"/>
      <w:sz w:val="16"/>
      <w:lang w:val="en-US" w:eastAsia="en-US"/>
    </w:rPr>
  </w:style>
  <w:style w:type="paragraph" w:styleId="ListParagraph">
    <w:name w:val="List Paragraph"/>
    <w:aliases w:val="NFP GP Bulleted List,List Paragraph1,Recommendation,List Paragraph11"/>
    <w:basedOn w:val="Normal"/>
    <w:link w:val="ListParagraphChar"/>
    <w:uiPriority w:val="72"/>
    <w:qFormat/>
    <w:rsid w:val="00637CC6"/>
    <w:pPr>
      <w:ind w:left="720"/>
      <w:contextualSpacing/>
    </w:pPr>
  </w:style>
  <w:style w:type="character" w:customStyle="1" w:styleId="ListParagraphChar">
    <w:name w:val="List Paragraph Char"/>
    <w:aliases w:val="NFP GP Bulleted List Char,List Paragraph1 Char,Recommendation Char,List Paragraph11 Char"/>
    <w:link w:val="ListParagraph"/>
    <w:uiPriority w:val="72"/>
    <w:locked/>
    <w:rsid w:val="00F60B0D"/>
    <w:rPr>
      <w:rFonts w:ascii="Arial" w:hAnsi="Arial"/>
      <w:color w:val="000000"/>
      <w:sz w:val="22"/>
      <w:lang w:eastAsia="en-US"/>
    </w:rPr>
  </w:style>
  <w:style w:type="character" w:styleId="FootnoteReference">
    <w:name w:val="footnote reference"/>
    <w:uiPriority w:val="99"/>
    <w:unhideWhenUsed/>
    <w:rsid w:val="00164172"/>
    <w:rPr>
      <w:vertAlign w:val="superscript"/>
    </w:rPr>
  </w:style>
  <w:style w:type="paragraph" w:customStyle="1" w:styleId="Maintext">
    <w:name w:val="Main text"/>
    <w:basedOn w:val="Normal"/>
    <w:link w:val="MaintextCharChar"/>
    <w:rsid w:val="00164172"/>
    <w:pPr>
      <w:spacing w:before="0" w:line="240" w:lineRule="auto"/>
    </w:pPr>
    <w:rPr>
      <w:rFonts w:eastAsia="Times New Roman"/>
      <w:color w:val="auto"/>
      <w:szCs w:val="24"/>
      <w:lang w:eastAsia="en-AU"/>
    </w:rPr>
  </w:style>
  <w:style w:type="character" w:customStyle="1" w:styleId="MaintextCharChar">
    <w:name w:val="Main text Char Char"/>
    <w:link w:val="Maintext"/>
    <w:rsid w:val="00164172"/>
    <w:rPr>
      <w:rFonts w:ascii="Arial" w:eastAsia="Times New Roman" w:hAnsi="Arial"/>
      <w:sz w:val="22"/>
      <w:szCs w:val="24"/>
    </w:rPr>
  </w:style>
  <w:style w:type="character" w:styleId="CommentReference">
    <w:name w:val="annotation reference"/>
    <w:basedOn w:val="DefaultParagraphFont"/>
    <w:uiPriority w:val="99"/>
    <w:semiHidden/>
    <w:rsid w:val="00164172"/>
    <w:rPr>
      <w:sz w:val="16"/>
      <w:szCs w:val="16"/>
    </w:rPr>
  </w:style>
  <w:style w:type="paragraph" w:styleId="CommentText">
    <w:name w:val="annotation text"/>
    <w:basedOn w:val="Normal"/>
    <w:link w:val="CommentTextChar"/>
    <w:uiPriority w:val="99"/>
    <w:semiHidden/>
    <w:rsid w:val="00164172"/>
    <w:pPr>
      <w:spacing w:line="240" w:lineRule="auto"/>
    </w:pPr>
    <w:rPr>
      <w:rFonts w:asciiTheme="minorHAnsi" w:eastAsiaTheme="minorHAnsi" w:hAnsiTheme="minorHAnsi"/>
      <w:color w:val="000000" w:themeColor="text1"/>
      <w:sz w:val="20"/>
    </w:rPr>
  </w:style>
  <w:style w:type="character" w:customStyle="1" w:styleId="CommentTextChar">
    <w:name w:val="Comment Text Char"/>
    <w:basedOn w:val="DefaultParagraphFont"/>
    <w:link w:val="CommentText"/>
    <w:uiPriority w:val="99"/>
    <w:semiHidden/>
    <w:rsid w:val="00164172"/>
    <w:rPr>
      <w:rFonts w:asciiTheme="minorHAnsi" w:eastAsiaTheme="minorHAnsi" w:hAnsiTheme="minorHAnsi"/>
      <w:color w:val="000000" w:themeColor="text1"/>
      <w:lang w:eastAsia="en-US"/>
    </w:rPr>
  </w:style>
  <w:style w:type="table" w:styleId="MediumList2-Accent1">
    <w:name w:val="Medium List 2 Accent 1"/>
    <w:basedOn w:val="TableNormal"/>
    <w:uiPriority w:val="66"/>
    <w:rsid w:val="005C7C4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
    <w:name w:val="Bullet"/>
    <w:basedOn w:val="Normal"/>
    <w:link w:val="BulletChar"/>
    <w:rsid w:val="005C7C45"/>
    <w:pPr>
      <w:numPr>
        <w:numId w:val="38"/>
      </w:numPr>
      <w:jc w:val="both"/>
    </w:pPr>
    <w:rPr>
      <w:rFonts w:asciiTheme="minorHAnsi" w:eastAsiaTheme="majorEastAsia" w:hAnsiTheme="minorHAnsi" w:cstheme="majorBidi"/>
      <w:color w:val="000000" w:themeColor="text1"/>
    </w:rPr>
  </w:style>
  <w:style w:type="character" w:customStyle="1" w:styleId="BulletChar">
    <w:name w:val="Bullet Char"/>
    <w:basedOn w:val="DefaultParagraphFont"/>
    <w:link w:val="Bullet"/>
    <w:rsid w:val="005C7C45"/>
    <w:rPr>
      <w:rFonts w:asciiTheme="minorHAnsi" w:eastAsiaTheme="majorEastAsia" w:hAnsiTheme="minorHAnsi" w:cstheme="majorBidi"/>
      <w:color w:val="000000" w:themeColor="text1"/>
      <w:sz w:val="22"/>
      <w:lang w:eastAsia="en-US"/>
    </w:rPr>
  </w:style>
  <w:style w:type="paragraph" w:customStyle="1" w:styleId="Dash">
    <w:name w:val="Dash"/>
    <w:basedOn w:val="Normal"/>
    <w:link w:val="DashChar"/>
    <w:rsid w:val="005C7C45"/>
    <w:pPr>
      <w:numPr>
        <w:ilvl w:val="1"/>
        <w:numId w:val="38"/>
      </w:numPr>
      <w:jc w:val="both"/>
    </w:pPr>
    <w:rPr>
      <w:rFonts w:asciiTheme="minorHAnsi" w:eastAsiaTheme="majorEastAsia" w:hAnsiTheme="minorHAnsi" w:cstheme="majorBidi"/>
      <w:color w:val="000000" w:themeColor="text1"/>
    </w:rPr>
  </w:style>
  <w:style w:type="paragraph" w:customStyle="1" w:styleId="DoubleDot">
    <w:name w:val="Double Dot"/>
    <w:basedOn w:val="Normal"/>
    <w:rsid w:val="005C7C45"/>
    <w:pPr>
      <w:numPr>
        <w:ilvl w:val="2"/>
        <w:numId w:val="38"/>
      </w:numPr>
      <w:jc w:val="both"/>
    </w:pPr>
    <w:rPr>
      <w:rFonts w:asciiTheme="minorHAnsi" w:eastAsiaTheme="majorEastAsia" w:hAnsiTheme="minorHAnsi" w:cstheme="majorBidi"/>
      <w:color w:val="000000" w:themeColor="text1"/>
    </w:rPr>
  </w:style>
  <w:style w:type="character" w:customStyle="1" w:styleId="DashChar">
    <w:name w:val="Dash Char"/>
    <w:basedOn w:val="DefaultParagraphFont"/>
    <w:link w:val="Dash"/>
    <w:rsid w:val="005C7C45"/>
    <w:rPr>
      <w:rFonts w:asciiTheme="minorHAnsi" w:eastAsiaTheme="majorEastAsia" w:hAnsiTheme="minorHAnsi" w:cstheme="majorBidi"/>
      <w:color w:val="000000" w:themeColor="text1"/>
      <w:sz w:val="22"/>
      <w:lang w:eastAsia="en-US"/>
    </w:rPr>
  </w:style>
  <w:style w:type="paragraph" w:styleId="CommentSubject">
    <w:name w:val="annotation subject"/>
    <w:basedOn w:val="CommentText"/>
    <w:next w:val="CommentText"/>
    <w:link w:val="CommentSubjectChar"/>
    <w:uiPriority w:val="99"/>
    <w:semiHidden/>
    <w:rsid w:val="005C42A1"/>
    <w:rPr>
      <w:rFonts w:ascii="Arial" w:eastAsia="Arial" w:hAnsi="Arial"/>
      <w:b/>
      <w:bCs/>
      <w:color w:val="000000"/>
    </w:rPr>
  </w:style>
  <w:style w:type="character" w:customStyle="1" w:styleId="CommentSubjectChar">
    <w:name w:val="Comment Subject Char"/>
    <w:basedOn w:val="CommentTextChar"/>
    <w:link w:val="CommentSubject"/>
    <w:uiPriority w:val="99"/>
    <w:semiHidden/>
    <w:rsid w:val="005C42A1"/>
    <w:rPr>
      <w:rFonts w:ascii="Arial" w:eastAsiaTheme="minorHAnsi" w:hAnsi="Arial"/>
      <w:b/>
      <w:bCs/>
      <w:color w:val="000000"/>
      <w:lang w:eastAsia="en-US"/>
    </w:rPr>
  </w:style>
  <w:style w:type="paragraph" w:styleId="Revision">
    <w:name w:val="Revision"/>
    <w:hidden/>
    <w:uiPriority w:val="71"/>
    <w:rsid w:val="005C42A1"/>
    <w:rPr>
      <w:rFonts w:ascii="Arial" w:hAnsi="Arial"/>
      <w:color w:val="000000"/>
      <w:sz w:val="22"/>
      <w:lang w:eastAsia="en-US"/>
    </w:rPr>
  </w:style>
  <w:style w:type="paragraph" w:customStyle="1" w:styleId="OutlineNumbered1">
    <w:name w:val="Outline Numbered 1"/>
    <w:basedOn w:val="Normal"/>
    <w:link w:val="OutlineNumbered1Char"/>
    <w:rsid w:val="00DF7716"/>
    <w:pPr>
      <w:numPr>
        <w:numId w:val="50"/>
      </w:numPr>
      <w:jc w:val="both"/>
    </w:pPr>
    <w:rPr>
      <w:rFonts w:asciiTheme="minorHAnsi" w:eastAsiaTheme="minorHAnsi" w:hAnsiTheme="minorHAnsi"/>
      <w:color w:val="000000" w:themeColor="text1"/>
    </w:rPr>
  </w:style>
  <w:style w:type="character" w:customStyle="1" w:styleId="OutlineNumbered1Char">
    <w:name w:val="Outline Numbered 1 Char"/>
    <w:basedOn w:val="DefaultParagraphFont"/>
    <w:link w:val="OutlineNumbered1"/>
    <w:rsid w:val="00DF7716"/>
    <w:rPr>
      <w:rFonts w:asciiTheme="minorHAnsi" w:eastAsiaTheme="minorHAnsi" w:hAnsiTheme="minorHAnsi"/>
      <w:color w:val="000000" w:themeColor="text1"/>
      <w:sz w:val="22"/>
      <w:lang w:eastAsia="en-US"/>
    </w:rPr>
  </w:style>
  <w:style w:type="paragraph" w:customStyle="1" w:styleId="OutlineNumbered2">
    <w:name w:val="Outline Numbered 2"/>
    <w:basedOn w:val="Normal"/>
    <w:rsid w:val="00DF7716"/>
    <w:pPr>
      <w:numPr>
        <w:ilvl w:val="1"/>
        <w:numId w:val="50"/>
      </w:numPr>
      <w:jc w:val="both"/>
    </w:pPr>
    <w:rPr>
      <w:rFonts w:asciiTheme="minorHAnsi" w:eastAsiaTheme="minorHAnsi" w:hAnsiTheme="minorHAnsi"/>
      <w:color w:val="000000" w:themeColor="text1"/>
    </w:rPr>
  </w:style>
  <w:style w:type="paragraph" w:customStyle="1" w:styleId="OutlineNumbered3">
    <w:name w:val="Outline Numbered 3"/>
    <w:basedOn w:val="Normal"/>
    <w:rsid w:val="00DF7716"/>
    <w:pPr>
      <w:numPr>
        <w:ilvl w:val="2"/>
        <w:numId w:val="50"/>
      </w:numPr>
      <w:jc w:val="both"/>
    </w:pPr>
    <w:rPr>
      <w:rFonts w:asciiTheme="minorHAnsi" w:eastAsiaTheme="minorHAnsi" w:hAnsiTheme="minorHAnsi"/>
      <w:color w:val="000000" w:themeColor="text1"/>
    </w:rPr>
  </w:style>
  <w:style w:type="paragraph" w:styleId="NormalWeb">
    <w:name w:val="Normal (Web)"/>
    <w:basedOn w:val="Normal"/>
    <w:uiPriority w:val="99"/>
    <w:unhideWhenUsed/>
    <w:rsid w:val="00D46EEB"/>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PlainText">
    <w:name w:val="Plain Text"/>
    <w:basedOn w:val="Normal"/>
    <w:link w:val="PlainTextChar"/>
    <w:uiPriority w:val="99"/>
    <w:semiHidden/>
    <w:unhideWhenUsed/>
    <w:rsid w:val="00A93E8E"/>
    <w:pPr>
      <w:spacing w:before="0" w:line="240" w:lineRule="auto"/>
    </w:pPr>
    <w:rPr>
      <w:rFonts w:ascii="Calibri" w:eastAsiaTheme="minorHAnsi" w:hAnsi="Calibri" w:cs="Consolas"/>
      <w:color w:val="auto"/>
      <w:szCs w:val="21"/>
    </w:rPr>
  </w:style>
  <w:style w:type="character" w:customStyle="1" w:styleId="PlainTextChar">
    <w:name w:val="Plain Text Char"/>
    <w:basedOn w:val="DefaultParagraphFont"/>
    <w:link w:val="PlainText"/>
    <w:uiPriority w:val="99"/>
    <w:semiHidden/>
    <w:rsid w:val="00A93E8E"/>
    <w:rPr>
      <w:rFonts w:ascii="Calibri" w:eastAsiaTheme="minorHAnsi" w:hAnsi="Calibri" w:cs="Consolas"/>
      <w:sz w:val="22"/>
      <w:szCs w:val="21"/>
      <w:lang w:eastAsia="en-US"/>
    </w:rPr>
  </w:style>
  <w:style w:type="paragraph" w:customStyle="1" w:styleId="Default">
    <w:name w:val="Default"/>
    <w:rsid w:val="001D3E2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Arial" w:hAnsi="Courier"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4" w:qFormat="1"/>
    <w:lsdException w:name="heading 2" w:semiHidden="0" w:uiPriority="4" w:qFormat="1"/>
    <w:lsdException w:name="heading 3" w:semiHidden="0" w:uiPriority="4" w:qFormat="1"/>
    <w:lsdException w:name="heading 4" w:semiHidden="0" w:uiPriority="4" w:qFormat="1"/>
    <w:lsdException w:name="heading 5" w:semiHidden="0" w:uiPriority="4" w:qFormat="1"/>
    <w:lsdException w:name="heading 6" w:semiHidden="0" w:uiPriority="4" w:qFormat="1"/>
    <w:lsdException w:name="heading 7" w:semiHidden="0" w:uiPriority="4" w:qFormat="1"/>
    <w:lsdException w:name="heading 8" w:semiHidden="0" w:uiPriority="4" w:qFormat="1"/>
    <w:lsdException w:name="heading 9" w:semiHidden="0"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iPriority="49"/>
    <w:lsdException w:name="footer" w:semiHidden="0" w:uiPriority="49"/>
    <w:lsdException w:name="caption" w:semiHidden="0" w:uiPriority="14" w:qFormat="1"/>
    <w:lsdException w:name="page number" w:uiPriority="49"/>
    <w:lsdException w:name="endnote text" w:uiPriority="44"/>
    <w:lsdException w:name="Title" w:semiHidden="0" w:uiPriority="36" w:qFormat="1"/>
    <w:lsdException w:name="Default Paragraph Font" w:uiPriority="1" w:unhideWhenUsed="1"/>
    <w:lsdException w:name="Body Text" w:semiHidden="0" w:uiPriority="0" w:qFormat="1"/>
    <w:lsdException w:name="Subtitle" w:semiHidden="0" w:uiPriority="37" w:qFormat="1"/>
    <w:lsdException w:name="Date" w:uiPriority="38"/>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qFormat="1"/>
    <w:lsdException w:name="Medium Grid 2"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qFormat="1"/>
    <w:lsdException w:name="Quote" w:semiHidden="0" w:uiPriority="73" w:qFormat="1"/>
    <w:lsdException w:name="Intense Quote" w:semiHidden="0" w:uiPriority="60" w:qFormat="1"/>
    <w:lsdException w:name="Medium List 2 Accent 1" w:semiHidden="0" w:uiPriority="66"/>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qFormat="1"/>
    <w:lsdException w:name="Colorful Grid Accent 1" w:uiPriority="9" w:qFormat="1"/>
    <w:lsdException w:name="Light Shading Accent 2"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CF3469"/>
    <w:pPr>
      <w:spacing w:before="140" w:line="240" w:lineRule="atLeast"/>
    </w:pPr>
    <w:rPr>
      <w:rFonts w:ascii="Arial" w:hAnsi="Arial"/>
      <w:color w:val="000000"/>
      <w:sz w:val="22"/>
      <w:lang w:eastAsia="en-US"/>
    </w:rPr>
  </w:style>
  <w:style w:type="paragraph" w:styleId="Heading1">
    <w:name w:val="heading 1"/>
    <w:next w:val="Normal"/>
    <w:link w:val="Heading1Char"/>
    <w:uiPriority w:val="4"/>
    <w:qFormat/>
    <w:rsid w:val="00A35A7F"/>
    <w:pPr>
      <w:keepNext/>
      <w:keepLines/>
      <w:framePr w:w="9072" w:wrap="notBeside" w:vAnchor="text" w:hAnchor="text" w:y="1"/>
      <w:spacing w:before="340" w:line="600" w:lineRule="exact"/>
      <w:outlineLvl w:val="0"/>
    </w:pPr>
    <w:rPr>
      <w:rFonts w:ascii="Calibri" w:eastAsia="Times New Roman" w:hAnsi="Calibri"/>
      <w:bCs/>
      <w:color w:val="2B3054"/>
      <w:sz w:val="56"/>
      <w:szCs w:val="28"/>
      <w:lang w:eastAsia="en-US"/>
    </w:rPr>
  </w:style>
  <w:style w:type="paragraph" w:styleId="Heading2">
    <w:name w:val="heading 2"/>
    <w:next w:val="Normal"/>
    <w:link w:val="Heading2Char"/>
    <w:uiPriority w:val="4"/>
    <w:qFormat/>
    <w:rsid w:val="00A35A7F"/>
    <w:pPr>
      <w:keepNext/>
      <w:keepLines/>
      <w:spacing w:before="400" w:line="460" w:lineRule="exact"/>
      <w:outlineLvl w:val="1"/>
    </w:pPr>
    <w:rPr>
      <w:rFonts w:ascii="Calibri" w:eastAsia="Times New Roman" w:hAnsi="Calibri"/>
      <w:bCs/>
      <w:color w:val="0F979B"/>
      <w:sz w:val="42"/>
      <w:szCs w:val="26"/>
      <w:lang w:eastAsia="en-US"/>
    </w:rPr>
  </w:style>
  <w:style w:type="paragraph" w:styleId="Heading3">
    <w:name w:val="heading 3"/>
    <w:next w:val="Normal"/>
    <w:link w:val="Heading3Char"/>
    <w:uiPriority w:val="4"/>
    <w:qFormat/>
    <w:rsid w:val="009B438D"/>
    <w:pPr>
      <w:keepNext/>
      <w:keepLines/>
      <w:spacing w:before="400" w:line="380" w:lineRule="exact"/>
      <w:outlineLvl w:val="2"/>
    </w:pPr>
    <w:rPr>
      <w:rFonts w:ascii="Calibri" w:eastAsia="Times New Roman" w:hAnsi="Calibri"/>
      <w:bCs/>
      <w:color w:val="2B3054"/>
      <w:sz w:val="34"/>
      <w:lang w:eastAsia="en-US"/>
    </w:rPr>
  </w:style>
  <w:style w:type="paragraph" w:styleId="Heading4">
    <w:name w:val="heading 4"/>
    <w:next w:val="Normal"/>
    <w:link w:val="Heading4Char"/>
    <w:uiPriority w:val="4"/>
    <w:qFormat/>
    <w:rsid w:val="00A35A7F"/>
    <w:pPr>
      <w:keepNext/>
      <w:keepLines/>
      <w:spacing w:before="400" w:line="300" w:lineRule="exact"/>
      <w:outlineLvl w:val="3"/>
    </w:pPr>
    <w:rPr>
      <w:rFonts w:ascii="Calibri" w:eastAsia="Times New Roman" w:hAnsi="Calibri"/>
      <w:b/>
      <w:bCs/>
      <w:iCs/>
      <w:color w:val="15565F"/>
      <w:sz w:val="26"/>
      <w:lang w:eastAsia="en-US"/>
    </w:rPr>
  </w:style>
  <w:style w:type="paragraph" w:styleId="Heading5">
    <w:name w:val="heading 5"/>
    <w:next w:val="BodyText"/>
    <w:link w:val="Heading5Char"/>
    <w:uiPriority w:val="4"/>
    <w:qFormat/>
    <w:rsid w:val="00B670EF"/>
    <w:pPr>
      <w:keepNext/>
      <w:keepLines/>
      <w:spacing w:before="200"/>
      <w:outlineLvl w:val="4"/>
    </w:pPr>
    <w:rPr>
      <w:rFonts w:ascii="Calibri" w:eastAsia="Times New Roman" w:hAnsi="Calibri"/>
      <w:color w:val="074A4D"/>
      <w:lang w:eastAsia="en-US"/>
    </w:rPr>
  </w:style>
  <w:style w:type="paragraph" w:styleId="Heading6">
    <w:name w:val="heading 6"/>
    <w:next w:val="BodyText"/>
    <w:link w:val="Heading6Char"/>
    <w:uiPriority w:val="4"/>
    <w:qFormat/>
    <w:rsid w:val="00B670EF"/>
    <w:pPr>
      <w:keepNext/>
      <w:keepLines/>
      <w:spacing w:before="200"/>
      <w:outlineLvl w:val="5"/>
    </w:pPr>
    <w:rPr>
      <w:rFonts w:ascii="Calibri" w:eastAsia="Times New Roman" w:hAnsi="Calibri"/>
      <w:i/>
      <w:iCs/>
      <w:color w:val="074A4D"/>
      <w:lang w:eastAsia="en-US"/>
    </w:rPr>
  </w:style>
  <w:style w:type="paragraph" w:styleId="Heading7">
    <w:name w:val="heading 7"/>
    <w:next w:val="BodyText"/>
    <w:link w:val="Heading7Char"/>
    <w:uiPriority w:val="4"/>
    <w:qFormat/>
    <w:rsid w:val="00B670EF"/>
    <w:pPr>
      <w:keepNext/>
      <w:keepLines/>
      <w:spacing w:before="200"/>
      <w:outlineLvl w:val="6"/>
    </w:pPr>
    <w:rPr>
      <w:rFonts w:ascii="Calibri" w:eastAsia="Times New Roman" w:hAnsi="Calibri"/>
      <w:i/>
      <w:iCs/>
      <w:color w:val="404040"/>
      <w:lang w:eastAsia="en-US"/>
    </w:rPr>
  </w:style>
  <w:style w:type="paragraph" w:styleId="Heading8">
    <w:name w:val="heading 8"/>
    <w:next w:val="BodyText"/>
    <w:link w:val="Heading8Char"/>
    <w:uiPriority w:val="4"/>
    <w:qFormat/>
    <w:rsid w:val="00B670EF"/>
    <w:pPr>
      <w:keepNext/>
      <w:keepLines/>
      <w:spacing w:before="200"/>
      <w:outlineLvl w:val="7"/>
    </w:pPr>
    <w:rPr>
      <w:rFonts w:ascii="Calibri" w:eastAsia="Times New Roman" w:hAnsi="Calibri"/>
      <w:color w:val="404040"/>
      <w:lang w:eastAsia="en-US"/>
    </w:rPr>
  </w:style>
  <w:style w:type="paragraph" w:styleId="Heading9">
    <w:name w:val="heading 9"/>
    <w:next w:val="BodyText"/>
    <w:link w:val="Heading9Char"/>
    <w:uiPriority w:val="4"/>
    <w:qFormat/>
    <w:rsid w:val="00B670EF"/>
    <w:pPr>
      <w:keepNext/>
      <w:keepLines/>
      <w:spacing w:before="200"/>
      <w:outlineLvl w:val="8"/>
    </w:pPr>
    <w:rPr>
      <w:rFonts w:ascii="Calibri" w:eastAsia="Times New Roman" w:hAnsi="Calibri"/>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35A7F"/>
    <w:rPr>
      <w:rFonts w:ascii="Calibri" w:eastAsia="Times New Roman" w:hAnsi="Calibri"/>
      <w:bCs/>
      <w:color w:val="2B3054"/>
      <w:sz w:val="56"/>
      <w:szCs w:val="28"/>
      <w:lang w:val="en-AU" w:eastAsia="en-US" w:bidi="ar-SA"/>
    </w:rPr>
  </w:style>
  <w:style w:type="paragraph" w:styleId="Footer">
    <w:name w:val="footer"/>
    <w:link w:val="FooterChar"/>
    <w:uiPriority w:val="49"/>
    <w:semiHidden/>
    <w:rsid w:val="004F244C"/>
    <w:pPr>
      <w:tabs>
        <w:tab w:val="center" w:pos="4513"/>
        <w:tab w:val="right" w:pos="9026"/>
      </w:tabs>
      <w:spacing w:line="200" w:lineRule="exact"/>
      <w:ind w:left="-851"/>
    </w:pPr>
    <w:rPr>
      <w:rFonts w:ascii="Arial" w:hAnsi="Arial"/>
      <w:caps/>
      <w:color w:val="666666"/>
      <w:sz w:val="16"/>
      <w:lang w:eastAsia="en-US"/>
    </w:rPr>
  </w:style>
  <w:style w:type="character" w:customStyle="1" w:styleId="FooterChar">
    <w:name w:val="Footer Char"/>
    <w:basedOn w:val="DefaultParagraphFont"/>
    <w:link w:val="Footer"/>
    <w:uiPriority w:val="49"/>
    <w:semiHidden/>
    <w:rsid w:val="004F244C"/>
    <w:rPr>
      <w:rFonts w:ascii="Arial" w:hAnsi="Arial"/>
      <w:caps/>
      <w:color w:val="666666"/>
      <w:sz w:val="16"/>
      <w:lang w:val="en-AU" w:eastAsia="en-US" w:bidi="ar-SA"/>
    </w:rPr>
  </w:style>
  <w:style w:type="paragraph" w:styleId="Header">
    <w:name w:val="header"/>
    <w:link w:val="HeaderChar"/>
    <w:uiPriority w:val="49"/>
    <w:semiHidden/>
    <w:rsid w:val="00B670EF"/>
    <w:pPr>
      <w:tabs>
        <w:tab w:val="center" w:pos="4513"/>
        <w:tab w:val="right" w:pos="9026"/>
      </w:tabs>
      <w:spacing w:line="300" w:lineRule="atLeast"/>
    </w:pPr>
    <w:rPr>
      <w:rFonts w:ascii="Calibri" w:hAnsi="Calibri"/>
      <w:color w:val="656263"/>
      <w:lang w:eastAsia="en-US"/>
    </w:rPr>
  </w:style>
  <w:style w:type="character" w:customStyle="1" w:styleId="HeaderChar">
    <w:name w:val="Header Char"/>
    <w:basedOn w:val="DefaultParagraphFont"/>
    <w:link w:val="Header"/>
    <w:uiPriority w:val="49"/>
    <w:semiHidden/>
    <w:rsid w:val="00B670EF"/>
    <w:rPr>
      <w:rFonts w:ascii="Calibri" w:hAnsi="Calibri"/>
      <w:color w:val="656263"/>
      <w:lang w:val="en-AU" w:eastAsia="en-US" w:bidi="ar-SA"/>
    </w:rPr>
  </w:style>
  <w:style w:type="character" w:customStyle="1" w:styleId="Heading2Char">
    <w:name w:val="Heading 2 Char"/>
    <w:basedOn w:val="DefaultParagraphFont"/>
    <w:link w:val="Heading2"/>
    <w:uiPriority w:val="4"/>
    <w:rsid w:val="00A35A7F"/>
    <w:rPr>
      <w:rFonts w:ascii="Calibri" w:eastAsia="Times New Roman" w:hAnsi="Calibri"/>
      <w:bCs/>
      <w:color w:val="0F979B"/>
      <w:sz w:val="42"/>
      <w:szCs w:val="26"/>
      <w:lang w:val="en-AU" w:eastAsia="en-US" w:bidi="ar-SA"/>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Arial" w:hAnsi="Arial"/>
      <w:color w:val="000000"/>
    </w:rPr>
  </w:style>
  <w:style w:type="character" w:customStyle="1" w:styleId="Heading3Char">
    <w:name w:val="Heading 3 Char"/>
    <w:basedOn w:val="DefaultParagraphFont"/>
    <w:link w:val="Heading3"/>
    <w:uiPriority w:val="4"/>
    <w:rsid w:val="009B438D"/>
    <w:rPr>
      <w:rFonts w:ascii="Calibri" w:eastAsia="Times New Roman" w:hAnsi="Calibri"/>
      <w:bCs/>
      <w:color w:val="2B3054"/>
      <w:sz w:val="34"/>
      <w:lang w:eastAsia="en-US"/>
    </w:rPr>
  </w:style>
  <w:style w:type="character" w:customStyle="1" w:styleId="Heading4Char">
    <w:name w:val="Heading 4 Char"/>
    <w:basedOn w:val="DefaultParagraphFont"/>
    <w:link w:val="Heading4"/>
    <w:uiPriority w:val="4"/>
    <w:rsid w:val="00A35A7F"/>
    <w:rPr>
      <w:rFonts w:ascii="Calibri" w:eastAsia="Times New Roman" w:hAnsi="Calibri"/>
      <w:b/>
      <w:bCs/>
      <w:iCs/>
      <w:color w:val="15565F"/>
      <w:sz w:val="26"/>
      <w:lang w:val="en-AU" w:eastAsia="en-US" w:bidi="ar-SA"/>
    </w:rPr>
  </w:style>
  <w:style w:type="paragraph" w:styleId="Subtitle">
    <w:name w:val="Subtitle"/>
    <w:link w:val="SubtitleChar"/>
    <w:uiPriority w:val="37"/>
    <w:qFormat/>
    <w:rsid w:val="006D2122"/>
    <w:pPr>
      <w:numPr>
        <w:ilvl w:val="1"/>
      </w:numPr>
      <w:spacing w:line="480" w:lineRule="atLeast"/>
      <w:jc w:val="right"/>
    </w:pPr>
    <w:rPr>
      <w:rFonts w:ascii="Calibri" w:eastAsia="Times New Roman" w:hAnsi="Calibri"/>
      <w:iCs/>
      <w:color w:val="656565"/>
      <w:sz w:val="36"/>
      <w:szCs w:val="24"/>
      <w:lang w:eastAsia="en-US"/>
    </w:rPr>
  </w:style>
  <w:style w:type="character" w:customStyle="1" w:styleId="SubtitleChar">
    <w:name w:val="Subtitle Char"/>
    <w:basedOn w:val="DefaultParagraphFont"/>
    <w:link w:val="Subtitle"/>
    <w:uiPriority w:val="37"/>
    <w:rsid w:val="006D2122"/>
    <w:rPr>
      <w:rFonts w:ascii="Calibri" w:eastAsia="Times New Roman" w:hAnsi="Calibri"/>
      <w:iCs/>
      <w:color w:val="656565"/>
      <w:sz w:val="36"/>
      <w:szCs w:val="24"/>
      <w:lang w:val="en-AU" w:eastAsia="en-US" w:bidi="ar-SA"/>
    </w:rPr>
  </w:style>
  <w:style w:type="paragraph" w:styleId="Title">
    <w:name w:val="Title"/>
    <w:link w:val="TitleChar"/>
    <w:uiPriority w:val="36"/>
    <w:qFormat/>
    <w:rsid w:val="006D2122"/>
    <w:pPr>
      <w:spacing w:line="680" w:lineRule="exact"/>
      <w:jc w:val="right"/>
    </w:pPr>
    <w:rPr>
      <w:rFonts w:ascii="Calibri" w:eastAsia="Times New Roman" w:hAnsi="Calibri"/>
      <w:color w:val="0F979B"/>
      <w:spacing w:val="-10"/>
      <w:kern w:val="28"/>
      <w:sz w:val="64"/>
      <w:szCs w:val="52"/>
      <w:lang w:eastAsia="en-US"/>
    </w:rPr>
  </w:style>
  <w:style w:type="character" w:customStyle="1" w:styleId="TitleChar">
    <w:name w:val="Title Char"/>
    <w:basedOn w:val="DefaultParagraphFont"/>
    <w:link w:val="Title"/>
    <w:uiPriority w:val="36"/>
    <w:rsid w:val="006D2122"/>
    <w:rPr>
      <w:rFonts w:ascii="Calibri" w:eastAsia="Times New Roman" w:hAnsi="Calibri"/>
      <w:color w:val="0F979B"/>
      <w:spacing w:val="-10"/>
      <w:kern w:val="28"/>
      <w:sz w:val="64"/>
      <w:szCs w:val="52"/>
      <w:lang w:val="en-AU" w:eastAsia="en-US" w:bidi="ar-SA"/>
    </w:rPr>
  </w:style>
  <w:style w:type="paragraph" w:styleId="Caption">
    <w:name w:val="caption"/>
    <w:next w:val="Normal"/>
    <w:link w:val="CaptionChar"/>
    <w:uiPriority w:val="14"/>
    <w:qFormat/>
    <w:rsid w:val="00F52DD1"/>
    <w:pPr>
      <w:keepNext/>
      <w:keepLines/>
      <w:spacing w:before="400" w:after="200" w:line="300" w:lineRule="exact"/>
    </w:pPr>
    <w:rPr>
      <w:rFonts w:ascii="Calibri" w:hAnsi="Calibri"/>
      <w:b/>
      <w:bCs/>
      <w:color w:val="666666"/>
      <w:sz w:val="26"/>
      <w:szCs w:val="18"/>
      <w:lang w:eastAsia="en-US"/>
    </w:rPr>
  </w:style>
  <w:style w:type="paragraph" w:styleId="Date">
    <w:name w:val="Date"/>
    <w:link w:val="DateChar"/>
    <w:uiPriority w:val="38"/>
    <w:semiHidden/>
    <w:rsid w:val="00B670EF"/>
    <w:rPr>
      <w:rFonts w:ascii="Arial" w:hAnsi="Arial"/>
      <w:lang w:eastAsia="en-US"/>
    </w:rPr>
  </w:style>
  <w:style w:type="character" w:customStyle="1" w:styleId="DateChar">
    <w:name w:val="Date Char"/>
    <w:basedOn w:val="DefaultParagraphFont"/>
    <w:link w:val="Date"/>
    <w:uiPriority w:val="38"/>
    <w:semiHidden/>
    <w:rsid w:val="00B670EF"/>
    <w:rPr>
      <w:rFonts w:ascii="Arial" w:hAnsi="Arial"/>
      <w:lang w:val="en-AU" w:eastAsia="en-US" w:bidi="ar-SA"/>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Arial" w:hAnsi="Arial"/>
      <w:color w:val="000000"/>
    </w:rPr>
  </w:style>
  <w:style w:type="paragraph" w:styleId="FootnoteText">
    <w:name w:val="footnote text"/>
    <w:link w:val="FootnoteTextChar"/>
    <w:uiPriority w:val="99"/>
    <w:qFormat/>
    <w:rsid w:val="00B670EF"/>
    <w:pPr>
      <w:spacing w:before="142" w:line="200" w:lineRule="atLeast"/>
    </w:pPr>
    <w:rPr>
      <w:rFonts w:ascii="Arial" w:hAnsi="Arial"/>
      <w:color w:val="000000"/>
      <w:sz w:val="16"/>
      <w:lang w:eastAsia="en-US"/>
    </w:rPr>
  </w:style>
  <w:style w:type="character" w:customStyle="1" w:styleId="FootnoteTextChar">
    <w:name w:val="Footnote Text Char"/>
    <w:basedOn w:val="DefaultParagraphFont"/>
    <w:link w:val="FootnoteText"/>
    <w:uiPriority w:val="99"/>
    <w:rsid w:val="00175961"/>
    <w:rPr>
      <w:rFonts w:ascii="Arial" w:hAnsi="Arial"/>
      <w:color w:val="000000"/>
      <w:sz w:val="16"/>
      <w:lang w:val="en-AU" w:eastAsia="en-US" w:bidi="ar-SA"/>
    </w:rPr>
  </w:style>
  <w:style w:type="paragraph" w:customStyle="1" w:styleId="ColorfulGrid-Accent11">
    <w:name w:val="Colorful Grid - Accent 11"/>
    <w:link w:val="ColorfulGrid-Accent1Char"/>
    <w:uiPriority w:val="9"/>
    <w:semiHidden/>
    <w:qFormat/>
    <w:rsid w:val="00B670EF"/>
    <w:rPr>
      <w:rFonts w:ascii="Arial" w:hAnsi="Arial"/>
      <w:i/>
      <w:iCs/>
      <w:color w:val="000000"/>
      <w:lang w:eastAsia="en-US"/>
    </w:rPr>
  </w:style>
  <w:style w:type="character" w:customStyle="1" w:styleId="ColorfulGrid-Accent1Char">
    <w:name w:val="Colorful Grid - Accent 1 Char"/>
    <w:basedOn w:val="DefaultParagraphFont"/>
    <w:link w:val="ColorfulGrid-Accent11"/>
    <w:uiPriority w:val="9"/>
    <w:semiHidden/>
    <w:rsid w:val="00B670EF"/>
    <w:rPr>
      <w:rFonts w:ascii="Arial" w:hAnsi="Arial"/>
      <w:i/>
      <w:iCs/>
      <w:color w:val="000000"/>
      <w:lang w:val="en-AU" w:eastAsia="en-US" w:bidi="ar-SA"/>
    </w:rPr>
  </w:style>
  <w:style w:type="paragraph" w:styleId="TableofFigures">
    <w:name w:val="table of figures"/>
    <w:uiPriority w:val="99"/>
    <w:semiHidden/>
    <w:rsid w:val="00B670EF"/>
    <w:rPr>
      <w:rFonts w:ascii="Arial" w:hAnsi="Arial"/>
      <w:lang w:eastAsia="en-US"/>
    </w:rPr>
  </w:style>
  <w:style w:type="paragraph" w:styleId="TOC1">
    <w:name w:val="toc 1"/>
    <w:basedOn w:val="Normal"/>
    <w:uiPriority w:val="39"/>
    <w:rsid w:val="006D2122"/>
    <w:pPr>
      <w:tabs>
        <w:tab w:val="right" w:pos="8505"/>
      </w:tabs>
      <w:spacing w:before="170"/>
      <w:ind w:left="567" w:right="1418"/>
    </w:pPr>
    <w:rPr>
      <w:b/>
    </w:rPr>
  </w:style>
  <w:style w:type="paragraph" w:styleId="TOC2">
    <w:name w:val="toc 2"/>
    <w:basedOn w:val="Normal"/>
    <w:uiPriority w:val="39"/>
    <w:rsid w:val="006D2122"/>
    <w:pPr>
      <w:tabs>
        <w:tab w:val="right" w:pos="8505"/>
      </w:tabs>
      <w:spacing w:before="113"/>
      <w:ind w:left="567" w:right="1418"/>
    </w:pPr>
  </w:style>
  <w:style w:type="paragraph" w:styleId="TOC3">
    <w:name w:val="toc 3"/>
    <w:autoRedefine/>
    <w:uiPriority w:val="39"/>
    <w:semiHidden/>
    <w:rsid w:val="00B670EF"/>
    <w:pPr>
      <w:spacing w:after="100"/>
      <w:ind w:left="400"/>
    </w:pPr>
    <w:rPr>
      <w:rFonts w:ascii="Arial" w:hAnsi="Arial"/>
      <w:lang w:eastAsia="en-US"/>
    </w:rPr>
  </w:style>
  <w:style w:type="paragraph" w:customStyle="1" w:styleId="TOCHeading1">
    <w:name w:val="TOC Heading1"/>
    <w:next w:val="BodyText"/>
    <w:uiPriority w:val="39"/>
    <w:qFormat/>
    <w:rsid w:val="00A22E93"/>
    <w:pPr>
      <w:spacing w:before="940" w:after="940" w:line="600" w:lineRule="exact"/>
    </w:pPr>
    <w:rPr>
      <w:rFonts w:ascii="Calibri" w:eastAsia="Times New Roman" w:hAnsi="Calibri"/>
      <w:bCs/>
      <w:color w:val="0F979B"/>
      <w:sz w:val="56"/>
      <w:szCs w:val="28"/>
      <w:lang w:eastAsia="en-US"/>
    </w:rPr>
  </w:style>
  <w:style w:type="character" w:customStyle="1" w:styleId="Heading5Char">
    <w:name w:val="Heading 5 Char"/>
    <w:basedOn w:val="DefaultParagraphFont"/>
    <w:link w:val="Heading5"/>
    <w:uiPriority w:val="4"/>
    <w:semiHidden/>
    <w:rsid w:val="00B670EF"/>
    <w:rPr>
      <w:rFonts w:ascii="Calibri" w:eastAsia="Times New Roman" w:hAnsi="Calibri"/>
      <w:color w:val="074A4D"/>
      <w:lang w:val="en-AU" w:eastAsia="en-US" w:bidi="ar-SA"/>
    </w:rPr>
  </w:style>
  <w:style w:type="character" w:customStyle="1" w:styleId="Heading6Char">
    <w:name w:val="Heading 6 Char"/>
    <w:basedOn w:val="DefaultParagraphFont"/>
    <w:link w:val="Heading6"/>
    <w:uiPriority w:val="4"/>
    <w:semiHidden/>
    <w:rsid w:val="00B670EF"/>
    <w:rPr>
      <w:rFonts w:ascii="Calibri" w:eastAsia="Times New Roman" w:hAnsi="Calibri"/>
      <w:i/>
      <w:iCs/>
      <w:color w:val="074A4D"/>
      <w:lang w:val="en-AU" w:eastAsia="en-US" w:bidi="ar-SA"/>
    </w:rPr>
  </w:style>
  <w:style w:type="character" w:customStyle="1" w:styleId="Heading7Char">
    <w:name w:val="Heading 7 Char"/>
    <w:basedOn w:val="DefaultParagraphFont"/>
    <w:link w:val="Heading7"/>
    <w:uiPriority w:val="4"/>
    <w:semiHidden/>
    <w:rsid w:val="00B670EF"/>
    <w:rPr>
      <w:rFonts w:ascii="Calibri" w:eastAsia="Times New Roman" w:hAnsi="Calibri"/>
      <w:i/>
      <w:iCs/>
      <w:color w:val="404040"/>
      <w:lang w:val="en-AU" w:eastAsia="en-US" w:bidi="ar-SA"/>
    </w:rPr>
  </w:style>
  <w:style w:type="character" w:customStyle="1" w:styleId="Heading8Char">
    <w:name w:val="Heading 8 Char"/>
    <w:basedOn w:val="DefaultParagraphFont"/>
    <w:link w:val="Heading8"/>
    <w:uiPriority w:val="4"/>
    <w:semiHidden/>
    <w:rsid w:val="00B670EF"/>
    <w:rPr>
      <w:rFonts w:ascii="Calibri" w:eastAsia="Times New Roman" w:hAnsi="Calibri"/>
      <w:color w:val="404040"/>
      <w:lang w:val="en-AU" w:eastAsia="en-US" w:bidi="ar-SA"/>
    </w:rPr>
  </w:style>
  <w:style w:type="character" w:customStyle="1" w:styleId="Heading9Char">
    <w:name w:val="Heading 9 Char"/>
    <w:basedOn w:val="DefaultParagraphFont"/>
    <w:link w:val="Heading9"/>
    <w:uiPriority w:val="4"/>
    <w:semiHidden/>
    <w:rsid w:val="00B670EF"/>
    <w:rPr>
      <w:rFonts w:ascii="Calibri" w:eastAsia="Times New Roman" w:hAnsi="Calibri"/>
      <w:i/>
      <w:iCs/>
      <w:color w:val="404040"/>
      <w:lang w:val="en-AU" w:eastAsia="en-US" w:bidi="ar-SA"/>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6116C"/>
    <w:pPr>
      <w:framePr w:w="9072" w:wrap="notBeside" w:vAnchor="text" w:hAnchor="text" w:y="1"/>
      <w:spacing w:before="120"/>
    </w:pPr>
    <w:rPr>
      <w:color w:val="4D4D4D"/>
    </w:rPr>
  </w:style>
  <w:style w:type="table" w:customStyle="1" w:styleId="ATOTable">
    <w:name w:val="ATO Table"/>
    <w:basedOn w:val="TableNormal"/>
    <w:uiPriority w:val="99"/>
    <w:rsid w:val="00073B8D"/>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character" w:customStyle="1" w:styleId="CaptionChar">
    <w:name w:val="Caption Char"/>
    <w:basedOn w:val="DefaultParagraphFont"/>
    <w:link w:val="Caption"/>
    <w:uiPriority w:val="14"/>
    <w:rsid w:val="00F52DD1"/>
    <w:rPr>
      <w:rFonts w:ascii="Calibri" w:hAnsi="Calibri"/>
      <w:b/>
      <w:bCs/>
      <w:color w:val="666666"/>
      <w:sz w:val="26"/>
      <w:szCs w:val="18"/>
      <w:lang w:val="en-AU" w:eastAsia="en-US" w:bidi="ar-SA"/>
    </w:rPr>
  </w:style>
  <w:style w:type="character" w:customStyle="1" w:styleId="MediumGrid11">
    <w:name w:val="Medium Grid 11"/>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Arial" w:hAnsi="Arial"/>
      <w:color w:val="000000"/>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Calibri" w:hAnsi="Calibri"/>
      <w:b w:val="0"/>
      <w:bCs w:val="0"/>
      <w:color w:val="666666"/>
      <w:sz w:val="26"/>
      <w:szCs w:val="18"/>
      <w:lang w:val="en-AU" w:eastAsia="en-US" w:bidi="ar-SA"/>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Arial" w:hAnsi="Arial"/>
      <w:b/>
      <w:color w:val="000000"/>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Arial" w:hAnsi="Arial"/>
      <w:color w:val="000000"/>
    </w:rPr>
  </w:style>
  <w:style w:type="character" w:customStyle="1" w:styleId="Navy">
    <w:name w:val="Navy"/>
    <w:uiPriority w:val="99"/>
    <w:qFormat/>
    <w:rsid w:val="00B670EF"/>
    <w:rPr>
      <w:color w:val="2B3054"/>
    </w:rPr>
  </w:style>
  <w:style w:type="paragraph" w:customStyle="1" w:styleId="PageTitle">
    <w:name w:val="Page Title"/>
    <w:basedOn w:val="Title"/>
    <w:uiPriority w:val="36"/>
    <w:semiHidden/>
    <w:qFormat/>
    <w:rsid w:val="00B670EF"/>
    <w:pPr>
      <w:framePr w:wrap="around" w:hAnchor="text"/>
      <w:jc w:val="both"/>
    </w:p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rPr>
  </w:style>
  <w:style w:type="character" w:customStyle="1" w:styleId="Classification">
    <w:name w:val="Classification"/>
    <w:uiPriority w:val="49"/>
    <w:qFormat/>
    <w:rsid w:val="002B0C38"/>
    <w:rPr>
      <w:b/>
      <w:color w:val="666666"/>
      <w:sz w:val="22"/>
      <w:lang w:val="en-US"/>
    </w:rPr>
  </w:style>
  <w:style w:type="paragraph" w:customStyle="1" w:styleId="TOCDivider">
    <w:name w:val="TOC Divider"/>
    <w:next w:val="Normal"/>
    <w:uiPriority w:val="39"/>
    <w:qFormat/>
    <w:rsid w:val="009D334A"/>
    <w:pPr>
      <w:spacing w:before="284" w:line="840" w:lineRule="exact"/>
      <w:ind w:left="567" w:right="567"/>
    </w:pPr>
    <w:rPr>
      <w:rFonts w:ascii="Calibri" w:hAnsi="Calibri"/>
      <w:color w:val="3FACAF"/>
      <w:sz w:val="80"/>
      <w:lang w:eastAsia="en-US"/>
    </w:rPr>
  </w:style>
  <w:style w:type="character" w:styleId="Hyperlink">
    <w:name w:val="Hyperlink"/>
    <w:basedOn w:val="DefaultParagraphFont"/>
    <w:uiPriority w:val="99"/>
    <w:rsid w:val="0006646A"/>
    <w:rPr>
      <w:color w:val="0000FC"/>
      <w:u w:val="single"/>
    </w:rPr>
  </w:style>
  <w:style w:type="paragraph" w:customStyle="1" w:styleId="ClassificationInfo">
    <w:name w:val="Classification Info"/>
    <w:uiPriority w:val="99"/>
    <w:rsid w:val="005975AA"/>
    <w:pPr>
      <w:framePr w:wrap="around" w:vAnchor="page" w:hAnchor="page" w:x="738" w:y="15849"/>
      <w:spacing w:line="220" w:lineRule="exact"/>
    </w:pPr>
    <w:rPr>
      <w:rFonts w:ascii="Arial" w:hAnsi="Arial"/>
      <w:b/>
      <w:caps/>
      <w:color w:val="FFFFFF"/>
      <w:sz w:val="22"/>
      <w:lang w:val="en-US" w:eastAsia="en-US"/>
    </w:rPr>
  </w:style>
  <w:style w:type="paragraph" w:customStyle="1" w:styleId="InternalExternal">
    <w:name w:val="Internal/External"/>
    <w:uiPriority w:val="99"/>
    <w:rsid w:val="005975AA"/>
    <w:pPr>
      <w:framePr w:wrap="around" w:vAnchor="page" w:hAnchor="page" w:x="738" w:y="16132"/>
      <w:spacing w:line="160" w:lineRule="exact"/>
    </w:pPr>
    <w:rPr>
      <w:rFonts w:ascii="Arial" w:hAnsi="Arial"/>
      <w:caps/>
      <w:color w:val="FFFFFF"/>
      <w:sz w:val="16"/>
      <w:lang w:val="en-US" w:eastAsia="en-US"/>
    </w:rPr>
  </w:style>
  <w:style w:type="paragraph" w:styleId="ListParagraph">
    <w:name w:val="List Paragraph"/>
    <w:aliases w:val="NFP GP Bulleted List,List Paragraph1,Recommendation,List Paragraph11"/>
    <w:basedOn w:val="Normal"/>
    <w:link w:val="ListParagraphChar"/>
    <w:uiPriority w:val="72"/>
    <w:qFormat/>
    <w:rsid w:val="00637CC6"/>
    <w:pPr>
      <w:ind w:left="720"/>
      <w:contextualSpacing/>
    </w:pPr>
  </w:style>
  <w:style w:type="character" w:customStyle="1" w:styleId="ListParagraphChar">
    <w:name w:val="List Paragraph Char"/>
    <w:aliases w:val="NFP GP Bulleted List Char,List Paragraph1 Char,Recommendation Char,List Paragraph11 Char"/>
    <w:link w:val="ListParagraph"/>
    <w:uiPriority w:val="72"/>
    <w:locked/>
    <w:rsid w:val="00F60B0D"/>
    <w:rPr>
      <w:rFonts w:ascii="Arial" w:hAnsi="Arial"/>
      <w:color w:val="000000"/>
      <w:sz w:val="22"/>
      <w:lang w:eastAsia="en-US"/>
    </w:rPr>
  </w:style>
  <w:style w:type="character" w:styleId="FootnoteReference">
    <w:name w:val="footnote reference"/>
    <w:uiPriority w:val="99"/>
    <w:unhideWhenUsed/>
    <w:rsid w:val="00164172"/>
    <w:rPr>
      <w:vertAlign w:val="superscript"/>
    </w:rPr>
  </w:style>
  <w:style w:type="paragraph" w:customStyle="1" w:styleId="Maintext">
    <w:name w:val="Main text"/>
    <w:basedOn w:val="Normal"/>
    <w:link w:val="MaintextCharChar"/>
    <w:rsid w:val="00164172"/>
    <w:pPr>
      <w:spacing w:before="0" w:line="240" w:lineRule="auto"/>
    </w:pPr>
    <w:rPr>
      <w:rFonts w:eastAsia="Times New Roman"/>
      <w:color w:val="auto"/>
      <w:szCs w:val="24"/>
      <w:lang w:eastAsia="en-AU"/>
    </w:rPr>
  </w:style>
  <w:style w:type="character" w:customStyle="1" w:styleId="MaintextCharChar">
    <w:name w:val="Main text Char Char"/>
    <w:link w:val="Maintext"/>
    <w:rsid w:val="00164172"/>
    <w:rPr>
      <w:rFonts w:ascii="Arial" w:eastAsia="Times New Roman" w:hAnsi="Arial"/>
      <w:sz w:val="22"/>
      <w:szCs w:val="24"/>
    </w:rPr>
  </w:style>
  <w:style w:type="character" w:styleId="CommentReference">
    <w:name w:val="annotation reference"/>
    <w:basedOn w:val="DefaultParagraphFont"/>
    <w:uiPriority w:val="99"/>
    <w:semiHidden/>
    <w:rsid w:val="00164172"/>
    <w:rPr>
      <w:sz w:val="16"/>
      <w:szCs w:val="16"/>
    </w:rPr>
  </w:style>
  <w:style w:type="paragraph" w:styleId="CommentText">
    <w:name w:val="annotation text"/>
    <w:basedOn w:val="Normal"/>
    <w:link w:val="CommentTextChar"/>
    <w:uiPriority w:val="99"/>
    <w:semiHidden/>
    <w:rsid w:val="00164172"/>
    <w:pPr>
      <w:spacing w:line="240" w:lineRule="auto"/>
    </w:pPr>
    <w:rPr>
      <w:rFonts w:asciiTheme="minorHAnsi" w:eastAsiaTheme="minorHAnsi" w:hAnsiTheme="minorHAnsi"/>
      <w:color w:val="000000" w:themeColor="text1"/>
      <w:sz w:val="20"/>
    </w:rPr>
  </w:style>
  <w:style w:type="character" w:customStyle="1" w:styleId="CommentTextChar">
    <w:name w:val="Comment Text Char"/>
    <w:basedOn w:val="DefaultParagraphFont"/>
    <w:link w:val="CommentText"/>
    <w:uiPriority w:val="99"/>
    <w:semiHidden/>
    <w:rsid w:val="00164172"/>
    <w:rPr>
      <w:rFonts w:asciiTheme="minorHAnsi" w:eastAsiaTheme="minorHAnsi" w:hAnsiTheme="minorHAnsi"/>
      <w:color w:val="000000" w:themeColor="text1"/>
      <w:lang w:eastAsia="en-US"/>
    </w:rPr>
  </w:style>
  <w:style w:type="table" w:styleId="MediumList2-Accent1">
    <w:name w:val="Medium List 2 Accent 1"/>
    <w:basedOn w:val="TableNormal"/>
    <w:uiPriority w:val="66"/>
    <w:rsid w:val="005C7C4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
    <w:name w:val="Bullet"/>
    <w:basedOn w:val="Normal"/>
    <w:link w:val="BulletChar"/>
    <w:rsid w:val="005C7C45"/>
    <w:pPr>
      <w:numPr>
        <w:numId w:val="38"/>
      </w:numPr>
      <w:jc w:val="both"/>
    </w:pPr>
    <w:rPr>
      <w:rFonts w:asciiTheme="minorHAnsi" w:eastAsiaTheme="majorEastAsia" w:hAnsiTheme="minorHAnsi" w:cstheme="majorBidi"/>
      <w:color w:val="000000" w:themeColor="text1"/>
    </w:rPr>
  </w:style>
  <w:style w:type="character" w:customStyle="1" w:styleId="BulletChar">
    <w:name w:val="Bullet Char"/>
    <w:basedOn w:val="DefaultParagraphFont"/>
    <w:link w:val="Bullet"/>
    <w:rsid w:val="005C7C45"/>
    <w:rPr>
      <w:rFonts w:asciiTheme="minorHAnsi" w:eastAsiaTheme="majorEastAsia" w:hAnsiTheme="minorHAnsi" w:cstheme="majorBidi"/>
      <w:color w:val="000000" w:themeColor="text1"/>
      <w:sz w:val="22"/>
      <w:lang w:eastAsia="en-US"/>
    </w:rPr>
  </w:style>
  <w:style w:type="paragraph" w:customStyle="1" w:styleId="Dash">
    <w:name w:val="Dash"/>
    <w:basedOn w:val="Normal"/>
    <w:link w:val="DashChar"/>
    <w:rsid w:val="005C7C45"/>
    <w:pPr>
      <w:numPr>
        <w:ilvl w:val="1"/>
        <w:numId w:val="38"/>
      </w:numPr>
      <w:jc w:val="both"/>
    </w:pPr>
    <w:rPr>
      <w:rFonts w:asciiTheme="minorHAnsi" w:eastAsiaTheme="majorEastAsia" w:hAnsiTheme="minorHAnsi" w:cstheme="majorBidi"/>
      <w:color w:val="000000" w:themeColor="text1"/>
    </w:rPr>
  </w:style>
  <w:style w:type="paragraph" w:customStyle="1" w:styleId="DoubleDot">
    <w:name w:val="Double Dot"/>
    <w:basedOn w:val="Normal"/>
    <w:rsid w:val="005C7C45"/>
    <w:pPr>
      <w:numPr>
        <w:ilvl w:val="2"/>
        <w:numId w:val="38"/>
      </w:numPr>
      <w:jc w:val="both"/>
    </w:pPr>
    <w:rPr>
      <w:rFonts w:asciiTheme="minorHAnsi" w:eastAsiaTheme="majorEastAsia" w:hAnsiTheme="minorHAnsi" w:cstheme="majorBidi"/>
      <w:color w:val="000000" w:themeColor="text1"/>
    </w:rPr>
  </w:style>
  <w:style w:type="character" w:customStyle="1" w:styleId="DashChar">
    <w:name w:val="Dash Char"/>
    <w:basedOn w:val="DefaultParagraphFont"/>
    <w:link w:val="Dash"/>
    <w:rsid w:val="005C7C45"/>
    <w:rPr>
      <w:rFonts w:asciiTheme="minorHAnsi" w:eastAsiaTheme="majorEastAsia" w:hAnsiTheme="minorHAnsi" w:cstheme="majorBidi"/>
      <w:color w:val="000000" w:themeColor="text1"/>
      <w:sz w:val="22"/>
      <w:lang w:eastAsia="en-US"/>
    </w:rPr>
  </w:style>
  <w:style w:type="paragraph" w:styleId="CommentSubject">
    <w:name w:val="annotation subject"/>
    <w:basedOn w:val="CommentText"/>
    <w:next w:val="CommentText"/>
    <w:link w:val="CommentSubjectChar"/>
    <w:uiPriority w:val="99"/>
    <w:semiHidden/>
    <w:rsid w:val="005C42A1"/>
    <w:rPr>
      <w:rFonts w:ascii="Arial" w:eastAsia="Arial" w:hAnsi="Arial"/>
      <w:b/>
      <w:bCs/>
      <w:color w:val="000000"/>
    </w:rPr>
  </w:style>
  <w:style w:type="character" w:customStyle="1" w:styleId="CommentSubjectChar">
    <w:name w:val="Comment Subject Char"/>
    <w:basedOn w:val="CommentTextChar"/>
    <w:link w:val="CommentSubject"/>
    <w:uiPriority w:val="99"/>
    <w:semiHidden/>
    <w:rsid w:val="005C42A1"/>
    <w:rPr>
      <w:rFonts w:ascii="Arial" w:eastAsiaTheme="minorHAnsi" w:hAnsi="Arial"/>
      <w:b/>
      <w:bCs/>
      <w:color w:val="000000"/>
      <w:lang w:eastAsia="en-US"/>
    </w:rPr>
  </w:style>
  <w:style w:type="paragraph" w:styleId="Revision">
    <w:name w:val="Revision"/>
    <w:hidden/>
    <w:uiPriority w:val="71"/>
    <w:rsid w:val="005C42A1"/>
    <w:rPr>
      <w:rFonts w:ascii="Arial" w:hAnsi="Arial"/>
      <w:color w:val="000000"/>
      <w:sz w:val="22"/>
      <w:lang w:eastAsia="en-US"/>
    </w:rPr>
  </w:style>
  <w:style w:type="paragraph" w:customStyle="1" w:styleId="OutlineNumbered1">
    <w:name w:val="Outline Numbered 1"/>
    <w:basedOn w:val="Normal"/>
    <w:link w:val="OutlineNumbered1Char"/>
    <w:rsid w:val="00DF7716"/>
    <w:pPr>
      <w:numPr>
        <w:numId w:val="50"/>
      </w:numPr>
      <w:jc w:val="both"/>
    </w:pPr>
    <w:rPr>
      <w:rFonts w:asciiTheme="minorHAnsi" w:eastAsiaTheme="minorHAnsi" w:hAnsiTheme="minorHAnsi"/>
      <w:color w:val="000000" w:themeColor="text1"/>
    </w:rPr>
  </w:style>
  <w:style w:type="character" w:customStyle="1" w:styleId="OutlineNumbered1Char">
    <w:name w:val="Outline Numbered 1 Char"/>
    <w:basedOn w:val="DefaultParagraphFont"/>
    <w:link w:val="OutlineNumbered1"/>
    <w:rsid w:val="00DF7716"/>
    <w:rPr>
      <w:rFonts w:asciiTheme="minorHAnsi" w:eastAsiaTheme="minorHAnsi" w:hAnsiTheme="minorHAnsi"/>
      <w:color w:val="000000" w:themeColor="text1"/>
      <w:sz w:val="22"/>
      <w:lang w:eastAsia="en-US"/>
    </w:rPr>
  </w:style>
  <w:style w:type="paragraph" w:customStyle="1" w:styleId="OutlineNumbered2">
    <w:name w:val="Outline Numbered 2"/>
    <w:basedOn w:val="Normal"/>
    <w:rsid w:val="00DF7716"/>
    <w:pPr>
      <w:numPr>
        <w:ilvl w:val="1"/>
        <w:numId w:val="50"/>
      </w:numPr>
      <w:jc w:val="both"/>
    </w:pPr>
    <w:rPr>
      <w:rFonts w:asciiTheme="minorHAnsi" w:eastAsiaTheme="minorHAnsi" w:hAnsiTheme="minorHAnsi"/>
      <w:color w:val="000000" w:themeColor="text1"/>
    </w:rPr>
  </w:style>
  <w:style w:type="paragraph" w:customStyle="1" w:styleId="OutlineNumbered3">
    <w:name w:val="Outline Numbered 3"/>
    <w:basedOn w:val="Normal"/>
    <w:rsid w:val="00DF7716"/>
    <w:pPr>
      <w:numPr>
        <w:ilvl w:val="2"/>
        <w:numId w:val="50"/>
      </w:numPr>
      <w:jc w:val="both"/>
    </w:pPr>
    <w:rPr>
      <w:rFonts w:asciiTheme="minorHAnsi" w:eastAsiaTheme="minorHAnsi" w:hAnsiTheme="minorHAnsi"/>
      <w:color w:val="000000" w:themeColor="text1"/>
    </w:rPr>
  </w:style>
  <w:style w:type="paragraph" w:styleId="NormalWeb">
    <w:name w:val="Normal (Web)"/>
    <w:basedOn w:val="Normal"/>
    <w:uiPriority w:val="99"/>
    <w:unhideWhenUsed/>
    <w:rsid w:val="00D46EEB"/>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PlainText">
    <w:name w:val="Plain Text"/>
    <w:basedOn w:val="Normal"/>
    <w:link w:val="PlainTextChar"/>
    <w:uiPriority w:val="99"/>
    <w:semiHidden/>
    <w:unhideWhenUsed/>
    <w:rsid w:val="00A93E8E"/>
    <w:pPr>
      <w:spacing w:before="0" w:line="240" w:lineRule="auto"/>
    </w:pPr>
    <w:rPr>
      <w:rFonts w:ascii="Calibri" w:eastAsiaTheme="minorHAnsi" w:hAnsi="Calibri" w:cs="Consolas"/>
      <w:color w:val="auto"/>
      <w:szCs w:val="21"/>
    </w:rPr>
  </w:style>
  <w:style w:type="character" w:customStyle="1" w:styleId="PlainTextChar">
    <w:name w:val="Plain Text Char"/>
    <w:basedOn w:val="DefaultParagraphFont"/>
    <w:link w:val="PlainText"/>
    <w:uiPriority w:val="99"/>
    <w:semiHidden/>
    <w:rsid w:val="00A93E8E"/>
    <w:rPr>
      <w:rFonts w:ascii="Calibri" w:eastAsiaTheme="minorHAnsi" w:hAnsi="Calibri" w:cs="Consolas"/>
      <w:sz w:val="22"/>
      <w:szCs w:val="21"/>
      <w:lang w:eastAsia="en-US"/>
    </w:rPr>
  </w:style>
  <w:style w:type="paragraph" w:customStyle="1" w:styleId="Default">
    <w:name w:val="Default"/>
    <w:rsid w:val="001D3E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4198">
      <w:bodyDiv w:val="1"/>
      <w:marLeft w:val="0"/>
      <w:marRight w:val="0"/>
      <w:marTop w:val="0"/>
      <w:marBottom w:val="0"/>
      <w:divBdr>
        <w:top w:val="none" w:sz="0" w:space="0" w:color="auto"/>
        <w:left w:val="none" w:sz="0" w:space="0" w:color="auto"/>
        <w:bottom w:val="none" w:sz="0" w:space="0" w:color="auto"/>
        <w:right w:val="none" w:sz="0" w:space="0" w:color="auto"/>
      </w:divBdr>
    </w:div>
    <w:div w:id="634608193">
      <w:bodyDiv w:val="1"/>
      <w:marLeft w:val="0"/>
      <w:marRight w:val="0"/>
      <w:marTop w:val="0"/>
      <w:marBottom w:val="0"/>
      <w:divBdr>
        <w:top w:val="none" w:sz="0" w:space="0" w:color="auto"/>
        <w:left w:val="none" w:sz="0" w:space="0" w:color="auto"/>
        <w:bottom w:val="none" w:sz="0" w:space="0" w:color="auto"/>
        <w:right w:val="none" w:sz="0" w:space="0" w:color="auto"/>
      </w:divBdr>
    </w:div>
    <w:div w:id="750933241">
      <w:bodyDiv w:val="1"/>
      <w:marLeft w:val="0"/>
      <w:marRight w:val="0"/>
      <w:marTop w:val="0"/>
      <w:marBottom w:val="0"/>
      <w:divBdr>
        <w:top w:val="none" w:sz="0" w:space="0" w:color="auto"/>
        <w:left w:val="none" w:sz="0" w:space="0" w:color="auto"/>
        <w:bottom w:val="none" w:sz="0" w:space="0" w:color="auto"/>
        <w:right w:val="none" w:sz="0" w:space="0" w:color="auto"/>
      </w:divBdr>
    </w:div>
    <w:div w:id="928999029">
      <w:bodyDiv w:val="1"/>
      <w:marLeft w:val="0"/>
      <w:marRight w:val="0"/>
      <w:marTop w:val="0"/>
      <w:marBottom w:val="0"/>
      <w:divBdr>
        <w:top w:val="none" w:sz="0" w:space="0" w:color="auto"/>
        <w:left w:val="none" w:sz="0" w:space="0" w:color="auto"/>
        <w:bottom w:val="none" w:sz="0" w:space="0" w:color="auto"/>
        <w:right w:val="none" w:sz="0" w:space="0" w:color="auto"/>
      </w:divBdr>
    </w:div>
    <w:div w:id="1256328033">
      <w:bodyDiv w:val="1"/>
      <w:marLeft w:val="0"/>
      <w:marRight w:val="0"/>
      <w:marTop w:val="0"/>
      <w:marBottom w:val="0"/>
      <w:divBdr>
        <w:top w:val="none" w:sz="0" w:space="0" w:color="auto"/>
        <w:left w:val="none" w:sz="0" w:space="0" w:color="auto"/>
        <w:bottom w:val="none" w:sz="0" w:space="0" w:color="auto"/>
        <w:right w:val="none" w:sz="0" w:space="0" w:color="auto"/>
      </w:divBdr>
    </w:div>
    <w:div w:id="1283994267">
      <w:bodyDiv w:val="1"/>
      <w:marLeft w:val="30"/>
      <w:marRight w:val="30"/>
      <w:marTop w:val="0"/>
      <w:marBottom w:val="0"/>
      <w:divBdr>
        <w:top w:val="none" w:sz="0" w:space="0" w:color="auto"/>
        <w:left w:val="none" w:sz="0" w:space="0" w:color="auto"/>
        <w:bottom w:val="none" w:sz="0" w:space="0" w:color="auto"/>
        <w:right w:val="none" w:sz="0" w:space="0" w:color="auto"/>
      </w:divBdr>
      <w:divsChild>
        <w:div w:id="912589990">
          <w:marLeft w:val="0"/>
          <w:marRight w:val="0"/>
          <w:marTop w:val="0"/>
          <w:marBottom w:val="0"/>
          <w:divBdr>
            <w:top w:val="none" w:sz="0" w:space="0" w:color="auto"/>
            <w:left w:val="none" w:sz="0" w:space="0" w:color="auto"/>
            <w:bottom w:val="none" w:sz="0" w:space="0" w:color="auto"/>
            <w:right w:val="none" w:sz="0" w:space="0" w:color="auto"/>
          </w:divBdr>
          <w:divsChild>
            <w:div w:id="939794976">
              <w:marLeft w:val="0"/>
              <w:marRight w:val="0"/>
              <w:marTop w:val="0"/>
              <w:marBottom w:val="0"/>
              <w:divBdr>
                <w:top w:val="none" w:sz="0" w:space="0" w:color="auto"/>
                <w:left w:val="none" w:sz="0" w:space="0" w:color="auto"/>
                <w:bottom w:val="none" w:sz="0" w:space="0" w:color="auto"/>
                <w:right w:val="none" w:sz="0" w:space="0" w:color="auto"/>
              </w:divBdr>
              <w:divsChild>
                <w:div w:id="856773132">
                  <w:marLeft w:val="180"/>
                  <w:marRight w:val="0"/>
                  <w:marTop w:val="0"/>
                  <w:marBottom w:val="0"/>
                  <w:divBdr>
                    <w:top w:val="none" w:sz="0" w:space="0" w:color="auto"/>
                    <w:left w:val="none" w:sz="0" w:space="0" w:color="auto"/>
                    <w:bottom w:val="none" w:sz="0" w:space="0" w:color="auto"/>
                    <w:right w:val="none" w:sz="0" w:space="0" w:color="auto"/>
                  </w:divBdr>
                  <w:divsChild>
                    <w:div w:id="2869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58216">
      <w:bodyDiv w:val="1"/>
      <w:marLeft w:val="0"/>
      <w:marRight w:val="0"/>
      <w:marTop w:val="0"/>
      <w:marBottom w:val="0"/>
      <w:divBdr>
        <w:top w:val="none" w:sz="0" w:space="0" w:color="auto"/>
        <w:left w:val="none" w:sz="0" w:space="0" w:color="auto"/>
        <w:bottom w:val="none" w:sz="0" w:space="0" w:color="auto"/>
        <w:right w:val="none" w:sz="0" w:space="0" w:color="auto"/>
      </w:divBdr>
    </w:div>
    <w:div w:id="1333683218">
      <w:bodyDiv w:val="1"/>
      <w:marLeft w:val="0"/>
      <w:marRight w:val="0"/>
      <w:marTop w:val="0"/>
      <w:marBottom w:val="0"/>
      <w:divBdr>
        <w:top w:val="none" w:sz="0" w:space="0" w:color="auto"/>
        <w:left w:val="none" w:sz="0" w:space="0" w:color="auto"/>
        <w:bottom w:val="none" w:sz="0" w:space="0" w:color="auto"/>
        <w:right w:val="none" w:sz="0" w:space="0" w:color="auto"/>
      </w:divBdr>
    </w:div>
    <w:div w:id="1357540798">
      <w:bodyDiv w:val="1"/>
      <w:marLeft w:val="0"/>
      <w:marRight w:val="0"/>
      <w:marTop w:val="0"/>
      <w:marBottom w:val="0"/>
      <w:divBdr>
        <w:top w:val="none" w:sz="0" w:space="0" w:color="auto"/>
        <w:left w:val="none" w:sz="0" w:space="0" w:color="auto"/>
        <w:bottom w:val="none" w:sz="0" w:space="0" w:color="auto"/>
        <w:right w:val="none" w:sz="0" w:space="0" w:color="auto"/>
      </w:divBdr>
    </w:div>
    <w:div w:id="1959099632">
      <w:bodyDiv w:val="1"/>
      <w:marLeft w:val="0"/>
      <w:marRight w:val="0"/>
      <w:marTop w:val="0"/>
      <w:marBottom w:val="0"/>
      <w:divBdr>
        <w:top w:val="none" w:sz="0" w:space="0" w:color="auto"/>
        <w:left w:val="none" w:sz="0" w:space="0" w:color="auto"/>
        <w:bottom w:val="none" w:sz="0" w:space="0" w:color="auto"/>
        <w:right w:val="none" w:sz="0" w:space="0" w:color="auto"/>
      </w:divBdr>
      <w:divsChild>
        <w:div w:id="471291246">
          <w:marLeft w:val="0"/>
          <w:marRight w:val="0"/>
          <w:marTop w:val="0"/>
          <w:marBottom w:val="0"/>
          <w:divBdr>
            <w:top w:val="none" w:sz="0" w:space="0" w:color="auto"/>
            <w:left w:val="none" w:sz="0" w:space="0" w:color="auto"/>
            <w:bottom w:val="none" w:sz="0" w:space="0" w:color="auto"/>
            <w:right w:val="none" w:sz="0" w:space="0" w:color="auto"/>
          </w:divBdr>
          <w:divsChild>
            <w:div w:id="637802004">
              <w:marLeft w:val="0"/>
              <w:marRight w:val="0"/>
              <w:marTop w:val="0"/>
              <w:marBottom w:val="0"/>
              <w:divBdr>
                <w:top w:val="none" w:sz="0" w:space="0" w:color="auto"/>
                <w:left w:val="none" w:sz="0" w:space="0" w:color="auto"/>
                <w:bottom w:val="none" w:sz="0" w:space="0" w:color="auto"/>
                <w:right w:val="none" w:sz="0" w:space="0" w:color="auto"/>
              </w:divBdr>
              <w:divsChild>
                <w:div w:id="1632789202">
                  <w:marLeft w:val="0"/>
                  <w:marRight w:val="0"/>
                  <w:marTop w:val="0"/>
                  <w:marBottom w:val="0"/>
                  <w:divBdr>
                    <w:top w:val="none" w:sz="0" w:space="0" w:color="auto"/>
                    <w:left w:val="none" w:sz="0" w:space="0" w:color="auto"/>
                    <w:bottom w:val="none" w:sz="0" w:space="0" w:color="auto"/>
                    <w:right w:val="none" w:sz="0" w:space="0" w:color="auto"/>
                  </w:divBdr>
                  <w:divsChild>
                    <w:div w:id="1545025202">
                      <w:marLeft w:val="0"/>
                      <w:marRight w:val="0"/>
                      <w:marTop w:val="0"/>
                      <w:marBottom w:val="0"/>
                      <w:divBdr>
                        <w:top w:val="none" w:sz="0" w:space="0" w:color="auto"/>
                        <w:left w:val="none" w:sz="0" w:space="0" w:color="auto"/>
                        <w:bottom w:val="none" w:sz="0" w:space="0" w:color="auto"/>
                        <w:right w:val="none" w:sz="0" w:space="0" w:color="auto"/>
                      </w:divBdr>
                      <w:divsChild>
                        <w:div w:id="1772703435">
                          <w:marLeft w:val="0"/>
                          <w:marRight w:val="0"/>
                          <w:marTop w:val="0"/>
                          <w:marBottom w:val="0"/>
                          <w:divBdr>
                            <w:top w:val="none" w:sz="0" w:space="0" w:color="auto"/>
                            <w:left w:val="none" w:sz="0" w:space="0" w:color="auto"/>
                            <w:bottom w:val="none" w:sz="0" w:space="0" w:color="auto"/>
                            <w:right w:val="none" w:sz="0" w:space="0" w:color="auto"/>
                          </w:divBdr>
                          <w:divsChild>
                            <w:div w:id="237398350">
                              <w:marLeft w:val="0"/>
                              <w:marRight w:val="0"/>
                              <w:marTop w:val="0"/>
                              <w:marBottom w:val="0"/>
                              <w:divBdr>
                                <w:top w:val="none" w:sz="0" w:space="0" w:color="auto"/>
                                <w:left w:val="none" w:sz="0" w:space="0" w:color="auto"/>
                                <w:bottom w:val="none" w:sz="0" w:space="0" w:color="auto"/>
                                <w:right w:val="none" w:sz="0" w:space="0" w:color="auto"/>
                              </w:divBdr>
                              <w:divsChild>
                                <w:div w:id="1698921067">
                                  <w:marLeft w:val="0"/>
                                  <w:marRight w:val="0"/>
                                  <w:marTop w:val="0"/>
                                  <w:marBottom w:val="0"/>
                                  <w:divBdr>
                                    <w:top w:val="none" w:sz="0" w:space="0" w:color="auto"/>
                                    <w:left w:val="none" w:sz="0" w:space="0" w:color="auto"/>
                                    <w:bottom w:val="none" w:sz="0" w:space="0" w:color="auto"/>
                                    <w:right w:val="none" w:sz="0" w:space="0" w:color="auto"/>
                                  </w:divBdr>
                                  <w:divsChild>
                                    <w:div w:id="784889533">
                                      <w:marLeft w:val="0"/>
                                      <w:marRight w:val="0"/>
                                      <w:marTop w:val="0"/>
                                      <w:marBottom w:val="0"/>
                                      <w:divBdr>
                                        <w:top w:val="none" w:sz="0" w:space="0" w:color="auto"/>
                                        <w:left w:val="none" w:sz="0" w:space="0" w:color="auto"/>
                                        <w:bottom w:val="none" w:sz="0" w:space="0" w:color="auto"/>
                                        <w:right w:val="none" w:sz="0" w:space="0" w:color="auto"/>
                                      </w:divBdr>
                                      <w:divsChild>
                                        <w:div w:id="935213013">
                                          <w:marLeft w:val="0"/>
                                          <w:marRight w:val="0"/>
                                          <w:marTop w:val="0"/>
                                          <w:marBottom w:val="0"/>
                                          <w:divBdr>
                                            <w:top w:val="none" w:sz="0" w:space="0" w:color="auto"/>
                                            <w:left w:val="none" w:sz="0" w:space="0" w:color="auto"/>
                                            <w:bottom w:val="none" w:sz="0" w:space="0" w:color="auto"/>
                                            <w:right w:val="none" w:sz="0" w:space="0" w:color="auto"/>
                                          </w:divBdr>
                                          <w:divsChild>
                                            <w:div w:id="1244995381">
                                              <w:marLeft w:val="0"/>
                                              <w:marRight w:val="0"/>
                                              <w:marTop w:val="0"/>
                                              <w:marBottom w:val="0"/>
                                              <w:divBdr>
                                                <w:top w:val="none" w:sz="0" w:space="0" w:color="auto"/>
                                                <w:left w:val="none" w:sz="0" w:space="0" w:color="auto"/>
                                                <w:bottom w:val="none" w:sz="0" w:space="0" w:color="auto"/>
                                                <w:right w:val="none" w:sz="0" w:space="0" w:color="auto"/>
                                              </w:divBdr>
                                              <w:divsChild>
                                                <w:div w:id="8854845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749163">
                                                      <w:marLeft w:val="0"/>
                                                      <w:marRight w:val="0"/>
                                                      <w:marTop w:val="0"/>
                                                      <w:marBottom w:val="0"/>
                                                      <w:divBdr>
                                                        <w:top w:val="none" w:sz="0" w:space="0" w:color="auto"/>
                                                        <w:left w:val="none" w:sz="0" w:space="0" w:color="auto"/>
                                                        <w:bottom w:val="none" w:sz="0" w:space="0" w:color="auto"/>
                                                        <w:right w:val="none" w:sz="0" w:space="0" w:color="auto"/>
                                                      </w:divBdr>
                                                    </w:div>
                                                    <w:div w:id="1835729194">
                                                      <w:marLeft w:val="0"/>
                                                      <w:marRight w:val="0"/>
                                                      <w:marTop w:val="0"/>
                                                      <w:marBottom w:val="0"/>
                                                      <w:divBdr>
                                                        <w:top w:val="none" w:sz="0" w:space="0" w:color="auto"/>
                                                        <w:left w:val="none" w:sz="0" w:space="0" w:color="auto"/>
                                                        <w:bottom w:val="none" w:sz="0" w:space="0" w:color="auto"/>
                                                        <w:right w:val="none" w:sz="0" w:space="0" w:color="auto"/>
                                                      </w:divBdr>
                                                    </w:div>
                                                  </w:divsChild>
                                                </w:div>
                                                <w:div w:id="10529957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2567680">
                                                      <w:marLeft w:val="0"/>
                                                      <w:marRight w:val="0"/>
                                                      <w:marTop w:val="0"/>
                                                      <w:marBottom w:val="0"/>
                                                      <w:divBdr>
                                                        <w:top w:val="none" w:sz="0" w:space="0" w:color="auto"/>
                                                        <w:left w:val="none" w:sz="0" w:space="0" w:color="auto"/>
                                                        <w:bottom w:val="none" w:sz="0" w:space="0" w:color="auto"/>
                                                        <w:right w:val="none" w:sz="0" w:space="0" w:color="auto"/>
                                                      </w:divBdr>
                                                    </w:div>
                                                    <w:div w:id="1513062372">
                                                      <w:marLeft w:val="0"/>
                                                      <w:marRight w:val="0"/>
                                                      <w:marTop w:val="0"/>
                                                      <w:marBottom w:val="0"/>
                                                      <w:divBdr>
                                                        <w:top w:val="none" w:sz="0" w:space="0" w:color="auto"/>
                                                        <w:left w:val="none" w:sz="0" w:space="0" w:color="auto"/>
                                                        <w:bottom w:val="none" w:sz="0" w:space="0" w:color="auto"/>
                                                        <w:right w:val="none" w:sz="0" w:space="0" w:color="auto"/>
                                                      </w:divBdr>
                                                    </w:div>
                                                    <w:div w:id="2106339533">
                                                      <w:marLeft w:val="0"/>
                                                      <w:marRight w:val="0"/>
                                                      <w:marTop w:val="0"/>
                                                      <w:marBottom w:val="0"/>
                                                      <w:divBdr>
                                                        <w:top w:val="none" w:sz="0" w:space="0" w:color="auto"/>
                                                        <w:left w:val="none" w:sz="0" w:space="0" w:color="auto"/>
                                                        <w:bottom w:val="none" w:sz="0" w:space="0" w:color="auto"/>
                                                        <w:right w:val="none" w:sz="0" w:space="0" w:color="auto"/>
                                                      </w:divBdr>
                                                    </w:div>
                                                    <w:div w:id="1134103955">
                                                      <w:marLeft w:val="0"/>
                                                      <w:marRight w:val="0"/>
                                                      <w:marTop w:val="0"/>
                                                      <w:marBottom w:val="0"/>
                                                      <w:divBdr>
                                                        <w:top w:val="none" w:sz="0" w:space="0" w:color="auto"/>
                                                        <w:left w:val="none" w:sz="0" w:space="0" w:color="auto"/>
                                                        <w:bottom w:val="none" w:sz="0" w:space="0" w:color="auto"/>
                                                        <w:right w:val="none" w:sz="0" w:space="0" w:color="auto"/>
                                                      </w:divBdr>
                                                    </w:div>
                                                  </w:divsChild>
                                                </w:div>
                                                <w:div w:id="9507486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1425187">
                                                      <w:marLeft w:val="0"/>
                                                      <w:marRight w:val="0"/>
                                                      <w:marTop w:val="0"/>
                                                      <w:marBottom w:val="0"/>
                                                      <w:divBdr>
                                                        <w:top w:val="none" w:sz="0" w:space="0" w:color="auto"/>
                                                        <w:left w:val="none" w:sz="0" w:space="0" w:color="auto"/>
                                                        <w:bottom w:val="none" w:sz="0" w:space="0" w:color="auto"/>
                                                        <w:right w:val="none" w:sz="0" w:space="0" w:color="auto"/>
                                                      </w:divBdr>
                                                    </w:div>
                                                    <w:div w:id="1281105804">
                                                      <w:marLeft w:val="0"/>
                                                      <w:marRight w:val="0"/>
                                                      <w:marTop w:val="0"/>
                                                      <w:marBottom w:val="0"/>
                                                      <w:divBdr>
                                                        <w:top w:val="none" w:sz="0" w:space="0" w:color="auto"/>
                                                        <w:left w:val="none" w:sz="0" w:space="0" w:color="auto"/>
                                                        <w:bottom w:val="none" w:sz="0" w:space="0" w:color="auto"/>
                                                        <w:right w:val="none" w:sz="0" w:space="0" w:color="auto"/>
                                                      </w:divBdr>
                                                    </w:div>
                                                    <w:div w:id="11933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1208303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image" Target="media/image3.png"/><Relationship Id="rId30" Type="http://schemas.openxmlformats.org/officeDocument/2006/relationships/header" Target="header7.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tad\work$\Projects\Retirement%20Incomes\Contributions\20161207%20SG%20shortfall\More%20detailed%20OTE%20adjustments\161220%20OTE%20averaging%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65827632201714E-2"/>
          <c:y val="5.9616618171428028E-2"/>
          <c:w val="0.91256245428337857"/>
          <c:h val="0.6997196484467747"/>
        </c:manualLayout>
      </c:layout>
      <c:lineChart>
        <c:grouping val="standard"/>
        <c:varyColors val="0"/>
        <c:ser>
          <c:idx val="0"/>
          <c:order val="0"/>
          <c:tx>
            <c:v>ABS data - correct SG = OTE x 9.25%</c:v>
          </c:tx>
          <c:marker>
            <c:symbol val="none"/>
          </c:marker>
          <c:cat>
            <c:numRef>
              <c:f>[Book1]Sheet1!$B$8:$B$108</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Sheet1!$E$8:$E$108</c:f>
              <c:numCache>
                <c:formatCode>General</c:formatCode>
                <c:ptCount val="101"/>
                <c:pt idx="1">
                  <c:v>6.2500399999999998E-2</c:v>
                </c:pt>
                <c:pt idx="2">
                  <c:v>6.9489700000000001E-2</c:v>
                </c:pt>
                <c:pt idx="3">
                  <c:v>7.3097200000000001E-2</c:v>
                </c:pt>
                <c:pt idx="4">
                  <c:v>7.6176524999999995E-2</c:v>
                </c:pt>
                <c:pt idx="5">
                  <c:v>7.8997774999999992E-2</c:v>
                </c:pt>
                <c:pt idx="6">
                  <c:v>8.1086425000000004E-2</c:v>
                </c:pt>
                <c:pt idx="7">
                  <c:v>8.2836525000000008E-2</c:v>
                </c:pt>
                <c:pt idx="8">
                  <c:v>8.4397924999999999E-2</c:v>
                </c:pt>
                <c:pt idx="9">
                  <c:v>8.5648525000000003E-2</c:v>
                </c:pt>
                <c:pt idx="10">
                  <c:v>8.66614E-2</c:v>
                </c:pt>
                <c:pt idx="11">
                  <c:v>8.7638199999999999E-2</c:v>
                </c:pt>
                <c:pt idx="12">
                  <c:v>8.8584474999999996E-2</c:v>
                </c:pt>
                <c:pt idx="13">
                  <c:v>8.9310600000000004E-2</c:v>
                </c:pt>
                <c:pt idx="14">
                  <c:v>8.9915549999999997E-2</c:v>
                </c:pt>
                <c:pt idx="15">
                  <c:v>9.0542700000000004E-2</c:v>
                </c:pt>
                <c:pt idx="16">
                  <c:v>9.1043124999999989E-2</c:v>
                </c:pt>
                <c:pt idx="17">
                  <c:v>9.1407575000000005E-2</c:v>
                </c:pt>
                <c:pt idx="18">
                  <c:v>9.1842325000000002E-2</c:v>
                </c:pt>
                <c:pt idx="19">
                  <c:v>9.2264124999999989E-2</c:v>
                </c:pt>
                <c:pt idx="20">
                  <c:v>9.2499999999999999E-2</c:v>
                </c:pt>
                <c:pt idx="21">
                  <c:v>9.2499999999999999E-2</c:v>
                </c:pt>
                <c:pt idx="22">
                  <c:v>9.2499999999999999E-2</c:v>
                </c:pt>
                <c:pt idx="23">
                  <c:v>9.2499999999999999E-2</c:v>
                </c:pt>
                <c:pt idx="24">
                  <c:v>9.2499999999999999E-2</c:v>
                </c:pt>
                <c:pt idx="25">
                  <c:v>9.2499999999999999E-2</c:v>
                </c:pt>
                <c:pt idx="26">
                  <c:v>9.2499999999999999E-2</c:v>
                </c:pt>
                <c:pt idx="27">
                  <c:v>9.2499999999999999E-2</c:v>
                </c:pt>
                <c:pt idx="28">
                  <c:v>9.2499999999999999E-2</c:v>
                </c:pt>
                <c:pt idx="29">
                  <c:v>9.2499999999999999E-2</c:v>
                </c:pt>
                <c:pt idx="30">
                  <c:v>9.2499999999999999E-2</c:v>
                </c:pt>
                <c:pt idx="31">
                  <c:v>9.2499999999999999E-2</c:v>
                </c:pt>
                <c:pt idx="32">
                  <c:v>9.2499999999999999E-2</c:v>
                </c:pt>
                <c:pt idx="33">
                  <c:v>9.2499999999999999E-2</c:v>
                </c:pt>
                <c:pt idx="34">
                  <c:v>9.2499999999999999E-2</c:v>
                </c:pt>
                <c:pt idx="35">
                  <c:v>9.2499999999999999E-2</c:v>
                </c:pt>
                <c:pt idx="36">
                  <c:v>9.2499999999999999E-2</c:v>
                </c:pt>
                <c:pt idx="37">
                  <c:v>9.2499999999999999E-2</c:v>
                </c:pt>
                <c:pt idx="38">
                  <c:v>9.2499999999999999E-2</c:v>
                </c:pt>
                <c:pt idx="39">
                  <c:v>9.2499999999999999E-2</c:v>
                </c:pt>
                <c:pt idx="40">
                  <c:v>9.2499999999999999E-2</c:v>
                </c:pt>
                <c:pt idx="41">
                  <c:v>9.2499999999999999E-2</c:v>
                </c:pt>
                <c:pt idx="42">
                  <c:v>9.2499999999999999E-2</c:v>
                </c:pt>
                <c:pt idx="43">
                  <c:v>9.2499999999999999E-2</c:v>
                </c:pt>
                <c:pt idx="44">
                  <c:v>9.2499999999999999E-2</c:v>
                </c:pt>
                <c:pt idx="45">
                  <c:v>9.2499999999999999E-2</c:v>
                </c:pt>
                <c:pt idx="46">
                  <c:v>9.2499999999999999E-2</c:v>
                </c:pt>
                <c:pt idx="47">
                  <c:v>9.2499999999999999E-2</c:v>
                </c:pt>
                <c:pt idx="48">
                  <c:v>9.2499999999999999E-2</c:v>
                </c:pt>
                <c:pt idx="49">
                  <c:v>9.2499999999999999E-2</c:v>
                </c:pt>
                <c:pt idx="50">
                  <c:v>9.2499999999999999E-2</c:v>
                </c:pt>
                <c:pt idx="51">
                  <c:v>9.2499999999999999E-2</c:v>
                </c:pt>
                <c:pt idx="52">
                  <c:v>9.2499999999999999E-2</c:v>
                </c:pt>
                <c:pt idx="53">
                  <c:v>9.2499999999999999E-2</c:v>
                </c:pt>
                <c:pt idx="54">
                  <c:v>9.2499999999999999E-2</c:v>
                </c:pt>
                <c:pt idx="55">
                  <c:v>9.2499999999999999E-2</c:v>
                </c:pt>
                <c:pt idx="56">
                  <c:v>9.2499999999999999E-2</c:v>
                </c:pt>
                <c:pt idx="57">
                  <c:v>9.2499999999999999E-2</c:v>
                </c:pt>
                <c:pt idx="58">
                  <c:v>9.2499999999999999E-2</c:v>
                </c:pt>
                <c:pt idx="59">
                  <c:v>9.2499999999999999E-2</c:v>
                </c:pt>
                <c:pt idx="60">
                  <c:v>9.2499999999999999E-2</c:v>
                </c:pt>
                <c:pt idx="61">
                  <c:v>9.2499999999999999E-2</c:v>
                </c:pt>
                <c:pt idx="62">
                  <c:v>9.2499999999999999E-2</c:v>
                </c:pt>
                <c:pt idx="63">
                  <c:v>9.2499999999999999E-2</c:v>
                </c:pt>
                <c:pt idx="64">
                  <c:v>9.2499999999999999E-2</c:v>
                </c:pt>
                <c:pt idx="65">
                  <c:v>9.2499999999999999E-2</c:v>
                </c:pt>
                <c:pt idx="66">
                  <c:v>9.2499999999999999E-2</c:v>
                </c:pt>
                <c:pt idx="67">
                  <c:v>9.2499999999999999E-2</c:v>
                </c:pt>
                <c:pt idx="68">
                  <c:v>9.2499999999999999E-2</c:v>
                </c:pt>
                <c:pt idx="69">
                  <c:v>9.2499999999999999E-2</c:v>
                </c:pt>
                <c:pt idx="70">
                  <c:v>9.2499999999999999E-2</c:v>
                </c:pt>
                <c:pt idx="71">
                  <c:v>9.2499999999999999E-2</c:v>
                </c:pt>
                <c:pt idx="72">
                  <c:v>9.2499999999999999E-2</c:v>
                </c:pt>
                <c:pt idx="73">
                  <c:v>9.2499999999999999E-2</c:v>
                </c:pt>
                <c:pt idx="74">
                  <c:v>9.2499999999999999E-2</c:v>
                </c:pt>
                <c:pt idx="75">
                  <c:v>9.2499999999999999E-2</c:v>
                </c:pt>
                <c:pt idx="76">
                  <c:v>9.2499999999999999E-2</c:v>
                </c:pt>
                <c:pt idx="77">
                  <c:v>9.2499999999999999E-2</c:v>
                </c:pt>
                <c:pt idx="78">
                  <c:v>9.2499999999999999E-2</c:v>
                </c:pt>
                <c:pt idx="79">
                  <c:v>9.2499999999999999E-2</c:v>
                </c:pt>
                <c:pt idx="80">
                  <c:v>9.2499999999999999E-2</c:v>
                </c:pt>
                <c:pt idx="81">
                  <c:v>9.2499999999999999E-2</c:v>
                </c:pt>
                <c:pt idx="82">
                  <c:v>9.2499999999999999E-2</c:v>
                </c:pt>
                <c:pt idx="83">
                  <c:v>9.2499999999999999E-2</c:v>
                </c:pt>
                <c:pt idx="84">
                  <c:v>9.2499999999999999E-2</c:v>
                </c:pt>
                <c:pt idx="85">
                  <c:v>9.2499999999999999E-2</c:v>
                </c:pt>
                <c:pt idx="86">
                  <c:v>9.2499999999999999E-2</c:v>
                </c:pt>
                <c:pt idx="87">
                  <c:v>9.2499999999999999E-2</c:v>
                </c:pt>
                <c:pt idx="88">
                  <c:v>9.2499999999999999E-2</c:v>
                </c:pt>
                <c:pt idx="89">
                  <c:v>9.2499999999999999E-2</c:v>
                </c:pt>
                <c:pt idx="90">
                  <c:v>9.2499999999999999E-2</c:v>
                </c:pt>
                <c:pt idx="91">
                  <c:v>9.2499999999999999E-2</c:v>
                </c:pt>
                <c:pt idx="92">
                  <c:v>9.2499999999999999E-2</c:v>
                </c:pt>
                <c:pt idx="93">
                  <c:v>9.2499999999999999E-2</c:v>
                </c:pt>
                <c:pt idx="94">
                  <c:v>9.2499999999999999E-2</c:v>
                </c:pt>
                <c:pt idx="95">
                  <c:v>9.2499999999999999E-2</c:v>
                </c:pt>
                <c:pt idx="96">
                  <c:v>9.2499999999999999E-2</c:v>
                </c:pt>
                <c:pt idx="97">
                  <c:v>9.2499999999999999E-2</c:v>
                </c:pt>
                <c:pt idx="98">
                  <c:v>9.2499999999999999E-2</c:v>
                </c:pt>
                <c:pt idx="99">
                  <c:v>9.2499999999999999E-2</c:v>
                </c:pt>
                <c:pt idx="100">
                  <c:v>9.2499999999999999E-2</c:v>
                </c:pt>
              </c:numCache>
            </c:numRef>
          </c:val>
          <c:smooth val="0"/>
        </c:ser>
        <c:ser>
          <c:idx val="1"/>
          <c:order val="1"/>
          <c:tx>
            <c:strRef>
              <c:f>Sheet1!$G$7</c:f>
              <c:strCache>
                <c:ptCount val="1"/>
                <c:pt idx="0">
                  <c:v>ISA methodology = total earnings x average x 8.5%</c:v>
                </c:pt>
              </c:strCache>
            </c:strRef>
          </c:tx>
          <c:spPr>
            <a:ln w="19050">
              <a:solidFill>
                <a:schemeClr val="accent1"/>
              </a:solidFill>
              <a:prstDash val="sysDash"/>
            </a:ln>
          </c:spPr>
          <c:marker>
            <c:symbol val="none"/>
          </c:marker>
          <c:cat>
            <c:numRef>
              <c:f>[Book1]Sheet1!$B$8:$B$108</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Sheet1!$G$8:$G$108</c:f>
              <c:numCache>
                <c:formatCode>General</c:formatCode>
                <c:ptCount val="101"/>
                <c:pt idx="1">
                  <c:v>8.3492431500000019E-2</c:v>
                </c:pt>
                <c:pt idx="2">
                  <c:v>8.3492431500000019E-2</c:v>
                </c:pt>
                <c:pt idx="3">
                  <c:v>8.3492431500000019E-2</c:v>
                </c:pt>
                <c:pt idx="4">
                  <c:v>8.3492431500000019E-2</c:v>
                </c:pt>
                <c:pt idx="5">
                  <c:v>8.3492431500000019E-2</c:v>
                </c:pt>
                <c:pt idx="6">
                  <c:v>8.3492431500000019E-2</c:v>
                </c:pt>
                <c:pt idx="7">
                  <c:v>8.3492431500000019E-2</c:v>
                </c:pt>
                <c:pt idx="8">
                  <c:v>8.3492431500000019E-2</c:v>
                </c:pt>
                <c:pt idx="9">
                  <c:v>8.3492431500000019E-2</c:v>
                </c:pt>
                <c:pt idx="10">
                  <c:v>8.3492431500000019E-2</c:v>
                </c:pt>
                <c:pt idx="11">
                  <c:v>8.3492431500000019E-2</c:v>
                </c:pt>
                <c:pt idx="12">
                  <c:v>8.3492431500000019E-2</c:v>
                </c:pt>
                <c:pt idx="13">
                  <c:v>8.3492431500000019E-2</c:v>
                </c:pt>
                <c:pt idx="14">
                  <c:v>8.3492431500000019E-2</c:v>
                </c:pt>
                <c:pt idx="15">
                  <c:v>8.3492431500000019E-2</c:v>
                </c:pt>
                <c:pt idx="16">
                  <c:v>8.3492431500000019E-2</c:v>
                </c:pt>
                <c:pt idx="17">
                  <c:v>8.3492431500000019E-2</c:v>
                </c:pt>
                <c:pt idx="18">
                  <c:v>8.3492431500000019E-2</c:v>
                </c:pt>
                <c:pt idx="19">
                  <c:v>8.3492431500000019E-2</c:v>
                </c:pt>
                <c:pt idx="20">
                  <c:v>8.3492431500000019E-2</c:v>
                </c:pt>
                <c:pt idx="21">
                  <c:v>8.3492431500000019E-2</c:v>
                </c:pt>
                <c:pt idx="22">
                  <c:v>8.3492431500000019E-2</c:v>
                </c:pt>
                <c:pt idx="23">
                  <c:v>8.3492431500000019E-2</c:v>
                </c:pt>
                <c:pt idx="24">
                  <c:v>8.3492431500000019E-2</c:v>
                </c:pt>
                <c:pt idx="25">
                  <c:v>8.3492431500000019E-2</c:v>
                </c:pt>
                <c:pt idx="26">
                  <c:v>8.3492431500000019E-2</c:v>
                </c:pt>
                <c:pt idx="27">
                  <c:v>8.3492431500000019E-2</c:v>
                </c:pt>
                <c:pt idx="28">
                  <c:v>8.3492431500000019E-2</c:v>
                </c:pt>
                <c:pt idx="29">
                  <c:v>8.3492431500000019E-2</c:v>
                </c:pt>
                <c:pt idx="30">
                  <c:v>8.3492431500000019E-2</c:v>
                </c:pt>
                <c:pt idx="31">
                  <c:v>8.3492431500000019E-2</c:v>
                </c:pt>
                <c:pt idx="32">
                  <c:v>8.3492431500000019E-2</c:v>
                </c:pt>
                <c:pt idx="33">
                  <c:v>8.3492431500000019E-2</c:v>
                </c:pt>
                <c:pt idx="34">
                  <c:v>8.3492431500000019E-2</c:v>
                </c:pt>
                <c:pt idx="35">
                  <c:v>8.3492431500000019E-2</c:v>
                </c:pt>
                <c:pt idx="36">
                  <c:v>8.3492431500000019E-2</c:v>
                </c:pt>
                <c:pt idx="37">
                  <c:v>8.3492431500000019E-2</c:v>
                </c:pt>
                <c:pt idx="38">
                  <c:v>8.3492431500000019E-2</c:v>
                </c:pt>
                <c:pt idx="39">
                  <c:v>8.3492431500000019E-2</c:v>
                </c:pt>
                <c:pt idx="40">
                  <c:v>8.3492431500000019E-2</c:v>
                </c:pt>
                <c:pt idx="41">
                  <c:v>8.3492431500000019E-2</c:v>
                </c:pt>
                <c:pt idx="42">
                  <c:v>8.3492431500000019E-2</c:v>
                </c:pt>
                <c:pt idx="43">
                  <c:v>8.3492431500000019E-2</c:v>
                </c:pt>
                <c:pt idx="44">
                  <c:v>8.3492431500000019E-2</c:v>
                </c:pt>
                <c:pt idx="45">
                  <c:v>8.3492431500000019E-2</c:v>
                </c:pt>
                <c:pt idx="46">
                  <c:v>8.3492431500000019E-2</c:v>
                </c:pt>
                <c:pt idx="47">
                  <c:v>8.3492431500000019E-2</c:v>
                </c:pt>
                <c:pt idx="48">
                  <c:v>8.3492431500000019E-2</c:v>
                </c:pt>
                <c:pt idx="49">
                  <c:v>8.3492431500000019E-2</c:v>
                </c:pt>
                <c:pt idx="50">
                  <c:v>8.3492431500000019E-2</c:v>
                </c:pt>
                <c:pt idx="51">
                  <c:v>8.3492431500000019E-2</c:v>
                </c:pt>
                <c:pt idx="52">
                  <c:v>8.3492431500000019E-2</c:v>
                </c:pt>
                <c:pt idx="53">
                  <c:v>8.3492431500000019E-2</c:v>
                </c:pt>
                <c:pt idx="54">
                  <c:v>8.3492431500000019E-2</c:v>
                </c:pt>
                <c:pt idx="55">
                  <c:v>8.3492431500000019E-2</c:v>
                </c:pt>
                <c:pt idx="56">
                  <c:v>8.3492431500000019E-2</c:v>
                </c:pt>
                <c:pt idx="57">
                  <c:v>8.3492431500000019E-2</c:v>
                </c:pt>
                <c:pt idx="58">
                  <c:v>8.3492431500000019E-2</c:v>
                </c:pt>
                <c:pt idx="59">
                  <c:v>8.3492431500000019E-2</c:v>
                </c:pt>
                <c:pt idx="60">
                  <c:v>8.3492431500000019E-2</c:v>
                </c:pt>
                <c:pt idx="61">
                  <c:v>8.3492431500000019E-2</c:v>
                </c:pt>
                <c:pt idx="62">
                  <c:v>8.3492431500000019E-2</c:v>
                </c:pt>
                <c:pt idx="63">
                  <c:v>8.3492431500000019E-2</c:v>
                </c:pt>
                <c:pt idx="64">
                  <c:v>8.3492431500000019E-2</c:v>
                </c:pt>
                <c:pt idx="65">
                  <c:v>8.3492431500000019E-2</c:v>
                </c:pt>
                <c:pt idx="66">
                  <c:v>8.3492431500000019E-2</c:v>
                </c:pt>
                <c:pt idx="67">
                  <c:v>8.3492431500000019E-2</c:v>
                </c:pt>
                <c:pt idx="68">
                  <c:v>8.3492431500000019E-2</c:v>
                </c:pt>
                <c:pt idx="69">
                  <c:v>8.3492431500000019E-2</c:v>
                </c:pt>
                <c:pt idx="70">
                  <c:v>8.3492431500000019E-2</c:v>
                </c:pt>
                <c:pt idx="71">
                  <c:v>8.3492431500000019E-2</c:v>
                </c:pt>
                <c:pt idx="72">
                  <c:v>8.3492431500000019E-2</c:v>
                </c:pt>
                <c:pt idx="73">
                  <c:v>8.3492431500000019E-2</c:v>
                </c:pt>
                <c:pt idx="74">
                  <c:v>8.3492431500000019E-2</c:v>
                </c:pt>
                <c:pt idx="75">
                  <c:v>8.3492431500000019E-2</c:v>
                </c:pt>
                <c:pt idx="76">
                  <c:v>8.3492431500000019E-2</c:v>
                </c:pt>
                <c:pt idx="77">
                  <c:v>8.3492431500000019E-2</c:v>
                </c:pt>
                <c:pt idx="78">
                  <c:v>8.3492431500000019E-2</c:v>
                </c:pt>
                <c:pt idx="79">
                  <c:v>8.3492431500000019E-2</c:v>
                </c:pt>
                <c:pt idx="80">
                  <c:v>8.3492431500000019E-2</c:v>
                </c:pt>
                <c:pt idx="81">
                  <c:v>8.3492431500000019E-2</c:v>
                </c:pt>
                <c:pt idx="82">
                  <c:v>8.3492431500000019E-2</c:v>
                </c:pt>
                <c:pt idx="83">
                  <c:v>8.3492431500000019E-2</c:v>
                </c:pt>
                <c:pt idx="84">
                  <c:v>8.3492431500000019E-2</c:v>
                </c:pt>
                <c:pt idx="85">
                  <c:v>8.3492431500000019E-2</c:v>
                </c:pt>
                <c:pt idx="86">
                  <c:v>8.3492431500000019E-2</c:v>
                </c:pt>
                <c:pt idx="87">
                  <c:v>8.3492431500000019E-2</c:v>
                </c:pt>
                <c:pt idx="88">
                  <c:v>8.3492431500000019E-2</c:v>
                </c:pt>
                <c:pt idx="89">
                  <c:v>8.3492431500000019E-2</c:v>
                </c:pt>
                <c:pt idx="90">
                  <c:v>8.3492431500000019E-2</c:v>
                </c:pt>
                <c:pt idx="91">
                  <c:v>8.3492431500000019E-2</c:v>
                </c:pt>
                <c:pt idx="92">
                  <c:v>8.3492431500000019E-2</c:v>
                </c:pt>
                <c:pt idx="93">
                  <c:v>8.3492431500000019E-2</c:v>
                </c:pt>
                <c:pt idx="94">
                  <c:v>8.3492431500000019E-2</c:v>
                </c:pt>
                <c:pt idx="95">
                  <c:v>8.3492431500000019E-2</c:v>
                </c:pt>
                <c:pt idx="96">
                  <c:v>8.3492431500000019E-2</c:v>
                </c:pt>
                <c:pt idx="97">
                  <c:v>8.3492431500000019E-2</c:v>
                </c:pt>
                <c:pt idx="98">
                  <c:v>8.3492431500000019E-2</c:v>
                </c:pt>
                <c:pt idx="99">
                  <c:v>8.3492431500000019E-2</c:v>
                </c:pt>
                <c:pt idx="100">
                  <c:v>8.3492431500000019E-2</c:v>
                </c:pt>
              </c:numCache>
            </c:numRef>
          </c:val>
          <c:smooth val="0"/>
        </c:ser>
        <c:dLbls>
          <c:showLegendKey val="0"/>
          <c:showVal val="0"/>
          <c:showCatName val="0"/>
          <c:showSerName val="0"/>
          <c:showPercent val="0"/>
          <c:showBubbleSize val="0"/>
        </c:dLbls>
        <c:marker val="1"/>
        <c:smooth val="0"/>
        <c:axId val="131263104"/>
        <c:axId val="131322624"/>
      </c:lineChart>
      <c:catAx>
        <c:axId val="131263104"/>
        <c:scaling>
          <c:orientation val="minMax"/>
        </c:scaling>
        <c:delete val="0"/>
        <c:axPos val="b"/>
        <c:title>
          <c:tx>
            <c:rich>
              <a:bodyPr/>
              <a:lstStyle/>
              <a:p>
                <a:pPr>
                  <a:defRPr b="0"/>
                </a:pPr>
                <a:r>
                  <a:rPr lang="en-AU" b="0"/>
                  <a:t>Percentile (OTE as a proportion</a:t>
                </a:r>
                <a:r>
                  <a:rPr lang="en-AU" b="0" baseline="0"/>
                  <a:t> of total earnings)</a:t>
                </a:r>
                <a:endParaRPr lang="en-AU" b="0"/>
              </a:p>
            </c:rich>
          </c:tx>
          <c:layout>
            <c:manualLayout>
              <c:xMode val="edge"/>
              <c:yMode val="edge"/>
              <c:x val="0.23191306045422008"/>
              <c:y val="0.82568978805938964"/>
            </c:manualLayout>
          </c:layout>
          <c:overlay val="0"/>
        </c:title>
        <c:numFmt formatCode="General" sourceLinked="1"/>
        <c:majorTickMark val="out"/>
        <c:minorTickMark val="none"/>
        <c:tickLblPos val="nextTo"/>
        <c:crossAx val="131322624"/>
        <c:crosses val="autoZero"/>
        <c:auto val="1"/>
        <c:lblAlgn val="ctr"/>
        <c:lblOffset val="100"/>
        <c:tickLblSkip val="10"/>
        <c:tickMarkSkip val="10"/>
        <c:noMultiLvlLbl val="0"/>
      </c:catAx>
      <c:valAx>
        <c:axId val="131322624"/>
        <c:scaling>
          <c:orientation val="minMax"/>
          <c:max val="0.12000000000000001"/>
        </c:scaling>
        <c:delete val="0"/>
        <c:axPos val="l"/>
        <c:title>
          <c:tx>
            <c:rich>
              <a:bodyPr rot="0" vert="horz"/>
              <a:lstStyle/>
              <a:p>
                <a:pPr>
                  <a:defRPr b="0"/>
                </a:pPr>
                <a:r>
                  <a:rPr lang="en-AU" b="0"/>
                  <a:t>SG as a percantage</a:t>
                </a:r>
                <a:r>
                  <a:rPr lang="en-AU" b="0" baseline="0"/>
                  <a:t> of total wages</a:t>
                </a:r>
                <a:endParaRPr lang="en-AU" b="0"/>
              </a:p>
            </c:rich>
          </c:tx>
          <c:layout>
            <c:manualLayout>
              <c:xMode val="edge"/>
              <c:yMode val="edge"/>
              <c:x val="7.2838582248838171E-2"/>
              <c:y val="5.3371089459998924E-2"/>
            </c:manualLayout>
          </c:layout>
          <c:overlay val="0"/>
        </c:title>
        <c:numFmt formatCode="0%" sourceLinked="0"/>
        <c:majorTickMark val="out"/>
        <c:minorTickMark val="none"/>
        <c:tickLblPos val="nextTo"/>
        <c:crossAx val="131263104"/>
        <c:crosses val="autoZero"/>
        <c:crossBetween val="between"/>
        <c:majorUnit val="2.0000000000000004E-2"/>
      </c:valAx>
      <c:spPr>
        <a:noFill/>
        <a:ln w="25400">
          <a:noFill/>
        </a:ln>
      </c:spPr>
    </c:plotArea>
    <c:legend>
      <c:legendPos val="r"/>
      <c:layout>
        <c:manualLayout>
          <c:xMode val="edge"/>
          <c:yMode val="edge"/>
          <c:x val="0"/>
          <c:y val="0.87819467140302898"/>
          <c:w val="0.99208880857105974"/>
          <c:h val="0.12180532859697103"/>
        </c:manualLayout>
      </c:layout>
      <c:overlay val="0"/>
      <c:txPr>
        <a:bodyPr/>
        <a:lstStyle/>
        <a:p>
          <a:pPr>
            <a:defRPr sz="1000"/>
          </a:pPr>
          <a:endParaRPr lang="en-US"/>
        </a:p>
      </c:txPr>
    </c:legend>
    <c:plotVisOnly val="1"/>
    <c:dispBlanksAs val="gap"/>
    <c:showDLblsOverMax val="0"/>
  </c:chart>
  <c:spPr>
    <a:ln>
      <a:noFill/>
    </a:ln>
  </c:spPr>
  <c:txPr>
    <a:bodyPr/>
    <a:lstStyle/>
    <a:p>
      <a:pPr>
        <a:defRPr sz="11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0.17633</cdr:x>
      <cdr:y>0.44427</cdr:y>
    </cdr:from>
    <cdr:to>
      <cdr:x>0.54754</cdr:x>
      <cdr:y>0.61561</cdr:y>
    </cdr:to>
    <cdr:sp macro="" textlink="">
      <cdr:nvSpPr>
        <cdr:cNvPr id="8" name="TextBox 7"/>
        <cdr:cNvSpPr txBox="1"/>
      </cdr:nvSpPr>
      <cdr:spPr>
        <a:xfrm xmlns:a="http://schemas.openxmlformats.org/drawingml/2006/main">
          <a:off x="1015564" y="1573618"/>
          <a:ext cx="2137944" cy="6068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AU" sz="1100"/>
            <a:t>About 10 per cent </a:t>
          </a:r>
          <a:r>
            <a:rPr lang="en-AU" sz="1100" baseline="0"/>
            <a:t>of the total population are incorrectly flagged as underpaid</a:t>
          </a:r>
          <a:endParaRPr lang="en-AU" sz="1100"/>
        </a:p>
      </cdr:txBody>
    </cdr:sp>
  </cdr:relSizeAnchor>
  <cdr:relSizeAnchor xmlns:cdr="http://schemas.openxmlformats.org/drawingml/2006/chartDrawing">
    <cdr:from>
      <cdr:x>0.14655</cdr:x>
      <cdr:y>0.29787</cdr:y>
    </cdr:from>
    <cdr:to>
      <cdr:x>0.23611</cdr:x>
      <cdr:y>0.43357</cdr:y>
    </cdr:to>
    <cdr:cxnSp macro="">
      <cdr:nvCxnSpPr>
        <cdr:cNvPr id="12" name="Straight Arrow Connector 11"/>
        <cdr:cNvCxnSpPr/>
      </cdr:nvCxnSpPr>
      <cdr:spPr>
        <a:xfrm xmlns:a="http://schemas.openxmlformats.org/drawingml/2006/main" flipH="1" flipV="1">
          <a:off x="844061" y="1055077"/>
          <a:ext cx="515817" cy="480646"/>
        </a:xfrm>
        <a:prstGeom xmlns:a="http://schemas.openxmlformats.org/drawingml/2006/main" prst="straightConnector1">
          <a:avLst/>
        </a:prstGeom>
        <a:ln xmlns:a="http://schemas.openxmlformats.org/drawingml/2006/main" w="1905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07D146E6A844BFA6093BA304791C38"/>
        <w:category>
          <w:name w:val="General"/>
          <w:gallery w:val="placeholder"/>
        </w:category>
        <w:types>
          <w:type w:val="bbPlcHdr"/>
        </w:types>
        <w:behaviors>
          <w:behavior w:val="content"/>
        </w:behaviors>
        <w:guid w:val="{B5CE9A25-16DE-4197-907C-E0D379D8BB27}"/>
      </w:docPartPr>
      <w:docPartBody>
        <w:p w14:paraId="3E93D0DE" w14:textId="77777777" w:rsidR="00855F8E" w:rsidRDefault="00855F8E" w:rsidP="00855F8E">
          <w:pPr>
            <w:pStyle w:val="F407D146E6A844BFA6093BA304791C38"/>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8E"/>
    <w:rsid w:val="000A123E"/>
    <w:rsid w:val="000C4B90"/>
    <w:rsid w:val="0018408F"/>
    <w:rsid w:val="002923B4"/>
    <w:rsid w:val="002B21F9"/>
    <w:rsid w:val="00360F8C"/>
    <w:rsid w:val="0036737B"/>
    <w:rsid w:val="004A0839"/>
    <w:rsid w:val="005E4E9D"/>
    <w:rsid w:val="0064619B"/>
    <w:rsid w:val="00652269"/>
    <w:rsid w:val="006E6534"/>
    <w:rsid w:val="007721BB"/>
    <w:rsid w:val="007975D3"/>
    <w:rsid w:val="007A4F1E"/>
    <w:rsid w:val="007A5A4B"/>
    <w:rsid w:val="007B0D01"/>
    <w:rsid w:val="00855F8E"/>
    <w:rsid w:val="008F154F"/>
    <w:rsid w:val="009337F1"/>
    <w:rsid w:val="00974764"/>
    <w:rsid w:val="00A3287A"/>
    <w:rsid w:val="00A42F9F"/>
    <w:rsid w:val="00A651E5"/>
    <w:rsid w:val="00C658CD"/>
    <w:rsid w:val="00CC208C"/>
    <w:rsid w:val="00D544BD"/>
    <w:rsid w:val="00D57D67"/>
    <w:rsid w:val="00D71E7D"/>
    <w:rsid w:val="00DA4D4C"/>
    <w:rsid w:val="00E57D27"/>
    <w:rsid w:val="00EB1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E93D0D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7D146E6A844BFA6093BA304791C38">
    <w:name w:val="F407D146E6A844BFA6093BA304791C38"/>
    <w:rsid w:val="00855F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7D146E6A844BFA6093BA304791C38">
    <w:name w:val="F407D146E6A844BFA6093BA304791C38"/>
    <w:rsid w:val="00855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ct:contentTypeSchema xmlns:ct="http://schemas.microsoft.com/office/2006/metadata/contentType" xmlns:ma="http://schemas.microsoft.com/office/2006/metadata/properties/metaAttributes" ct:_="" ma:_="" ma:contentTypeName="Word" ma:contentTypeID="0x010100A64679C44DADA04984EEB770C479187300512BF42FAFA61248AB1002A1C3FB1172" ma:contentTypeVersion="24" ma:contentTypeDescription="" ma:contentTypeScope="" ma:versionID="4d7942a31749afb7bdcee93992c732b6">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6157e332811e791681c4e91ba41dc61a"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039acd-daf0-4ba3-b421-e9b9ae1a3620">
      <Value>1</Value>
    </TaxCatchAll>
    <_dlc_DocId xmlns="5e039acd-daf0-4ba3-b421-e9b9ae1a3620">5YHNKJZSV77T-1653575182-9</_dlc_DocId>
    <_dlc_DocIdUrl xmlns="5e039acd-daf0-4ba3-b421-e9b9ae1a3620">
      <Url>http://sharepoint/GASites/sprEmployerSeg/_layouts/DocIdRedir.aspx?ID=5YHNKJZSV77T-1653575182-9</Url>
      <Description>5YHNKJZSV77T-1653575182-9</Description>
    </_dlc_DocIdUrl>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_dlc_ExpireDateSaved xmlns="http://schemas.microsoft.com/sharepoint/v3" xsi:nil="true"/>
    <_dlc_ExpireDate xmlns="http://schemas.microsoft.com/sharepoint/v3">2027-01-31T04:15:40+00:00</_dlc_ExpireDate>
  </documentManagement>
</p:properti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D3756D-C958-4B99-9754-1CE2BDDBF719}">
  <ds:schemaRefs>
    <ds:schemaRef ds:uri="http://schemas.microsoft.com/office/2006/metadata/customXsn"/>
  </ds:schemaRefs>
</ds:datastoreItem>
</file>

<file path=customXml/itemProps2.xml><?xml version="1.0" encoding="utf-8"?>
<ds:datastoreItem xmlns:ds="http://schemas.openxmlformats.org/officeDocument/2006/customXml" ds:itemID="{2F4E837A-3E1E-40F9-8426-0C27E6EF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8E957-A40F-4F61-A88B-2269B194D471}">
  <ds:schemaRefs>
    <ds:schemaRef ds:uri="http://schemas.microsoft.com/sharepoint/v3/contenttype/forms"/>
  </ds:schemaRefs>
</ds:datastoreItem>
</file>

<file path=customXml/itemProps4.xml><?xml version="1.0" encoding="utf-8"?>
<ds:datastoreItem xmlns:ds="http://schemas.openxmlformats.org/officeDocument/2006/customXml" ds:itemID="{6F0EF697-BDD4-46B6-A996-BC09D75D330E}">
  <ds:schemaRefs>
    <ds:schemaRef ds:uri="http://schemas.microsoft.com/office/2006/documentManagement/types"/>
    <ds:schemaRef ds:uri="http://schemas.openxmlformats.org/package/2006/metadata/core-properties"/>
    <ds:schemaRef ds:uri="http://purl.org/dc/elements/1.1/"/>
    <ds:schemaRef ds:uri="5e039acd-daf0-4ba3-b421-e9b9ae1a3620"/>
    <ds:schemaRef ds:uri="http://purl.org/dc/terms/"/>
    <ds:schemaRef ds:uri="http://schemas.microsoft.com/office/infopath/2007/PartnerControls"/>
    <ds:schemaRef ds:uri="http://purl.org/dc/dcmitype/"/>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CF328B4-FAE5-4FAF-92F6-272446227D8B}">
  <ds:schemaRefs>
    <ds:schemaRef ds:uri="office.server.policy"/>
  </ds:schemaRefs>
</ds:datastoreItem>
</file>

<file path=customXml/itemProps6.xml><?xml version="1.0" encoding="utf-8"?>
<ds:datastoreItem xmlns:ds="http://schemas.openxmlformats.org/officeDocument/2006/customXml" ds:itemID="{65F80D4F-28D5-46DB-B6F8-52653E330290}">
  <ds:schemaRefs>
    <ds:schemaRef ds:uri="http://schemas.microsoft.com/sharepoint/events"/>
  </ds:schemaRefs>
</ds:datastoreItem>
</file>

<file path=customXml/itemProps7.xml><?xml version="1.0" encoding="utf-8"?>
<ds:datastoreItem xmlns:ds="http://schemas.openxmlformats.org/officeDocument/2006/customXml" ds:itemID="{2CD94F92-4F58-4FE0-930A-204A09A5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9910</Words>
  <Characters>58555</Characters>
  <Application>Microsoft Office Word</Application>
  <DocSecurity>0</DocSecurity>
  <Lines>1104</Lines>
  <Paragraphs>456</Paragraphs>
  <ScaleCrop>false</ScaleCrop>
  <HeadingPairs>
    <vt:vector size="2" baseType="variant">
      <vt:variant>
        <vt:lpstr>Title</vt:lpstr>
      </vt:variant>
      <vt:variant>
        <vt:i4>1</vt:i4>
      </vt:variant>
    </vt:vector>
  </HeadingPairs>
  <TitlesOfParts>
    <vt:vector size="1" baseType="lpstr">
      <vt:lpstr>Cross Agency Superannuation Guarantee Working Group</vt:lpstr>
    </vt:vector>
  </TitlesOfParts>
  <Company>ATO</Company>
  <LinksUpToDate>false</LinksUpToDate>
  <CharactersWithSpaces>68009</CharactersWithSpaces>
  <SharedDoc>false</SharedDoc>
  <HLinks>
    <vt:vector size="18" baseType="variant">
      <vt:variant>
        <vt:i4>1441795</vt:i4>
      </vt:variant>
      <vt:variant>
        <vt:i4>8</vt:i4>
      </vt:variant>
      <vt:variant>
        <vt:i4>0</vt:i4>
      </vt:variant>
      <vt:variant>
        <vt:i4>5</vt:i4>
      </vt:variant>
      <vt:variant>
        <vt:lpwstr/>
      </vt:variant>
      <vt:variant>
        <vt:lpwstr>_Toc428219688</vt:lpwstr>
      </vt:variant>
      <vt:variant>
        <vt:i4>1441804</vt:i4>
      </vt:variant>
      <vt:variant>
        <vt:i4>2</vt:i4>
      </vt:variant>
      <vt:variant>
        <vt:i4>0</vt:i4>
      </vt:variant>
      <vt:variant>
        <vt:i4>5</vt:i4>
      </vt:variant>
      <vt:variant>
        <vt:lpwstr/>
      </vt:variant>
      <vt:variant>
        <vt:lpwstr>_Toc428219687</vt:lpwstr>
      </vt:variant>
      <vt:variant>
        <vt:i4>6488078</vt:i4>
      </vt:variant>
      <vt:variant>
        <vt:i4>2068</vt:i4>
      </vt:variant>
      <vt:variant>
        <vt:i4>1025</vt:i4>
      </vt:variant>
      <vt:variant>
        <vt:i4>1</vt:i4>
      </vt:variant>
      <vt:variant>
        <vt:lpwstr>AustGovt_inline70%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Agency Superannuation Guarantee Working Group</dc:title>
  <dc:subject>Interim Report</dc:subject>
  <dc:creator>ATO</dc:creator>
  <cp:lastModifiedBy>Hill, Christine</cp:lastModifiedBy>
  <cp:revision>3</cp:revision>
  <cp:lastPrinted>2017-01-31T02:50:00Z</cp:lastPrinted>
  <dcterms:created xsi:type="dcterms:W3CDTF">2017-07-13T02:19:00Z</dcterms:created>
  <dcterms:modified xsi:type="dcterms:W3CDTF">2017-07-13T06:38:00Z</dcterms:modified>
</cp:coreProperties>
</file>