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553" w:rsidRDefault="0024507B" w:rsidP="003E17B1">
      <w:pPr>
        <w:spacing w:line="276" w:lineRule="auto"/>
        <w:jc w:val="both"/>
        <w:rPr>
          <w:rFonts w:ascii="Arial" w:hAnsi="Arial"/>
          <w:sz w:val="20"/>
        </w:rPr>
      </w:pPr>
      <w:r>
        <w:rPr>
          <w:rFonts w:ascii="Arial" w:hAnsi="Arial"/>
          <w:sz w:val="20"/>
        </w:rPr>
        <w:t xml:space="preserve">20 </w:t>
      </w:r>
      <w:r w:rsidR="00BF0978">
        <w:rPr>
          <w:rFonts w:ascii="Arial" w:hAnsi="Arial"/>
          <w:sz w:val="20"/>
        </w:rPr>
        <w:t>March</w:t>
      </w:r>
      <w:r w:rsidR="00D769F0">
        <w:rPr>
          <w:rFonts w:ascii="Arial" w:hAnsi="Arial"/>
          <w:sz w:val="20"/>
        </w:rPr>
        <w:t xml:space="preserve"> 20</w:t>
      </w:r>
      <w:r w:rsidR="00BF0978">
        <w:rPr>
          <w:rFonts w:ascii="Arial" w:hAnsi="Arial"/>
          <w:sz w:val="20"/>
        </w:rPr>
        <w:t>13</w:t>
      </w:r>
    </w:p>
    <w:p w:rsidR="00520553" w:rsidRPr="001B63B2" w:rsidRDefault="00520553" w:rsidP="003E17B1">
      <w:pPr>
        <w:spacing w:line="276" w:lineRule="auto"/>
        <w:jc w:val="both"/>
        <w:rPr>
          <w:rFonts w:ascii="Arial" w:hAnsi="Arial"/>
          <w:sz w:val="20"/>
        </w:rPr>
      </w:pPr>
    </w:p>
    <w:p w:rsidR="00B178C6" w:rsidRPr="00B178C6" w:rsidRDefault="00BF0978" w:rsidP="003E17B1">
      <w:pPr>
        <w:spacing w:line="276" w:lineRule="auto"/>
        <w:jc w:val="both"/>
        <w:outlineLvl w:val="0"/>
        <w:rPr>
          <w:rFonts w:ascii="Arial" w:hAnsi="Arial"/>
          <w:sz w:val="20"/>
          <w:lang w:val="en-AU"/>
        </w:rPr>
      </w:pPr>
      <w:r>
        <w:rPr>
          <w:rFonts w:ascii="Arial" w:hAnsi="Arial"/>
          <w:sz w:val="20"/>
          <w:lang w:val="en-AU"/>
        </w:rPr>
        <w:t xml:space="preserve">General </w:t>
      </w:r>
      <w:r w:rsidR="00B178C6" w:rsidRPr="00B178C6">
        <w:rPr>
          <w:rFonts w:ascii="Arial" w:hAnsi="Arial"/>
          <w:sz w:val="20"/>
          <w:lang w:val="en-AU"/>
        </w:rPr>
        <w:t>Manager</w:t>
      </w:r>
    </w:p>
    <w:p w:rsidR="00B178C6" w:rsidRPr="00B178C6" w:rsidRDefault="00BF0978" w:rsidP="003E17B1">
      <w:pPr>
        <w:spacing w:line="276" w:lineRule="auto"/>
        <w:jc w:val="both"/>
        <w:rPr>
          <w:rFonts w:ascii="Arial" w:hAnsi="Arial"/>
          <w:sz w:val="20"/>
          <w:lang w:val="en-AU"/>
        </w:rPr>
      </w:pPr>
      <w:r>
        <w:rPr>
          <w:rFonts w:ascii="Arial" w:hAnsi="Arial"/>
          <w:sz w:val="20"/>
          <w:lang w:val="en-AU"/>
        </w:rPr>
        <w:t>Revenue Group Law Design Practice</w:t>
      </w:r>
    </w:p>
    <w:p w:rsidR="00B178C6" w:rsidRPr="00B178C6" w:rsidRDefault="00B178C6" w:rsidP="003E17B1">
      <w:pPr>
        <w:spacing w:line="276" w:lineRule="auto"/>
        <w:jc w:val="both"/>
        <w:rPr>
          <w:rFonts w:ascii="Arial" w:hAnsi="Arial"/>
          <w:sz w:val="20"/>
          <w:lang w:val="en-AU"/>
        </w:rPr>
      </w:pPr>
      <w:r w:rsidRPr="00B178C6">
        <w:rPr>
          <w:rFonts w:ascii="Arial" w:hAnsi="Arial"/>
          <w:sz w:val="20"/>
          <w:lang w:val="en-AU"/>
        </w:rPr>
        <w:t>The Treasury</w:t>
      </w:r>
    </w:p>
    <w:p w:rsidR="00B178C6" w:rsidRPr="00B178C6" w:rsidRDefault="00B178C6" w:rsidP="003E17B1">
      <w:pPr>
        <w:spacing w:line="276" w:lineRule="auto"/>
        <w:jc w:val="both"/>
        <w:rPr>
          <w:rFonts w:ascii="Arial" w:hAnsi="Arial"/>
          <w:sz w:val="20"/>
          <w:lang w:val="en-AU"/>
        </w:rPr>
      </w:pPr>
      <w:r w:rsidRPr="00B178C6">
        <w:rPr>
          <w:rFonts w:ascii="Arial" w:hAnsi="Arial"/>
          <w:sz w:val="20"/>
          <w:lang w:val="en-AU"/>
        </w:rPr>
        <w:t>Langton Crescent</w:t>
      </w:r>
    </w:p>
    <w:p w:rsidR="00B178C6" w:rsidRPr="00B178C6" w:rsidRDefault="00B178C6" w:rsidP="003E17B1">
      <w:pPr>
        <w:spacing w:line="276" w:lineRule="auto"/>
        <w:jc w:val="both"/>
        <w:rPr>
          <w:rFonts w:ascii="Arial" w:hAnsi="Arial"/>
          <w:sz w:val="20"/>
          <w:lang w:val="en-AU"/>
        </w:rPr>
      </w:pPr>
      <w:r w:rsidRPr="00B178C6">
        <w:rPr>
          <w:rFonts w:ascii="Arial" w:hAnsi="Arial"/>
          <w:sz w:val="20"/>
          <w:lang w:val="en-AU"/>
        </w:rPr>
        <w:t xml:space="preserve">PARKES </w:t>
      </w:r>
      <w:r>
        <w:rPr>
          <w:rFonts w:ascii="Arial" w:hAnsi="Arial"/>
          <w:sz w:val="20"/>
          <w:lang w:val="en-AU"/>
        </w:rPr>
        <w:t xml:space="preserve"> </w:t>
      </w:r>
      <w:r w:rsidRPr="00B178C6">
        <w:rPr>
          <w:rFonts w:ascii="Arial" w:hAnsi="Arial"/>
          <w:sz w:val="20"/>
          <w:lang w:val="en-AU"/>
        </w:rPr>
        <w:t xml:space="preserve">ACT </w:t>
      </w:r>
      <w:r>
        <w:rPr>
          <w:rFonts w:ascii="Arial" w:hAnsi="Arial"/>
          <w:sz w:val="20"/>
          <w:lang w:val="en-AU"/>
        </w:rPr>
        <w:t xml:space="preserve"> </w:t>
      </w:r>
      <w:r w:rsidRPr="00B178C6">
        <w:rPr>
          <w:rFonts w:ascii="Arial" w:hAnsi="Arial"/>
          <w:sz w:val="20"/>
          <w:lang w:val="en-AU"/>
        </w:rPr>
        <w:t>2600</w:t>
      </w:r>
    </w:p>
    <w:p w:rsidR="00BB11A6" w:rsidRPr="00B178C6" w:rsidRDefault="00BB11A6" w:rsidP="003E17B1">
      <w:pPr>
        <w:spacing w:line="276" w:lineRule="auto"/>
        <w:jc w:val="both"/>
        <w:rPr>
          <w:rFonts w:ascii="Arial" w:hAnsi="Arial"/>
          <w:sz w:val="20"/>
          <w:lang w:val="en-AU"/>
        </w:rPr>
      </w:pPr>
    </w:p>
    <w:p w:rsidR="00BB11A6" w:rsidRDefault="00B178C6" w:rsidP="003E17B1">
      <w:pPr>
        <w:spacing w:line="276" w:lineRule="auto"/>
        <w:jc w:val="both"/>
        <w:outlineLvl w:val="0"/>
        <w:rPr>
          <w:rFonts w:ascii="Arial" w:hAnsi="Arial"/>
          <w:sz w:val="20"/>
          <w:lang w:val="en-AU"/>
        </w:rPr>
      </w:pPr>
      <w:r w:rsidRPr="00B178C6">
        <w:rPr>
          <w:rFonts w:ascii="Arial" w:hAnsi="Arial"/>
          <w:sz w:val="20"/>
          <w:lang w:val="en-AU"/>
        </w:rPr>
        <w:t xml:space="preserve">Email: </w:t>
      </w:r>
      <w:r w:rsidR="00BF0978">
        <w:rPr>
          <w:rFonts w:ascii="Arial" w:hAnsi="Arial"/>
          <w:sz w:val="20"/>
          <w:lang w:val="en-AU"/>
        </w:rPr>
        <w:t>taxagentservices@treasury.gov.au</w:t>
      </w:r>
    </w:p>
    <w:p w:rsidR="00FF2D52" w:rsidRDefault="00FF2D52" w:rsidP="003E17B1">
      <w:pPr>
        <w:spacing w:line="276" w:lineRule="auto"/>
        <w:jc w:val="both"/>
        <w:rPr>
          <w:rFonts w:ascii="Arial" w:hAnsi="Arial"/>
          <w:sz w:val="20"/>
        </w:rPr>
      </w:pPr>
    </w:p>
    <w:p w:rsidR="00520553" w:rsidRDefault="00462CA4" w:rsidP="003E17B1">
      <w:pPr>
        <w:spacing w:line="276" w:lineRule="auto"/>
        <w:jc w:val="both"/>
        <w:rPr>
          <w:rFonts w:ascii="Arial" w:hAnsi="Arial"/>
          <w:sz w:val="20"/>
        </w:rPr>
      </w:pPr>
      <w:r>
        <w:rPr>
          <w:rFonts w:ascii="Arial" w:hAnsi="Arial"/>
          <w:sz w:val="20"/>
        </w:rPr>
        <w:t xml:space="preserve">Dear </w:t>
      </w:r>
      <w:r w:rsidR="00BF0978">
        <w:rPr>
          <w:rFonts w:ascii="Arial" w:hAnsi="Arial"/>
          <w:sz w:val="20"/>
        </w:rPr>
        <w:t>Mr. Reid,</w:t>
      </w:r>
    </w:p>
    <w:p w:rsidR="00BB11A6" w:rsidRDefault="00BB11A6" w:rsidP="003E17B1">
      <w:pPr>
        <w:spacing w:line="276" w:lineRule="auto"/>
        <w:jc w:val="both"/>
        <w:rPr>
          <w:rFonts w:ascii="Arial" w:hAnsi="Arial"/>
          <w:sz w:val="20"/>
        </w:rPr>
      </w:pPr>
    </w:p>
    <w:p w:rsidR="001B7019" w:rsidRDefault="001B7019" w:rsidP="003E17B1">
      <w:pPr>
        <w:spacing w:line="276" w:lineRule="auto"/>
        <w:jc w:val="both"/>
        <w:rPr>
          <w:rFonts w:ascii="Arial" w:hAnsi="Arial"/>
          <w:sz w:val="20"/>
        </w:rPr>
      </w:pPr>
    </w:p>
    <w:p w:rsidR="00BF0978" w:rsidRPr="00BF0978" w:rsidRDefault="00BF0978" w:rsidP="003E17B1">
      <w:pPr>
        <w:spacing w:line="276" w:lineRule="auto"/>
        <w:jc w:val="both"/>
        <w:outlineLvl w:val="0"/>
        <w:rPr>
          <w:rFonts w:ascii="Arial" w:hAnsi="Arial"/>
          <w:b/>
          <w:bCs/>
          <w:u w:val="single"/>
          <w:lang w:val="en-AU"/>
        </w:rPr>
      </w:pPr>
      <w:r w:rsidRPr="00BF0978">
        <w:rPr>
          <w:rFonts w:ascii="Arial" w:hAnsi="Arial"/>
          <w:b/>
          <w:bCs/>
          <w:u w:val="single"/>
          <w:lang w:val="en-AU"/>
        </w:rPr>
        <w:t xml:space="preserve">Creating a regulatory framework for </w:t>
      </w:r>
      <w:bookmarkStart w:id="0" w:name="OLE_LINK1"/>
      <w:r w:rsidRPr="00BF0978">
        <w:rPr>
          <w:rFonts w:ascii="Arial" w:hAnsi="Arial"/>
          <w:b/>
          <w:bCs/>
          <w:u w:val="single"/>
          <w:lang w:val="en-AU"/>
        </w:rPr>
        <w:t>tax advice (financial product) services</w:t>
      </w:r>
      <w:bookmarkEnd w:id="0"/>
    </w:p>
    <w:p w:rsidR="005361DA" w:rsidRDefault="005361DA" w:rsidP="003E17B1">
      <w:pPr>
        <w:spacing w:line="276" w:lineRule="auto"/>
        <w:jc w:val="both"/>
        <w:rPr>
          <w:rFonts w:ascii="Arial" w:hAnsi="Arial"/>
          <w:sz w:val="20"/>
        </w:rPr>
      </w:pPr>
    </w:p>
    <w:p w:rsidR="001B7019" w:rsidRDefault="001B7019" w:rsidP="003E17B1">
      <w:pPr>
        <w:spacing w:line="276" w:lineRule="auto"/>
        <w:jc w:val="both"/>
        <w:rPr>
          <w:rFonts w:ascii="Arial" w:hAnsi="Arial"/>
          <w:sz w:val="20"/>
        </w:rPr>
      </w:pPr>
    </w:p>
    <w:p w:rsidR="008C589B" w:rsidRDefault="00520553" w:rsidP="003E17B1">
      <w:pPr>
        <w:spacing w:line="276" w:lineRule="auto"/>
        <w:jc w:val="both"/>
        <w:rPr>
          <w:rFonts w:ascii="Arial" w:hAnsi="Arial"/>
          <w:sz w:val="20"/>
          <w:lang w:val="en-GB"/>
        </w:rPr>
      </w:pPr>
      <w:bookmarkStart w:id="1" w:name="OLE_LINK3"/>
      <w:r w:rsidRPr="008E109B">
        <w:rPr>
          <w:rFonts w:ascii="Arial" w:hAnsi="Arial"/>
          <w:sz w:val="20"/>
          <w:lang w:val="en-GB"/>
        </w:rPr>
        <w:t>The Self Managed Superannuation Funds Professionals</w:t>
      </w:r>
      <w:r w:rsidR="00931F1E">
        <w:rPr>
          <w:rFonts w:ascii="Arial" w:hAnsi="Arial"/>
          <w:sz w:val="20"/>
          <w:lang w:val="en-GB"/>
        </w:rPr>
        <w:t>’</w:t>
      </w:r>
      <w:r w:rsidRPr="008E109B">
        <w:rPr>
          <w:rFonts w:ascii="Arial" w:hAnsi="Arial"/>
          <w:sz w:val="20"/>
          <w:lang w:val="en-GB"/>
        </w:rPr>
        <w:t xml:space="preserve"> </w:t>
      </w:r>
      <w:r w:rsidR="00931F1E">
        <w:rPr>
          <w:rFonts w:ascii="Arial" w:hAnsi="Arial"/>
          <w:sz w:val="20"/>
          <w:lang w:val="en-GB"/>
        </w:rPr>
        <w:t>Association of Australia (SPAA</w:t>
      </w:r>
      <w:r w:rsidRPr="008E109B">
        <w:rPr>
          <w:rFonts w:ascii="Arial" w:hAnsi="Arial"/>
          <w:sz w:val="20"/>
          <w:lang w:val="en-GB"/>
        </w:rPr>
        <w:t>) welcomes the opportunity to make a</w:t>
      </w:r>
      <w:r w:rsidR="00462CA4">
        <w:rPr>
          <w:rFonts w:ascii="Arial" w:hAnsi="Arial"/>
          <w:sz w:val="20"/>
          <w:lang w:val="en-GB"/>
        </w:rPr>
        <w:t xml:space="preserve"> submission in relation to</w:t>
      </w:r>
      <w:bookmarkEnd w:id="1"/>
      <w:r w:rsidR="00BF0978">
        <w:rPr>
          <w:rFonts w:ascii="Arial" w:hAnsi="Arial"/>
          <w:sz w:val="20"/>
          <w:lang w:val="en-GB"/>
        </w:rPr>
        <w:t xml:space="preserve"> the draft legislation</w:t>
      </w:r>
      <w:r w:rsidR="005335E4">
        <w:rPr>
          <w:rFonts w:ascii="Arial" w:hAnsi="Arial"/>
          <w:sz w:val="20"/>
          <w:lang w:val="en-GB"/>
        </w:rPr>
        <w:t xml:space="preserve"> that amends the</w:t>
      </w:r>
      <w:r w:rsidR="005335E4" w:rsidRPr="005335E4">
        <w:rPr>
          <w:rFonts w:ascii="Arial" w:hAnsi="Arial"/>
          <w:sz w:val="20"/>
          <w:lang w:val="en-GB"/>
        </w:rPr>
        <w:t xml:space="preserve"> </w:t>
      </w:r>
      <w:r w:rsidR="005335E4" w:rsidRPr="007D68BC">
        <w:rPr>
          <w:rFonts w:ascii="Arial" w:hAnsi="Arial"/>
          <w:i/>
          <w:sz w:val="20"/>
          <w:lang w:val="en-GB"/>
        </w:rPr>
        <w:t>Tax Agent Services Act 2009</w:t>
      </w:r>
      <w:r w:rsidR="005335E4" w:rsidRPr="005335E4">
        <w:rPr>
          <w:rFonts w:ascii="Arial" w:hAnsi="Arial"/>
          <w:sz w:val="20"/>
          <w:lang w:val="en-GB"/>
        </w:rPr>
        <w:t xml:space="preserve"> </w:t>
      </w:r>
      <w:r w:rsidR="005335E4">
        <w:rPr>
          <w:rFonts w:ascii="Arial" w:hAnsi="Arial"/>
          <w:sz w:val="20"/>
          <w:lang w:val="en-GB"/>
        </w:rPr>
        <w:t xml:space="preserve">(TASA) </w:t>
      </w:r>
      <w:r w:rsidR="005335E4" w:rsidRPr="005335E4">
        <w:rPr>
          <w:rFonts w:ascii="Arial" w:hAnsi="Arial"/>
          <w:sz w:val="20"/>
          <w:lang w:val="en-GB"/>
        </w:rPr>
        <w:t>and the Tax Agent Services Regulations 2009</w:t>
      </w:r>
      <w:r w:rsidR="005335E4">
        <w:rPr>
          <w:rFonts w:ascii="Arial" w:hAnsi="Arial"/>
          <w:sz w:val="20"/>
          <w:lang w:val="en-GB"/>
        </w:rPr>
        <w:t xml:space="preserve"> in order to bring tax advice provided by financial </w:t>
      </w:r>
      <w:r w:rsidR="00670ACA">
        <w:rPr>
          <w:rFonts w:ascii="Arial" w:hAnsi="Arial"/>
          <w:sz w:val="20"/>
          <w:lang w:val="en-GB"/>
        </w:rPr>
        <w:t>adviser</w:t>
      </w:r>
      <w:r w:rsidR="005335E4">
        <w:rPr>
          <w:rFonts w:ascii="Arial" w:hAnsi="Arial"/>
          <w:sz w:val="20"/>
          <w:lang w:val="en-GB"/>
        </w:rPr>
        <w:t>s into the TASA regime.</w:t>
      </w:r>
    </w:p>
    <w:p w:rsidR="005335E4" w:rsidRDefault="005335E4" w:rsidP="003E17B1">
      <w:pPr>
        <w:spacing w:line="276" w:lineRule="auto"/>
        <w:jc w:val="both"/>
        <w:rPr>
          <w:rFonts w:ascii="Arial" w:hAnsi="Arial"/>
          <w:sz w:val="20"/>
          <w:lang w:val="en-GB"/>
        </w:rPr>
      </w:pPr>
    </w:p>
    <w:p w:rsidR="00166267" w:rsidRDefault="005335E4" w:rsidP="003E17B1">
      <w:pPr>
        <w:spacing w:line="276" w:lineRule="auto"/>
        <w:jc w:val="both"/>
        <w:rPr>
          <w:rFonts w:ascii="Arial" w:hAnsi="Arial"/>
          <w:sz w:val="20"/>
          <w:lang w:val="en-GB"/>
        </w:rPr>
      </w:pPr>
      <w:r>
        <w:rPr>
          <w:rFonts w:ascii="Arial" w:hAnsi="Arial"/>
          <w:sz w:val="20"/>
          <w:lang w:val="en-GB"/>
        </w:rPr>
        <w:t xml:space="preserve">SPAA has a number of concerns regarding the proposed amendments and also the consultation process that has led up to the release of the draft legislation. </w:t>
      </w:r>
      <w:r w:rsidR="00E650CD">
        <w:rPr>
          <w:rFonts w:ascii="Arial" w:hAnsi="Arial"/>
          <w:sz w:val="20"/>
          <w:lang w:val="en-GB"/>
        </w:rPr>
        <w:t xml:space="preserve"> </w:t>
      </w:r>
      <w:r w:rsidR="00166267">
        <w:rPr>
          <w:rFonts w:ascii="Arial" w:hAnsi="Arial"/>
          <w:sz w:val="20"/>
          <w:lang w:val="en-GB"/>
        </w:rPr>
        <w:t xml:space="preserve">We are concerned that the requirements for financial </w:t>
      </w:r>
      <w:r w:rsidR="00670ACA">
        <w:rPr>
          <w:rFonts w:ascii="Arial" w:hAnsi="Arial"/>
          <w:sz w:val="20"/>
          <w:lang w:val="en-GB"/>
        </w:rPr>
        <w:t>adviser</w:t>
      </w:r>
      <w:r w:rsidR="00166267">
        <w:rPr>
          <w:rFonts w:ascii="Arial" w:hAnsi="Arial"/>
          <w:sz w:val="20"/>
          <w:lang w:val="en-GB"/>
        </w:rPr>
        <w:t>s to become part of the TASA regime will result in them facing extra compliance burdens on top of their existing legal requirements, that the definition of “tax advice (financial product) service”</w:t>
      </w:r>
      <w:r w:rsidR="00BD048B">
        <w:rPr>
          <w:rFonts w:ascii="Arial" w:hAnsi="Arial"/>
          <w:sz w:val="20"/>
          <w:lang w:val="en-GB"/>
        </w:rPr>
        <w:t xml:space="preserve"> </w:t>
      </w:r>
      <w:r w:rsidR="001B7019">
        <w:rPr>
          <w:rFonts w:ascii="Arial" w:hAnsi="Arial"/>
          <w:sz w:val="20"/>
          <w:lang w:val="en-GB"/>
        </w:rPr>
        <w:t xml:space="preserve">is unclear </w:t>
      </w:r>
      <w:r w:rsidR="00BD048B">
        <w:rPr>
          <w:rFonts w:ascii="Arial" w:hAnsi="Arial"/>
          <w:sz w:val="20"/>
          <w:lang w:val="en-GB"/>
        </w:rPr>
        <w:t xml:space="preserve">and </w:t>
      </w:r>
      <w:r w:rsidR="001B7019">
        <w:rPr>
          <w:rFonts w:ascii="Arial" w:hAnsi="Arial"/>
          <w:sz w:val="20"/>
          <w:lang w:val="en-GB"/>
        </w:rPr>
        <w:t>that</w:t>
      </w:r>
      <w:r w:rsidR="00BD048B">
        <w:rPr>
          <w:rFonts w:ascii="Arial" w:hAnsi="Arial"/>
          <w:sz w:val="20"/>
          <w:lang w:val="en-GB"/>
        </w:rPr>
        <w:t xml:space="preserve"> the</w:t>
      </w:r>
      <w:r w:rsidR="001B7019">
        <w:rPr>
          <w:rFonts w:ascii="Arial" w:hAnsi="Arial"/>
          <w:sz w:val="20"/>
          <w:lang w:val="en-GB"/>
        </w:rPr>
        <w:t xml:space="preserve"> proposed registration model is</w:t>
      </w:r>
      <w:r w:rsidR="00CB7E51">
        <w:rPr>
          <w:rFonts w:ascii="Arial" w:hAnsi="Arial"/>
          <w:sz w:val="20"/>
          <w:lang w:val="en-GB"/>
        </w:rPr>
        <w:t xml:space="preserve"> </w:t>
      </w:r>
      <w:r w:rsidR="001B7019">
        <w:rPr>
          <w:rFonts w:ascii="Arial" w:hAnsi="Arial"/>
          <w:sz w:val="20"/>
          <w:lang w:val="en-GB"/>
        </w:rPr>
        <w:t>not appropriate for the financial advice industry.</w:t>
      </w:r>
    </w:p>
    <w:p w:rsidR="00BD048B" w:rsidRDefault="00BD048B" w:rsidP="003E17B1">
      <w:pPr>
        <w:spacing w:line="276" w:lineRule="auto"/>
        <w:jc w:val="both"/>
        <w:rPr>
          <w:rFonts w:ascii="Arial" w:hAnsi="Arial"/>
          <w:sz w:val="20"/>
          <w:lang w:val="en-GB"/>
        </w:rPr>
      </w:pPr>
    </w:p>
    <w:p w:rsidR="005335E4" w:rsidRDefault="005335E4" w:rsidP="003E17B1">
      <w:pPr>
        <w:spacing w:line="276" w:lineRule="auto"/>
        <w:jc w:val="both"/>
        <w:rPr>
          <w:rFonts w:ascii="Arial" w:hAnsi="Arial"/>
          <w:sz w:val="20"/>
          <w:lang w:val="en-GB"/>
        </w:rPr>
      </w:pPr>
      <w:r>
        <w:rPr>
          <w:rFonts w:ascii="Arial" w:hAnsi="Arial"/>
          <w:sz w:val="20"/>
          <w:lang w:val="en-GB"/>
        </w:rPr>
        <w:t xml:space="preserve">Accordingly, we believe that </w:t>
      </w:r>
      <w:r w:rsidR="001A35A4">
        <w:rPr>
          <w:rFonts w:ascii="Arial" w:hAnsi="Arial"/>
          <w:sz w:val="20"/>
          <w:lang w:val="en-GB"/>
        </w:rPr>
        <w:t xml:space="preserve">a </w:t>
      </w:r>
      <w:r>
        <w:rPr>
          <w:rFonts w:ascii="Arial" w:hAnsi="Arial"/>
          <w:sz w:val="20"/>
          <w:lang w:val="en-GB"/>
        </w:rPr>
        <w:t xml:space="preserve">more extensive consultation between Treasury and the financial services industry needs to be undertaken </w:t>
      </w:r>
      <w:r w:rsidR="001A35A4">
        <w:rPr>
          <w:rFonts w:ascii="Arial" w:hAnsi="Arial"/>
          <w:sz w:val="20"/>
          <w:lang w:val="en-GB"/>
        </w:rPr>
        <w:t>before the new regime begins.  This further consultation would allow an opportunity to resolve some of the drafting problems of the current proposed amendments</w:t>
      </w:r>
      <w:r w:rsidR="007C6B0C">
        <w:rPr>
          <w:rFonts w:ascii="Arial" w:hAnsi="Arial"/>
          <w:sz w:val="20"/>
          <w:lang w:val="en-GB"/>
        </w:rPr>
        <w:t>.</w:t>
      </w:r>
    </w:p>
    <w:p w:rsidR="009F713B" w:rsidRDefault="009F713B" w:rsidP="003E17B1">
      <w:pPr>
        <w:spacing w:line="276" w:lineRule="auto"/>
        <w:jc w:val="both"/>
        <w:rPr>
          <w:rFonts w:ascii="Arial" w:hAnsi="Arial"/>
          <w:sz w:val="20"/>
          <w:lang w:val="en-GB"/>
        </w:rPr>
      </w:pPr>
    </w:p>
    <w:p w:rsidR="00411E02" w:rsidRDefault="008C589B" w:rsidP="003E17B1">
      <w:pPr>
        <w:spacing w:line="276" w:lineRule="auto"/>
        <w:jc w:val="both"/>
        <w:rPr>
          <w:rFonts w:ascii="Arial" w:hAnsi="Arial"/>
          <w:sz w:val="20"/>
          <w:lang w:val="en-GB"/>
        </w:rPr>
      </w:pPr>
      <w:r>
        <w:rPr>
          <w:rFonts w:ascii="Arial" w:hAnsi="Arial"/>
          <w:sz w:val="20"/>
          <w:lang w:val="en-GB"/>
        </w:rPr>
        <w:t>They key points of this submission are:</w:t>
      </w:r>
    </w:p>
    <w:p w:rsidR="00411E02" w:rsidRDefault="00411E02" w:rsidP="003E17B1">
      <w:pPr>
        <w:spacing w:line="276" w:lineRule="auto"/>
        <w:jc w:val="both"/>
        <w:rPr>
          <w:rFonts w:ascii="Arial" w:hAnsi="Arial"/>
          <w:sz w:val="20"/>
          <w:lang w:val="en-GB"/>
        </w:rPr>
      </w:pPr>
    </w:p>
    <w:p w:rsidR="00713194" w:rsidRPr="00AF0CFF" w:rsidRDefault="007C6B0C" w:rsidP="003E17B1">
      <w:pPr>
        <w:pStyle w:val="ListParagraph"/>
        <w:numPr>
          <w:ilvl w:val="0"/>
          <w:numId w:val="22"/>
        </w:numPr>
        <w:pBdr>
          <w:top w:val="single" w:sz="4" w:space="1" w:color="auto"/>
          <w:left w:val="single" w:sz="4" w:space="4" w:color="auto"/>
          <w:bottom w:val="single" w:sz="4" w:space="1" w:color="auto"/>
          <w:right w:val="single" w:sz="4" w:space="4" w:color="auto"/>
        </w:pBdr>
        <w:spacing w:before="240" w:after="240" w:line="276" w:lineRule="auto"/>
        <w:ind w:left="714" w:hanging="357"/>
        <w:contextualSpacing w:val="0"/>
        <w:jc w:val="both"/>
        <w:rPr>
          <w:rFonts w:ascii="Arial" w:hAnsi="Arial"/>
          <w:b/>
          <w:sz w:val="20"/>
          <w:lang w:val="en-GB"/>
        </w:rPr>
      </w:pPr>
      <w:r>
        <w:rPr>
          <w:rFonts w:ascii="Arial" w:hAnsi="Arial"/>
          <w:b/>
          <w:sz w:val="20"/>
          <w:lang w:val="en-GB"/>
        </w:rPr>
        <w:t>SPAA believes that Treasury and the Tax Practitioners Board (TPB) should undertake further consultation with the financial services industry to resolve issues in the current exposure draft</w:t>
      </w:r>
      <w:r w:rsidR="00774A91">
        <w:rPr>
          <w:rFonts w:ascii="Arial" w:hAnsi="Arial"/>
          <w:b/>
          <w:sz w:val="20"/>
          <w:lang w:val="en-GB"/>
        </w:rPr>
        <w:t>.</w:t>
      </w:r>
    </w:p>
    <w:p w:rsidR="00774A91" w:rsidRPr="00774A91" w:rsidRDefault="007C6B0C" w:rsidP="003E17B1">
      <w:pPr>
        <w:pStyle w:val="ListParagraph"/>
        <w:numPr>
          <w:ilvl w:val="0"/>
          <w:numId w:val="22"/>
        </w:numPr>
        <w:pBdr>
          <w:top w:val="single" w:sz="4" w:space="1" w:color="auto"/>
          <w:left w:val="single" w:sz="4" w:space="4" w:color="auto"/>
          <w:bottom w:val="single" w:sz="4" w:space="1" w:color="auto"/>
          <w:right w:val="single" w:sz="4" w:space="4" w:color="auto"/>
        </w:pBdr>
        <w:spacing w:before="240" w:after="240" w:line="276" w:lineRule="auto"/>
        <w:ind w:left="714" w:hanging="357"/>
        <w:contextualSpacing w:val="0"/>
        <w:rPr>
          <w:rFonts w:ascii="Arial" w:hAnsi="Arial"/>
          <w:b/>
          <w:sz w:val="20"/>
          <w:lang w:val="en-GB"/>
        </w:rPr>
      </w:pPr>
      <w:r>
        <w:rPr>
          <w:rFonts w:ascii="Arial" w:hAnsi="Arial"/>
          <w:b/>
          <w:sz w:val="20"/>
          <w:lang w:val="en-GB"/>
        </w:rPr>
        <w:t>The stage of the transitional period for financial advisers to notify the TPB that they are engaged in</w:t>
      </w:r>
      <w:r w:rsidR="00D44EAB">
        <w:rPr>
          <w:rFonts w:ascii="Arial" w:hAnsi="Arial"/>
          <w:b/>
          <w:sz w:val="20"/>
          <w:lang w:val="en-GB"/>
        </w:rPr>
        <w:t xml:space="preserve"> tax </w:t>
      </w:r>
      <w:r w:rsidR="00D44EAB" w:rsidRPr="00D44EAB">
        <w:rPr>
          <w:rFonts w:ascii="Arial" w:hAnsi="Arial"/>
          <w:b/>
          <w:sz w:val="20"/>
          <w:lang w:val="en-GB"/>
        </w:rPr>
        <w:t>advice (financial product) services</w:t>
      </w:r>
      <w:r w:rsidR="00D44EAB">
        <w:rPr>
          <w:rFonts w:ascii="Arial" w:hAnsi="Arial"/>
          <w:b/>
          <w:sz w:val="20"/>
          <w:lang w:val="en-GB"/>
        </w:rPr>
        <w:t xml:space="preserve"> should be delayed </w:t>
      </w:r>
      <w:r w:rsidR="001B7019">
        <w:rPr>
          <w:rFonts w:ascii="Arial" w:hAnsi="Arial"/>
          <w:b/>
          <w:sz w:val="20"/>
          <w:lang w:val="en-GB"/>
        </w:rPr>
        <w:t xml:space="preserve">by six months </w:t>
      </w:r>
      <w:r w:rsidR="00D44EAB">
        <w:rPr>
          <w:rFonts w:ascii="Arial" w:hAnsi="Arial"/>
          <w:b/>
          <w:sz w:val="20"/>
          <w:lang w:val="en-GB"/>
        </w:rPr>
        <w:t>to allow for the further consultation</w:t>
      </w:r>
      <w:r w:rsidR="00774A91">
        <w:rPr>
          <w:rFonts w:ascii="Arial" w:hAnsi="Arial"/>
          <w:b/>
          <w:sz w:val="20"/>
          <w:lang w:val="en-GB"/>
        </w:rPr>
        <w:t>.</w:t>
      </w:r>
    </w:p>
    <w:p w:rsidR="00774A91" w:rsidRPr="00774A91" w:rsidRDefault="00774A91" w:rsidP="003E17B1">
      <w:pPr>
        <w:pStyle w:val="ListParagraph"/>
        <w:numPr>
          <w:ilvl w:val="0"/>
          <w:numId w:val="22"/>
        </w:numPr>
        <w:pBdr>
          <w:top w:val="single" w:sz="4" w:space="1" w:color="auto"/>
          <w:left w:val="single" w:sz="4" w:space="4" w:color="auto"/>
          <w:bottom w:val="single" w:sz="4" w:space="1" w:color="auto"/>
          <w:right w:val="single" w:sz="4" w:space="4" w:color="auto"/>
        </w:pBdr>
        <w:spacing w:before="240" w:after="240" w:line="276" w:lineRule="auto"/>
        <w:ind w:left="714" w:hanging="357"/>
        <w:contextualSpacing w:val="0"/>
        <w:jc w:val="both"/>
        <w:rPr>
          <w:rFonts w:ascii="Arial" w:hAnsi="Arial"/>
          <w:b/>
          <w:sz w:val="20"/>
          <w:lang w:val="en-GB"/>
        </w:rPr>
      </w:pPr>
      <w:r>
        <w:rPr>
          <w:rFonts w:ascii="Arial" w:hAnsi="Arial"/>
          <w:b/>
          <w:sz w:val="20"/>
          <w:lang w:val="en-GB"/>
        </w:rPr>
        <w:t xml:space="preserve">The definition of </w:t>
      </w:r>
      <w:r w:rsidRPr="00774A91">
        <w:rPr>
          <w:rFonts w:ascii="Arial" w:hAnsi="Arial"/>
          <w:b/>
          <w:sz w:val="20"/>
          <w:lang w:val="en-GB"/>
        </w:rPr>
        <w:t>tax advice (financial product) services</w:t>
      </w:r>
      <w:r>
        <w:rPr>
          <w:rFonts w:ascii="Arial" w:hAnsi="Arial"/>
          <w:b/>
          <w:sz w:val="20"/>
          <w:lang w:val="en-GB"/>
        </w:rPr>
        <w:t xml:space="preserve"> should be more clearly defined to exclude general tax advice related to a financial product.</w:t>
      </w:r>
    </w:p>
    <w:p w:rsidR="00774A91" w:rsidRPr="00774A91" w:rsidRDefault="00774A91" w:rsidP="003E17B1">
      <w:pPr>
        <w:pStyle w:val="ListParagraph"/>
        <w:numPr>
          <w:ilvl w:val="0"/>
          <w:numId w:val="22"/>
        </w:numPr>
        <w:pBdr>
          <w:top w:val="single" w:sz="4" w:space="1" w:color="auto"/>
          <w:left w:val="single" w:sz="4" w:space="4" w:color="auto"/>
          <w:bottom w:val="single" w:sz="4" w:space="1" w:color="auto"/>
          <w:right w:val="single" w:sz="4" w:space="4" w:color="auto"/>
        </w:pBdr>
        <w:spacing w:before="240" w:after="240" w:line="276" w:lineRule="auto"/>
        <w:ind w:left="714" w:hanging="357"/>
        <w:contextualSpacing w:val="0"/>
        <w:jc w:val="both"/>
        <w:rPr>
          <w:rFonts w:ascii="Arial" w:hAnsi="Arial"/>
          <w:b/>
          <w:sz w:val="20"/>
          <w:lang w:val="en-GB"/>
        </w:rPr>
      </w:pPr>
      <w:r>
        <w:rPr>
          <w:rFonts w:ascii="Arial" w:hAnsi="Arial"/>
          <w:b/>
          <w:sz w:val="20"/>
          <w:lang w:val="en-AU"/>
        </w:rPr>
        <w:lastRenderedPageBreak/>
        <w:t xml:space="preserve">The requirements for TASA registration and the existing obligations for financial advisers under the </w:t>
      </w:r>
      <w:r>
        <w:rPr>
          <w:rFonts w:ascii="Arial" w:hAnsi="Arial"/>
          <w:b/>
          <w:i/>
          <w:sz w:val="20"/>
          <w:lang w:val="en-AU"/>
        </w:rPr>
        <w:t>Corporations Act 2001</w:t>
      </w:r>
      <w:r>
        <w:rPr>
          <w:rFonts w:ascii="Arial" w:hAnsi="Arial"/>
          <w:b/>
          <w:sz w:val="20"/>
          <w:lang w:val="en-AU"/>
        </w:rPr>
        <w:t xml:space="preserve"> should be better integrated to reduce the compliance burden for financial advisers.</w:t>
      </w:r>
    </w:p>
    <w:p w:rsidR="00774A91" w:rsidRPr="00774A91" w:rsidRDefault="00774A91" w:rsidP="003E17B1">
      <w:pPr>
        <w:pStyle w:val="ListParagraph"/>
        <w:numPr>
          <w:ilvl w:val="0"/>
          <w:numId w:val="22"/>
        </w:numPr>
        <w:pBdr>
          <w:top w:val="single" w:sz="4" w:space="1" w:color="auto"/>
          <w:left w:val="single" w:sz="4" w:space="4" w:color="auto"/>
          <w:bottom w:val="single" w:sz="4" w:space="1" w:color="auto"/>
          <w:right w:val="single" w:sz="4" w:space="4" w:color="auto"/>
        </w:pBdr>
        <w:spacing w:before="240" w:after="240" w:line="276" w:lineRule="auto"/>
        <w:ind w:left="714" w:hanging="357"/>
        <w:contextualSpacing w:val="0"/>
        <w:rPr>
          <w:rFonts w:ascii="Arial" w:hAnsi="Arial"/>
          <w:b/>
          <w:sz w:val="20"/>
          <w:lang w:val="en-GB"/>
        </w:rPr>
      </w:pPr>
      <w:r>
        <w:rPr>
          <w:rFonts w:ascii="Arial" w:hAnsi="Arial"/>
          <w:b/>
          <w:sz w:val="20"/>
          <w:lang w:val="en-GB"/>
        </w:rPr>
        <w:t>The AFSL authorised representative business model should be better reflected in the registration model provided for in the exposure draft.</w:t>
      </w:r>
    </w:p>
    <w:p w:rsidR="00475E2C" w:rsidRDefault="00475E2C" w:rsidP="003E17B1">
      <w:pPr>
        <w:spacing w:line="276" w:lineRule="auto"/>
        <w:jc w:val="both"/>
        <w:rPr>
          <w:rFonts w:ascii="Arial" w:hAnsi="Arial"/>
          <w:sz w:val="20"/>
          <w:lang w:val="en-GB"/>
        </w:rPr>
      </w:pPr>
    </w:p>
    <w:p w:rsidR="00477C04" w:rsidRPr="001979BB" w:rsidRDefault="00477C04" w:rsidP="003E17B1">
      <w:pPr>
        <w:spacing w:line="276" w:lineRule="auto"/>
        <w:jc w:val="both"/>
        <w:outlineLvl w:val="0"/>
        <w:rPr>
          <w:rFonts w:ascii="Arial" w:hAnsi="Arial"/>
          <w:sz w:val="20"/>
          <w:u w:val="single"/>
          <w:lang w:val="en-GB"/>
        </w:rPr>
      </w:pPr>
      <w:r>
        <w:rPr>
          <w:rFonts w:ascii="Arial" w:hAnsi="Arial"/>
          <w:sz w:val="20"/>
          <w:lang w:val="en-GB"/>
        </w:rPr>
        <w:t xml:space="preserve">These issues and SPAA’s recommendations are </w:t>
      </w:r>
      <w:r w:rsidR="001979BB">
        <w:rPr>
          <w:rFonts w:ascii="Arial" w:hAnsi="Arial"/>
          <w:sz w:val="20"/>
          <w:lang w:val="en-GB"/>
        </w:rPr>
        <w:t xml:space="preserve">discussed in detail in the </w:t>
      </w:r>
      <w:r w:rsidR="002315B5">
        <w:rPr>
          <w:rFonts w:ascii="Arial" w:hAnsi="Arial"/>
          <w:sz w:val="20"/>
          <w:u w:val="single"/>
          <w:lang w:val="en-GB"/>
        </w:rPr>
        <w:t>A</w:t>
      </w:r>
      <w:r w:rsidR="001979BB">
        <w:rPr>
          <w:rFonts w:ascii="Arial" w:hAnsi="Arial"/>
          <w:sz w:val="20"/>
          <w:u w:val="single"/>
          <w:lang w:val="en-GB"/>
        </w:rPr>
        <w:t>ttachment.</w:t>
      </w:r>
    </w:p>
    <w:p w:rsidR="00FB5A9D" w:rsidRDefault="00FB5A9D" w:rsidP="003E17B1">
      <w:pPr>
        <w:spacing w:line="276" w:lineRule="auto"/>
        <w:jc w:val="both"/>
        <w:rPr>
          <w:rFonts w:ascii="Arial" w:hAnsi="Arial"/>
          <w:b/>
          <w:sz w:val="20"/>
          <w:u w:val="single"/>
          <w:lang w:val="en-AU"/>
        </w:rPr>
      </w:pPr>
    </w:p>
    <w:p w:rsidR="00034F49" w:rsidRDefault="00034F49" w:rsidP="003E17B1">
      <w:pPr>
        <w:spacing w:line="276" w:lineRule="auto"/>
        <w:jc w:val="both"/>
        <w:outlineLvl w:val="0"/>
        <w:rPr>
          <w:rFonts w:ascii="Arial" w:hAnsi="Arial"/>
          <w:b/>
          <w:sz w:val="20"/>
          <w:u w:val="single"/>
          <w:lang w:val="en-AU"/>
        </w:rPr>
      </w:pPr>
      <w:r>
        <w:rPr>
          <w:rFonts w:ascii="Arial" w:hAnsi="Arial"/>
          <w:b/>
          <w:sz w:val="20"/>
          <w:u w:val="single"/>
          <w:lang w:val="en-AU"/>
        </w:rPr>
        <w:t>About SPAA</w:t>
      </w:r>
    </w:p>
    <w:p w:rsidR="00034F49" w:rsidRDefault="00034F49" w:rsidP="003E17B1">
      <w:pPr>
        <w:spacing w:line="276" w:lineRule="auto"/>
        <w:jc w:val="both"/>
        <w:rPr>
          <w:rFonts w:ascii="Arial" w:hAnsi="Arial"/>
          <w:sz w:val="20"/>
          <w:lang w:val="en-AU"/>
        </w:rPr>
      </w:pPr>
    </w:p>
    <w:p w:rsidR="00034F49" w:rsidRDefault="00034F49" w:rsidP="003E17B1">
      <w:pPr>
        <w:spacing w:line="276" w:lineRule="auto"/>
        <w:jc w:val="both"/>
        <w:rPr>
          <w:rFonts w:ascii="Arial" w:hAnsi="Arial"/>
          <w:sz w:val="20"/>
          <w:lang w:val="en-AU"/>
        </w:rPr>
      </w:pPr>
      <w:r>
        <w:rPr>
          <w:rFonts w:ascii="Arial" w:hAnsi="Arial"/>
          <w:sz w:val="20"/>
          <w:lang w:val="en-AU"/>
        </w:rPr>
        <w:t xml:space="preserve">SPAA is the peak professional body representing the SMSF sector throughout Australia.  SPAA represents professionals, irrespective of their personal membership and professional affiliations, who provide advice to individuals aspiring to higher levels of participation in the management of their superannuation savings.  Membership of SPAA is principally accountants, auditors, lawyers, financial </w:t>
      </w:r>
      <w:r w:rsidR="00670ACA">
        <w:rPr>
          <w:rFonts w:ascii="Arial" w:hAnsi="Arial"/>
          <w:sz w:val="20"/>
          <w:lang w:val="en-AU"/>
        </w:rPr>
        <w:t>planners</w:t>
      </w:r>
      <w:r>
        <w:rPr>
          <w:rFonts w:ascii="Arial" w:hAnsi="Arial"/>
          <w:sz w:val="20"/>
          <w:lang w:val="en-AU"/>
        </w:rPr>
        <w:t xml:space="preserve"> and other professionals such as actuaries.</w:t>
      </w:r>
    </w:p>
    <w:p w:rsidR="00034F49" w:rsidRDefault="00034F49" w:rsidP="003E17B1">
      <w:pPr>
        <w:spacing w:line="276" w:lineRule="auto"/>
        <w:jc w:val="both"/>
        <w:rPr>
          <w:rFonts w:ascii="Arial" w:hAnsi="Arial"/>
          <w:sz w:val="20"/>
          <w:lang w:val="en-AU"/>
        </w:rPr>
      </w:pPr>
    </w:p>
    <w:p w:rsidR="00034F49" w:rsidRDefault="00034F49" w:rsidP="003E17B1">
      <w:pPr>
        <w:spacing w:line="276" w:lineRule="auto"/>
        <w:jc w:val="both"/>
        <w:rPr>
          <w:rFonts w:ascii="Arial" w:hAnsi="Arial"/>
          <w:sz w:val="20"/>
          <w:lang w:val="en-AU"/>
        </w:rPr>
      </w:pPr>
      <w:r>
        <w:rPr>
          <w:rFonts w:ascii="Arial" w:hAnsi="Arial"/>
          <w:sz w:val="20"/>
          <w:lang w:val="en-AU"/>
        </w:rPr>
        <w:t>SPAA is committed to raising the standard of professional advice and conduct in the SMSF sector by working proactively with Government and the industry.  In doing so, SPAA has contributed to SMSF advisors providing a higher standard of advice to SMSF trustees.  This in turn has enabled trustees to make more informed decisions addressing the adequacy, sustainability and longevity of their own retirement savings.  SMSFs offer trustees greater control and flexibility and have become an integral part of the Australian Superannuation landscape by providing significant and viable options for managers, business owners, executives and retail operators alike.</w:t>
      </w:r>
    </w:p>
    <w:p w:rsidR="00034F49" w:rsidRDefault="00034F49" w:rsidP="003E17B1">
      <w:pPr>
        <w:spacing w:line="276" w:lineRule="auto"/>
        <w:jc w:val="both"/>
        <w:rPr>
          <w:rFonts w:ascii="Arial" w:hAnsi="Arial"/>
          <w:sz w:val="20"/>
          <w:lang w:val="en-GB"/>
        </w:rPr>
      </w:pPr>
    </w:p>
    <w:p w:rsidR="00034F49" w:rsidRPr="00034F49" w:rsidRDefault="00034F49" w:rsidP="003E17B1">
      <w:pPr>
        <w:spacing w:line="276" w:lineRule="auto"/>
        <w:jc w:val="both"/>
        <w:rPr>
          <w:rFonts w:ascii="Arial" w:hAnsi="Arial"/>
          <w:sz w:val="20"/>
          <w:lang w:val="en-AU"/>
        </w:rPr>
      </w:pPr>
      <w:r w:rsidRPr="00034F49">
        <w:rPr>
          <w:rFonts w:ascii="Arial" w:hAnsi="Arial"/>
          <w:sz w:val="20"/>
          <w:lang w:val="en-AU"/>
        </w:rPr>
        <w:t xml:space="preserve">We would be happy to provide further information or to discuss </w:t>
      </w:r>
      <w:r w:rsidR="0058381C">
        <w:rPr>
          <w:rFonts w:ascii="Arial" w:hAnsi="Arial"/>
          <w:sz w:val="20"/>
          <w:lang w:val="en-AU"/>
        </w:rPr>
        <w:t xml:space="preserve">any questions you may have about </w:t>
      </w:r>
      <w:r w:rsidRPr="00034F49">
        <w:rPr>
          <w:rFonts w:ascii="Arial" w:hAnsi="Arial"/>
          <w:sz w:val="20"/>
          <w:lang w:val="en-AU"/>
        </w:rPr>
        <w:t>this submission with you.</w:t>
      </w:r>
    </w:p>
    <w:p w:rsidR="00034F49" w:rsidRDefault="00034F49" w:rsidP="003E17B1">
      <w:pPr>
        <w:spacing w:line="276" w:lineRule="auto"/>
        <w:jc w:val="both"/>
        <w:rPr>
          <w:rFonts w:ascii="Arial" w:hAnsi="Arial"/>
          <w:sz w:val="20"/>
          <w:lang w:val="en-GB"/>
        </w:rPr>
      </w:pPr>
    </w:p>
    <w:p w:rsidR="00520553" w:rsidRDefault="00520553" w:rsidP="003E17B1">
      <w:pPr>
        <w:spacing w:line="276" w:lineRule="auto"/>
        <w:jc w:val="both"/>
        <w:outlineLvl w:val="0"/>
        <w:rPr>
          <w:rFonts w:ascii="Arial" w:hAnsi="Arial" w:cs="Arial"/>
          <w:sz w:val="20"/>
          <w:szCs w:val="20"/>
        </w:rPr>
      </w:pPr>
      <w:r w:rsidRPr="000E38CA">
        <w:rPr>
          <w:rFonts w:ascii="Arial" w:hAnsi="Arial" w:cs="Arial"/>
          <w:sz w:val="20"/>
          <w:szCs w:val="20"/>
        </w:rPr>
        <w:t>Yours sincerely</w:t>
      </w:r>
    </w:p>
    <w:p w:rsidR="00A45E19" w:rsidRPr="00A45E19" w:rsidRDefault="00A45E19" w:rsidP="003E17B1">
      <w:pPr>
        <w:spacing w:line="276" w:lineRule="auto"/>
        <w:jc w:val="both"/>
        <w:rPr>
          <w:rFonts w:ascii="Arial" w:hAnsi="Arial" w:cs="Arial"/>
          <w:sz w:val="6"/>
          <w:szCs w:val="20"/>
        </w:rPr>
      </w:pPr>
    </w:p>
    <w:p w:rsidR="008B37F4" w:rsidRDefault="008B37F4" w:rsidP="003E17B1">
      <w:pPr>
        <w:spacing w:line="276" w:lineRule="auto"/>
        <w:jc w:val="both"/>
        <w:rPr>
          <w:rFonts w:ascii="Arial" w:hAnsi="Arial" w:cs="Arial"/>
          <w:noProof/>
          <w:sz w:val="20"/>
          <w:szCs w:val="20"/>
          <w:lang w:val="en-AU" w:eastAsia="en-AU"/>
        </w:rPr>
      </w:pPr>
    </w:p>
    <w:p w:rsidR="002A4D6B" w:rsidRDefault="002A4D6B" w:rsidP="003E17B1">
      <w:pPr>
        <w:spacing w:line="276" w:lineRule="auto"/>
        <w:jc w:val="both"/>
        <w:rPr>
          <w:rFonts w:ascii="Arial" w:hAnsi="Arial" w:cs="Arial"/>
          <w:noProof/>
          <w:sz w:val="20"/>
          <w:szCs w:val="20"/>
          <w:lang w:val="en-AU" w:eastAsia="en-AU"/>
        </w:rPr>
      </w:pPr>
    </w:p>
    <w:p w:rsidR="002A4D6B" w:rsidRDefault="002A4D6B" w:rsidP="003E17B1">
      <w:pPr>
        <w:spacing w:line="276" w:lineRule="auto"/>
        <w:jc w:val="both"/>
        <w:rPr>
          <w:rFonts w:ascii="Arial" w:hAnsi="Arial" w:cs="Arial"/>
          <w:noProof/>
          <w:sz w:val="20"/>
          <w:szCs w:val="20"/>
          <w:lang w:val="en-AU" w:eastAsia="en-AU"/>
        </w:rPr>
      </w:pPr>
    </w:p>
    <w:p w:rsidR="002A4D6B" w:rsidRDefault="002A4D6B" w:rsidP="003E17B1">
      <w:pPr>
        <w:spacing w:line="276" w:lineRule="auto"/>
        <w:jc w:val="both"/>
        <w:rPr>
          <w:rFonts w:ascii="Arial" w:hAnsi="Arial" w:cs="Arial"/>
          <w:noProof/>
          <w:sz w:val="20"/>
          <w:szCs w:val="20"/>
          <w:lang w:val="en-AU" w:eastAsia="en-AU"/>
        </w:rPr>
      </w:pPr>
    </w:p>
    <w:p w:rsidR="002A4D6B" w:rsidRPr="00623E8D" w:rsidRDefault="002A4D6B" w:rsidP="003E17B1">
      <w:pPr>
        <w:spacing w:line="276" w:lineRule="auto"/>
        <w:jc w:val="both"/>
        <w:rPr>
          <w:rFonts w:ascii="Arial" w:hAnsi="Arial" w:cs="Arial"/>
          <w:sz w:val="2"/>
          <w:szCs w:val="20"/>
        </w:rPr>
      </w:pPr>
      <w:bookmarkStart w:id="2" w:name="_GoBack"/>
      <w:bookmarkEnd w:id="2"/>
    </w:p>
    <w:p w:rsidR="00520553" w:rsidRPr="00472BFC" w:rsidRDefault="00520553" w:rsidP="003E17B1">
      <w:pPr>
        <w:spacing w:line="276" w:lineRule="auto"/>
        <w:jc w:val="both"/>
        <w:outlineLvl w:val="0"/>
        <w:rPr>
          <w:rFonts w:ascii="Arial" w:hAnsi="Arial" w:cs="Arial"/>
          <w:sz w:val="20"/>
          <w:szCs w:val="20"/>
        </w:rPr>
      </w:pPr>
      <w:r w:rsidRPr="00472BFC">
        <w:rPr>
          <w:rFonts w:ascii="Arial" w:hAnsi="Arial" w:cs="Arial"/>
          <w:sz w:val="20"/>
          <w:szCs w:val="20"/>
        </w:rPr>
        <w:t>Andrea Slattery</w:t>
      </w:r>
    </w:p>
    <w:p w:rsidR="00520553" w:rsidRPr="00472BFC" w:rsidRDefault="00520553" w:rsidP="003E17B1">
      <w:pPr>
        <w:spacing w:line="276" w:lineRule="auto"/>
        <w:jc w:val="both"/>
        <w:rPr>
          <w:rFonts w:ascii="Arial" w:hAnsi="Arial" w:cs="Arial"/>
          <w:sz w:val="20"/>
          <w:szCs w:val="20"/>
        </w:rPr>
      </w:pPr>
      <w:r w:rsidRPr="00472BFC">
        <w:rPr>
          <w:rFonts w:ascii="Arial" w:hAnsi="Arial" w:cs="Arial"/>
          <w:sz w:val="20"/>
          <w:szCs w:val="20"/>
        </w:rPr>
        <w:t>CEO</w:t>
      </w:r>
    </w:p>
    <w:p w:rsidR="000D5A96" w:rsidRPr="00472BFC" w:rsidRDefault="000D5A96" w:rsidP="003E17B1">
      <w:pPr>
        <w:spacing w:line="276" w:lineRule="auto"/>
        <w:jc w:val="both"/>
        <w:rPr>
          <w:rFonts w:ascii="Arial" w:hAnsi="Arial" w:cs="Arial"/>
          <w:sz w:val="20"/>
          <w:szCs w:val="20"/>
        </w:rPr>
      </w:pPr>
    </w:p>
    <w:p w:rsidR="00520553" w:rsidRPr="00472BFC" w:rsidRDefault="00520553" w:rsidP="003E17B1">
      <w:pPr>
        <w:spacing w:line="276" w:lineRule="auto"/>
        <w:jc w:val="both"/>
        <w:rPr>
          <w:rFonts w:ascii="Arial" w:hAnsi="Arial" w:cs="Arial"/>
          <w:sz w:val="20"/>
          <w:szCs w:val="20"/>
        </w:rPr>
      </w:pPr>
    </w:p>
    <w:p w:rsidR="00520553" w:rsidRPr="000E38CA" w:rsidRDefault="00520553" w:rsidP="003E17B1">
      <w:pPr>
        <w:spacing w:line="276" w:lineRule="auto"/>
        <w:jc w:val="both"/>
        <w:outlineLvl w:val="0"/>
        <w:rPr>
          <w:rFonts w:ascii="Arial" w:hAnsi="Arial" w:cs="Arial"/>
          <w:b/>
          <w:sz w:val="20"/>
          <w:szCs w:val="20"/>
        </w:rPr>
      </w:pPr>
      <w:bookmarkStart w:id="3" w:name="OLE_LINK2"/>
      <w:r w:rsidRPr="000E38CA">
        <w:rPr>
          <w:rFonts w:ascii="Arial" w:hAnsi="Arial" w:cs="Arial"/>
          <w:b/>
          <w:sz w:val="20"/>
          <w:szCs w:val="20"/>
        </w:rPr>
        <w:t>Contact Numbers:</w:t>
      </w:r>
    </w:p>
    <w:p w:rsidR="00520553" w:rsidRPr="000E38CA" w:rsidRDefault="00520553" w:rsidP="003E17B1">
      <w:pPr>
        <w:spacing w:line="276" w:lineRule="auto"/>
        <w:jc w:val="both"/>
        <w:outlineLvl w:val="0"/>
        <w:rPr>
          <w:rFonts w:ascii="Arial" w:hAnsi="Arial" w:cs="Arial"/>
          <w:sz w:val="20"/>
          <w:szCs w:val="20"/>
        </w:rPr>
      </w:pPr>
      <w:r w:rsidRPr="000E38CA">
        <w:rPr>
          <w:rFonts w:ascii="Arial" w:hAnsi="Arial" w:cs="Arial"/>
          <w:sz w:val="20"/>
          <w:szCs w:val="20"/>
        </w:rPr>
        <w:t>Tel:  (08) 8205 1900</w:t>
      </w:r>
    </w:p>
    <w:p w:rsidR="00520553" w:rsidRPr="000E38CA" w:rsidRDefault="00520553" w:rsidP="003E17B1">
      <w:pPr>
        <w:spacing w:line="276" w:lineRule="auto"/>
        <w:jc w:val="both"/>
        <w:rPr>
          <w:rFonts w:ascii="Arial" w:hAnsi="Arial" w:cs="Arial"/>
          <w:sz w:val="20"/>
          <w:szCs w:val="20"/>
        </w:rPr>
      </w:pPr>
    </w:p>
    <w:p w:rsidR="00520553" w:rsidRPr="000E38CA" w:rsidRDefault="00520553" w:rsidP="003E17B1">
      <w:pPr>
        <w:spacing w:line="276" w:lineRule="auto"/>
        <w:jc w:val="both"/>
        <w:rPr>
          <w:rFonts w:ascii="Arial" w:hAnsi="Arial" w:cs="Arial"/>
          <w:b/>
          <w:sz w:val="20"/>
          <w:szCs w:val="20"/>
        </w:rPr>
      </w:pPr>
      <w:r w:rsidRPr="000E38CA">
        <w:rPr>
          <w:rFonts w:ascii="Arial" w:hAnsi="Arial" w:cs="Arial"/>
          <w:b/>
          <w:sz w:val="20"/>
          <w:szCs w:val="20"/>
        </w:rPr>
        <w:t xml:space="preserve">Mrs. Andrea Slattery </w:t>
      </w:r>
      <w:r w:rsidRPr="000E38CA">
        <w:rPr>
          <w:rFonts w:ascii="Arial" w:hAnsi="Arial" w:cs="Arial"/>
          <w:b/>
          <w:sz w:val="20"/>
          <w:szCs w:val="20"/>
        </w:rPr>
        <w:tab/>
      </w:r>
      <w:r w:rsidRPr="000E38CA">
        <w:rPr>
          <w:rFonts w:ascii="Arial" w:hAnsi="Arial" w:cs="Arial"/>
          <w:b/>
          <w:sz w:val="20"/>
          <w:szCs w:val="20"/>
        </w:rPr>
        <w:tab/>
      </w:r>
      <w:r w:rsidRPr="000E38CA">
        <w:rPr>
          <w:rFonts w:ascii="Arial" w:hAnsi="Arial" w:cs="Arial"/>
          <w:b/>
          <w:sz w:val="20"/>
          <w:szCs w:val="20"/>
        </w:rPr>
        <w:tab/>
        <w:t>Mr. Peter Burgess</w:t>
      </w:r>
    </w:p>
    <w:p w:rsidR="00520553" w:rsidRPr="000E38CA" w:rsidRDefault="00520553" w:rsidP="003E17B1">
      <w:pPr>
        <w:spacing w:line="276" w:lineRule="auto"/>
        <w:jc w:val="both"/>
        <w:rPr>
          <w:rFonts w:ascii="Arial" w:hAnsi="Arial" w:cs="Arial"/>
          <w:sz w:val="20"/>
          <w:szCs w:val="20"/>
        </w:rPr>
      </w:pPr>
      <w:r w:rsidRPr="000E38CA">
        <w:rPr>
          <w:rFonts w:ascii="Arial" w:hAnsi="Arial" w:cs="Arial"/>
          <w:sz w:val="20"/>
          <w:szCs w:val="20"/>
        </w:rPr>
        <w:t xml:space="preserve">Chief Executive Officer </w:t>
      </w:r>
      <w:r w:rsidRPr="000E38CA">
        <w:rPr>
          <w:rFonts w:ascii="Arial" w:hAnsi="Arial" w:cs="Arial"/>
          <w:sz w:val="20"/>
          <w:szCs w:val="20"/>
        </w:rPr>
        <w:tab/>
      </w:r>
      <w:r w:rsidRPr="000E38CA">
        <w:rPr>
          <w:rFonts w:ascii="Arial" w:hAnsi="Arial" w:cs="Arial"/>
          <w:sz w:val="20"/>
          <w:szCs w:val="20"/>
        </w:rPr>
        <w:tab/>
      </w:r>
      <w:r w:rsidRPr="000E38CA">
        <w:rPr>
          <w:rFonts w:ascii="Arial" w:hAnsi="Arial" w:cs="Arial"/>
          <w:sz w:val="20"/>
          <w:szCs w:val="20"/>
        </w:rPr>
        <w:tab/>
        <w:t>Technical Director</w:t>
      </w:r>
    </w:p>
    <w:bookmarkEnd w:id="3"/>
    <w:p w:rsidR="009F713B" w:rsidRDefault="009F713B" w:rsidP="003E17B1">
      <w:pPr>
        <w:spacing w:line="276" w:lineRule="auto"/>
        <w:jc w:val="both"/>
        <w:rPr>
          <w:rFonts w:ascii="Arial" w:hAnsi="Arial"/>
          <w:sz w:val="20"/>
          <w:lang w:val="en-AU"/>
        </w:rPr>
        <w:sectPr w:rsidR="009F713B" w:rsidSect="00A54007">
          <w:headerReference w:type="even" r:id="rId9"/>
          <w:headerReference w:type="default" r:id="rId10"/>
          <w:footerReference w:type="even" r:id="rId11"/>
          <w:footerReference w:type="default" r:id="rId12"/>
          <w:headerReference w:type="first" r:id="rId13"/>
          <w:footerReference w:type="first" r:id="rId14"/>
          <w:pgSz w:w="11901" w:h="16840"/>
          <w:pgMar w:top="2410" w:right="851" w:bottom="1560" w:left="2268" w:header="709" w:footer="661" w:gutter="0"/>
          <w:cols w:space="708"/>
          <w:titlePg/>
          <w:rtlGutter/>
          <w:docGrid w:linePitch="326"/>
        </w:sectPr>
      </w:pPr>
    </w:p>
    <w:p w:rsidR="00BD048B" w:rsidRDefault="00AF0CFF" w:rsidP="003E17B1">
      <w:pPr>
        <w:spacing w:line="276" w:lineRule="auto"/>
        <w:jc w:val="right"/>
        <w:rPr>
          <w:rFonts w:ascii="Arial" w:hAnsi="Arial"/>
          <w:b/>
          <w:sz w:val="20"/>
          <w:lang w:val="en-AU"/>
        </w:rPr>
      </w:pPr>
      <w:r w:rsidRPr="00D225DD">
        <w:rPr>
          <w:rFonts w:ascii="Arial" w:hAnsi="Arial"/>
          <w:b/>
          <w:sz w:val="20"/>
          <w:lang w:val="en-AU"/>
        </w:rPr>
        <w:lastRenderedPageBreak/>
        <w:t>ATTACHMENT</w:t>
      </w:r>
    </w:p>
    <w:p w:rsidR="00D225DD" w:rsidRPr="00D225DD" w:rsidRDefault="00D225DD" w:rsidP="003E17B1">
      <w:pPr>
        <w:spacing w:line="276" w:lineRule="auto"/>
        <w:jc w:val="right"/>
        <w:rPr>
          <w:rFonts w:ascii="Arial" w:hAnsi="Arial"/>
          <w:b/>
          <w:sz w:val="20"/>
          <w:lang w:val="en-AU"/>
        </w:rPr>
      </w:pPr>
    </w:p>
    <w:p w:rsidR="007D0B22" w:rsidRDefault="008B6F4A" w:rsidP="003E17B1">
      <w:pPr>
        <w:spacing w:line="276" w:lineRule="auto"/>
        <w:outlineLvl w:val="0"/>
        <w:rPr>
          <w:rFonts w:ascii="Arial" w:hAnsi="Arial"/>
          <w:b/>
          <w:sz w:val="20"/>
          <w:u w:val="single"/>
          <w:lang w:val="en-AU"/>
        </w:rPr>
      </w:pPr>
      <w:r>
        <w:rPr>
          <w:rFonts w:ascii="Arial" w:hAnsi="Arial"/>
          <w:b/>
          <w:sz w:val="20"/>
          <w:u w:val="single"/>
          <w:lang w:val="en-AU"/>
        </w:rPr>
        <w:t>Further c</w:t>
      </w:r>
      <w:r w:rsidR="00337287" w:rsidRPr="00337287">
        <w:rPr>
          <w:rFonts w:ascii="Arial" w:hAnsi="Arial"/>
          <w:b/>
          <w:sz w:val="20"/>
          <w:u w:val="single"/>
          <w:lang w:val="en-AU"/>
        </w:rPr>
        <w:t>onsultation with financial services industry</w:t>
      </w:r>
    </w:p>
    <w:p w:rsidR="00337287" w:rsidRDefault="00337287" w:rsidP="003E17B1">
      <w:pPr>
        <w:spacing w:line="276" w:lineRule="auto"/>
        <w:rPr>
          <w:rFonts w:ascii="Arial" w:hAnsi="Arial"/>
          <w:sz w:val="20"/>
          <w:lang w:val="en-AU"/>
        </w:rPr>
      </w:pPr>
    </w:p>
    <w:p w:rsidR="005D0230" w:rsidRDefault="008B6F4A" w:rsidP="003E17B1">
      <w:pPr>
        <w:spacing w:line="276" w:lineRule="auto"/>
        <w:jc w:val="both"/>
        <w:rPr>
          <w:rFonts w:ascii="Arial" w:hAnsi="Arial"/>
          <w:sz w:val="20"/>
          <w:lang w:val="en-AU"/>
        </w:rPr>
      </w:pPr>
      <w:r>
        <w:rPr>
          <w:rFonts w:ascii="Arial" w:hAnsi="Arial"/>
          <w:sz w:val="20"/>
          <w:lang w:val="en-AU"/>
        </w:rPr>
        <w:t xml:space="preserve">SPAA believes that further consultation on the proposed </w:t>
      </w:r>
      <w:r w:rsidR="005066CB">
        <w:rPr>
          <w:rFonts w:ascii="Arial" w:hAnsi="Arial"/>
          <w:sz w:val="20"/>
          <w:lang w:val="en-AU"/>
        </w:rPr>
        <w:t>amendments should be undertaken with the financial services industry.  The industry was able to consult on the discussion p</w:t>
      </w:r>
      <w:r w:rsidR="00DD15EE">
        <w:rPr>
          <w:rFonts w:ascii="Arial" w:hAnsi="Arial"/>
          <w:sz w:val="20"/>
          <w:lang w:val="en-AU"/>
        </w:rPr>
        <w:t xml:space="preserve">aper which broadly outlined how financial </w:t>
      </w:r>
      <w:r w:rsidR="00670ACA">
        <w:rPr>
          <w:rFonts w:ascii="Arial" w:hAnsi="Arial"/>
          <w:sz w:val="20"/>
          <w:lang w:val="en-AU"/>
        </w:rPr>
        <w:t>adviser</w:t>
      </w:r>
      <w:r w:rsidR="00DD15EE">
        <w:rPr>
          <w:rFonts w:ascii="Arial" w:hAnsi="Arial"/>
          <w:sz w:val="20"/>
          <w:lang w:val="en-AU"/>
        </w:rPr>
        <w:t xml:space="preserve">s providing tax advice would be brought into the TASA regime in late 2010 and early 2012, but there </w:t>
      </w:r>
      <w:r w:rsidR="005D0230">
        <w:rPr>
          <w:rFonts w:ascii="Arial" w:hAnsi="Arial"/>
          <w:sz w:val="20"/>
          <w:lang w:val="en-AU"/>
        </w:rPr>
        <w:t>has</w:t>
      </w:r>
      <w:r w:rsidR="00DD15EE">
        <w:rPr>
          <w:rFonts w:ascii="Arial" w:hAnsi="Arial"/>
          <w:sz w:val="20"/>
          <w:lang w:val="en-AU"/>
        </w:rPr>
        <w:t xml:space="preserve"> been no substantial consultation on the legislative details which </w:t>
      </w:r>
      <w:r w:rsidR="005D0230">
        <w:rPr>
          <w:rFonts w:ascii="Arial" w:hAnsi="Arial"/>
          <w:sz w:val="20"/>
          <w:lang w:val="en-AU"/>
        </w:rPr>
        <w:t xml:space="preserve">make up </w:t>
      </w:r>
      <w:r w:rsidR="00DD15EE">
        <w:rPr>
          <w:rFonts w:ascii="Arial" w:hAnsi="Arial"/>
          <w:sz w:val="20"/>
          <w:lang w:val="en-AU"/>
        </w:rPr>
        <w:t xml:space="preserve">the proposed </w:t>
      </w:r>
      <w:r w:rsidR="005D0230">
        <w:rPr>
          <w:rFonts w:ascii="Arial" w:hAnsi="Arial"/>
          <w:sz w:val="20"/>
          <w:lang w:val="en-AU"/>
        </w:rPr>
        <w:t>amendments</w:t>
      </w:r>
      <w:r w:rsidR="00DD15EE">
        <w:rPr>
          <w:rFonts w:ascii="Arial" w:hAnsi="Arial"/>
          <w:sz w:val="20"/>
          <w:lang w:val="en-AU"/>
        </w:rPr>
        <w:t>.</w:t>
      </w:r>
      <w:r w:rsidR="005D0230">
        <w:rPr>
          <w:rFonts w:ascii="Arial" w:hAnsi="Arial"/>
          <w:sz w:val="20"/>
          <w:lang w:val="en-AU"/>
        </w:rPr>
        <w:t xml:space="preserve">  The current exposure draft </w:t>
      </w:r>
      <w:r w:rsidR="000463BE">
        <w:rPr>
          <w:rFonts w:ascii="Arial" w:hAnsi="Arial"/>
          <w:sz w:val="20"/>
          <w:lang w:val="en-AU"/>
        </w:rPr>
        <w:t xml:space="preserve">has some significant issues which could detrimentally </w:t>
      </w:r>
      <w:r w:rsidR="00A92380">
        <w:rPr>
          <w:rFonts w:ascii="Arial" w:hAnsi="Arial"/>
          <w:sz w:val="20"/>
          <w:lang w:val="en-AU"/>
        </w:rPr>
        <w:t>affect the financial planning industry and consumers of financial advice.</w:t>
      </w:r>
    </w:p>
    <w:p w:rsidR="005D0230" w:rsidRDefault="005D0230" w:rsidP="003E17B1">
      <w:pPr>
        <w:spacing w:line="276" w:lineRule="auto"/>
        <w:jc w:val="both"/>
        <w:rPr>
          <w:rFonts w:ascii="Arial" w:hAnsi="Arial"/>
          <w:sz w:val="20"/>
          <w:lang w:val="en-AU"/>
        </w:rPr>
      </w:pPr>
    </w:p>
    <w:p w:rsidR="00337287" w:rsidRDefault="005D0230" w:rsidP="003E17B1">
      <w:pPr>
        <w:spacing w:line="276" w:lineRule="auto"/>
        <w:jc w:val="both"/>
        <w:rPr>
          <w:rFonts w:ascii="Arial" w:hAnsi="Arial"/>
          <w:sz w:val="20"/>
          <w:lang w:val="en-AU"/>
        </w:rPr>
      </w:pPr>
      <w:r>
        <w:rPr>
          <w:rFonts w:ascii="Arial" w:hAnsi="Arial"/>
          <w:sz w:val="20"/>
          <w:lang w:val="en-AU"/>
        </w:rPr>
        <w:t xml:space="preserve">We believe extended consultation on the legislation is required to ensure that the integration of financial </w:t>
      </w:r>
      <w:r w:rsidR="00670ACA">
        <w:rPr>
          <w:rFonts w:ascii="Arial" w:hAnsi="Arial"/>
          <w:sz w:val="20"/>
          <w:lang w:val="en-AU"/>
        </w:rPr>
        <w:t>adviser</w:t>
      </w:r>
      <w:r>
        <w:rPr>
          <w:rFonts w:ascii="Arial" w:hAnsi="Arial"/>
          <w:sz w:val="20"/>
          <w:lang w:val="en-AU"/>
        </w:rPr>
        <w:t>s into the TASA regime is effective and efficient.</w:t>
      </w:r>
    </w:p>
    <w:p w:rsidR="005066CB" w:rsidRDefault="005066CB" w:rsidP="003E17B1">
      <w:pPr>
        <w:spacing w:line="276" w:lineRule="auto"/>
        <w:jc w:val="both"/>
        <w:rPr>
          <w:rFonts w:ascii="Arial" w:hAnsi="Arial"/>
          <w:sz w:val="20"/>
          <w:lang w:val="en-AU"/>
        </w:rPr>
      </w:pPr>
    </w:p>
    <w:p w:rsidR="005066CB" w:rsidRDefault="005066CB" w:rsidP="003E17B1">
      <w:pPr>
        <w:spacing w:line="276" w:lineRule="auto"/>
        <w:jc w:val="both"/>
        <w:rPr>
          <w:rFonts w:ascii="Arial" w:hAnsi="Arial"/>
          <w:sz w:val="20"/>
          <w:lang w:val="en-AU"/>
        </w:rPr>
      </w:pPr>
      <w:r>
        <w:rPr>
          <w:rFonts w:ascii="Arial" w:hAnsi="Arial"/>
          <w:sz w:val="20"/>
          <w:lang w:val="en-AU"/>
        </w:rPr>
        <w:t xml:space="preserve">We suggest that the proposed start date of 1 July 2016 for full integration of financial </w:t>
      </w:r>
      <w:r w:rsidR="00670ACA">
        <w:rPr>
          <w:rFonts w:ascii="Arial" w:hAnsi="Arial"/>
          <w:sz w:val="20"/>
          <w:lang w:val="en-AU"/>
        </w:rPr>
        <w:t>adviser</w:t>
      </w:r>
      <w:r>
        <w:rPr>
          <w:rFonts w:ascii="Arial" w:hAnsi="Arial"/>
          <w:sz w:val="20"/>
          <w:lang w:val="en-AU"/>
        </w:rPr>
        <w:t>s into the TASA regime need not be changed.  However, the 18 month transitional period proposed to begin on 1 July 2013 could be moved back six months to 1 January 2014 to allow for further consultation on the proposed amendments.  Such a delay would need to be accompanied by an extension of the</w:t>
      </w:r>
      <w:r w:rsidR="008A51F4">
        <w:rPr>
          <w:rFonts w:ascii="Arial" w:hAnsi="Arial"/>
          <w:sz w:val="20"/>
          <w:lang w:val="en-AU"/>
        </w:rPr>
        <w:t xml:space="preserve"> TASA</w:t>
      </w:r>
      <w:r w:rsidR="000704EF">
        <w:rPr>
          <w:rFonts w:ascii="Arial" w:hAnsi="Arial"/>
          <w:sz w:val="20"/>
          <w:lang w:val="en-AU"/>
        </w:rPr>
        <w:t xml:space="preserve"> exemption</w:t>
      </w:r>
      <w:r w:rsidR="008A51F4">
        <w:rPr>
          <w:rFonts w:ascii="Arial" w:hAnsi="Arial"/>
          <w:sz w:val="20"/>
          <w:lang w:val="en-AU"/>
        </w:rPr>
        <w:t xml:space="preserve"> applying to financial </w:t>
      </w:r>
      <w:r w:rsidR="00670ACA">
        <w:rPr>
          <w:rFonts w:ascii="Arial" w:hAnsi="Arial"/>
          <w:sz w:val="20"/>
          <w:lang w:val="en-AU"/>
        </w:rPr>
        <w:t>adviser</w:t>
      </w:r>
      <w:r w:rsidR="008A51F4">
        <w:rPr>
          <w:rFonts w:ascii="Arial" w:hAnsi="Arial"/>
          <w:sz w:val="20"/>
          <w:lang w:val="en-AU"/>
        </w:rPr>
        <w:t xml:space="preserve">s </w:t>
      </w:r>
      <w:r w:rsidR="000704EF">
        <w:rPr>
          <w:rFonts w:ascii="Arial" w:hAnsi="Arial"/>
          <w:sz w:val="20"/>
          <w:lang w:val="en-AU"/>
        </w:rPr>
        <w:t>for a corresponding length of time</w:t>
      </w:r>
      <w:r w:rsidR="004B7065">
        <w:rPr>
          <w:rFonts w:ascii="Arial" w:hAnsi="Arial"/>
          <w:sz w:val="20"/>
          <w:lang w:val="en-AU"/>
        </w:rPr>
        <w:t>.</w:t>
      </w:r>
    </w:p>
    <w:p w:rsidR="008B6F4A" w:rsidRDefault="008B6F4A" w:rsidP="003E17B1">
      <w:pPr>
        <w:spacing w:line="276" w:lineRule="auto"/>
        <w:jc w:val="both"/>
        <w:rPr>
          <w:rFonts w:ascii="Arial" w:hAnsi="Arial"/>
          <w:sz w:val="20"/>
          <w:lang w:val="en-AU"/>
        </w:rPr>
      </w:pPr>
    </w:p>
    <w:p w:rsidR="00401E92" w:rsidRDefault="00401E92" w:rsidP="003E17B1">
      <w:pPr>
        <w:spacing w:line="276" w:lineRule="auto"/>
        <w:jc w:val="both"/>
        <w:outlineLvl w:val="0"/>
        <w:rPr>
          <w:rFonts w:ascii="Arial" w:hAnsi="Arial"/>
          <w:b/>
          <w:bCs/>
          <w:sz w:val="20"/>
          <w:u w:val="single"/>
          <w:lang w:val="en-AU"/>
        </w:rPr>
      </w:pPr>
      <w:r w:rsidRPr="008A51F4">
        <w:rPr>
          <w:rFonts w:ascii="Arial" w:hAnsi="Arial"/>
          <w:b/>
          <w:sz w:val="20"/>
          <w:u w:val="single"/>
          <w:lang w:val="en-AU"/>
        </w:rPr>
        <w:t xml:space="preserve">Definition of </w:t>
      </w:r>
      <w:r w:rsidRPr="008A51F4">
        <w:rPr>
          <w:rFonts w:ascii="Arial" w:hAnsi="Arial"/>
          <w:b/>
          <w:bCs/>
          <w:sz w:val="20"/>
          <w:u w:val="single"/>
          <w:lang w:val="en-AU"/>
        </w:rPr>
        <w:t>tax advice (financial product) services</w:t>
      </w:r>
    </w:p>
    <w:p w:rsidR="00401E92" w:rsidRDefault="00401E92" w:rsidP="003E17B1">
      <w:pPr>
        <w:spacing w:line="276" w:lineRule="auto"/>
        <w:jc w:val="both"/>
        <w:rPr>
          <w:rFonts w:ascii="Arial" w:hAnsi="Arial"/>
          <w:b/>
          <w:sz w:val="20"/>
          <w:u w:val="single"/>
          <w:lang w:val="en-AU"/>
        </w:rPr>
      </w:pPr>
    </w:p>
    <w:p w:rsidR="00095C07" w:rsidRDefault="00E7549F" w:rsidP="003E17B1">
      <w:pPr>
        <w:spacing w:line="276" w:lineRule="auto"/>
        <w:jc w:val="both"/>
        <w:outlineLvl w:val="0"/>
        <w:rPr>
          <w:rFonts w:ascii="Arial" w:hAnsi="Arial"/>
          <w:sz w:val="20"/>
          <w:lang w:val="en-AU"/>
        </w:rPr>
      </w:pPr>
      <w:r>
        <w:rPr>
          <w:rFonts w:ascii="Arial" w:hAnsi="Arial"/>
          <w:sz w:val="20"/>
          <w:lang w:val="en-AU"/>
        </w:rPr>
        <w:t>SPAA believes that the definition of “</w:t>
      </w:r>
      <w:bookmarkStart w:id="4" w:name="OLE_LINK5"/>
      <w:r w:rsidRPr="00E7549F">
        <w:rPr>
          <w:rFonts w:ascii="Arial" w:hAnsi="Arial"/>
          <w:sz w:val="20"/>
          <w:lang w:val="en-AU"/>
        </w:rPr>
        <w:t>tax advice (financial product) services</w:t>
      </w:r>
      <w:bookmarkEnd w:id="4"/>
      <w:r>
        <w:rPr>
          <w:rFonts w:ascii="Arial" w:hAnsi="Arial"/>
          <w:sz w:val="20"/>
          <w:lang w:val="en-AU"/>
        </w:rPr>
        <w:t>” needs clarification</w:t>
      </w:r>
      <w:r w:rsidR="00095C07">
        <w:rPr>
          <w:rFonts w:ascii="Arial" w:hAnsi="Arial"/>
          <w:sz w:val="20"/>
          <w:lang w:val="en-AU"/>
        </w:rPr>
        <w:t xml:space="preserve"> so that it covers advice that should appropriately be only provided by a </w:t>
      </w:r>
      <w:r w:rsidR="00095C07" w:rsidRPr="00095C07">
        <w:rPr>
          <w:rFonts w:ascii="Arial" w:hAnsi="Arial"/>
          <w:sz w:val="20"/>
          <w:lang w:val="en-AU"/>
        </w:rPr>
        <w:t>registered tax (financial product) adviser</w:t>
      </w:r>
      <w:r w:rsidR="00095C07">
        <w:rPr>
          <w:rFonts w:ascii="Arial" w:hAnsi="Arial"/>
          <w:sz w:val="20"/>
          <w:lang w:val="en-AU"/>
        </w:rPr>
        <w:t xml:space="preserve">.  </w:t>
      </w:r>
    </w:p>
    <w:p w:rsidR="00095C07" w:rsidRDefault="00095C07" w:rsidP="003E17B1">
      <w:pPr>
        <w:spacing w:line="276" w:lineRule="auto"/>
        <w:jc w:val="both"/>
        <w:outlineLvl w:val="0"/>
        <w:rPr>
          <w:rFonts w:ascii="Arial" w:hAnsi="Arial"/>
          <w:sz w:val="20"/>
          <w:lang w:val="en-AU"/>
        </w:rPr>
      </w:pPr>
    </w:p>
    <w:p w:rsidR="00144914" w:rsidRDefault="00095C07" w:rsidP="003E17B1">
      <w:pPr>
        <w:spacing w:line="276" w:lineRule="auto"/>
        <w:jc w:val="both"/>
        <w:outlineLvl w:val="0"/>
        <w:rPr>
          <w:rFonts w:ascii="Arial" w:hAnsi="Arial"/>
          <w:sz w:val="20"/>
          <w:lang w:val="en-AU"/>
        </w:rPr>
      </w:pPr>
      <w:r>
        <w:rPr>
          <w:rFonts w:ascii="Arial" w:hAnsi="Arial"/>
          <w:sz w:val="20"/>
          <w:lang w:val="en-AU"/>
        </w:rPr>
        <w:t>We believe that g</w:t>
      </w:r>
      <w:r w:rsidR="00C170A8">
        <w:rPr>
          <w:rFonts w:ascii="Arial" w:hAnsi="Arial"/>
          <w:sz w:val="20"/>
          <w:lang w:val="en-AU"/>
        </w:rPr>
        <w:t>eneral</w:t>
      </w:r>
      <w:r>
        <w:rPr>
          <w:rFonts w:ascii="Arial" w:hAnsi="Arial"/>
          <w:sz w:val="20"/>
          <w:lang w:val="en-AU"/>
        </w:rPr>
        <w:t xml:space="preserve"> tax advice relating to financial products should not fall within the definition of tax advice (financial product) services</w:t>
      </w:r>
      <w:r w:rsidR="009F7D9D">
        <w:rPr>
          <w:rFonts w:ascii="Arial" w:hAnsi="Arial"/>
          <w:sz w:val="20"/>
          <w:lang w:val="en-AU"/>
        </w:rPr>
        <w:t>.</w:t>
      </w:r>
      <w:r w:rsidR="00C170A8">
        <w:rPr>
          <w:rFonts w:ascii="Arial" w:hAnsi="Arial"/>
          <w:sz w:val="20"/>
          <w:lang w:val="en-AU"/>
        </w:rPr>
        <w:t xml:space="preserve"> </w:t>
      </w:r>
      <w:r w:rsidR="009F7D9D">
        <w:rPr>
          <w:rFonts w:ascii="Arial" w:hAnsi="Arial"/>
          <w:sz w:val="20"/>
          <w:lang w:val="en-AU"/>
        </w:rPr>
        <w:t xml:space="preserve"> For example, general information on the tax outcomes of holding equity investments such as general factual information about dividend imputation and capital gains tax should not be considered a tax advice (financial product) service.  However, such general information, often provided via a financial planner through a brochure or online webpage, may be relied upon by a taxpayer.  This element of reliance would cause the provision of general information to fall within the proposed definition of tax advice (financial product) service.</w:t>
      </w:r>
    </w:p>
    <w:p w:rsidR="00563357" w:rsidRDefault="00563357" w:rsidP="003E17B1">
      <w:pPr>
        <w:spacing w:line="276" w:lineRule="auto"/>
        <w:jc w:val="both"/>
        <w:outlineLvl w:val="0"/>
        <w:rPr>
          <w:rFonts w:ascii="Arial" w:hAnsi="Arial"/>
          <w:sz w:val="20"/>
          <w:lang w:val="en-AU"/>
        </w:rPr>
      </w:pPr>
    </w:p>
    <w:p w:rsidR="00110FE9" w:rsidRDefault="00144914" w:rsidP="003E17B1">
      <w:pPr>
        <w:spacing w:line="276" w:lineRule="auto"/>
        <w:jc w:val="both"/>
        <w:outlineLvl w:val="0"/>
        <w:rPr>
          <w:rFonts w:ascii="Arial" w:hAnsi="Arial"/>
          <w:sz w:val="20"/>
          <w:lang w:val="en-AU"/>
        </w:rPr>
      </w:pPr>
      <w:r>
        <w:rPr>
          <w:rFonts w:ascii="Arial" w:hAnsi="Arial"/>
          <w:sz w:val="20"/>
          <w:lang w:val="en-AU"/>
        </w:rPr>
        <w:t>We believe that the definition of tax advice (financial product) service should be narrowed</w:t>
      </w:r>
      <w:r w:rsidR="00110FE9">
        <w:rPr>
          <w:rFonts w:ascii="Arial" w:hAnsi="Arial"/>
          <w:sz w:val="20"/>
          <w:lang w:val="en-AU"/>
        </w:rPr>
        <w:t xml:space="preserve"> so that it only applies to advice for a specific client, not general information provided by a financial planner to the public.  This would ensure that general tax advice would not fall within the scope of the type of advice that should only be provided by a </w:t>
      </w:r>
      <w:r w:rsidR="00110FE9" w:rsidRPr="00095C07">
        <w:rPr>
          <w:rFonts w:ascii="Arial" w:hAnsi="Arial"/>
          <w:sz w:val="20"/>
          <w:lang w:val="en-AU"/>
        </w:rPr>
        <w:t>registered tax (financial product) adviser</w:t>
      </w:r>
      <w:r w:rsidR="00110FE9">
        <w:rPr>
          <w:rFonts w:ascii="Arial" w:hAnsi="Arial"/>
          <w:sz w:val="20"/>
          <w:lang w:val="en-AU"/>
        </w:rPr>
        <w:t xml:space="preserve">.  </w:t>
      </w:r>
    </w:p>
    <w:p w:rsidR="00DB3008" w:rsidRDefault="00DB3008" w:rsidP="003E17B1">
      <w:pPr>
        <w:spacing w:line="276" w:lineRule="auto"/>
        <w:jc w:val="both"/>
        <w:rPr>
          <w:rFonts w:ascii="Arial" w:hAnsi="Arial"/>
          <w:b/>
          <w:sz w:val="20"/>
          <w:u w:val="single"/>
          <w:lang w:val="en-AU"/>
        </w:rPr>
      </w:pPr>
    </w:p>
    <w:p w:rsidR="00A92380" w:rsidRDefault="0022472B" w:rsidP="003E17B1">
      <w:pPr>
        <w:spacing w:line="276" w:lineRule="auto"/>
        <w:jc w:val="both"/>
        <w:rPr>
          <w:rFonts w:ascii="Arial" w:hAnsi="Arial"/>
          <w:b/>
          <w:sz w:val="20"/>
          <w:u w:val="single"/>
          <w:lang w:val="en-AU"/>
        </w:rPr>
      </w:pPr>
      <w:r w:rsidRPr="0022472B">
        <w:rPr>
          <w:rFonts w:ascii="Arial" w:hAnsi="Arial"/>
          <w:b/>
          <w:sz w:val="20"/>
          <w:u w:val="single"/>
          <w:lang w:val="en-AU"/>
        </w:rPr>
        <w:t>Integrating TASA registration for financial advisors with existing AFSL</w:t>
      </w:r>
      <w:r w:rsidR="00A01A52">
        <w:rPr>
          <w:rFonts w:ascii="Arial" w:hAnsi="Arial"/>
          <w:b/>
          <w:sz w:val="20"/>
          <w:u w:val="single"/>
          <w:lang w:val="en-AU"/>
        </w:rPr>
        <w:t xml:space="preserve"> and legislative </w:t>
      </w:r>
      <w:r w:rsidRPr="0022472B">
        <w:rPr>
          <w:rFonts w:ascii="Arial" w:hAnsi="Arial"/>
          <w:b/>
          <w:sz w:val="20"/>
          <w:u w:val="single"/>
          <w:lang w:val="en-AU"/>
        </w:rPr>
        <w:t>requirements</w:t>
      </w:r>
    </w:p>
    <w:p w:rsidR="0022472B" w:rsidRDefault="0022472B" w:rsidP="003E17B1">
      <w:pPr>
        <w:spacing w:line="276" w:lineRule="auto"/>
        <w:jc w:val="both"/>
        <w:rPr>
          <w:rFonts w:ascii="Arial" w:hAnsi="Arial"/>
          <w:b/>
          <w:sz w:val="20"/>
          <w:u w:val="single"/>
          <w:lang w:val="en-AU"/>
        </w:rPr>
      </w:pPr>
    </w:p>
    <w:p w:rsidR="0022472B" w:rsidRDefault="008A51F4" w:rsidP="003E17B1">
      <w:pPr>
        <w:spacing w:line="276" w:lineRule="auto"/>
        <w:jc w:val="both"/>
        <w:rPr>
          <w:rFonts w:ascii="Arial" w:hAnsi="Arial"/>
          <w:sz w:val="20"/>
          <w:lang w:val="en-AU"/>
        </w:rPr>
      </w:pPr>
      <w:r>
        <w:rPr>
          <w:rFonts w:ascii="Arial" w:hAnsi="Arial"/>
          <w:sz w:val="20"/>
          <w:lang w:val="en-AU"/>
        </w:rPr>
        <w:t xml:space="preserve">Financial </w:t>
      </w:r>
      <w:r w:rsidR="00670ACA">
        <w:rPr>
          <w:rFonts w:ascii="Arial" w:hAnsi="Arial"/>
          <w:sz w:val="20"/>
          <w:lang w:val="en-AU"/>
        </w:rPr>
        <w:t>adviser</w:t>
      </w:r>
      <w:r>
        <w:rPr>
          <w:rFonts w:ascii="Arial" w:hAnsi="Arial"/>
          <w:sz w:val="20"/>
          <w:lang w:val="en-AU"/>
        </w:rPr>
        <w:t>s that</w:t>
      </w:r>
      <w:r w:rsidR="000704EF">
        <w:rPr>
          <w:rFonts w:ascii="Arial" w:hAnsi="Arial"/>
          <w:sz w:val="20"/>
          <w:lang w:val="en-AU"/>
        </w:rPr>
        <w:t xml:space="preserve"> are</w:t>
      </w:r>
      <w:r>
        <w:rPr>
          <w:rFonts w:ascii="Arial" w:hAnsi="Arial"/>
          <w:sz w:val="20"/>
          <w:lang w:val="en-AU"/>
        </w:rPr>
        <w:t xml:space="preserve"> provid</w:t>
      </w:r>
      <w:r w:rsidR="000704EF">
        <w:rPr>
          <w:rFonts w:ascii="Arial" w:hAnsi="Arial"/>
          <w:sz w:val="20"/>
          <w:lang w:val="en-AU"/>
        </w:rPr>
        <w:t>ing</w:t>
      </w:r>
      <w:r>
        <w:rPr>
          <w:rFonts w:ascii="Arial" w:hAnsi="Arial"/>
          <w:sz w:val="20"/>
          <w:lang w:val="en-AU"/>
        </w:rPr>
        <w:t xml:space="preserve"> tax advice</w:t>
      </w:r>
      <w:r w:rsidR="004B7065">
        <w:rPr>
          <w:rFonts w:ascii="Arial" w:hAnsi="Arial"/>
          <w:sz w:val="20"/>
          <w:lang w:val="en-AU"/>
        </w:rPr>
        <w:t xml:space="preserve"> need to fulfil a range of licencing requirements under the Australian Financial Services Licence (AFSL)</w:t>
      </w:r>
      <w:r w:rsidR="008A3122">
        <w:rPr>
          <w:rFonts w:ascii="Arial" w:hAnsi="Arial"/>
          <w:sz w:val="20"/>
          <w:lang w:val="en-AU"/>
        </w:rPr>
        <w:t xml:space="preserve"> regime</w:t>
      </w:r>
      <w:r w:rsidR="005B2069">
        <w:rPr>
          <w:rFonts w:ascii="Arial" w:hAnsi="Arial"/>
          <w:sz w:val="20"/>
          <w:lang w:val="en-AU"/>
        </w:rPr>
        <w:t xml:space="preserve"> and meet statutory obligations in providing advice.</w:t>
      </w:r>
      <w:r w:rsidR="004B7065">
        <w:rPr>
          <w:rFonts w:ascii="Arial" w:hAnsi="Arial"/>
          <w:sz w:val="20"/>
          <w:lang w:val="en-AU"/>
        </w:rPr>
        <w:t xml:space="preserve">  The Australian Securities and Investments Commission (ASIC) </w:t>
      </w:r>
      <w:r w:rsidR="009F6EF0">
        <w:rPr>
          <w:rFonts w:ascii="Arial" w:hAnsi="Arial"/>
          <w:sz w:val="20"/>
          <w:lang w:val="en-AU"/>
        </w:rPr>
        <w:t>licence</w:t>
      </w:r>
      <w:r w:rsidR="004B7065">
        <w:rPr>
          <w:rFonts w:ascii="Arial" w:hAnsi="Arial"/>
          <w:sz w:val="20"/>
          <w:lang w:val="en-AU"/>
        </w:rPr>
        <w:t xml:space="preserve"> </w:t>
      </w:r>
      <w:r w:rsidR="00DE5F82">
        <w:rPr>
          <w:rFonts w:ascii="Arial" w:hAnsi="Arial"/>
          <w:sz w:val="20"/>
          <w:lang w:val="en-AU"/>
        </w:rPr>
        <w:t xml:space="preserve">and </w:t>
      </w:r>
      <w:r w:rsidR="009F6EF0">
        <w:rPr>
          <w:rFonts w:ascii="Arial" w:hAnsi="Arial"/>
          <w:sz w:val="20"/>
          <w:lang w:val="en-AU"/>
        </w:rPr>
        <w:t>regulate</w:t>
      </w:r>
      <w:r w:rsidR="00DE5F82">
        <w:rPr>
          <w:rFonts w:ascii="Arial" w:hAnsi="Arial"/>
          <w:sz w:val="20"/>
          <w:lang w:val="en-AU"/>
        </w:rPr>
        <w:t xml:space="preserve"> </w:t>
      </w:r>
      <w:r w:rsidR="004B7065">
        <w:rPr>
          <w:rFonts w:ascii="Arial" w:hAnsi="Arial"/>
          <w:sz w:val="20"/>
          <w:lang w:val="en-AU"/>
        </w:rPr>
        <w:t xml:space="preserve">financial </w:t>
      </w:r>
      <w:r w:rsidR="00DE5F82">
        <w:rPr>
          <w:rFonts w:ascii="Arial" w:hAnsi="Arial"/>
          <w:sz w:val="20"/>
          <w:lang w:val="en-AU"/>
        </w:rPr>
        <w:t xml:space="preserve">advisers through the AFSL regime.  </w:t>
      </w:r>
      <w:r w:rsidR="00A01A52">
        <w:rPr>
          <w:rFonts w:ascii="Arial" w:hAnsi="Arial"/>
          <w:sz w:val="20"/>
          <w:lang w:val="en-AU"/>
        </w:rPr>
        <w:t xml:space="preserve">Additionally, financial advisers are bound by </w:t>
      </w:r>
      <w:r w:rsidR="00A01A52">
        <w:rPr>
          <w:rFonts w:ascii="Arial" w:hAnsi="Arial"/>
          <w:sz w:val="20"/>
          <w:lang w:val="en-AU"/>
        </w:rPr>
        <w:lastRenderedPageBreak/>
        <w:t>the obligations of the Future of Financial Advice</w:t>
      </w:r>
      <w:r w:rsidR="008A3122">
        <w:rPr>
          <w:rFonts w:ascii="Arial" w:hAnsi="Arial"/>
          <w:sz w:val="20"/>
          <w:lang w:val="en-AU"/>
        </w:rPr>
        <w:t xml:space="preserve"> (FoFA)</w:t>
      </w:r>
      <w:r w:rsidR="00A01A52">
        <w:rPr>
          <w:rFonts w:ascii="Arial" w:hAnsi="Arial"/>
          <w:sz w:val="20"/>
          <w:lang w:val="en-AU"/>
        </w:rPr>
        <w:t xml:space="preserve"> reforms</w:t>
      </w:r>
      <w:r w:rsidR="00E64EBC">
        <w:rPr>
          <w:rFonts w:ascii="Arial" w:hAnsi="Arial"/>
          <w:sz w:val="20"/>
          <w:lang w:val="en-AU"/>
        </w:rPr>
        <w:t xml:space="preserve"> which provide retail investors </w:t>
      </w:r>
      <w:r w:rsidR="008A3122">
        <w:rPr>
          <w:rFonts w:ascii="Arial" w:hAnsi="Arial"/>
          <w:sz w:val="20"/>
          <w:lang w:val="en-AU"/>
        </w:rPr>
        <w:t>accessing</w:t>
      </w:r>
      <w:r w:rsidR="00E64EBC">
        <w:rPr>
          <w:rFonts w:ascii="Arial" w:hAnsi="Arial"/>
          <w:sz w:val="20"/>
          <w:lang w:val="en-AU"/>
        </w:rPr>
        <w:t xml:space="preserve"> financial advice </w:t>
      </w:r>
      <w:r w:rsidR="005B2069">
        <w:rPr>
          <w:rFonts w:ascii="Arial" w:hAnsi="Arial"/>
          <w:sz w:val="20"/>
          <w:lang w:val="en-AU"/>
        </w:rPr>
        <w:t>increased consumer</w:t>
      </w:r>
      <w:r w:rsidR="00E64EBC">
        <w:rPr>
          <w:rFonts w:ascii="Arial" w:hAnsi="Arial"/>
          <w:sz w:val="20"/>
          <w:lang w:val="en-AU"/>
        </w:rPr>
        <w:t xml:space="preserve"> protection</w:t>
      </w:r>
      <w:r w:rsidR="005B2069">
        <w:rPr>
          <w:rFonts w:ascii="Arial" w:hAnsi="Arial"/>
          <w:sz w:val="20"/>
          <w:lang w:val="en-AU"/>
        </w:rPr>
        <w:t xml:space="preserve">.  Including financial advisers providing </w:t>
      </w:r>
      <w:r w:rsidR="005B2069" w:rsidRPr="005B2069">
        <w:rPr>
          <w:rFonts w:ascii="Arial" w:hAnsi="Arial"/>
          <w:sz w:val="20"/>
          <w:lang w:val="en-AU"/>
        </w:rPr>
        <w:t>tax advice (financial product) services</w:t>
      </w:r>
      <w:r w:rsidR="005B2069">
        <w:rPr>
          <w:rFonts w:ascii="Arial" w:hAnsi="Arial"/>
          <w:sz w:val="20"/>
          <w:lang w:val="en-AU"/>
        </w:rPr>
        <w:t xml:space="preserve"> in the TASA regime introduces a third layer of regulation on financial advisers providing tax advice</w:t>
      </w:r>
      <w:r w:rsidR="008A3122">
        <w:rPr>
          <w:rFonts w:ascii="Arial" w:hAnsi="Arial"/>
          <w:sz w:val="20"/>
          <w:lang w:val="en-AU"/>
        </w:rPr>
        <w:t xml:space="preserve">.  </w:t>
      </w:r>
    </w:p>
    <w:p w:rsidR="004B7065" w:rsidRDefault="004B7065" w:rsidP="003E17B1">
      <w:pPr>
        <w:spacing w:line="276" w:lineRule="auto"/>
        <w:jc w:val="both"/>
        <w:rPr>
          <w:rFonts w:ascii="Arial" w:hAnsi="Arial"/>
          <w:sz w:val="20"/>
          <w:lang w:val="en-AU"/>
        </w:rPr>
      </w:pPr>
    </w:p>
    <w:p w:rsidR="008A51F4" w:rsidRDefault="008A3122" w:rsidP="003E17B1">
      <w:pPr>
        <w:spacing w:line="276" w:lineRule="auto"/>
        <w:jc w:val="both"/>
        <w:rPr>
          <w:rFonts w:ascii="Arial" w:hAnsi="Arial"/>
          <w:sz w:val="20"/>
          <w:lang w:val="en-AU"/>
        </w:rPr>
      </w:pPr>
      <w:r>
        <w:rPr>
          <w:rFonts w:ascii="Arial" w:hAnsi="Arial"/>
          <w:sz w:val="20"/>
          <w:lang w:val="en-AU"/>
        </w:rPr>
        <w:t xml:space="preserve">We believe that the existing requirements for financial advisers found under the </w:t>
      </w:r>
      <w:r w:rsidRPr="008A3122">
        <w:rPr>
          <w:rFonts w:ascii="Arial" w:hAnsi="Arial"/>
          <w:i/>
          <w:sz w:val="20"/>
          <w:lang w:val="en-AU"/>
        </w:rPr>
        <w:t>Corporations Act 2001</w:t>
      </w:r>
      <w:r w:rsidR="00906010">
        <w:rPr>
          <w:rFonts w:ascii="Arial" w:hAnsi="Arial"/>
          <w:sz w:val="20"/>
          <w:lang w:val="en-AU"/>
        </w:rPr>
        <w:t xml:space="preserve"> (Corporations Act)</w:t>
      </w:r>
      <w:r w:rsidR="001B7019">
        <w:rPr>
          <w:rFonts w:ascii="Arial" w:hAnsi="Arial"/>
          <w:sz w:val="20"/>
          <w:lang w:val="en-AU"/>
        </w:rPr>
        <w:t xml:space="preserve"> and the AFSL regime as well</w:t>
      </w:r>
      <w:r>
        <w:rPr>
          <w:rFonts w:ascii="Arial" w:hAnsi="Arial"/>
          <w:sz w:val="20"/>
          <w:lang w:val="en-AU"/>
        </w:rPr>
        <w:t xml:space="preserve"> as their obligations under FoFA should be integrated </w:t>
      </w:r>
      <w:r w:rsidR="00404582">
        <w:rPr>
          <w:rFonts w:ascii="Arial" w:hAnsi="Arial"/>
          <w:sz w:val="20"/>
          <w:lang w:val="en-AU"/>
        </w:rPr>
        <w:t xml:space="preserve">administratively as far as possible </w:t>
      </w:r>
      <w:r>
        <w:rPr>
          <w:rFonts w:ascii="Arial" w:hAnsi="Arial"/>
          <w:sz w:val="20"/>
          <w:lang w:val="en-AU"/>
        </w:rPr>
        <w:t xml:space="preserve">with their requirements under the TASA regime instead of having </w:t>
      </w:r>
      <w:r w:rsidR="00181304">
        <w:rPr>
          <w:rFonts w:ascii="Arial" w:hAnsi="Arial"/>
          <w:sz w:val="20"/>
          <w:lang w:val="en-AU"/>
        </w:rPr>
        <w:t>separate</w:t>
      </w:r>
      <w:r>
        <w:rPr>
          <w:rFonts w:ascii="Arial" w:hAnsi="Arial"/>
          <w:sz w:val="20"/>
          <w:lang w:val="en-AU"/>
        </w:rPr>
        <w:t xml:space="preserve"> requirements under the TASA regime</w:t>
      </w:r>
      <w:r w:rsidR="00690942">
        <w:rPr>
          <w:rFonts w:ascii="Arial" w:hAnsi="Arial"/>
          <w:sz w:val="20"/>
          <w:lang w:val="en-AU"/>
        </w:rPr>
        <w:t xml:space="preserve">. </w:t>
      </w:r>
      <w:r>
        <w:rPr>
          <w:rFonts w:ascii="Arial" w:hAnsi="Arial"/>
          <w:sz w:val="20"/>
          <w:lang w:val="en-AU"/>
        </w:rPr>
        <w:t xml:space="preserve"> </w:t>
      </w:r>
      <w:r w:rsidR="005D50E1">
        <w:rPr>
          <w:rFonts w:ascii="Arial" w:hAnsi="Arial"/>
          <w:sz w:val="20"/>
          <w:lang w:val="en-AU"/>
        </w:rPr>
        <w:t xml:space="preserve">Such integration would work as the proposed changes to the </w:t>
      </w:r>
      <w:r w:rsidR="005D50E1" w:rsidRPr="007D68BC">
        <w:rPr>
          <w:rFonts w:ascii="Arial" w:hAnsi="Arial"/>
          <w:i/>
          <w:sz w:val="20"/>
          <w:lang w:val="en-GB"/>
        </w:rPr>
        <w:t xml:space="preserve">Tax Agent Services </w:t>
      </w:r>
      <w:r w:rsidR="005D50E1">
        <w:rPr>
          <w:rFonts w:ascii="Arial" w:hAnsi="Arial"/>
          <w:i/>
          <w:sz w:val="20"/>
          <w:lang w:val="en-GB"/>
        </w:rPr>
        <w:t>Regulations</w:t>
      </w:r>
      <w:r w:rsidR="005D50E1" w:rsidRPr="007D68BC">
        <w:rPr>
          <w:rFonts w:ascii="Arial" w:hAnsi="Arial"/>
          <w:i/>
          <w:sz w:val="20"/>
          <w:lang w:val="en-GB"/>
        </w:rPr>
        <w:t xml:space="preserve"> 2009</w:t>
      </w:r>
      <w:r w:rsidR="005D50E1">
        <w:rPr>
          <w:rFonts w:ascii="Arial" w:hAnsi="Arial"/>
          <w:sz w:val="20"/>
          <w:lang w:val="en-GB"/>
        </w:rPr>
        <w:t xml:space="preserve"> (TASR) will require financial advisers registering under the TASA regime to be either an AFSL licensee of AFSL licensee authorised representative.  </w:t>
      </w:r>
      <w:r>
        <w:rPr>
          <w:rFonts w:ascii="Arial" w:hAnsi="Arial"/>
          <w:sz w:val="20"/>
          <w:lang w:val="en-AU"/>
        </w:rPr>
        <w:t>This</w:t>
      </w:r>
      <w:r w:rsidR="005D50E1">
        <w:rPr>
          <w:rFonts w:ascii="Arial" w:hAnsi="Arial"/>
          <w:sz w:val="20"/>
          <w:lang w:val="en-AU"/>
        </w:rPr>
        <w:t xml:space="preserve"> integration</w:t>
      </w:r>
      <w:r w:rsidR="00A00D9E">
        <w:rPr>
          <w:rFonts w:ascii="Arial" w:hAnsi="Arial"/>
          <w:sz w:val="20"/>
          <w:lang w:val="en-AU"/>
        </w:rPr>
        <w:t xml:space="preserve"> approach </w:t>
      </w:r>
      <w:r>
        <w:rPr>
          <w:rFonts w:ascii="Arial" w:hAnsi="Arial"/>
          <w:sz w:val="20"/>
          <w:lang w:val="en-AU"/>
        </w:rPr>
        <w:t>would minimise compliance costs for financial advisers and reduce the legislative burden that they will face.</w:t>
      </w:r>
    </w:p>
    <w:p w:rsidR="0024507B" w:rsidRDefault="0024507B" w:rsidP="003E17B1">
      <w:pPr>
        <w:spacing w:line="276" w:lineRule="auto"/>
        <w:jc w:val="both"/>
        <w:rPr>
          <w:rFonts w:ascii="Arial" w:hAnsi="Arial"/>
          <w:sz w:val="20"/>
          <w:lang w:val="en-AU"/>
        </w:rPr>
      </w:pPr>
    </w:p>
    <w:p w:rsidR="0024507B" w:rsidRPr="0024507B" w:rsidRDefault="0024507B" w:rsidP="003E17B1">
      <w:pPr>
        <w:spacing w:line="276" w:lineRule="auto"/>
        <w:jc w:val="both"/>
        <w:rPr>
          <w:rFonts w:ascii="Arial" w:hAnsi="Arial"/>
          <w:sz w:val="20"/>
          <w:lang w:val="en-AU"/>
        </w:rPr>
      </w:pPr>
      <w:r w:rsidRPr="0024507B">
        <w:rPr>
          <w:rFonts w:ascii="Arial" w:hAnsi="Arial"/>
          <w:sz w:val="20"/>
          <w:lang w:val="en-AU"/>
        </w:rPr>
        <w:t xml:space="preserve">This approach would especially be important for the professional indemnity (PI) insurance requirements for financial advisers becoming part of the TASA regime.  Having to seek separate PI insurance to satisfy TASA regime registration requirements would impose a significant cost on advisers who are already required to obtain PI insurance as a condition of holding an AFSL or being an authorised representative.   </w:t>
      </w:r>
    </w:p>
    <w:p w:rsidR="00A85A46" w:rsidRDefault="00A85A46" w:rsidP="003E17B1">
      <w:pPr>
        <w:spacing w:line="276" w:lineRule="auto"/>
        <w:jc w:val="both"/>
        <w:rPr>
          <w:rFonts w:ascii="Arial" w:hAnsi="Arial"/>
          <w:sz w:val="20"/>
          <w:lang w:val="en-AU"/>
        </w:rPr>
      </w:pPr>
    </w:p>
    <w:p w:rsidR="007D68BC" w:rsidRDefault="007D68BC" w:rsidP="003E17B1">
      <w:pPr>
        <w:spacing w:line="276" w:lineRule="auto"/>
        <w:jc w:val="both"/>
        <w:rPr>
          <w:rFonts w:ascii="Arial" w:hAnsi="Arial"/>
          <w:sz w:val="20"/>
          <w:lang w:val="en-AU"/>
        </w:rPr>
      </w:pPr>
      <w:r>
        <w:rPr>
          <w:rFonts w:ascii="Arial" w:hAnsi="Arial"/>
          <w:sz w:val="20"/>
          <w:lang w:val="en-AU"/>
        </w:rPr>
        <w:t xml:space="preserve">The </w:t>
      </w:r>
      <w:r w:rsidR="00A85A46">
        <w:rPr>
          <w:rFonts w:ascii="Arial" w:hAnsi="Arial"/>
          <w:sz w:val="20"/>
          <w:lang w:val="en-AU"/>
        </w:rPr>
        <w:t xml:space="preserve">draft legislation proposes that </w:t>
      </w:r>
      <w:r>
        <w:rPr>
          <w:rFonts w:ascii="Arial" w:hAnsi="Arial"/>
          <w:sz w:val="20"/>
          <w:lang w:val="en-AU"/>
        </w:rPr>
        <w:t xml:space="preserve">financial advisers providing </w:t>
      </w:r>
      <w:r w:rsidRPr="005B2069">
        <w:rPr>
          <w:rFonts w:ascii="Arial" w:hAnsi="Arial"/>
          <w:sz w:val="20"/>
          <w:lang w:val="en-AU"/>
        </w:rPr>
        <w:t>tax advice (financial product) services</w:t>
      </w:r>
      <w:r>
        <w:rPr>
          <w:rFonts w:ascii="Arial" w:hAnsi="Arial"/>
          <w:sz w:val="20"/>
          <w:lang w:val="en-AU"/>
        </w:rPr>
        <w:t xml:space="preserve"> meet the necessary requirements of the TASA and the </w:t>
      </w:r>
      <w:r w:rsidR="005D50E1">
        <w:rPr>
          <w:rFonts w:ascii="Arial" w:hAnsi="Arial"/>
          <w:sz w:val="20"/>
          <w:lang w:val="en-GB"/>
        </w:rPr>
        <w:t>TASR</w:t>
      </w:r>
      <w:r w:rsidR="001B7019">
        <w:rPr>
          <w:rFonts w:ascii="Arial" w:hAnsi="Arial"/>
          <w:sz w:val="20"/>
          <w:lang w:val="en-GB"/>
        </w:rPr>
        <w:t>.</w:t>
      </w:r>
      <w:r w:rsidR="000E39A4">
        <w:rPr>
          <w:rFonts w:ascii="Arial" w:hAnsi="Arial"/>
          <w:sz w:val="20"/>
          <w:lang w:val="en-GB"/>
        </w:rPr>
        <w:t xml:space="preserve">  The following table shows where financial </w:t>
      </w:r>
      <w:r w:rsidR="00DC0E42">
        <w:rPr>
          <w:rFonts w:ascii="Arial" w:hAnsi="Arial"/>
          <w:sz w:val="20"/>
          <w:lang w:val="en-GB"/>
        </w:rPr>
        <w:t>adviser</w:t>
      </w:r>
      <w:r w:rsidR="000E39A4">
        <w:rPr>
          <w:rFonts w:ascii="Arial" w:hAnsi="Arial"/>
          <w:sz w:val="20"/>
          <w:lang w:val="en-GB"/>
        </w:rPr>
        <w:t xml:space="preserve">s have similar obligations under the AFSL regime and </w:t>
      </w:r>
      <w:r w:rsidR="001B7019">
        <w:rPr>
          <w:rFonts w:ascii="Arial" w:hAnsi="Arial"/>
          <w:sz w:val="20"/>
          <w:lang w:val="en-GB"/>
        </w:rPr>
        <w:t xml:space="preserve">FoFA reforms which </w:t>
      </w:r>
      <w:r w:rsidR="000E39A4">
        <w:rPr>
          <w:rFonts w:ascii="Arial" w:hAnsi="Arial"/>
          <w:sz w:val="20"/>
          <w:lang w:val="en-GB"/>
        </w:rPr>
        <w:t xml:space="preserve">could satisfy the requirements for </w:t>
      </w:r>
      <w:r w:rsidR="000E39A4">
        <w:rPr>
          <w:rFonts w:ascii="Arial" w:hAnsi="Arial"/>
          <w:sz w:val="20"/>
          <w:lang w:val="en-AU"/>
        </w:rPr>
        <w:t xml:space="preserve">providing </w:t>
      </w:r>
      <w:r w:rsidR="000E39A4" w:rsidRPr="005B2069">
        <w:rPr>
          <w:rFonts w:ascii="Arial" w:hAnsi="Arial"/>
          <w:sz w:val="20"/>
          <w:lang w:val="en-AU"/>
        </w:rPr>
        <w:t>tax advice (financial product) services</w:t>
      </w:r>
      <w:r w:rsidR="000E39A4">
        <w:rPr>
          <w:rFonts w:ascii="Arial" w:hAnsi="Arial"/>
          <w:sz w:val="20"/>
          <w:lang w:val="en-AU"/>
        </w:rPr>
        <w:t>.</w:t>
      </w:r>
    </w:p>
    <w:p w:rsidR="00553E7E" w:rsidRDefault="00553E7E" w:rsidP="003E17B1">
      <w:pPr>
        <w:spacing w:line="276" w:lineRule="auto"/>
        <w:jc w:val="both"/>
        <w:rPr>
          <w:rFonts w:ascii="Arial" w:hAnsi="Arial"/>
          <w:sz w:val="20"/>
          <w:lang w:val="en-AU"/>
        </w:rPr>
      </w:pPr>
    </w:p>
    <w:tbl>
      <w:tblPr>
        <w:tblStyle w:val="TableGrid"/>
        <w:tblW w:w="0" w:type="auto"/>
        <w:tblLook w:val="04A0" w:firstRow="1" w:lastRow="0" w:firstColumn="1" w:lastColumn="0" w:noHBand="0" w:noVBand="1"/>
      </w:tblPr>
      <w:tblGrid>
        <w:gridCol w:w="3652"/>
        <w:gridCol w:w="5346"/>
      </w:tblGrid>
      <w:tr w:rsidR="00906010" w:rsidTr="00612787">
        <w:trPr>
          <w:trHeight w:val="416"/>
          <w:tblHeader/>
        </w:trPr>
        <w:tc>
          <w:tcPr>
            <w:tcW w:w="3652" w:type="dxa"/>
            <w:vAlign w:val="center"/>
          </w:tcPr>
          <w:p w:rsidR="000E39A4" w:rsidRPr="00846D8E" w:rsidRDefault="000E39A4" w:rsidP="003E17B1">
            <w:pPr>
              <w:spacing w:line="276" w:lineRule="auto"/>
              <w:rPr>
                <w:rFonts w:ascii="Arial" w:hAnsi="Arial"/>
                <w:b/>
                <w:sz w:val="20"/>
                <w:lang w:val="en-AU"/>
              </w:rPr>
            </w:pPr>
            <w:r w:rsidRPr="00846D8E">
              <w:rPr>
                <w:rFonts w:ascii="Arial" w:hAnsi="Arial"/>
                <w:b/>
                <w:sz w:val="20"/>
                <w:lang w:val="en-AU"/>
              </w:rPr>
              <w:t>TASA Regime Requirement</w:t>
            </w:r>
          </w:p>
        </w:tc>
        <w:tc>
          <w:tcPr>
            <w:tcW w:w="5346" w:type="dxa"/>
            <w:vAlign w:val="center"/>
          </w:tcPr>
          <w:p w:rsidR="000E39A4" w:rsidRPr="00846D8E" w:rsidRDefault="000E39A4" w:rsidP="003E17B1">
            <w:pPr>
              <w:spacing w:line="276" w:lineRule="auto"/>
              <w:rPr>
                <w:rFonts w:ascii="Arial" w:hAnsi="Arial"/>
                <w:b/>
                <w:sz w:val="20"/>
                <w:lang w:val="en-AU"/>
              </w:rPr>
            </w:pPr>
            <w:r w:rsidRPr="00846D8E">
              <w:rPr>
                <w:rFonts w:ascii="Arial" w:hAnsi="Arial"/>
                <w:b/>
                <w:sz w:val="20"/>
                <w:lang w:val="en-AU"/>
              </w:rPr>
              <w:t>AFSL or FoFA Equivalent</w:t>
            </w:r>
          </w:p>
        </w:tc>
      </w:tr>
      <w:tr w:rsidR="00906010" w:rsidTr="00612787">
        <w:tc>
          <w:tcPr>
            <w:tcW w:w="3652" w:type="dxa"/>
          </w:tcPr>
          <w:p w:rsidR="000E39A4" w:rsidRDefault="000E39A4" w:rsidP="003E17B1">
            <w:pPr>
              <w:spacing w:line="276" w:lineRule="auto"/>
              <w:rPr>
                <w:rFonts w:ascii="Arial" w:hAnsi="Arial"/>
                <w:sz w:val="20"/>
                <w:lang w:val="en-AU"/>
              </w:rPr>
            </w:pPr>
            <w:r>
              <w:rPr>
                <w:rFonts w:ascii="Arial" w:hAnsi="Arial"/>
                <w:sz w:val="20"/>
                <w:lang w:val="en-AU"/>
              </w:rPr>
              <w:t>Fit and Proper Person Test</w:t>
            </w:r>
          </w:p>
        </w:tc>
        <w:tc>
          <w:tcPr>
            <w:tcW w:w="5346" w:type="dxa"/>
          </w:tcPr>
          <w:p w:rsidR="000E39A4" w:rsidRPr="00612787" w:rsidRDefault="000E39A4" w:rsidP="003E17B1">
            <w:pPr>
              <w:spacing w:line="276" w:lineRule="auto"/>
              <w:rPr>
                <w:rFonts w:ascii="Arial" w:hAnsi="Arial"/>
                <w:sz w:val="20"/>
                <w:lang w:val="en-AU"/>
              </w:rPr>
            </w:pPr>
            <w:r w:rsidRPr="00612787">
              <w:rPr>
                <w:rFonts w:ascii="Arial" w:hAnsi="Arial"/>
                <w:sz w:val="20"/>
                <w:lang w:val="en-AU"/>
              </w:rPr>
              <w:t>ASIC must be satisfied AFSL holder is of “good fame and character”</w:t>
            </w:r>
            <w:r w:rsidR="00906010" w:rsidRPr="00612787">
              <w:rPr>
                <w:rFonts w:ascii="Arial" w:hAnsi="Arial"/>
                <w:sz w:val="20"/>
                <w:lang w:val="en-AU"/>
              </w:rPr>
              <w:t xml:space="preserve"> </w:t>
            </w:r>
            <w:r w:rsidR="001B7019">
              <w:rPr>
                <w:rFonts w:ascii="Arial" w:hAnsi="Arial"/>
                <w:sz w:val="20"/>
                <w:lang w:val="en-AU"/>
              </w:rPr>
              <w:t xml:space="preserve">– </w:t>
            </w:r>
            <w:r w:rsidR="00906010" w:rsidRPr="00612787">
              <w:rPr>
                <w:rFonts w:ascii="Arial" w:hAnsi="Arial"/>
                <w:sz w:val="20"/>
                <w:lang w:val="en-AU"/>
              </w:rPr>
              <w:t>Corporations Act s 913B</w:t>
            </w:r>
          </w:p>
        </w:tc>
      </w:tr>
      <w:tr w:rsidR="00906010" w:rsidTr="00612787">
        <w:tc>
          <w:tcPr>
            <w:tcW w:w="3652" w:type="dxa"/>
          </w:tcPr>
          <w:p w:rsidR="000E39A4" w:rsidRDefault="007C6B0C" w:rsidP="003E17B1">
            <w:pPr>
              <w:spacing w:line="276" w:lineRule="auto"/>
              <w:rPr>
                <w:rFonts w:ascii="Arial" w:hAnsi="Arial"/>
                <w:sz w:val="20"/>
                <w:lang w:val="en-AU"/>
              </w:rPr>
            </w:pPr>
            <w:r>
              <w:rPr>
                <w:rFonts w:ascii="Arial" w:hAnsi="Arial"/>
                <w:sz w:val="20"/>
                <w:lang w:val="en-AU"/>
              </w:rPr>
              <w:t>Tax Practitioners Board (</w:t>
            </w:r>
            <w:r w:rsidR="00906010">
              <w:rPr>
                <w:rFonts w:ascii="Arial" w:hAnsi="Arial"/>
                <w:sz w:val="20"/>
                <w:lang w:val="en-AU"/>
              </w:rPr>
              <w:t>TPB</w:t>
            </w:r>
            <w:r>
              <w:rPr>
                <w:rFonts w:ascii="Arial" w:hAnsi="Arial"/>
                <w:sz w:val="20"/>
                <w:lang w:val="en-AU"/>
              </w:rPr>
              <w:t>)</w:t>
            </w:r>
            <w:r w:rsidR="00906010">
              <w:rPr>
                <w:rFonts w:ascii="Arial" w:hAnsi="Arial"/>
                <w:sz w:val="20"/>
                <w:lang w:val="en-AU"/>
              </w:rPr>
              <w:t xml:space="preserve"> PI requirements</w:t>
            </w:r>
            <w:r w:rsidR="00612787">
              <w:rPr>
                <w:rFonts w:ascii="Arial" w:hAnsi="Arial"/>
                <w:sz w:val="20"/>
                <w:lang w:val="en-AU"/>
              </w:rPr>
              <w:t xml:space="preserve"> </w:t>
            </w:r>
          </w:p>
        </w:tc>
        <w:tc>
          <w:tcPr>
            <w:tcW w:w="5346" w:type="dxa"/>
          </w:tcPr>
          <w:p w:rsidR="00906010" w:rsidRPr="00612787" w:rsidRDefault="00906010" w:rsidP="003E17B1">
            <w:pPr>
              <w:spacing w:line="276" w:lineRule="auto"/>
              <w:rPr>
                <w:rFonts w:ascii="Arial" w:hAnsi="Arial"/>
                <w:sz w:val="20"/>
                <w:lang w:val="en-AU"/>
              </w:rPr>
            </w:pPr>
            <w:r w:rsidRPr="00612787">
              <w:rPr>
                <w:rFonts w:ascii="Arial" w:hAnsi="Arial"/>
                <w:sz w:val="20"/>
                <w:lang w:val="en-AU"/>
              </w:rPr>
              <w:t>AFSL holders must have adequate PI</w:t>
            </w:r>
            <w:r w:rsidR="004572B0" w:rsidRPr="00612787">
              <w:rPr>
                <w:rFonts w:ascii="Arial" w:hAnsi="Arial"/>
                <w:sz w:val="20"/>
                <w:lang w:val="en-AU"/>
              </w:rPr>
              <w:t xml:space="preserve"> – </w:t>
            </w:r>
            <w:r w:rsidRPr="00612787">
              <w:rPr>
                <w:rFonts w:ascii="Arial" w:hAnsi="Arial"/>
                <w:i/>
                <w:sz w:val="20"/>
                <w:lang w:val="en-AU"/>
              </w:rPr>
              <w:t xml:space="preserve">Corporations Regulations </w:t>
            </w:r>
            <w:r w:rsidRPr="00612787">
              <w:rPr>
                <w:rFonts w:ascii="Arial" w:hAnsi="Arial"/>
                <w:sz w:val="20"/>
                <w:lang w:val="en-AU"/>
              </w:rPr>
              <w:t>2001 reg 7.6.02AAA</w:t>
            </w:r>
          </w:p>
        </w:tc>
      </w:tr>
      <w:tr w:rsidR="00906010" w:rsidTr="00612787">
        <w:tc>
          <w:tcPr>
            <w:tcW w:w="3652" w:type="dxa"/>
          </w:tcPr>
          <w:p w:rsidR="000E39A4" w:rsidRDefault="00906010" w:rsidP="003E17B1">
            <w:pPr>
              <w:spacing w:line="276" w:lineRule="auto"/>
              <w:rPr>
                <w:rFonts w:ascii="Arial" w:hAnsi="Arial"/>
                <w:sz w:val="20"/>
                <w:lang w:val="en-AU"/>
              </w:rPr>
            </w:pPr>
            <w:r>
              <w:rPr>
                <w:rFonts w:ascii="Arial" w:hAnsi="Arial"/>
                <w:sz w:val="20"/>
                <w:lang w:val="en-AU"/>
              </w:rPr>
              <w:t>Act honestly and with integrity</w:t>
            </w:r>
          </w:p>
        </w:tc>
        <w:tc>
          <w:tcPr>
            <w:tcW w:w="5346" w:type="dxa"/>
          </w:tcPr>
          <w:p w:rsidR="000E39A4" w:rsidRPr="00612787" w:rsidRDefault="004572B0" w:rsidP="003E17B1">
            <w:pPr>
              <w:spacing w:line="276" w:lineRule="auto"/>
              <w:rPr>
                <w:rFonts w:ascii="Arial" w:hAnsi="Arial"/>
                <w:sz w:val="20"/>
                <w:lang w:val="en-AU"/>
              </w:rPr>
            </w:pPr>
            <w:r w:rsidRPr="00612787">
              <w:rPr>
                <w:rFonts w:ascii="Arial" w:hAnsi="Arial"/>
                <w:sz w:val="20"/>
                <w:lang w:val="en-AU"/>
              </w:rPr>
              <w:t>Do all things necessary to ensure that the financial services covered by the licence are provided efficiently, honestly and fairly - Corporations Act s 912A</w:t>
            </w:r>
          </w:p>
        </w:tc>
      </w:tr>
      <w:tr w:rsidR="00906010" w:rsidTr="00612787">
        <w:tc>
          <w:tcPr>
            <w:tcW w:w="3652" w:type="dxa"/>
          </w:tcPr>
          <w:p w:rsidR="000E39A4" w:rsidRDefault="00FB0CA8" w:rsidP="003E17B1">
            <w:pPr>
              <w:spacing w:line="276" w:lineRule="auto"/>
              <w:rPr>
                <w:rFonts w:ascii="Arial" w:hAnsi="Arial"/>
                <w:sz w:val="20"/>
                <w:lang w:val="en-AU"/>
              </w:rPr>
            </w:pPr>
            <w:r>
              <w:rPr>
                <w:rFonts w:ascii="Arial" w:hAnsi="Arial"/>
                <w:sz w:val="20"/>
                <w:lang w:val="en-AU"/>
              </w:rPr>
              <w:t>Act lawfully and in best interest of clients</w:t>
            </w:r>
          </w:p>
        </w:tc>
        <w:tc>
          <w:tcPr>
            <w:tcW w:w="5346" w:type="dxa"/>
          </w:tcPr>
          <w:p w:rsidR="00054883" w:rsidRPr="00612787" w:rsidRDefault="00054883" w:rsidP="003E17B1">
            <w:pPr>
              <w:spacing w:line="276" w:lineRule="auto"/>
              <w:rPr>
                <w:rFonts w:ascii="Arial" w:hAnsi="Arial"/>
                <w:sz w:val="20"/>
                <w:lang w:val="en-AU"/>
              </w:rPr>
            </w:pPr>
            <w:r w:rsidRPr="00612787">
              <w:rPr>
                <w:rFonts w:ascii="Arial" w:hAnsi="Arial"/>
                <w:sz w:val="20"/>
                <w:lang w:val="en-AU"/>
              </w:rPr>
              <w:t>Best interest duty – Corporations Act s 961B</w:t>
            </w:r>
          </w:p>
          <w:p w:rsidR="00054883" w:rsidRPr="00612787" w:rsidRDefault="00054883" w:rsidP="003E17B1">
            <w:pPr>
              <w:spacing w:line="276" w:lineRule="auto"/>
              <w:rPr>
                <w:rFonts w:ascii="Arial" w:hAnsi="Arial"/>
                <w:sz w:val="20"/>
                <w:lang w:val="en-AU"/>
              </w:rPr>
            </w:pPr>
            <w:r w:rsidRPr="00612787">
              <w:rPr>
                <w:rFonts w:ascii="Arial" w:hAnsi="Arial"/>
                <w:sz w:val="20"/>
                <w:lang w:val="en-AU"/>
              </w:rPr>
              <w:t xml:space="preserve">Ban on conflicted remuneration – Corporations </w:t>
            </w:r>
            <w:r w:rsidR="00C0796E" w:rsidRPr="00612787">
              <w:rPr>
                <w:rFonts w:ascii="Arial" w:hAnsi="Arial"/>
                <w:sz w:val="20"/>
                <w:lang w:val="en-AU"/>
              </w:rPr>
              <w:t xml:space="preserve">Act </w:t>
            </w:r>
            <w:r w:rsidR="00153736" w:rsidRPr="00612787">
              <w:rPr>
                <w:rFonts w:ascii="Arial" w:hAnsi="Arial"/>
                <w:sz w:val="20"/>
                <w:lang w:val="en-AU"/>
              </w:rPr>
              <w:t>s</w:t>
            </w:r>
            <w:r w:rsidR="001B7019">
              <w:rPr>
                <w:rFonts w:ascii="Arial" w:hAnsi="Arial"/>
                <w:sz w:val="20"/>
                <w:lang w:val="en-AU"/>
              </w:rPr>
              <w:t>ections </w:t>
            </w:r>
            <w:r w:rsidR="00C0796E" w:rsidRPr="00612787">
              <w:rPr>
                <w:rFonts w:ascii="Arial" w:hAnsi="Arial"/>
                <w:sz w:val="20"/>
                <w:lang w:val="en-AU"/>
              </w:rPr>
              <w:t>963E, 963G</w:t>
            </w:r>
          </w:p>
        </w:tc>
      </w:tr>
      <w:tr w:rsidR="00906010" w:rsidTr="00612787">
        <w:tc>
          <w:tcPr>
            <w:tcW w:w="3652" w:type="dxa"/>
          </w:tcPr>
          <w:p w:rsidR="000E39A4" w:rsidRDefault="00FB0CA8" w:rsidP="003E17B1">
            <w:pPr>
              <w:spacing w:line="276" w:lineRule="auto"/>
              <w:rPr>
                <w:rFonts w:ascii="Arial" w:hAnsi="Arial"/>
                <w:sz w:val="20"/>
                <w:lang w:val="en-AU"/>
              </w:rPr>
            </w:pPr>
            <w:r>
              <w:rPr>
                <w:rFonts w:ascii="Arial" w:hAnsi="Arial"/>
                <w:sz w:val="20"/>
                <w:lang w:val="en-AU"/>
              </w:rPr>
              <w:t>Have in Place adequate arrangements for managing conflicts of interest</w:t>
            </w:r>
          </w:p>
        </w:tc>
        <w:tc>
          <w:tcPr>
            <w:tcW w:w="5346" w:type="dxa"/>
          </w:tcPr>
          <w:p w:rsidR="001B7019" w:rsidRDefault="00054883" w:rsidP="003E17B1">
            <w:pPr>
              <w:spacing w:line="276" w:lineRule="auto"/>
              <w:rPr>
                <w:rFonts w:ascii="Arial" w:hAnsi="Arial"/>
                <w:sz w:val="20"/>
                <w:lang w:val="en-AU"/>
              </w:rPr>
            </w:pPr>
            <w:r w:rsidRPr="00612787">
              <w:rPr>
                <w:rFonts w:ascii="Arial" w:hAnsi="Arial"/>
                <w:sz w:val="20"/>
                <w:lang w:val="en-AU"/>
              </w:rPr>
              <w:t xml:space="preserve">Have in place adequate arrangements for the management of conflicts of interest – </w:t>
            </w:r>
            <w:bookmarkStart w:id="5" w:name="OLE_LINK4"/>
            <w:r w:rsidRPr="00612787">
              <w:rPr>
                <w:rFonts w:ascii="Arial" w:hAnsi="Arial"/>
                <w:sz w:val="20"/>
                <w:lang w:val="en-AU"/>
              </w:rPr>
              <w:t xml:space="preserve">Corporations Act </w:t>
            </w:r>
          </w:p>
          <w:p w:rsidR="000E39A4" w:rsidRPr="00612787" w:rsidRDefault="00054883" w:rsidP="003E17B1">
            <w:pPr>
              <w:spacing w:line="276" w:lineRule="auto"/>
              <w:rPr>
                <w:rFonts w:ascii="Arial" w:hAnsi="Arial"/>
                <w:sz w:val="20"/>
                <w:lang w:val="en-AU"/>
              </w:rPr>
            </w:pPr>
            <w:r w:rsidRPr="00612787">
              <w:rPr>
                <w:rFonts w:ascii="Arial" w:hAnsi="Arial"/>
                <w:sz w:val="20"/>
                <w:lang w:val="en-AU"/>
              </w:rPr>
              <w:t>s 912A</w:t>
            </w:r>
            <w:bookmarkEnd w:id="5"/>
          </w:p>
        </w:tc>
      </w:tr>
      <w:tr w:rsidR="00906010" w:rsidTr="00612787">
        <w:tc>
          <w:tcPr>
            <w:tcW w:w="3652" w:type="dxa"/>
          </w:tcPr>
          <w:p w:rsidR="000E39A4" w:rsidRDefault="00FB0CA8" w:rsidP="003E17B1">
            <w:pPr>
              <w:spacing w:line="276" w:lineRule="auto"/>
              <w:rPr>
                <w:rFonts w:ascii="Arial" w:hAnsi="Arial"/>
                <w:sz w:val="20"/>
                <w:lang w:val="en-AU"/>
              </w:rPr>
            </w:pPr>
            <w:r>
              <w:rPr>
                <w:rFonts w:ascii="Arial" w:hAnsi="Arial"/>
                <w:sz w:val="20"/>
                <w:lang w:val="en-AU"/>
              </w:rPr>
              <w:t>Provide services competently</w:t>
            </w:r>
          </w:p>
        </w:tc>
        <w:tc>
          <w:tcPr>
            <w:tcW w:w="5346" w:type="dxa"/>
          </w:tcPr>
          <w:p w:rsidR="000E39A4" w:rsidRPr="00612787" w:rsidRDefault="004572B0" w:rsidP="003E17B1">
            <w:pPr>
              <w:spacing w:line="276" w:lineRule="auto"/>
              <w:rPr>
                <w:rFonts w:ascii="Arial" w:hAnsi="Arial"/>
                <w:sz w:val="20"/>
                <w:lang w:val="en-AU"/>
              </w:rPr>
            </w:pPr>
            <w:r w:rsidRPr="00612787">
              <w:rPr>
                <w:rFonts w:ascii="Arial" w:hAnsi="Arial"/>
                <w:sz w:val="20"/>
                <w:lang w:val="en-AU"/>
              </w:rPr>
              <w:t>Maintain the competence to provide financial services – Corporations Act s 912A</w:t>
            </w:r>
          </w:p>
          <w:p w:rsidR="004572B0" w:rsidRPr="00612787" w:rsidRDefault="004572B0" w:rsidP="003E17B1">
            <w:pPr>
              <w:spacing w:line="276" w:lineRule="auto"/>
              <w:rPr>
                <w:rFonts w:ascii="Arial" w:hAnsi="Arial"/>
                <w:sz w:val="20"/>
                <w:lang w:val="en-AU"/>
              </w:rPr>
            </w:pPr>
            <w:r w:rsidRPr="00612787">
              <w:rPr>
                <w:rFonts w:ascii="Arial" w:hAnsi="Arial"/>
                <w:sz w:val="20"/>
                <w:lang w:val="en-AU"/>
              </w:rPr>
              <w:t>Ensure that its representatives are adequately trained, and are competent, to provide those financial services – Corporations Act s 912A</w:t>
            </w:r>
          </w:p>
        </w:tc>
      </w:tr>
      <w:tr w:rsidR="00FB0CA8" w:rsidTr="00612787">
        <w:tc>
          <w:tcPr>
            <w:tcW w:w="3652" w:type="dxa"/>
          </w:tcPr>
          <w:p w:rsidR="00FB0CA8" w:rsidRDefault="00FB0CA8" w:rsidP="003E17B1">
            <w:pPr>
              <w:spacing w:line="276" w:lineRule="auto"/>
              <w:rPr>
                <w:rFonts w:ascii="Arial" w:hAnsi="Arial"/>
                <w:sz w:val="20"/>
                <w:lang w:val="en-AU"/>
              </w:rPr>
            </w:pPr>
            <w:r>
              <w:rPr>
                <w:rFonts w:ascii="Arial" w:hAnsi="Arial"/>
                <w:sz w:val="20"/>
                <w:lang w:val="en-AU"/>
              </w:rPr>
              <w:t>Not knowingly obstruct proper administration of the tax laws</w:t>
            </w:r>
          </w:p>
        </w:tc>
        <w:tc>
          <w:tcPr>
            <w:tcW w:w="5346" w:type="dxa"/>
          </w:tcPr>
          <w:p w:rsidR="00FB0CA8" w:rsidRPr="00612787" w:rsidRDefault="00F7442E" w:rsidP="003E17B1">
            <w:pPr>
              <w:spacing w:line="276" w:lineRule="auto"/>
              <w:rPr>
                <w:rFonts w:ascii="Arial" w:hAnsi="Arial"/>
                <w:sz w:val="20"/>
                <w:lang w:val="en-AU"/>
              </w:rPr>
            </w:pPr>
            <w:r w:rsidRPr="00612787">
              <w:rPr>
                <w:rFonts w:ascii="Arial" w:hAnsi="Arial"/>
                <w:sz w:val="20"/>
                <w:lang w:val="en-AU"/>
              </w:rPr>
              <w:t>Comply with the financial services laws – Corporations Act s 912A</w:t>
            </w:r>
          </w:p>
        </w:tc>
      </w:tr>
      <w:tr w:rsidR="00FB0CA8" w:rsidTr="00612787">
        <w:tc>
          <w:tcPr>
            <w:tcW w:w="3652" w:type="dxa"/>
          </w:tcPr>
          <w:p w:rsidR="00FB0CA8" w:rsidRDefault="00181304" w:rsidP="003E17B1">
            <w:pPr>
              <w:spacing w:line="276" w:lineRule="auto"/>
              <w:rPr>
                <w:rFonts w:ascii="Arial" w:hAnsi="Arial"/>
                <w:sz w:val="20"/>
                <w:lang w:val="en-AU"/>
              </w:rPr>
            </w:pPr>
            <w:r>
              <w:rPr>
                <w:rFonts w:ascii="Arial" w:hAnsi="Arial"/>
                <w:sz w:val="20"/>
                <w:lang w:val="en-AU"/>
              </w:rPr>
              <w:lastRenderedPageBreak/>
              <w:t>Respond</w:t>
            </w:r>
            <w:r w:rsidR="00FB0CA8">
              <w:rPr>
                <w:rFonts w:ascii="Arial" w:hAnsi="Arial"/>
                <w:sz w:val="20"/>
                <w:lang w:val="en-AU"/>
              </w:rPr>
              <w:t xml:space="preserve"> to requests and directions from the TPB in a timely and reasonable manner</w:t>
            </w:r>
          </w:p>
        </w:tc>
        <w:tc>
          <w:tcPr>
            <w:tcW w:w="5346" w:type="dxa"/>
          </w:tcPr>
          <w:p w:rsidR="00FB0CA8" w:rsidRPr="00612787" w:rsidRDefault="00153736" w:rsidP="003E17B1">
            <w:pPr>
              <w:spacing w:line="276" w:lineRule="auto"/>
              <w:rPr>
                <w:rFonts w:ascii="Arial" w:hAnsi="Arial"/>
                <w:sz w:val="20"/>
                <w:lang w:val="en-AU"/>
              </w:rPr>
            </w:pPr>
            <w:r w:rsidRPr="00612787">
              <w:rPr>
                <w:rFonts w:ascii="Arial" w:hAnsi="Arial"/>
                <w:sz w:val="20"/>
                <w:lang w:val="en-AU"/>
              </w:rPr>
              <w:t>Direction to provide statement to ASIC – Corporations Act s 912A</w:t>
            </w:r>
          </w:p>
        </w:tc>
      </w:tr>
    </w:tbl>
    <w:p w:rsidR="000E39A4" w:rsidRPr="007D68BC" w:rsidRDefault="000E39A4" w:rsidP="003E17B1">
      <w:pPr>
        <w:spacing w:line="276" w:lineRule="auto"/>
        <w:jc w:val="both"/>
        <w:rPr>
          <w:rFonts w:ascii="Arial" w:hAnsi="Arial"/>
          <w:sz w:val="20"/>
          <w:lang w:val="en-AU"/>
        </w:rPr>
      </w:pPr>
    </w:p>
    <w:p w:rsidR="00937C13" w:rsidRDefault="00393C46" w:rsidP="003E17B1">
      <w:pPr>
        <w:spacing w:line="276" w:lineRule="auto"/>
        <w:jc w:val="both"/>
        <w:rPr>
          <w:rFonts w:ascii="Arial" w:hAnsi="Arial"/>
          <w:sz w:val="20"/>
          <w:lang w:val="en-AU"/>
        </w:rPr>
      </w:pPr>
      <w:r>
        <w:rPr>
          <w:rFonts w:ascii="Arial" w:hAnsi="Arial"/>
          <w:sz w:val="20"/>
          <w:lang w:val="en-AU"/>
        </w:rPr>
        <w:t xml:space="preserve">These existing </w:t>
      </w:r>
      <w:r w:rsidR="003A05D7">
        <w:rPr>
          <w:rFonts w:ascii="Arial" w:hAnsi="Arial"/>
          <w:sz w:val="20"/>
          <w:lang w:val="en-AU"/>
        </w:rPr>
        <w:t xml:space="preserve">obligations </w:t>
      </w:r>
      <w:r w:rsidR="00553E7E">
        <w:rPr>
          <w:rFonts w:ascii="Arial" w:hAnsi="Arial"/>
          <w:sz w:val="20"/>
          <w:lang w:val="en-AU"/>
        </w:rPr>
        <w:t xml:space="preserve">could be used for AFSL licensees or authorised representatives </w:t>
      </w:r>
      <w:r w:rsidR="001B7019">
        <w:rPr>
          <w:rFonts w:ascii="Arial" w:hAnsi="Arial"/>
          <w:sz w:val="20"/>
          <w:lang w:val="en-AU"/>
        </w:rPr>
        <w:t xml:space="preserve">providing tax advice </w:t>
      </w:r>
      <w:r w:rsidR="005A6126">
        <w:rPr>
          <w:rFonts w:ascii="Arial" w:hAnsi="Arial"/>
          <w:sz w:val="20"/>
          <w:lang w:val="en-AU"/>
        </w:rPr>
        <w:t>rather than having to comply with specific TASA regime obligations.</w:t>
      </w:r>
      <w:r w:rsidR="00591A55">
        <w:rPr>
          <w:rFonts w:ascii="Arial" w:hAnsi="Arial"/>
          <w:sz w:val="20"/>
          <w:lang w:val="en-AU"/>
        </w:rPr>
        <w:t xml:space="preserve">  </w:t>
      </w:r>
      <w:r w:rsidR="00404582">
        <w:rPr>
          <w:rFonts w:ascii="Arial" w:hAnsi="Arial"/>
          <w:sz w:val="20"/>
          <w:lang w:val="en-AU"/>
        </w:rPr>
        <w:t xml:space="preserve">To the extent that separate obligations are required, it is essential that processes are such that compliance can be efficient as possible, with avoidance of unnecessary duplication.  </w:t>
      </w:r>
      <w:r w:rsidR="00591A55">
        <w:rPr>
          <w:rFonts w:ascii="Arial" w:hAnsi="Arial"/>
          <w:sz w:val="20"/>
          <w:lang w:val="en-AU"/>
        </w:rPr>
        <w:t xml:space="preserve">We believe that Treasury and the TPB should </w:t>
      </w:r>
      <w:r w:rsidR="00C4139A">
        <w:rPr>
          <w:rFonts w:ascii="Arial" w:hAnsi="Arial"/>
          <w:sz w:val="20"/>
          <w:lang w:val="en-AU"/>
        </w:rPr>
        <w:t>engage</w:t>
      </w:r>
      <w:r w:rsidR="00591A55">
        <w:rPr>
          <w:rFonts w:ascii="Arial" w:hAnsi="Arial"/>
          <w:sz w:val="20"/>
          <w:lang w:val="en-AU"/>
        </w:rPr>
        <w:t xml:space="preserve"> in further consultation with the financial services industry as to</w:t>
      </w:r>
      <w:r w:rsidR="00C4139A">
        <w:rPr>
          <w:rFonts w:ascii="Arial" w:hAnsi="Arial"/>
          <w:sz w:val="20"/>
          <w:lang w:val="en-AU"/>
        </w:rPr>
        <w:t xml:space="preserve"> how existing obligations under the AFSL regime and Corporations Act for financial advisers can be integrated into the TASA regime for financial advisers.</w:t>
      </w:r>
    </w:p>
    <w:p w:rsidR="00393C46" w:rsidRDefault="00393C46" w:rsidP="003E17B1">
      <w:pPr>
        <w:spacing w:line="276" w:lineRule="auto"/>
        <w:jc w:val="both"/>
        <w:rPr>
          <w:rFonts w:ascii="Arial" w:hAnsi="Arial"/>
          <w:sz w:val="20"/>
          <w:lang w:val="en-AU"/>
        </w:rPr>
      </w:pPr>
    </w:p>
    <w:p w:rsidR="009667A1" w:rsidRDefault="005A6126" w:rsidP="003E17B1">
      <w:pPr>
        <w:spacing w:line="276" w:lineRule="auto"/>
        <w:jc w:val="both"/>
        <w:outlineLvl w:val="0"/>
        <w:rPr>
          <w:rFonts w:ascii="Arial" w:hAnsi="Arial"/>
          <w:b/>
          <w:sz w:val="20"/>
          <w:u w:val="single"/>
          <w:lang w:val="en-AU"/>
        </w:rPr>
      </w:pPr>
      <w:r w:rsidRPr="005A6126">
        <w:rPr>
          <w:rFonts w:ascii="Arial" w:hAnsi="Arial"/>
          <w:b/>
          <w:sz w:val="20"/>
          <w:u w:val="single"/>
          <w:lang w:val="en-AU"/>
        </w:rPr>
        <w:t>TPB code of conduct</w:t>
      </w:r>
    </w:p>
    <w:p w:rsidR="009667A1" w:rsidRDefault="009667A1" w:rsidP="003E17B1">
      <w:pPr>
        <w:spacing w:line="276" w:lineRule="auto"/>
        <w:jc w:val="both"/>
        <w:rPr>
          <w:rFonts w:ascii="Arial" w:hAnsi="Arial"/>
          <w:sz w:val="20"/>
          <w:lang w:val="en-AU"/>
        </w:rPr>
      </w:pPr>
    </w:p>
    <w:p w:rsidR="00A00D9E" w:rsidRDefault="00612787" w:rsidP="003E17B1">
      <w:pPr>
        <w:spacing w:line="276" w:lineRule="auto"/>
        <w:jc w:val="both"/>
        <w:rPr>
          <w:rFonts w:ascii="Arial" w:hAnsi="Arial"/>
          <w:sz w:val="20"/>
          <w:lang w:val="en-AU"/>
        </w:rPr>
      </w:pPr>
      <w:r>
        <w:rPr>
          <w:rFonts w:ascii="Arial" w:hAnsi="Arial"/>
          <w:sz w:val="20"/>
          <w:lang w:val="en-AU"/>
        </w:rPr>
        <w:t xml:space="preserve">SPAA supports the TPB maintaining the TPB Code of Conduct </w:t>
      </w:r>
      <w:r w:rsidR="00A00D9E">
        <w:rPr>
          <w:rFonts w:ascii="Arial" w:hAnsi="Arial"/>
          <w:sz w:val="20"/>
          <w:lang w:val="en-AU"/>
        </w:rPr>
        <w:t>to ensure that tax agents and BAS agents are bound by an ethical code which guarantees they act in the interest of their client</w:t>
      </w:r>
      <w:r w:rsidR="00D4748F">
        <w:rPr>
          <w:rFonts w:ascii="Arial" w:hAnsi="Arial"/>
          <w:sz w:val="20"/>
          <w:lang w:val="en-AU"/>
        </w:rPr>
        <w:t xml:space="preserve">s.  However, </w:t>
      </w:r>
      <w:r w:rsidR="00A00D9E">
        <w:rPr>
          <w:rFonts w:ascii="Arial" w:hAnsi="Arial"/>
          <w:sz w:val="20"/>
          <w:lang w:val="en-AU"/>
        </w:rPr>
        <w:t xml:space="preserve">the TPB Code of Conduct may not be appropriate for regulating the behaviour of financial </w:t>
      </w:r>
      <w:r w:rsidR="00DC0E42">
        <w:rPr>
          <w:rFonts w:ascii="Arial" w:hAnsi="Arial"/>
          <w:sz w:val="20"/>
          <w:lang w:val="en-AU"/>
        </w:rPr>
        <w:t>adviser</w:t>
      </w:r>
      <w:r w:rsidR="00A00D9E">
        <w:rPr>
          <w:rFonts w:ascii="Arial" w:hAnsi="Arial"/>
          <w:sz w:val="20"/>
          <w:lang w:val="en-AU"/>
        </w:rPr>
        <w:t xml:space="preserve">s providing </w:t>
      </w:r>
      <w:r w:rsidR="00A00D9E" w:rsidRPr="005B2069">
        <w:rPr>
          <w:rFonts w:ascii="Arial" w:hAnsi="Arial"/>
          <w:sz w:val="20"/>
          <w:lang w:val="en-AU"/>
        </w:rPr>
        <w:t>tax advice (financial product) services</w:t>
      </w:r>
      <w:r w:rsidR="00A00D9E">
        <w:rPr>
          <w:rFonts w:ascii="Arial" w:hAnsi="Arial"/>
          <w:sz w:val="20"/>
          <w:lang w:val="en-AU"/>
        </w:rPr>
        <w:t>.</w:t>
      </w:r>
    </w:p>
    <w:p w:rsidR="00A00D9E" w:rsidRDefault="00A00D9E" w:rsidP="003E17B1">
      <w:pPr>
        <w:spacing w:line="276" w:lineRule="auto"/>
        <w:jc w:val="both"/>
        <w:rPr>
          <w:rFonts w:ascii="Arial" w:hAnsi="Arial"/>
          <w:sz w:val="20"/>
          <w:lang w:val="en-AU"/>
        </w:rPr>
      </w:pPr>
    </w:p>
    <w:p w:rsidR="005A6126" w:rsidRDefault="009667A1" w:rsidP="003E17B1">
      <w:pPr>
        <w:spacing w:line="276" w:lineRule="auto"/>
        <w:jc w:val="both"/>
        <w:rPr>
          <w:rFonts w:ascii="Arial" w:hAnsi="Arial"/>
          <w:sz w:val="20"/>
          <w:lang w:val="en-AU"/>
        </w:rPr>
      </w:pPr>
      <w:r>
        <w:rPr>
          <w:rFonts w:ascii="Arial" w:hAnsi="Arial"/>
          <w:sz w:val="20"/>
          <w:lang w:val="en-AU"/>
        </w:rPr>
        <w:t xml:space="preserve">The TPB </w:t>
      </w:r>
      <w:r w:rsidR="00612787">
        <w:rPr>
          <w:rFonts w:ascii="Arial" w:hAnsi="Arial"/>
          <w:sz w:val="20"/>
          <w:lang w:val="en-AU"/>
        </w:rPr>
        <w:t xml:space="preserve">Code </w:t>
      </w:r>
      <w:r>
        <w:rPr>
          <w:rFonts w:ascii="Arial" w:hAnsi="Arial"/>
          <w:sz w:val="20"/>
          <w:lang w:val="en-AU"/>
        </w:rPr>
        <w:t xml:space="preserve">of </w:t>
      </w:r>
      <w:r w:rsidR="00612787">
        <w:rPr>
          <w:rFonts w:ascii="Arial" w:hAnsi="Arial"/>
          <w:sz w:val="20"/>
          <w:lang w:val="en-AU"/>
        </w:rPr>
        <w:t xml:space="preserve">Conduct </w:t>
      </w:r>
      <w:r>
        <w:rPr>
          <w:rFonts w:ascii="Arial" w:hAnsi="Arial"/>
          <w:sz w:val="20"/>
          <w:lang w:val="en-AU"/>
        </w:rPr>
        <w:t>has been specifically designe</w:t>
      </w:r>
      <w:r w:rsidR="00612787">
        <w:rPr>
          <w:rFonts w:ascii="Arial" w:hAnsi="Arial"/>
          <w:sz w:val="20"/>
          <w:lang w:val="en-AU"/>
        </w:rPr>
        <w:t xml:space="preserve">d for tax agents and BAS agents with the tax agent services they provide in mind.  </w:t>
      </w:r>
      <w:r w:rsidR="00A00D9E">
        <w:rPr>
          <w:rFonts w:ascii="Arial" w:hAnsi="Arial"/>
          <w:sz w:val="20"/>
          <w:lang w:val="en-AU"/>
        </w:rPr>
        <w:t xml:space="preserve">The Code is the overarching tool that governs the behaviour of tax and BAS agents and </w:t>
      </w:r>
      <w:r w:rsidR="001B7019">
        <w:rPr>
          <w:rFonts w:ascii="Arial" w:hAnsi="Arial"/>
          <w:sz w:val="20"/>
          <w:lang w:val="en-AU"/>
        </w:rPr>
        <w:t>accordingly</w:t>
      </w:r>
      <w:r w:rsidR="00A00D9E">
        <w:rPr>
          <w:rFonts w:ascii="Arial" w:hAnsi="Arial"/>
          <w:sz w:val="20"/>
          <w:lang w:val="en-AU"/>
        </w:rPr>
        <w:t xml:space="preserve"> </w:t>
      </w:r>
      <w:r w:rsidR="001B7019">
        <w:rPr>
          <w:rFonts w:ascii="Arial" w:hAnsi="Arial"/>
          <w:sz w:val="20"/>
          <w:lang w:val="en-AU"/>
        </w:rPr>
        <w:t>focuses on</w:t>
      </w:r>
      <w:r w:rsidR="00A00D9E">
        <w:rPr>
          <w:rFonts w:ascii="Arial" w:hAnsi="Arial"/>
          <w:sz w:val="20"/>
          <w:lang w:val="en-AU"/>
        </w:rPr>
        <w:t xml:space="preserve"> the tax services activities carried on by those professionals.  </w:t>
      </w:r>
      <w:r w:rsidR="00AC408D">
        <w:rPr>
          <w:rFonts w:ascii="Arial" w:hAnsi="Arial"/>
          <w:sz w:val="20"/>
          <w:lang w:val="en-AU"/>
        </w:rPr>
        <w:t xml:space="preserve">We believe that instead of making financial advisers comply with requirements designed specifically for tax agents and BAS agents, the existing ethical obligations that financial advisers are subject </w:t>
      </w:r>
      <w:r w:rsidR="0024507B">
        <w:rPr>
          <w:rFonts w:ascii="Arial" w:hAnsi="Arial"/>
          <w:sz w:val="20"/>
          <w:lang w:val="en-AU"/>
        </w:rPr>
        <w:t xml:space="preserve">to </w:t>
      </w:r>
      <w:r w:rsidR="00AC408D">
        <w:rPr>
          <w:rFonts w:ascii="Arial" w:hAnsi="Arial"/>
          <w:sz w:val="20"/>
          <w:lang w:val="en-AU"/>
        </w:rPr>
        <w:t>should reduce the need for duplicating their obligations under the TPB Code of Conduct.</w:t>
      </w:r>
    </w:p>
    <w:p w:rsidR="00A00D9E" w:rsidRDefault="00A00D9E" w:rsidP="003E17B1">
      <w:pPr>
        <w:spacing w:line="276" w:lineRule="auto"/>
        <w:jc w:val="both"/>
        <w:rPr>
          <w:rFonts w:ascii="Arial" w:hAnsi="Arial"/>
          <w:sz w:val="20"/>
          <w:lang w:val="en-AU"/>
        </w:rPr>
      </w:pPr>
    </w:p>
    <w:p w:rsidR="00A00D9E" w:rsidRDefault="00AC408D" w:rsidP="003E17B1">
      <w:pPr>
        <w:spacing w:line="276" w:lineRule="auto"/>
        <w:jc w:val="both"/>
        <w:rPr>
          <w:rFonts w:ascii="Arial" w:hAnsi="Arial"/>
          <w:sz w:val="20"/>
          <w:lang w:val="en-AU"/>
        </w:rPr>
      </w:pPr>
      <w:r>
        <w:rPr>
          <w:rFonts w:ascii="Arial" w:hAnsi="Arial"/>
          <w:sz w:val="20"/>
          <w:lang w:val="en-AU"/>
        </w:rPr>
        <w:t>For instance</w:t>
      </w:r>
      <w:r w:rsidR="00A00D9E">
        <w:rPr>
          <w:rFonts w:ascii="Arial" w:hAnsi="Arial"/>
          <w:sz w:val="20"/>
          <w:lang w:val="en-AU"/>
        </w:rPr>
        <w:t xml:space="preserve">, financial </w:t>
      </w:r>
      <w:r w:rsidR="00DC0E42">
        <w:rPr>
          <w:rFonts w:ascii="Arial" w:hAnsi="Arial"/>
          <w:sz w:val="20"/>
          <w:lang w:val="en-AU"/>
        </w:rPr>
        <w:t>adviser</w:t>
      </w:r>
      <w:r w:rsidR="00A00D9E">
        <w:rPr>
          <w:rFonts w:ascii="Arial" w:hAnsi="Arial"/>
          <w:sz w:val="20"/>
          <w:lang w:val="en-AU"/>
        </w:rPr>
        <w:t xml:space="preserve">s have a number of obligations under the Corporations Act through the AFSL regime and FoFA reforms </w:t>
      </w:r>
      <w:r w:rsidR="006D2653">
        <w:rPr>
          <w:rFonts w:ascii="Arial" w:hAnsi="Arial"/>
          <w:sz w:val="20"/>
          <w:lang w:val="en-AU"/>
        </w:rPr>
        <w:t>which</w:t>
      </w:r>
      <w:r w:rsidR="00A00D9E">
        <w:rPr>
          <w:rFonts w:ascii="Arial" w:hAnsi="Arial"/>
          <w:sz w:val="20"/>
          <w:lang w:val="en-AU"/>
        </w:rPr>
        <w:t xml:space="preserve"> govern their behaviour and ensure they have an ethical approach to </w:t>
      </w:r>
      <w:r w:rsidR="006D2653">
        <w:rPr>
          <w:rFonts w:ascii="Arial" w:hAnsi="Arial"/>
          <w:sz w:val="20"/>
          <w:lang w:val="en-AU"/>
        </w:rPr>
        <w:t>advising their clients on financial advice, including tax advice.</w:t>
      </w:r>
      <w:r w:rsidR="00D4748F">
        <w:rPr>
          <w:rFonts w:ascii="Arial" w:hAnsi="Arial"/>
          <w:sz w:val="20"/>
          <w:lang w:val="en-AU"/>
        </w:rPr>
        <w:t xml:space="preserve">  We believe that to lessen compliance costs and burdens for financial advisers, the existing Corporations Act safeguards on behaviour may be sufficient to regulate the behaviour of financial advisors providing </w:t>
      </w:r>
      <w:r w:rsidR="00D4748F" w:rsidRPr="005B2069">
        <w:rPr>
          <w:rFonts w:ascii="Arial" w:hAnsi="Arial"/>
          <w:sz w:val="20"/>
          <w:lang w:val="en-AU"/>
        </w:rPr>
        <w:t>tax advice (financial product) services</w:t>
      </w:r>
      <w:r w:rsidR="006D44E4">
        <w:rPr>
          <w:rFonts w:ascii="Arial" w:hAnsi="Arial"/>
          <w:sz w:val="20"/>
          <w:lang w:val="en-AU"/>
        </w:rPr>
        <w:t>.  This is especially, relevant in the context of the draft amendments which allow information sharing between the TPB and ASIC.</w:t>
      </w:r>
    </w:p>
    <w:p w:rsidR="00C03102" w:rsidRDefault="00C03102" w:rsidP="003E17B1">
      <w:pPr>
        <w:spacing w:line="276" w:lineRule="auto"/>
        <w:jc w:val="both"/>
        <w:rPr>
          <w:rFonts w:ascii="Arial" w:hAnsi="Arial"/>
          <w:sz w:val="20"/>
          <w:lang w:val="en-AU"/>
        </w:rPr>
      </w:pPr>
    </w:p>
    <w:p w:rsidR="00C03102" w:rsidRDefault="00C03102" w:rsidP="003E17B1">
      <w:pPr>
        <w:spacing w:line="276" w:lineRule="auto"/>
        <w:jc w:val="both"/>
        <w:rPr>
          <w:rFonts w:ascii="Arial" w:hAnsi="Arial"/>
          <w:sz w:val="20"/>
          <w:lang w:val="en-AU"/>
        </w:rPr>
      </w:pPr>
      <w:r>
        <w:rPr>
          <w:rFonts w:ascii="Arial" w:hAnsi="Arial"/>
          <w:sz w:val="20"/>
          <w:lang w:val="en-AU"/>
        </w:rPr>
        <w:t xml:space="preserve">Furthermore, most financial advisors will be bound by a professional association code of conduct.  For example, the majority of financial </w:t>
      </w:r>
      <w:r w:rsidR="00DC0E42">
        <w:rPr>
          <w:rFonts w:ascii="Arial" w:hAnsi="Arial"/>
          <w:sz w:val="20"/>
          <w:lang w:val="en-AU"/>
        </w:rPr>
        <w:t>adviser</w:t>
      </w:r>
      <w:r>
        <w:rPr>
          <w:rFonts w:ascii="Arial" w:hAnsi="Arial"/>
          <w:sz w:val="20"/>
          <w:lang w:val="en-AU"/>
        </w:rPr>
        <w:t xml:space="preserve">s </w:t>
      </w:r>
      <w:r w:rsidR="00B64E2D">
        <w:rPr>
          <w:rFonts w:ascii="Arial" w:hAnsi="Arial"/>
          <w:sz w:val="20"/>
          <w:lang w:val="en-AU"/>
        </w:rPr>
        <w:t xml:space="preserve">are SPAA, Financial Planning Association or Australian Financial Association members that are bound by codes of conduct which prescribe ethical behaviour and conduct standards for financial advisers.  We believe that the TPB recognising that advisers are bound by such a professional code, rather than overlaying the TPB code, can reduce compliance burdens without </w:t>
      </w:r>
      <w:r w:rsidR="00AC408D">
        <w:rPr>
          <w:rFonts w:ascii="Arial" w:hAnsi="Arial"/>
          <w:sz w:val="20"/>
          <w:lang w:val="en-AU"/>
        </w:rPr>
        <w:t>reducing the professional</w:t>
      </w:r>
      <w:r w:rsidR="00B64E2D">
        <w:rPr>
          <w:rFonts w:ascii="Arial" w:hAnsi="Arial"/>
          <w:sz w:val="20"/>
          <w:lang w:val="en-AU"/>
        </w:rPr>
        <w:t xml:space="preserve"> standards of</w:t>
      </w:r>
      <w:r w:rsidR="00DC0E42">
        <w:rPr>
          <w:rFonts w:ascii="Arial" w:hAnsi="Arial"/>
          <w:sz w:val="20"/>
          <w:lang w:val="en-AU"/>
        </w:rPr>
        <w:t xml:space="preserve"> </w:t>
      </w:r>
      <w:r w:rsidR="00DC0E42" w:rsidRPr="005B2069">
        <w:rPr>
          <w:rFonts w:ascii="Arial" w:hAnsi="Arial"/>
          <w:sz w:val="20"/>
          <w:lang w:val="en-AU"/>
        </w:rPr>
        <w:t>tax advice (financial product) services</w:t>
      </w:r>
      <w:r w:rsidR="00DC0E42">
        <w:rPr>
          <w:rFonts w:ascii="Arial" w:hAnsi="Arial"/>
          <w:sz w:val="20"/>
          <w:lang w:val="en-AU"/>
        </w:rPr>
        <w:t>.  A solution for the TPB may be to not require financial advisers to be bound by the TPB Code of Conduct where the adviser is a member of a recognised tax agent association or recognised tax (financial product) adviser association and are bound by that association’s code of conduct.</w:t>
      </w:r>
    </w:p>
    <w:p w:rsidR="00A00D9E" w:rsidRDefault="00A00D9E" w:rsidP="003E17B1">
      <w:pPr>
        <w:spacing w:line="276" w:lineRule="auto"/>
        <w:jc w:val="both"/>
        <w:rPr>
          <w:rFonts w:ascii="Arial" w:hAnsi="Arial"/>
          <w:sz w:val="20"/>
          <w:lang w:val="en-AU"/>
        </w:rPr>
      </w:pPr>
    </w:p>
    <w:p w:rsidR="0012307F" w:rsidRDefault="009667A1" w:rsidP="003E17B1">
      <w:pPr>
        <w:pageBreakBefore/>
        <w:spacing w:line="276" w:lineRule="auto"/>
        <w:jc w:val="both"/>
        <w:outlineLvl w:val="0"/>
        <w:rPr>
          <w:rFonts w:ascii="Arial" w:hAnsi="Arial"/>
          <w:b/>
          <w:sz w:val="20"/>
          <w:u w:val="single"/>
          <w:lang w:val="en-AU"/>
        </w:rPr>
      </w:pPr>
      <w:r>
        <w:rPr>
          <w:rFonts w:ascii="Arial" w:hAnsi="Arial"/>
          <w:b/>
          <w:sz w:val="20"/>
          <w:u w:val="single"/>
          <w:lang w:val="en-AU"/>
        </w:rPr>
        <w:lastRenderedPageBreak/>
        <w:t>Competency requirements</w:t>
      </w:r>
    </w:p>
    <w:p w:rsidR="00F94819" w:rsidRDefault="00F94819" w:rsidP="003E17B1">
      <w:pPr>
        <w:spacing w:line="276" w:lineRule="auto"/>
        <w:jc w:val="both"/>
        <w:rPr>
          <w:rFonts w:ascii="Arial" w:hAnsi="Arial"/>
          <w:b/>
          <w:sz w:val="20"/>
          <w:u w:val="single"/>
          <w:lang w:val="en-AU"/>
        </w:rPr>
      </w:pPr>
    </w:p>
    <w:p w:rsidR="00F94819" w:rsidRPr="00F94819" w:rsidRDefault="00F94819" w:rsidP="003E17B1">
      <w:pPr>
        <w:spacing w:line="276" w:lineRule="auto"/>
        <w:jc w:val="both"/>
        <w:rPr>
          <w:rFonts w:ascii="Arial" w:hAnsi="Arial"/>
          <w:sz w:val="20"/>
          <w:lang w:val="en-AU"/>
        </w:rPr>
      </w:pPr>
      <w:r>
        <w:rPr>
          <w:rFonts w:ascii="Arial" w:hAnsi="Arial"/>
          <w:sz w:val="20"/>
          <w:lang w:val="en-AU"/>
        </w:rPr>
        <w:t xml:space="preserve">SPAA believes that there should be adequate tax competency requirements for financial advisers providing </w:t>
      </w:r>
      <w:r w:rsidRPr="005B2069">
        <w:rPr>
          <w:rFonts w:ascii="Arial" w:hAnsi="Arial"/>
          <w:sz w:val="20"/>
          <w:lang w:val="en-AU"/>
        </w:rPr>
        <w:t>tax advice (financial product) services</w:t>
      </w:r>
      <w:r>
        <w:rPr>
          <w:rFonts w:ascii="Arial" w:hAnsi="Arial"/>
          <w:sz w:val="20"/>
          <w:lang w:val="en-AU"/>
        </w:rPr>
        <w:t xml:space="preserve">.  </w:t>
      </w:r>
      <w:r w:rsidR="00401E92">
        <w:rPr>
          <w:rFonts w:ascii="Arial" w:hAnsi="Arial"/>
          <w:sz w:val="20"/>
          <w:lang w:val="en-AU"/>
        </w:rPr>
        <w:t>We</w:t>
      </w:r>
      <w:r>
        <w:rPr>
          <w:rFonts w:ascii="Arial" w:hAnsi="Arial"/>
          <w:sz w:val="20"/>
          <w:lang w:val="en-AU"/>
        </w:rPr>
        <w:t xml:space="preserve"> agree with the broad outlines for </w:t>
      </w:r>
      <w:r w:rsidR="00401E92">
        <w:rPr>
          <w:rFonts w:ascii="Arial" w:hAnsi="Arial"/>
          <w:sz w:val="20"/>
          <w:lang w:val="en-AU"/>
        </w:rPr>
        <w:t>competency requirements without</w:t>
      </w:r>
      <w:r w:rsidR="00690942">
        <w:rPr>
          <w:rFonts w:ascii="Arial" w:hAnsi="Arial"/>
          <w:sz w:val="20"/>
          <w:lang w:val="en-AU"/>
        </w:rPr>
        <w:t xml:space="preserve"> knowing</w:t>
      </w:r>
      <w:r w:rsidR="00401E92">
        <w:rPr>
          <w:rFonts w:ascii="Arial" w:hAnsi="Arial"/>
          <w:sz w:val="20"/>
          <w:lang w:val="en-AU"/>
        </w:rPr>
        <w:t xml:space="preserve"> the specific requirements </w:t>
      </w:r>
      <w:r w:rsidR="00690942">
        <w:rPr>
          <w:rFonts w:ascii="Arial" w:hAnsi="Arial"/>
          <w:sz w:val="20"/>
          <w:lang w:val="en-AU"/>
        </w:rPr>
        <w:t xml:space="preserve">to be </w:t>
      </w:r>
      <w:r w:rsidR="00401E92">
        <w:rPr>
          <w:rFonts w:ascii="Arial" w:hAnsi="Arial"/>
          <w:sz w:val="20"/>
          <w:lang w:val="en-AU"/>
        </w:rPr>
        <w:t>listed by the TPB</w:t>
      </w:r>
      <w:r w:rsidR="00742E2F">
        <w:rPr>
          <w:rFonts w:ascii="Arial" w:hAnsi="Arial"/>
          <w:sz w:val="20"/>
          <w:lang w:val="en-AU"/>
        </w:rPr>
        <w:t xml:space="preserve"> and</w:t>
      </w:r>
      <w:r w:rsidR="00401E92">
        <w:rPr>
          <w:rFonts w:ascii="Arial" w:hAnsi="Arial"/>
          <w:sz w:val="20"/>
          <w:lang w:val="en-AU"/>
        </w:rPr>
        <w:t xml:space="preserve"> encourage the TPB to integrate its requirements with existing financial adviser licensing requirements as much as possible.</w:t>
      </w:r>
    </w:p>
    <w:p w:rsidR="009667A1" w:rsidRDefault="009667A1" w:rsidP="003E17B1">
      <w:pPr>
        <w:spacing w:line="276" w:lineRule="auto"/>
        <w:jc w:val="both"/>
        <w:rPr>
          <w:rFonts w:ascii="Arial" w:hAnsi="Arial"/>
          <w:sz w:val="20"/>
          <w:lang w:val="en-AU"/>
        </w:rPr>
      </w:pPr>
    </w:p>
    <w:p w:rsidR="00181304" w:rsidRDefault="00181304" w:rsidP="003E17B1">
      <w:pPr>
        <w:keepNext/>
        <w:spacing w:line="276" w:lineRule="auto"/>
        <w:jc w:val="both"/>
        <w:outlineLvl w:val="0"/>
        <w:rPr>
          <w:rFonts w:ascii="Arial" w:hAnsi="Arial"/>
          <w:b/>
          <w:bCs/>
          <w:sz w:val="20"/>
          <w:u w:val="single"/>
          <w:lang w:val="en-AU"/>
        </w:rPr>
      </w:pPr>
      <w:r>
        <w:rPr>
          <w:rFonts w:ascii="Arial" w:hAnsi="Arial"/>
          <w:b/>
          <w:bCs/>
          <w:sz w:val="20"/>
          <w:u w:val="single"/>
          <w:lang w:val="en-AU"/>
        </w:rPr>
        <w:t xml:space="preserve">AFSL authorised </w:t>
      </w:r>
      <w:r w:rsidR="009667A1">
        <w:rPr>
          <w:rFonts w:ascii="Arial" w:hAnsi="Arial"/>
          <w:b/>
          <w:bCs/>
          <w:sz w:val="20"/>
          <w:u w:val="single"/>
          <w:lang w:val="en-AU"/>
        </w:rPr>
        <w:t>representatives</w:t>
      </w:r>
      <w:r>
        <w:rPr>
          <w:rFonts w:ascii="Arial" w:hAnsi="Arial"/>
          <w:b/>
          <w:bCs/>
          <w:sz w:val="20"/>
          <w:u w:val="single"/>
          <w:lang w:val="en-AU"/>
        </w:rPr>
        <w:t xml:space="preserve"> </w:t>
      </w:r>
    </w:p>
    <w:p w:rsidR="00C170A8" w:rsidRDefault="00C170A8" w:rsidP="003E17B1">
      <w:pPr>
        <w:spacing w:line="276" w:lineRule="auto"/>
        <w:jc w:val="both"/>
        <w:rPr>
          <w:rFonts w:ascii="Arial" w:hAnsi="Arial"/>
          <w:b/>
          <w:bCs/>
          <w:sz w:val="20"/>
          <w:u w:val="single"/>
          <w:lang w:val="en-AU"/>
        </w:rPr>
      </w:pPr>
    </w:p>
    <w:p w:rsidR="00C170A8" w:rsidRDefault="00C170A8" w:rsidP="003E17B1">
      <w:pPr>
        <w:spacing w:line="276" w:lineRule="auto"/>
        <w:jc w:val="both"/>
        <w:rPr>
          <w:rFonts w:ascii="Arial" w:hAnsi="Arial"/>
          <w:bCs/>
          <w:sz w:val="20"/>
          <w:lang w:val="en-AU"/>
        </w:rPr>
      </w:pPr>
      <w:r>
        <w:rPr>
          <w:rFonts w:ascii="Arial" w:hAnsi="Arial"/>
          <w:bCs/>
          <w:sz w:val="20"/>
          <w:lang w:val="en-AU"/>
        </w:rPr>
        <w:t xml:space="preserve">SPAA is concerned that the registration model for companies and partnerships in the exposure draft does not reflect the AFSL authorised representative model prevalent in the financial advice industry.  The idea of a company or partnership proving to the TPB that they have a “sufficient” number of individuals </w:t>
      </w:r>
      <w:r w:rsidR="002A761F" w:rsidRPr="002A761F">
        <w:rPr>
          <w:rFonts w:ascii="Arial" w:hAnsi="Arial"/>
          <w:bCs/>
          <w:sz w:val="20"/>
          <w:lang w:val="en-AU"/>
        </w:rPr>
        <w:t>who are registered as either tax (financial product) advisers or</w:t>
      </w:r>
      <w:r w:rsidR="002A761F">
        <w:rPr>
          <w:rFonts w:ascii="Arial" w:hAnsi="Arial"/>
          <w:bCs/>
          <w:sz w:val="20"/>
          <w:lang w:val="en-AU"/>
        </w:rPr>
        <w:t xml:space="preserve"> tax agents, and can </w:t>
      </w:r>
      <w:r w:rsidR="002A761F" w:rsidRPr="002A761F">
        <w:rPr>
          <w:rFonts w:ascii="Arial" w:hAnsi="Arial"/>
          <w:bCs/>
          <w:sz w:val="20"/>
          <w:lang w:val="en-AU"/>
        </w:rPr>
        <w:t>provide tax advice (financial product) services</w:t>
      </w:r>
      <w:r w:rsidR="002A761F">
        <w:rPr>
          <w:rFonts w:ascii="Arial" w:hAnsi="Arial"/>
          <w:bCs/>
          <w:sz w:val="20"/>
          <w:lang w:val="en-AU"/>
        </w:rPr>
        <w:t xml:space="preserve"> </w:t>
      </w:r>
      <w:r w:rsidR="002A761F" w:rsidRPr="002A761F">
        <w:rPr>
          <w:rFonts w:ascii="Arial" w:hAnsi="Arial"/>
          <w:bCs/>
          <w:sz w:val="20"/>
          <w:lang w:val="en-AU"/>
        </w:rPr>
        <w:t>to a competent standard</w:t>
      </w:r>
      <w:r w:rsidR="002A761F">
        <w:rPr>
          <w:rFonts w:ascii="Arial" w:hAnsi="Arial"/>
          <w:bCs/>
          <w:sz w:val="20"/>
          <w:lang w:val="en-AU"/>
        </w:rPr>
        <w:t xml:space="preserve"> or supervise to that effect does not fit with the AFSL authorised representative model.  Instead, this appears to be more focused </w:t>
      </w:r>
      <w:r w:rsidR="00803473">
        <w:rPr>
          <w:rFonts w:ascii="Arial" w:hAnsi="Arial"/>
          <w:bCs/>
          <w:sz w:val="20"/>
          <w:lang w:val="en-AU"/>
        </w:rPr>
        <w:t>to an accounting firm structure where partners supervise and are responsible for advice.</w:t>
      </w:r>
    </w:p>
    <w:p w:rsidR="00315F84" w:rsidRDefault="00315F84" w:rsidP="003E17B1">
      <w:pPr>
        <w:spacing w:line="276" w:lineRule="auto"/>
        <w:jc w:val="both"/>
        <w:rPr>
          <w:rFonts w:ascii="Arial" w:hAnsi="Arial"/>
          <w:bCs/>
          <w:sz w:val="20"/>
          <w:lang w:val="en-AU"/>
        </w:rPr>
      </w:pPr>
    </w:p>
    <w:p w:rsidR="00315F84" w:rsidRPr="00C170A8" w:rsidRDefault="00315F84" w:rsidP="003E17B1">
      <w:pPr>
        <w:spacing w:line="276" w:lineRule="auto"/>
        <w:jc w:val="both"/>
        <w:rPr>
          <w:rFonts w:ascii="Arial" w:hAnsi="Arial"/>
          <w:sz w:val="20"/>
          <w:lang w:val="en-AU"/>
        </w:rPr>
      </w:pPr>
      <w:r>
        <w:rPr>
          <w:rFonts w:ascii="Arial" w:hAnsi="Arial"/>
          <w:bCs/>
          <w:sz w:val="20"/>
          <w:lang w:val="en-AU"/>
        </w:rPr>
        <w:t>We believe Treasury and the TPB should consult with industry to find a registration model that better suits the AFSL authorised representative business model.  This may include a registration model focussing on AFSL licensees who are ultimately responsible for their authorised representatives’ competencies, supervision and standard of advice.</w:t>
      </w:r>
    </w:p>
    <w:sectPr w:rsidR="00315F84" w:rsidRPr="00C170A8" w:rsidSect="00D36C09">
      <w:headerReference w:type="default" r:id="rId15"/>
      <w:headerReference w:type="first" r:id="rId16"/>
      <w:footerReference w:type="first" r:id="rId17"/>
      <w:pgSz w:w="11901" w:h="16840"/>
      <w:pgMar w:top="2694" w:right="851" w:bottom="1560" w:left="2268" w:header="709" w:footer="661" w:gutter="0"/>
      <w:cols w:space="708"/>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F3B" w:rsidRDefault="00FF1F3B">
      <w:r>
        <w:separator/>
      </w:r>
    </w:p>
  </w:endnote>
  <w:endnote w:type="continuationSeparator" w:id="0">
    <w:p w:rsidR="00FF1F3B" w:rsidRDefault="00FF1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45" w:rsidRPr="00A01754" w:rsidRDefault="00600044">
    <w:pPr>
      <w:pStyle w:val="Footer"/>
      <w:jc w:val="center"/>
      <w:rPr>
        <w:rFonts w:ascii="Arial" w:hAnsi="Arial" w:cs="Arial"/>
        <w:sz w:val="16"/>
      </w:rPr>
    </w:pPr>
    <w:r w:rsidRPr="00A01754">
      <w:rPr>
        <w:rFonts w:ascii="Arial" w:hAnsi="Arial" w:cs="Arial"/>
        <w:sz w:val="16"/>
      </w:rPr>
      <w:fldChar w:fldCharType="begin"/>
    </w:r>
    <w:r w:rsidR="00035445" w:rsidRPr="00A01754">
      <w:rPr>
        <w:rFonts w:ascii="Arial" w:hAnsi="Arial" w:cs="Arial"/>
        <w:sz w:val="16"/>
      </w:rPr>
      <w:instrText xml:space="preserve"> PAGE   \* MERGEFORMAT </w:instrText>
    </w:r>
    <w:r w:rsidRPr="00A01754">
      <w:rPr>
        <w:rFonts w:ascii="Arial" w:hAnsi="Arial" w:cs="Arial"/>
        <w:sz w:val="16"/>
      </w:rPr>
      <w:fldChar w:fldCharType="separate"/>
    </w:r>
    <w:r w:rsidR="002A4D6B">
      <w:rPr>
        <w:rFonts w:ascii="Arial" w:hAnsi="Arial" w:cs="Arial"/>
        <w:noProof/>
        <w:sz w:val="16"/>
      </w:rPr>
      <w:t>2</w:t>
    </w:r>
    <w:r w:rsidRPr="00A01754">
      <w:rPr>
        <w:rFonts w:ascii="Arial" w:hAnsi="Arial" w:cs="Arial"/>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45" w:rsidRPr="00A01754" w:rsidRDefault="00600044">
    <w:pPr>
      <w:pStyle w:val="Footer"/>
      <w:jc w:val="center"/>
      <w:rPr>
        <w:rFonts w:ascii="Arial" w:hAnsi="Arial" w:cs="Arial"/>
        <w:sz w:val="16"/>
      </w:rPr>
    </w:pPr>
    <w:r w:rsidRPr="00A01754">
      <w:rPr>
        <w:rFonts w:ascii="Arial" w:hAnsi="Arial" w:cs="Arial"/>
        <w:sz w:val="16"/>
      </w:rPr>
      <w:fldChar w:fldCharType="begin"/>
    </w:r>
    <w:r w:rsidR="00035445" w:rsidRPr="00A01754">
      <w:rPr>
        <w:rFonts w:ascii="Arial" w:hAnsi="Arial" w:cs="Arial"/>
        <w:sz w:val="16"/>
      </w:rPr>
      <w:instrText xml:space="preserve"> PAGE   \* MERGEFORMAT </w:instrText>
    </w:r>
    <w:r w:rsidRPr="00A01754">
      <w:rPr>
        <w:rFonts w:ascii="Arial" w:hAnsi="Arial" w:cs="Arial"/>
        <w:sz w:val="16"/>
      </w:rPr>
      <w:fldChar w:fldCharType="separate"/>
    </w:r>
    <w:r w:rsidR="002A4D6B">
      <w:rPr>
        <w:rFonts w:ascii="Arial" w:hAnsi="Arial" w:cs="Arial"/>
        <w:noProof/>
        <w:sz w:val="16"/>
      </w:rPr>
      <w:t>3</w:t>
    </w:r>
    <w:r w:rsidRPr="00A01754">
      <w:rPr>
        <w:rFonts w:ascii="Arial" w:hAnsi="Arial" w:cs="Arial"/>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45" w:rsidRDefault="00035445">
    <w:pPr>
      <w:pStyle w:val="Footer"/>
    </w:pPr>
    <w:r>
      <w:rPr>
        <w:noProof/>
        <w:lang w:val="en-AU" w:eastAsia="en-AU"/>
      </w:rPr>
      <w:drawing>
        <wp:inline distT="0" distB="0" distL="0" distR="0" wp14:anchorId="609D0959" wp14:editId="037C837D">
          <wp:extent cx="5486400" cy="466090"/>
          <wp:effectExtent l="0" t="0" r="0" b="0"/>
          <wp:docPr id="12" name="Picture 15" descr="SPAA 746_Details_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AA 746_Details_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6609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45" w:rsidRDefault="000354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F3B" w:rsidRDefault="00FF1F3B">
      <w:r>
        <w:separator/>
      </w:r>
    </w:p>
  </w:footnote>
  <w:footnote w:type="continuationSeparator" w:id="0">
    <w:p w:rsidR="00FF1F3B" w:rsidRDefault="00FF1F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45" w:rsidRDefault="00035445" w:rsidP="00D828B9">
    <w:pPr>
      <w:pStyle w:val="Header"/>
      <w:jc w:val="right"/>
    </w:pPr>
    <w:r>
      <w:rPr>
        <w:noProof/>
        <w:lang w:val="en-AU" w:eastAsia="en-AU"/>
      </w:rPr>
      <w:drawing>
        <wp:anchor distT="0" distB="0" distL="114300" distR="114300" simplePos="0" relativeHeight="251660288" behindDoc="0" locked="1" layoutInCell="1" allowOverlap="0" wp14:anchorId="03AAAF67" wp14:editId="4617AD21">
          <wp:simplePos x="0" y="0"/>
          <wp:positionH relativeFrom="column">
            <wp:posOffset>-457200</wp:posOffset>
          </wp:positionH>
          <wp:positionV relativeFrom="page">
            <wp:posOffset>396240</wp:posOffset>
          </wp:positionV>
          <wp:extent cx="907200" cy="1040400"/>
          <wp:effectExtent l="0" t="0" r="7620" b="7620"/>
          <wp:wrapNone/>
          <wp:docPr id="10" name="Picture 13" descr="SPAA_Logo_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A_Logo_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200" cy="10404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45" w:rsidRDefault="00035445" w:rsidP="00FD55F2">
    <w:pPr>
      <w:pStyle w:val="Header"/>
      <w:tabs>
        <w:tab w:val="clear" w:pos="4320"/>
        <w:tab w:val="clear" w:pos="8640"/>
        <w:tab w:val="left" w:pos="308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45" w:rsidRDefault="00035445">
    <w:pPr>
      <w:pStyle w:val="Header"/>
    </w:pPr>
    <w:r>
      <w:rPr>
        <w:noProof/>
        <w:lang w:val="en-AU" w:eastAsia="en-AU"/>
      </w:rPr>
      <w:drawing>
        <wp:anchor distT="0" distB="0" distL="114300" distR="114300" simplePos="0" relativeHeight="251662336" behindDoc="0" locked="1" layoutInCell="1" allowOverlap="0" wp14:anchorId="155992FF" wp14:editId="28690978">
          <wp:simplePos x="0" y="0"/>
          <wp:positionH relativeFrom="column">
            <wp:posOffset>-457200</wp:posOffset>
          </wp:positionH>
          <wp:positionV relativeFrom="page">
            <wp:posOffset>394970</wp:posOffset>
          </wp:positionV>
          <wp:extent cx="907200" cy="1040400"/>
          <wp:effectExtent l="0" t="0" r="7620" b="7620"/>
          <wp:wrapNone/>
          <wp:docPr id="11" name="Picture 14" descr="SPAA_Logo_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A_Logo_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200" cy="10404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45" w:rsidRDefault="00035445" w:rsidP="00FD55F2">
    <w:pPr>
      <w:pStyle w:val="Header"/>
      <w:tabs>
        <w:tab w:val="clear" w:pos="4320"/>
        <w:tab w:val="clear" w:pos="8640"/>
        <w:tab w:val="left" w:pos="3088"/>
      </w:tabs>
    </w:pPr>
    <w:r>
      <w:rPr>
        <w:noProof/>
        <w:lang w:val="en-AU" w:eastAsia="en-AU"/>
      </w:rPr>
      <w:drawing>
        <wp:anchor distT="0" distB="0" distL="114300" distR="114300" simplePos="0" relativeHeight="251680768" behindDoc="0" locked="1" layoutInCell="1" allowOverlap="0">
          <wp:simplePos x="0" y="0"/>
          <wp:positionH relativeFrom="column">
            <wp:posOffset>-457200</wp:posOffset>
          </wp:positionH>
          <wp:positionV relativeFrom="page">
            <wp:posOffset>396240</wp:posOffset>
          </wp:positionV>
          <wp:extent cx="907200" cy="1040400"/>
          <wp:effectExtent l="0" t="0" r="7620" b="7620"/>
          <wp:wrapNone/>
          <wp:docPr id="8" name="Picture 13" descr="SPAA_Logo_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A_Logo_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200" cy="1040400"/>
                  </a:xfrm>
                  <a:prstGeom prst="rect">
                    <a:avLst/>
                  </a:prstGeom>
                  <a:noFill/>
                </pic:spPr>
              </pic:pic>
            </a:graphicData>
          </a:graphic>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45" w:rsidRPr="00F8492E" w:rsidRDefault="00035445" w:rsidP="00F8492E">
    <w:pPr>
      <w:pStyle w:val="Header"/>
      <w:jc w:val="right"/>
      <w:rPr>
        <w:b/>
      </w:rPr>
    </w:pPr>
    <w:r w:rsidRPr="00A11045">
      <w:rPr>
        <w:b/>
        <w:noProof/>
        <w:sz w:val="32"/>
        <w:lang w:val="en-AU" w:eastAsia="en-AU"/>
      </w:rPr>
      <w:drawing>
        <wp:anchor distT="0" distB="0" distL="114300" distR="114300" simplePos="0" relativeHeight="251676672" behindDoc="0" locked="1" layoutInCell="1" allowOverlap="0">
          <wp:simplePos x="0" y="0"/>
          <wp:positionH relativeFrom="column">
            <wp:posOffset>-457200</wp:posOffset>
          </wp:positionH>
          <wp:positionV relativeFrom="page">
            <wp:posOffset>396240</wp:posOffset>
          </wp:positionV>
          <wp:extent cx="907200" cy="1040400"/>
          <wp:effectExtent l="0" t="0" r="7620" b="7620"/>
          <wp:wrapNone/>
          <wp:docPr id="6" name="Picture 13" descr="SPAA_Logo_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A_Logo_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200" cy="1040400"/>
                  </a:xfrm>
                  <a:prstGeom prst="rect">
                    <a:avLst/>
                  </a:prstGeom>
                  <a:noFill/>
                </pic:spPr>
              </pic:pic>
            </a:graphicData>
          </a:graphic>
        </wp:anchor>
      </w:drawing>
    </w:r>
    <w:r w:rsidRPr="00A11045">
      <w:rPr>
        <w:b/>
        <w:sz w:val="32"/>
      </w:rPr>
      <w:t>ATTACHMENT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65C9F"/>
    <w:multiLevelType w:val="hybridMultilevel"/>
    <w:tmpl w:val="2DAC7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7D4347"/>
    <w:multiLevelType w:val="hybridMultilevel"/>
    <w:tmpl w:val="7C8EEAD6"/>
    <w:lvl w:ilvl="0" w:tplc="0C090003">
      <w:start w:val="1"/>
      <w:numFmt w:val="bullet"/>
      <w:lvlText w:val="o"/>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nsid w:val="118016B3"/>
    <w:multiLevelType w:val="hybridMultilevel"/>
    <w:tmpl w:val="E9BA1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CB56A4"/>
    <w:multiLevelType w:val="hybridMultilevel"/>
    <w:tmpl w:val="225A4F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18FC320A"/>
    <w:multiLevelType w:val="hybridMultilevel"/>
    <w:tmpl w:val="ED240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B0836FF"/>
    <w:multiLevelType w:val="hybridMultilevel"/>
    <w:tmpl w:val="145C9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313B0F"/>
    <w:multiLevelType w:val="hybridMultilevel"/>
    <w:tmpl w:val="DFD22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6053C32"/>
    <w:multiLevelType w:val="hybridMultilevel"/>
    <w:tmpl w:val="0FAA45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6CE6885"/>
    <w:multiLevelType w:val="hybridMultilevel"/>
    <w:tmpl w:val="BEDCA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A04256E"/>
    <w:multiLevelType w:val="hybridMultilevel"/>
    <w:tmpl w:val="400C7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B714443"/>
    <w:multiLevelType w:val="hybridMultilevel"/>
    <w:tmpl w:val="17D23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8249D5"/>
    <w:multiLevelType w:val="hybridMultilevel"/>
    <w:tmpl w:val="57BC3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AD26FC"/>
    <w:multiLevelType w:val="hybridMultilevel"/>
    <w:tmpl w:val="8E5019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9C20171"/>
    <w:multiLevelType w:val="hybridMultilevel"/>
    <w:tmpl w:val="1B0E6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B167F5"/>
    <w:multiLevelType w:val="hybridMultilevel"/>
    <w:tmpl w:val="4698A300"/>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3CF65F5D"/>
    <w:multiLevelType w:val="multilevel"/>
    <w:tmpl w:val="A0CA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C72EF3"/>
    <w:multiLevelType w:val="hybridMultilevel"/>
    <w:tmpl w:val="D0B40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0BE6B69"/>
    <w:multiLevelType w:val="hybridMultilevel"/>
    <w:tmpl w:val="EA86C4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4836153A"/>
    <w:multiLevelType w:val="hybridMultilevel"/>
    <w:tmpl w:val="EF508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F263585"/>
    <w:multiLevelType w:val="hybridMultilevel"/>
    <w:tmpl w:val="D1C057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nsid w:val="513A6F08"/>
    <w:multiLevelType w:val="hybridMultilevel"/>
    <w:tmpl w:val="A348B45E"/>
    <w:lvl w:ilvl="0" w:tplc="0C09000F">
      <w:start w:val="1"/>
      <w:numFmt w:val="decimal"/>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40100A6"/>
    <w:multiLevelType w:val="hybridMultilevel"/>
    <w:tmpl w:val="D3503AF4"/>
    <w:lvl w:ilvl="0" w:tplc="D456838A">
      <w:start w:val="1"/>
      <w:numFmt w:val="lowerLetter"/>
      <w:lvlText w:val="(%1)"/>
      <w:lvlJc w:val="left"/>
      <w:pPr>
        <w:ind w:left="1530" w:hanging="360"/>
      </w:pPr>
      <w:rPr>
        <w:rFonts w:cs="Times New Roman" w:hint="default"/>
      </w:rPr>
    </w:lvl>
    <w:lvl w:ilvl="1" w:tplc="0C090019" w:tentative="1">
      <w:start w:val="1"/>
      <w:numFmt w:val="lowerLetter"/>
      <w:lvlText w:val="%2."/>
      <w:lvlJc w:val="left"/>
      <w:pPr>
        <w:ind w:left="2250" w:hanging="360"/>
      </w:pPr>
      <w:rPr>
        <w:rFonts w:cs="Times New Roman"/>
      </w:rPr>
    </w:lvl>
    <w:lvl w:ilvl="2" w:tplc="0C09001B" w:tentative="1">
      <w:start w:val="1"/>
      <w:numFmt w:val="lowerRoman"/>
      <w:lvlText w:val="%3."/>
      <w:lvlJc w:val="right"/>
      <w:pPr>
        <w:ind w:left="2970" w:hanging="180"/>
      </w:pPr>
      <w:rPr>
        <w:rFonts w:cs="Times New Roman"/>
      </w:rPr>
    </w:lvl>
    <w:lvl w:ilvl="3" w:tplc="0C09000F" w:tentative="1">
      <w:start w:val="1"/>
      <w:numFmt w:val="decimal"/>
      <w:lvlText w:val="%4."/>
      <w:lvlJc w:val="left"/>
      <w:pPr>
        <w:ind w:left="3690" w:hanging="360"/>
      </w:pPr>
      <w:rPr>
        <w:rFonts w:cs="Times New Roman"/>
      </w:rPr>
    </w:lvl>
    <w:lvl w:ilvl="4" w:tplc="0C090019" w:tentative="1">
      <w:start w:val="1"/>
      <w:numFmt w:val="lowerLetter"/>
      <w:lvlText w:val="%5."/>
      <w:lvlJc w:val="left"/>
      <w:pPr>
        <w:ind w:left="4410" w:hanging="360"/>
      </w:pPr>
      <w:rPr>
        <w:rFonts w:cs="Times New Roman"/>
      </w:rPr>
    </w:lvl>
    <w:lvl w:ilvl="5" w:tplc="0C09001B" w:tentative="1">
      <w:start w:val="1"/>
      <w:numFmt w:val="lowerRoman"/>
      <w:lvlText w:val="%6."/>
      <w:lvlJc w:val="right"/>
      <w:pPr>
        <w:ind w:left="5130" w:hanging="180"/>
      </w:pPr>
      <w:rPr>
        <w:rFonts w:cs="Times New Roman"/>
      </w:rPr>
    </w:lvl>
    <w:lvl w:ilvl="6" w:tplc="0C09000F" w:tentative="1">
      <w:start w:val="1"/>
      <w:numFmt w:val="decimal"/>
      <w:lvlText w:val="%7."/>
      <w:lvlJc w:val="left"/>
      <w:pPr>
        <w:ind w:left="5850" w:hanging="360"/>
      </w:pPr>
      <w:rPr>
        <w:rFonts w:cs="Times New Roman"/>
      </w:rPr>
    </w:lvl>
    <w:lvl w:ilvl="7" w:tplc="0C090019" w:tentative="1">
      <w:start w:val="1"/>
      <w:numFmt w:val="lowerLetter"/>
      <w:lvlText w:val="%8."/>
      <w:lvlJc w:val="left"/>
      <w:pPr>
        <w:ind w:left="6570" w:hanging="360"/>
      </w:pPr>
      <w:rPr>
        <w:rFonts w:cs="Times New Roman"/>
      </w:rPr>
    </w:lvl>
    <w:lvl w:ilvl="8" w:tplc="0C09001B" w:tentative="1">
      <w:start w:val="1"/>
      <w:numFmt w:val="lowerRoman"/>
      <w:lvlText w:val="%9."/>
      <w:lvlJc w:val="right"/>
      <w:pPr>
        <w:ind w:left="7290" w:hanging="180"/>
      </w:pPr>
      <w:rPr>
        <w:rFonts w:cs="Times New Roman"/>
      </w:rPr>
    </w:lvl>
  </w:abstractNum>
  <w:abstractNum w:abstractNumId="22">
    <w:nsid w:val="568857D1"/>
    <w:multiLevelType w:val="hybridMultilevel"/>
    <w:tmpl w:val="4DBCA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9CC287F"/>
    <w:multiLevelType w:val="hybridMultilevel"/>
    <w:tmpl w:val="B2D29A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F08797A"/>
    <w:multiLevelType w:val="hybridMultilevel"/>
    <w:tmpl w:val="33048AF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63D23446"/>
    <w:multiLevelType w:val="hybridMultilevel"/>
    <w:tmpl w:val="BB36B012"/>
    <w:lvl w:ilvl="0" w:tplc="0C09000F">
      <w:start w:val="1"/>
      <w:numFmt w:val="decimal"/>
      <w:lvlText w:val="%1."/>
      <w:lvlJc w:val="left"/>
      <w:pPr>
        <w:ind w:left="360"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26">
    <w:nsid w:val="643354D1"/>
    <w:multiLevelType w:val="hybridMultilevel"/>
    <w:tmpl w:val="5D32C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50D6DCF"/>
    <w:multiLevelType w:val="hybridMultilevel"/>
    <w:tmpl w:val="727EAD9E"/>
    <w:lvl w:ilvl="0" w:tplc="0C090003">
      <w:start w:val="1"/>
      <w:numFmt w:val="bullet"/>
      <w:lvlText w:val="o"/>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nsid w:val="65CD446E"/>
    <w:multiLevelType w:val="multilevel"/>
    <w:tmpl w:val="C874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6F21A7"/>
    <w:multiLevelType w:val="hybridMultilevel"/>
    <w:tmpl w:val="66E01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EF16E44"/>
    <w:multiLevelType w:val="multilevel"/>
    <w:tmpl w:val="FCD0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531EE0"/>
    <w:multiLevelType w:val="hybridMultilevel"/>
    <w:tmpl w:val="6306457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0A12197"/>
    <w:multiLevelType w:val="hybridMultilevel"/>
    <w:tmpl w:val="3B4E6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3FF47BA"/>
    <w:multiLevelType w:val="hybridMultilevel"/>
    <w:tmpl w:val="C0EE24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75A86F36"/>
    <w:multiLevelType w:val="hybridMultilevel"/>
    <w:tmpl w:val="76DEA5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7E8A38AB"/>
    <w:multiLevelType w:val="hybridMultilevel"/>
    <w:tmpl w:val="7968F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2"/>
  </w:num>
  <w:num w:numId="2">
    <w:abstractNumId w:val="14"/>
  </w:num>
  <w:num w:numId="3">
    <w:abstractNumId w:val="26"/>
  </w:num>
  <w:num w:numId="4">
    <w:abstractNumId w:val="1"/>
  </w:num>
  <w:num w:numId="5">
    <w:abstractNumId w:val="27"/>
  </w:num>
  <w:num w:numId="6">
    <w:abstractNumId w:val="15"/>
  </w:num>
  <w:num w:numId="7">
    <w:abstractNumId w:val="24"/>
  </w:num>
  <w:num w:numId="8">
    <w:abstractNumId w:val="21"/>
  </w:num>
  <w:num w:numId="9">
    <w:abstractNumId w:val="2"/>
  </w:num>
  <w:num w:numId="10">
    <w:abstractNumId w:val="20"/>
  </w:num>
  <w:num w:numId="11">
    <w:abstractNumId w:val="18"/>
  </w:num>
  <w:num w:numId="12">
    <w:abstractNumId w:val="18"/>
  </w:num>
  <w:num w:numId="13">
    <w:abstractNumId w:val="9"/>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30"/>
  </w:num>
  <w:num w:numId="17">
    <w:abstractNumId w:val="28"/>
  </w:num>
  <w:num w:numId="18">
    <w:abstractNumId w:val="34"/>
  </w:num>
  <w:num w:numId="19">
    <w:abstractNumId w:val="11"/>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4"/>
  </w:num>
  <w:num w:numId="23">
    <w:abstractNumId w:val="6"/>
  </w:num>
  <w:num w:numId="24">
    <w:abstractNumId w:val="35"/>
  </w:num>
  <w:num w:numId="25">
    <w:abstractNumId w:val="8"/>
  </w:num>
  <w:num w:numId="26">
    <w:abstractNumId w:val="7"/>
  </w:num>
  <w:num w:numId="27">
    <w:abstractNumId w:val="23"/>
  </w:num>
  <w:num w:numId="28">
    <w:abstractNumId w:val="10"/>
  </w:num>
  <w:num w:numId="29">
    <w:abstractNumId w:val="12"/>
  </w:num>
  <w:num w:numId="30">
    <w:abstractNumId w:val="31"/>
  </w:num>
  <w:num w:numId="31">
    <w:abstractNumId w:val="0"/>
  </w:num>
  <w:num w:numId="32">
    <w:abstractNumId w:val="22"/>
  </w:num>
  <w:num w:numId="33">
    <w:abstractNumId w:val="16"/>
  </w:num>
  <w:num w:numId="34">
    <w:abstractNumId w:val="17"/>
  </w:num>
  <w:num w:numId="35">
    <w:abstractNumId w:val="3"/>
  </w:num>
  <w:num w:numId="36">
    <w:abstractNumId w:val="33"/>
  </w:num>
  <w:num w:numId="37">
    <w:abstractNumId w:val="13"/>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3"/>
    <w:rsid w:val="00001052"/>
    <w:rsid w:val="00001FAA"/>
    <w:rsid w:val="00002F91"/>
    <w:rsid w:val="0000334D"/>
    <w:rsid w:val="0000732A"/>
    <w:rsid w:val="00007BD1"/>
    <w:rsid w:val="00010A95"/>
    <w:rsid w:val="00011264"/>
    <w:rsid w:val="00012986"/>
    <w:rsid w:val="00014382"/>
    <w:rsid w:val="0002245A"/>
    <w:rsid w:val="00023C69"/>
    <w:rsid w:val="00025C4A"/>
    <w:rsid w:val="0003320A"/>
    <w:rsid w:val="000341CB"/>
    <w:rsid w:val="00034F49"/>
    <w:rsid w:val="00035445"/>
    <w:rsid w:val="00036ADA"/>
    <w:rsid w:val="00037536"/>
    <w:rsid w:val="00041A65"/>
    <w:rsid w:val="00043530"/>
    <w:rsid w:val="00044D92"/>
    <w:rsid w:val="000463BE"/>
    <w:rsid w:val="00051730"/>
    <w:rsid w:val="0005348A"/>
    <w:rsid w:val="00054883"/>
    <w:rsid w:val="00054A50"/>
    <w:rsid w:val="00055C14"/>
    <w:rsid w:val="00062B8E"/>
    <w:rsid w:val="00064166"/>
    <w:rsid w:val="00066F43"/>
    <w:rsid w:val="000704EF"/>
    <w:rsid w:val="000710CE"/>
    <w:rsid w:val="00071A97"/>
    <w:rsid w:val="0007560F"/>
    <w:rsid w:val="00080689"/>
    <w:rsid w:val="000852E2"/>
    <w:rsid w:val="000856FB"/>
    <w:rsid w:val="00090D17"/>
    <w:rsid w:val="00091A20"/>
    <w:rsid w:val="000920D3"/>
    <w:rsid w:val="000932CB"/>
    <w:rsid w:val="00095C07"/>
    <w:rsid w:val="000968ED"/>
    <w:rsid w:val="0009730B"/>
    <w:rsid w:val="000A1430"/>
    <w:rsid w:val="000A2F0D"/>
    <w:rsid w:val="000B080D"/>
    <w:rsid w:val="000B2FB7"/>
    <w:rsid w:val="000B6554"/>
    <w:rsid w:val="000C041A"/>
    <w:rsid w:val="000C15E7"/>
    <w:rsid w:val="000C2977"/>
    <w:rsid w:val="000C3167"/>
    <w:rsid w:val="000C3630"/>
    <w:rsid w:val="000C48DE"/>
    <w:rsid w:val="000D5A96"/>
    <w:rsid w:val="000E17BA"/>
    <w:rsid w:val="000E3873"/>
    <w:rsid w:val="000E38CA"/>
    <w:rsid w:val="000E39A4"/>
    <w:rsid w:val="000E595E"/>
    <w:rsid w:val="000E6215"/>
    <w:rsid w:val="000F2D51"/>
    <w:rsid w:val="000F5B31"/>
    <w:rsid w:val="00101FA8"/>
    <w:rsid w:val="00104A8B"/>
    <w:rsid w:val="00110FE9"/>
    <w:rsid w:val="00111DE1"/>
    <w:rsid w:val="001130B5"/>
    <w:rsid w:val="001131A2"/>
    <w:rsid w:val="00117BCF"/>
    <w:rsid w:val="00120361"/>
    <w:rsid w:val="0012307F"/>
    <w:rsid w:val="00125C6E"/>
    <w:rsid w:val="00126D3D"/>
    <w:rsid w:val="00130CC8"/>
    <w:rsid w:val="0013247E"/>
    <w:rsid w:val="00137C99"/>
    <w:rsid w:val="001437D4"/>
    <w:rsid w:val="001443B9"/>
    <w:rsid w:val="00144914"/>
    <w:rsid w:val="00146F0F"/>
    <w:rsid w:val="001501B4"/>
    <w:rsid w:val="00153736"/>
    <w:rsid w:val="00154C12"/>
    <w:rsid w:val="0016072A"/>
    <w:rsid w:val="00160941"/>
    <w:rsid w:val="001615F1"/>
    <w:rsid w:val="001616E2"/>
    <w:rsid w:val="00163FD2"/>
    <w:rsid w:val="00165F33"/>
    <w:rsid w:val="00166267"/>
    <w:rsid w:val="00166F45"/>
    <w:rsid w:val="00171713"/>
    <w:rsid w:val="0017272D"/>
    <w:rsid w:val="00175055"/>
    <w:rsid w:val="001755E9"/>
    <w:rsid w:val="00176539"/>
    <w:rsid w:val="00181304"/>
    <w:rsid w:val="00181C42"/>
    <w:rsid w:val="001846A6"/>
    <w:rsid w:val="001855C8"/>
    <w:rsid w:val="001855F3"/>
    <w:rsid w:val="0018712D"/>
    <w:rsid w:val="001871A5"/>
    <w:rsid w:val="00192BFA"/>
    <w:rsid w:val="00193A5E"/>
    <w:rsid w:val="00193FB8"/>
    <w:rsid w:val="00196A94"/>
    <w:rsid w:val="00196DCD"/>
    <w:rsid w:val="001979BB"/>
    <w:rsid w:val="001A31F9"/>
    <w:rsid w:val="001A35A4"/>
    <w:rsid w:val="001A398A"/>
    <w:rsid w:val="001A7272"/>
    <w:rsid w:val="001A75B9"/>
    <w:rsid w:val="001B0661"/>
    <w:rsid w:val="001B382F"/>
    <w:rsid w:val="001B43AF"/>
    <w:rsid w:val="001B63B2"/>
    <w:rsid w:val="001B7019"/>
    <w:rsid w:val="001C0289"/>
    <w:rsid w:val="001C0290"/>
    <w:rsid w:val="001C5C03"/>
    <w:rsid w:val="001C71A8"/>
    <w:rsid w:val="001D013E"/>
    <w:rsid w:val="001D1938"/>
    <w:rsid w:val="001E1BB7"/>
    <w:rsid w:val="001E256C"/>
    <w:rsid w:val="001E29EC"/>
    <w:rsid w:val="001E332F"/>
    <w:rsid w:val="001F5983"/>
    <w:rsid w:val="001F77BB"/>
    <w:rsid w:val="00200F9F"/>
    <w:rsid w:val="0020681C"/>
    <w:rsid w:val="002069BF"/>
    <w:rsid w:val="0020787E"/>
    <w:rsid w:val="00207DD9"/>
    <w:rsid w:val="00207F15"/>
    <w:rsid w:val="00211E4B"/>
    <w:rsid w:val="0021256B"/>
    <w:rsid w:val="00216FB6"/>
    <w:rsid w:val="0022472B"/>
    <w:rsid w:val="00224F0A"/>
    <w:rsid w:val="00226F36"/>
    <w:rsid w:val="002309D4"/>
    <w:rsid w:val="00230F81"/>
    <w:rsid w:val="0023133A"/>
    <w:rsid w:val="002315B5"/>
    <w:rsid w:val="00233CF9"/>
    <w:rsid w:val="00235909"/>
    <w:rsid w:val="00236B06"/>
    <w:rsid w:val="002432CF"/>
    <w:rsid w:val="0024507B"/>
    <w:rsid w:val="00245A7B"/>
    <w:rsid w:val="002461C4"/>
    <w:rsid w:val="00253F94"/>
    <w:rsid w:val="002570D2"/>
    <w:rsid w:val="0026033C"/>
    <w:rsid w:val="00261274"/>
    <w:rsid w:val="0026641B"/>
    <w:rsid w:val="00266C13"/>
    <w:rsid w:val="00271151"/>
    <w:rsid w:val="002714CC"/>
    <w:rsid w:val="00274042"/>
    <w:rsid w:val="00280262"/>
    <w:rsid w:val="002806FD"/>
    <w:rsid w:val="002812A2"/>
    <w:rsid w:val="00282925"/>
    <w:rsid w:val="00283FE9"/>
    <w:rsid w:val="0028547F"/>
    <w:rsid w:val="002854FA"/>
    <w:rsid w:val="00285D38"/>
    <w:rsid w:val="00290575"/>
    <w:rsid w:val="0029334C"/>
    <w:rsid w:val="00294E10"/>
    <w:rsid w:val="0029727F"/>
    <w:rsid w:val="00297B03"/>
    <w:rsid w:val="002A0746"/>
    <w:rsid w:val="002A11A9"/>
    <w:rsid w:val="002A3E5E"/>
    <w:rsid w:val="002A4D6B"/>
    <w:rsid w:val="002A761F"/>
    <w:rsid w:val="002B5AF5"/>
    <w:rsid w:val="002C23A5"/>
    <w:rsid w:val="002C659B"/>
    <w:rsid w:val="002D020D"/>
    <w:rsid w:val="002D15EE"/>
    <w:rsid w:val="002D1E30"/>
    <w:rsid w:val="002D6FAA"/>
    <w:rsid w:val="002E0549"/>
    <w:rsid w:val="002E524D"/>
    <w:rsid w:val="002E68A9"/>
    <w:rsid w:val="00300E98"/>
    <w:rsid w:val="003017F7"/>
    <w:rsid w:val="003044D8"/>
    <w:rsid w:val="003073F9"/>
    <w:rsid w:val="00307C01"/>
    <w:rsid w:val="00311C36"/>
    <w:rsid w:val="00314824"/>
    <w:rsid w:val="00315F84"/>
    <w:rsid w:val="003201D5"/>
    <w:rsid w:val="003245FD"/>
    <w:rsid w:val="00324928"/>
    <w:rsid w:val="00324C4A"/>
    <w:rsid w:val="003308C0"/>
    <w:rsid w:val="003335E3"/>
    <w:rsid w:val="0033513D"/>
    <w:rsid w:val="00337287"/>
    <w:rsid w:val="00337628"/>
    <w:rsid w:val="00340248"/>
    <w:rsid w:val="00344764"/>
    <w:rsid w:val="00344D76"/>
    <w:rsid w:val="003460F3"/>
    <w:rsid w:val="0034708F"/>
    <w:rsid w:val="003470E0"/>
    <w:rsid w:val="0034728B"/>
    <w:rsid w:val="0035051D"/>
    <w:rsid w:val="00352122"/>
    <w:rsid w:val="00352B2C"/>
    <w:rsid w:val="00356B78"/>
    <w:rsid w:val="00356FB2"/>
    <w:rsid w:val="00360631"/>
    <w:rsid w:val="00362DA3"/>
    <w:rsid w:val="003631F1"/>
    <w:rsid w:val="0036368A"/>
    <w:rsid w:val="003645D2"/>
    <w:rsid w:val="00365110"/>
    <w:rsid w:val="00371183"/>
    <w:rsid w:val="00371345"/>
    <w:rsid w:val="00371B3D"/>
    <w:rsid w:val="00372204"/>
    <w:rsid w:val="00377FA6"/>
    <w:rsid w:val="00383B7C"/>
    <w:rsid w:val="00383BE8"/>
    <w:rsid w:val="00393404"/>
    <w:rsid w:val="00393C46"/>
    <w:rsid w:val="003943D2"/>
    <w:rsid w:val="003A05D7"/>
    <w:rsid w:val="003A1110"/>
    <w:rsid w:val="003B095E"/>
    <w:rsid w:val="003B13EC"/>
    <w:rsid w:val="003C1525"/>
    <w:rsid w:val="003C42AF"/>
    <w:rsid w:val="003D0A66"/>
    <w:rsid w:val="003D0CD0"/>
    <w:rsid w:val="003D585A"/>
    <w:rsid w:val="003D650B"/>
    <w:rsid w:val="003D7B83"/>
    <w:rsid w:val="003E17B1"/>
    <w:rsid w:val="003E71AD"/>
    <w:rsid w:val="00401E92"/>
    <w:rsid w:val="00401F04"/>
    <w:rsid w:val="00402367"/>
    <w:rsid w:val="00404582"/>
    <w:rsid w:val="00405615"/>
    <w:rsid w:val="00411E02"/>
    <w:rsid w:val="00412B3B"/>
    <w:rsid w:val="004145D5"/>
    <w:rsid w:val="00417983"/>
    <w:rsid w:val="00423E92"/>
    <w:rsid w:val="00427FB1"/>
    <w:rsid w:val="004302DD"/>
    <w:rsid w:val="00436897"/>
    <w:rsid w:val="0044081B"/>
    <w:rsid w:val="00441A3B"/>
    <w:rsid w:val="00445406"/>
    <w:rsid w:val="00451DCF"/>
    <w:rsid w:val="004570F9"/>
    <w:rsid w:val="004572B0"/>
    <w:rsid w:val="00462B45"/>
    <w:rsid w:val="00462CA4"/>
    <w:rsid w:val="004634A6"/>
    <w:rsid w:val="00466BEF"/>
    <w:rsid w:val="00467AB5"/>
    <w:rsid w:val="00472BFC"/>
    <w:rsid w:val="00474911"/>
    <w:rsid w:val="00475E2C"/>
    <w:rsid w:val="0047674E"/>
    <w:rsid w:val="00477C04"/>
    <w:rsid w:val="004818E5"/>
    <w:rsid w:val="00481C00"/>
    <w:rsid w:val="0048720E"/>
    <w:rsid w:val="004879CE"/>
    <w:rsid w:val="0049251C"/>
    <w:rsid w:val="004925A5"/>
    <w:rsid w:val="00496B26"/>
    <w:rsid w:val="004A0B85"/>
    <w:rsid w:val="004A12B5"/>
    <w:rsid w:val="004A2C81"/>
    <w:rsid w:val="004B7065"/>
    <w:rsid w:val="004C38ED"/>
    <w:rsid w:val="004C40C2"/>
    <w:rsid w:val="004C5E93"/>
    <w:rsid w:val="004D0A11"/>
    <w:rsid w:val="004D2B98"/>
    <w:rsid w:val="004E10A2"/>
    <w:rsid w:val="004E2435"/>
    <w:rsid w:val="004E4A30"/>
    <w:rsid w:val="004E6FFB"/>
    <w:rsid w:val="004F02A4"/>
    <w:rsid w:val="004F0350"/>
    <w:rsid w:val="004F560B"/>
    <w:rsid w:val="004F7F04"/>
    <w:rsid w:val="00503CE9"/>
    <w:rsid w:val="0050456F"/>
    <w:rsid w:val="005066CB"/>
    <w:rsid w:val="0050712A"/>
    <w:rsid w:val="005109FA"/>
    <w:rsid w:val="00510B4F"/>
    <w:rsid w:val="00514C55"/>
    <w:rsid w:val="00514D51"/>
    <w:rsid w:val="005160EC"/>
    <w:rsid w:val="00516274"/>
    <w:rsid w:val="00516CC1"/>
    <w:rsid w:val="00520553"/>
    <w:rsid w:val="005205F3"/>
    <w:rsid w:val="005226F5"/>
    <w:rsid w:val="00526871"/>
    <w:rsid w:val="00527C22"/>
    <w:rsid w:val="005300EB"/>
    <w:rsid w:val="005322DA"/>
    <w:rsid w:val="0053260D"/>
    <w:rsid w:val="005335E4"/>
    <w:rsid w:val="00533F06"/>
    <w:rsid w:val="0053587B"/>
    <w:rsid w:val="005361DA"/>
    <w:rsid w:val="00544B17"/>
    <w:rsid w:val="00550C86"/>
    <w:rsid w:val="00553E7E"/>
    <w:rsid w:val="00555491"/>
    <w:rsid w:val="005600E8"/>
    <w:rsid w:val="00562BA0"/>
    <w:rsid w:val="00563357"/>
    <w:rsid w:val="00571761"/>
    <w:rsid w:val="00572D50"/>
    <w:rsid w:val="00572D6A"/>
    <w:rsid w:val="0058381C"/>
    <w:rsid w:val="0059071B"/>
    <w:rsid w:val="00591A55"/>
    <w:rsid w:val="00591B83"/>
    <w:rsid w:val="00592719"/>
    <w:rsid w:val="00592A06"/>
    <w:rsid w:val="005974F8"/>
    <w:rsid w:val="005A05D0"/>
    <w:rsid w:val="005A1C50"/>
    <w:rsid w:val="005A27E5"/>
    <w:rsid w:val="005A3176"/>
    <w:rsid w:val="005A4098"/>
    <w:rsid w:val="005A4534"/>
    <w:rsid w:val="005A4E1F"/>
    <w:rsid w:val="005A6126"/>
    <w:rsid w:val="005A6625"/>
    <w:rsid w:val="005A7E2C"/>
    <w:rsid w:val="005B2069"/>
    <w:rsid w:val="005B3349"/>
    <w:rsid w:val="005C1598"/>
    <w:rsid w:val="005D0230"/>
    <w:rsid w:val="005D24E8"/>
    <w:rsid w:val="005D2554"/>
    <w:rsid w:val="005D2DF3"/>
    <w:rsid w:val="005D377A"/>
    <w:rsid w:val="005D4AAA"/>
    <w:rsid w:val="005D50E1"/>
    <w:rsid w:val="005D525E"/>
    <w:rsid w:val="005E3BF9"/>
    <w:rsid w:val="005E5505"/>
    <w:rsid w:val="005E736F"/>
    <w:rsid w:val="005E73F5"/>
    <w:rsid w:val="005F0329"/>
    <w:rsid w:val="005F11E6"/>
    <w:rsid w:val="005F28E2"/>
    <w:rsid w:val="005F3574"/>
    <w:rsid w:val="005F41C1"/>
    <w:rsid w:val="00600044"/>
    <w:rsid w:val="0060082C"/>
    <w:rsid w:val="00600DC6"/>
    <w:rsid w:val="00601127"/>
    <w:rsid w:val="006035CC"/>
    <w:rsid w:val="00603B98"/>
    <w:rsid w:val="006043F1"/>
    <w:rsid w:val="00605B39"/>
    <w:rsid w:val="00606810"/>
    <w:rsid w:val="00612787"/>
    <w:rsid w:val="0062335B"/>
    <w:rsid w:val="00623E8D"/>
    <w:rsid w:val="00624B0C"/>
    <w:rsid w:val="00625876"/>
    <w:rsid w:val="006260C3"/>
    <w:rsid w:val="0062665B"/>
    <w:rsid w:val="00632E0F"/>
    <w:rsid w:val="00633EA4"/>
    <w:rsid w:val="00633FC4"/>
    <w:rsid w:val="0063680F"/>
    <w:rsid w:val="00636A0D"/>
    <w:rsid w:val="006421C6"/>
    <w:rsid w:val="006423A0"/>
    <w:rsid w:val="00650BFE"/>
    <w:rsid w:val="00653588"/>
    <w:rsid w:val="00654C35"/>
    <w:rsid w:val="00667C2F"/>
    <w:rsid w:val="00670ACA"/>
    <w:rsid w:val="0067144F"/>
    <w:rsid w:val="00673682"/>
    <w:rsid w:val="0067635D"/>
    <w:rsid w:val="006822BD"/>
    <w:rsid w:val="00684610"/>
    <w:rsid w:val="00685824"/>
    <w:rsid w:val="00687457"/>
    <w:rsid w:val="00690942"/>
    <w:rsid w:val="00692027"/>
    <w:rsid w:val="0069551F"/>
    <w:rsid w:val="00697A31"/>
    <w:rsid w:val="006A17CD"/>
    <w:rsid w:val="006B1E60"/>
    <w:rsid w:val="006B307E"/>
    <w:rsid w:val="006B3831"/>
    <w:rsid w:val="006B4B01"/>
    <w:rsid w:val="006B65F5"/>
    <w:rsid w:val="006C2229"/>
    <w:rsid w:val="006C26CD"/>
    <w:rsid w:val="006C280A"/>
    <w:rsid w:val="006D2653"/>
    <w:rsid w:val="006D44E4"/>
    <w:rsid w:val="006D4DA3"/>
    <w:rsid w:val="006E682D"/>
    <w:rsid w:val="006E7CF1"/>
    <w:rsid w:val="006F0964"/>
    <w:rsid w:val="006F4E5C"/>
    <w:rsid w:val="006F67FD"/>
    <w:rsid w:val="0071226F"/>
    <w:rsid w:val="00712704"/>
    <w:rsid w:val="007128B4"/>
    <w:rsid w:val="00712C57"/>
    <w:rsid w:val="00713194"/>
    <w:rsid w:val="007175FF"/>
    <w:rsid w:val="00725B09"/>
    <w:rsid w:val="007342F7"/>
    <w:rsid w:val="00737E22"/>
    <w:rsid w:val="0074133C"/>
    <w:rsid w:val="00742E2F"/>
    <w:rsid w:val="00744473"/>
    <w:rsid w:val="00745678"/>
    <w:rsid w:val="0074603D"/>
    <w:rsid w:val="00746F97"/>
    <w:rsid w:val="007477F6"/>
    <w:rsid w:val="00747DF9"/>
    <w:rsid w:val="0075060D"/>
    <w:rsid w:val="00751519"/>
    <w:rsid w:val="00752217"/>
    <w:rsid w:val="00755BA7"/>
    <w:rsid w:val="00757966"/>
    <w:rsid w:val="00767CDC"/>
    <w:rsid w:val="00770334"/>
    <w:rsid w:val="00772A94"/>
    <w:rsid w:val="00774A91"/>
    <w:rsid w:val="00780757"/>
    <w:rsid w:val="00780A69"/>
    <w:rsid w:val="0078192B"/>
    <w:rsid w:val="00783EAD"/>
    <w:rsid w:val="00783FAC"/>
    <w:rsid w:val="00791D20"/>
    <w:rsid w:val="00791EF8"/>
    <w:rsid w:val="007946B6"/>
    <w:rsid w:val="00794903"/>
    <w:rsid w:val="00794A06"/>
    <w:rsid w:val="00794AF1"/>
    <w:rsid w:val="007960E4"/>
    <w:rsid w:val="00796C64"/>
    <w:rsid w:val="007A1A46"/>
    <w:rsid w:val="007A3871"/>
    <w:rsid w:val="007A5DBA"/>
    <w:rsid w:val="007A61E4"/>
    <w:rsid w:val="007A6B07"/>
    <w:rsid w:val="007B18A3"/>
    <w:rsid w:val="007B2AC0"/>
    <w:rsid w:val="007B3813"/>
    <w:rsid w:val="007C028F"/>
    <w:rsid w:val="007C3A3C"/>
    <w:rsid w:val="007C40DC"/>
    <w:rsid w:val="007C6B0C"/>
    <w:rsid w:val="007D0810"/>
    <w:rsid w:val="007D0B22"/>
    <w:rsid w:val="007D10BF"/>
    <w:rsid w:val="007D659C"/>
    <w:rsid w:val="007D68BC"/>
    <w:rsid w:val="007D771C"/>
    <w:rsid w:val="007D7EC8"/>
    <w:rsid w:val="007E4EA2"/>
    <w:rsid w:val="00800EC4"/>
    <w:rsid w:val="00801DB5"/>
    <w:rsid w:val="00803473"/>
    <w:rsid w:val="00805C45"/>
    <w:rsid w:val="0081225A"/>
    <w:rsid w:val="008175CB"/>
    <w:rsid w:val="00827E97"/>
    <w:rsid w:val="00832600"/>
    <w:rsid w:val="0083340A"/>
    <w:rsid w:val="00834492"/>
    <w:rsid w:val="00846D8E"/>
    <w:rsid w:val="00860C8A"/>
    <w:rsid w:val="00861685"/>
    <w:rsid w:val="00861FC6"/>
    <w:rsid w:val="00862EA7"/>
    <w:rsid w:val="008650D6"/>
    <w:rsid w:val="0087243C"/>
    <w:rsid w:val="00872A63"/>
    <w:rsid w:val="00876666"/>
    <w:rsid w:val="0088165F"/>
    <w:rsid w:val="00882BB0"/>
    <w:rsid w:val="00883B01"/>
    <w:rsid w:val="008843D1"/>
    <w:rsid w:val="0088534D"/>
    <w:rsid w:val="00890FFD"/>
    <w:rsid w:val="008910C4"/>
    <w:rsid w:val="00894FD9"/>
    <w:rsid w:val="00895A1D"/>
    <w:rsid w:val="008A0400"/>
    <w:rsid w:val="008A0E74"/>
    <w:rsid w:val="008A3122"/>
    <w:rsid w:val="008A51F4"/>
    <w:rsid w:val="008B0A7B"/>
    <w:rsid w:val="008B37F4"/>
    <w:rsid w:val="008B6F4A"/>
    <w:rsid w:val="008B70B9"/>
    <w:rsid w:val="008C5050"/>
    <w:rsid w:val="008C528A"/>
    <w:rsid w:val="008C554A"/>
    <w:rsid w:val="008C589B"/>
    <w:rsid w:val="008D4BDF"/>
    <w:rsid w:val="008E109B"/>
    <w:rsid w:val="008E1F0C"/>
    <w:rsid w:val="008E4909"/>
    <w:rsid w:val="008E793E"/>
    <w:rsid w:val="008F11D1"/>
    <w:rsid w:val="008F2D87"/>
    <w:rsid w:val="008F41C4"/>
    <w:rsid w:val="008F7B76"/>
    <w:rsid w:val="00906010"/>
    <w:rsid w:val="00913E44"/>
    <w:rsid w:val="00915D6F"/>
    <w:rsid w:val="00922B61"/>
    <w:rsid w:val="009268B9"/>
    <w:rsid w:val="00930A02"/>
    <w:rsid w:val="00931F1E"/>
    <w:rsid w:val="00933D2B"/>
    <w:rsid w:val="00934289"/>
    <w:rsid w:val="00935482"/>
    <w:rsid w:val="009372AD"/>
    <w:rsid w:val="00937C13"/>
    <w:rsid w:val="009405F4"/>
    <w:rsid w:val="00943CB2"/>
    <w:rsid w:val="0094543A"/>
    <w:rsid w:val="00946207"/>
    <w:rsid w:val="00946EB9"/>
    <w:rsid w:val="0094768E"/>
    <w:rsid w:val="00956A10"/>
    <w:rsid w:val="00956B1F"/>
    <w:rsid w:val="00957EEB"/>
    <w:rsid w:val="00962794"/>
    <w:rsid w:val="00963394"/>
    <w:rsid w:val="00963DA4"/>
    <w:rsid w:val="00965470"/>
    <w:rsid w:val="009667A1"/>
    <w:rsid w:val="009773D5"/>
    <w:rsid w:val="009832AA"/>
    <w:rsid w:val="00984013"/>
    <w:rsid w:val="00985EF8"/>
    <w:rsid w:val="009A0A82"/>
    <w:rsid w:val="009A3E6B"/>
    <w:rsid w:val="009A4538"/>
    <w:rsid w:val="009A5CDC"/>
    <w:rsid w:val="009A5ED5"/>
    <w:rsid w:val="009B18EF"/>
    <w:rsid w:val="009B1DE0"/>
    <w:rsid w:val="009B295F"/>
    <w:rsid w:val="009B2C6E"/>
    <w:rsid w:val="009B7DF2"/>
    <w:rsid w:val="009C6786"/>
    <w:rsid w:val="009D38B3"/>
    <w:rsid w:val="009D5B7F"/>
    <w:rsid w:val="009E0803"/>
    <w:rsid w:val="009E26E0"/>
    <w:rsid w:val="009E7973"/>
    <w:rsid w:val="009F66B9"/>
    <w:rsid w:val="009F6E06"/>
    <w:rsid w:val="009F6EF0"/>
    <w:rsid w:val="009F713B"/>
    <w:rsid w:val="009F7D9D"/>
    <w:rsid w:val="00A00D9E"/>
    <w:rsid w:val="00A01754"/>
    <w:rsid w:val="00A01A52"/>
    <w:rsid w:val="00A10BE8"/>
    <w:rsid w:val="00A11045"/>
    <w:rsid w:val="00A14ED2"/>
    <w:rsid w:val="00A2059B"/>
    <w:rsid w:val="00A2114C"/>
    <w:rsid w:val="00A24455"/>
    <w:rsid w:val="00A272B7"/>
    <w:rsid w:val="00A33EFC"/>
    <w:rsid w:val="00A35918"/>
    <w:rsid w:val="00A36BAF"/>
    <w:rsid w:val="00A40109"/>
    <w:rsid w:val="00A407C5"/>
    <w:rsid w:val="00A4329E"/>
    <w:rsid w:val="00A43C08"/>
    <w:rsid w:val="00A43C58"/>
    <w:rsid w:val="00A45E19"/>
    <w:rsid w:val="00A50EB9"/>
    <w:rsid w:val="00A54007"/>
    <w:rsid w:val="00A620A1"/>
    <w:rsid w:val="00A676F9"/>
    <w:rsid w:val="00A70D00"/>
    <w:rsid w:val="00A816F3"/>
    <w:rsid w:val="00A8315E"/>
    <w:rsid w:val="00A85A46"/>
    <w:rsid w:val="00A91013"/>
    <w:rsid w:val="00A92380"/>
    <w:rsid w:val="00AA0763"/>
    <w:rsid w:val="00AA3F0E"/>
    <w:rsid w:val="00AA4C3B"/>
    <w:rsid w:val="00AA550F"/>
    <w:rsid w:val="00AB19A0"/>
    <w:rsid w:val="00AB2278"/>
    <w:rsid w:val="00AB74BF"/>
    <w:rsid w:val="00AB78A9"/>
    <w:rsid w:val="00AC2FEB"/>
    <w:rsid w:val="00AC36D5"/>
    <w:rsid w:val="00AC408D"/>
    <w:rsid w:val="00AC6039"/>
    <w:rsid w:val="00AD1376"/>
    <w:rsid w:val="00AE6FE8"/>
    <w:rsid w:val="00AE74F1"/>
    <w:rsid w:val="00AF0CFF"/>
    <w:rsid w:val="00AF5136"/>
    <w:rsid w:val="00AF5F39"/>
    <w:rsid w:val="00B0307C"/>
    <w:rsid w:val="00B04038"/>
    <w:rsid w:val="00B11962"/>
    <w:rsid w:val="00B141C9"/>
    <w:rsid w:val="00B154C6"/>
    <w:rsid w:val="00B1629A"/>
    <w:rsid w:val="00B178C6"/>
    <w:rsid w:val="00B205E9"/>
    <w:rsid w:val="00B23568"/>
    <w:rsid w:val="00B254D5"/>
    <w:rsid w:val="00B2779A"/>
    <w:rsid w:val="00B304B9"/>
    <w:rsid w:val="00B32EEC"/>
    <w:rsid w:val="00B41B8B"/>
    <w:rsid w:val="00B426C1"/>
    <w:rsid w:val="00B44DC3"/>
    <w:rsid w:val="00B46383"/>
    <w:rsid w:val="00B5174A"/>
    <w:rsid w:val="00B528F8"/>
    <w:rsid w:val="00B52FBA"/>
    <w:rsid w:val="00B54E48"/>
    <w:rsid w:val="00B61F1E"/>
    <w:rsid w:val="00B64E2D"/>
    <w:rsid w:val="00B72C04"/>
    <w:rsid w:val="00B735B3"/>
    <w:rsid w:val="00B7623C"/>
    <w:rsid w:val="00B7741F"/>
    <w:rsid w:val="00B8029B"/>
    <w:rsid w:val="00B839DD"/>
    <w:rsid w:val="00B85B26"/>
    <w:rsid w:val="00B87489"/>
    <w:rsid w:val="00B91DE0"/>
    <w:rsid w:val="00B926F9"/>
    <w:rsid w:val="00B93D95"/>
    <w:rsid w:val="00B94DBC"/>
    <w:rsid w:val="00B97705"/>
    <w:rsid w:val="00BA610C"/>
    <w:rsid w:val="00BA77D5"/>
    <w:rsid w:val="00BB11A6"/>
    <w:rsid w:val="00BB3EC2"/>
    <w:rsid w:val="00BB7647"/>
    <w:rsid w:val="00BC0ED3"/>
    <w:rsid w:val="00BD048B"/>
    <w:rsid w:val="00BD074E"/>
    <w:rsid w:val="00BD0F33"/>
    <w:rsid w:val="00BD255E"/>
    <w:rsid w:val="00BD6FEE"/>
    <w:rsid w:val="00BD7DAD"/>
    <w:rsid w:val="00BE35F7"/>
    <w:rsid w:val="00BF00B3"/>
    <w:rsid w:val="00BF0978"/>
    <w:rsid w:val="00BF57FA"/>
    <w:rsid w:val="00C03102"/>
    <w:rsid w:val="00C0574C"/>
    <w:rsid w:val="00C0796E"/>
    <w:rsid w:val="00C11049"/>
    <w:rsid w:val="00C170A8"/>
    <w:rsid w:val="00C232E6"/>
    <w:rsid w:val="00C3640E"/>
    <w:rsid w:val="00C40AB6"/>
    <w:rsid w:val="00C4139A"/>
    <w:rsid w:val="00C414E5"/>
    <w:rsid w:val="00C441A5"/>
    <w:rsid w:val="00C462F9"/>
    <w:rsid w:val="00C470D1"/>
    <w:rsid w:val="00C47425"/>
    <w:rsid w:val="00C5164A"/>
    <w:rsid w:val="00C54023"/>
    <w:rsid w:val="00C546E6"/>
    <w:rsid w:val="00C54C26"/>
    <w:rsid w:val="00C5683D"/>
    <w:rsid w:val="00C703BD"/>
    <w:rsid w:val="00C7184F"/>
    <w:rsid w:val="00C80235"/>
    <w:rsid w:val="00C8585A"/>
    <w:rsid w:val="00C8668D"/>
    <w:rsid w:val="00C9027F"/>
    <w:rsid w:val="00C922E2"/>
    <w:rsid w:val="00C93E27"/>
    <w:rsid w:val="00CA0907"/>
    <w:rsid w:val="00CA7086"/>
    <w:rsid w:val="00CA7E9C"/>
    <w:rsid w:val="00CB200A"/>
    <w:rsid w:val="00CB5C03"/>
    <w:rsid w:val="00CB6FCF"/>
    <w:rsid w:val="00CB7E51"/>
    <w:rsid w:val="00CD2810"/>
    <w:rsid w:val="00CD6240"/>
    <w:rsid w:val="00CD6C7E"/>
    <w:rsid w:val="00CE43A8"/>
    <w:rsid w:val="00CE5198"/>
    <w:rsid w:val="00CE634E"/>
    <w:rsid w:val="00CF48BC"/>
    <w:rsid w:val="00CF6B27"/>
    <w:rsid w:val="00D01C14"/>
    <w:rsid w:val="00D04CD3"/>
    <w:rsid w:val="00D10E71"/>
    <w:rsid w:val="00D20288"/>
    <w:rsid w:val="00D225DD"/>
    <w:rsid w:val="00D25637"/>
    <w:rsid w:val="00D25AE0"/>
    <w:rsid w:val="00D351A1"/>
    <w:rsid w:val="00D36C09"/>
    <w:rsid w:val="00D37678"/>
    <w:rsid w:val="00D41B03"/>
    <w:rsid w:val="00D435E6"/>
    <w:rsid w:val="00D43D2F"/>
    <w:rsid w:val="00D44EAB"/>
    <w:rsid w:val="00D46E61"/>
    <w:rsid w:val="00D4748F"/>
    <w:rsid w:val="00D502DB"/>
    <w:rsid w:val="00D50DE9"/>
    <w:rsid w:val="00D52424"/>
    <w:rsid w:val="00D5400A"/>
    <w:rsid w:val="00D55474"/>
    <w:rsid w:val="00D565F3"/>
    <w:rsid w:val="00D567D1"/>
    <w:rsid w:val="00D572A9"/>
    <w:rsid w:val="00D610D1"/>
    <w:rsid w:val="00D61102"/>
    <w:rsid w:val="00D61A31"/>
    <w:rsid w:val="00D628B1"/>
    <w:rsid w:val="00D63B69"/>
    <w:rsid w:val="00D646E5"/>
    <w:rsid w:val="00D65114"/>
    <w:rsid w:val="00D660BB"/>
    <w:rsid w:val="00D6741D"/>
    <w:rsid w:val="00D714E3"/>
    <w:rsid w:val="00D71F95"/>
    <w:rsid w:val="00D724D8"/>
    <w:rsid w:val="00D75676"/>
    <w:rsid w:val="00D769F0"/>
    <w:rsid w:val="00D828B9"/>
    <w:rsid w:val="00D82E74"/>
    <w:rsid w:val="00D82ED4"/>
    <w:rsid w:val="00D852A3"/>
    <w:rsid w:val="00D90588"/>
    <w:rsid w:val="00D93912"/>
    <w:rsid w:val="00DA3394"/>
    <w:rsid w:val="00DA4199"/>
    <w:rsid w:val="00DA5284"/>
    <w:rsid w:val="00DA782E"/>
    <w:rsid w:val="00DA7E3B"/>
    <w:rsid w:val="00DB3008"/>
    <w:rsid w:val="00DB30B8"/>
    <w:rsid w:val="00DB69CE"/>
    <w:rsid w:val="00DB7655"/>
    <w:rsid w:val="00DB7AE0"/>
    <w:rsid w:val="00DC0E42"/>
    <w:rsid w:val="00DC131F"/>
    <w:rsid w:val="00DC45A1"/>
    <w:rsid w:val="00DC69BF"/>
    <w:rsid w:val="00DD15EE"/>
    <w:rsid w:val="00DD1E4E"/>
    <w:rsid w:val="00DD2959"/>
    <w:rsid w:val="00DD4848"/>
    <w:rsid w:val="00DD68A2"/>
    <w:rsid w:val="00DE0543"/>
    <w:rsid w:val="00DE08E5"/>
    <w:rsid w:val="00DE31AE"/>
    <w:rsid w:val="00DE3EDB"/>
    <w:rsid w:val="00DE473E"/>
    <w:rsid w:val="00DE5F82"/>
    <w:rsid w:val="00DE6AF4"/>
    <w:rsid w:val="00DE7E26"/>
    <w:rsid w:val="00DF045D"/>
    <w:rsid w:val="00DF06B3"/>
    <w:rsid w:val="00DF4B11"/>
    <w:rsid w:val="00E005A1"/>
    <w:rsid w:val="00E0762D"/>
    <w:rsid w:val="00E10EF6"/>
    <w:rsid w:val="00E129F8"/>
    <w:rsid w:val="00E13A64"/>
    <w:rsid w:val="00E15B81"/>
    <w:rsid w:val="00E16845"/>
    <w:rsid w:val="00E23CD7"/>
    <w:rsid w:val="00E24B2F"/>
    <w:rsid w:val="00E302EB"/>
    <w:rsid w:val="00E332E6"/>
    <w:rsid w:val="00E33A77"/>
    <w:rsid w:val="00E41D75"/>
    <w:rsid w:val="00E44C18"/>
    <w:rsid w:val="00E47ED2"/>
    <w:rsid w:val="00E506B4"/>
    <w:rsid w:val="00E517B7"/>
    <w:rsid w:val="00E53FEA"/>
    <w:rsid w:val="00E63C34"/>
    <w:rsid w:val="00E6498E"/>
    <w:rsid w:val="00E64EBC"/>
    <w:rsid w:val="00E650CD"/>
    <w:rsid w:val="00E65422"/>
    <w:rsid w:val="00E73850"/>
    <w:rsid w:val="00E73FB8"/>
    <w:rsid w:val="00E740C9"/>
    <w:rsid w:val="00E7549F"/>
    <w:rsid w:val="00E80D57"/>
    <w:rsid w:val="00E82F29"/>
    <w:rsid w:val="00E90935"/>
    <w:rsid w:val="00E93B88"/>
    <w:rsid w:val="00E951E3"/>
    <w:rsid w:val="00E97B16"/>
    <w:rsid w:val="00EA127E"/>
    <w:rsid w:val="00EA342C"/>
    <w:rsid w:val="00EB1B5D"/>
    <w:rsid w:val="00EC0DE5"/>
    <w:rsid w:val="00EC1CED"/>
    <w:rsid w:val="00EC1E64"/>
    <w:rsid w:val="00EC4F66"/>
    <w:rsid w:val="00EC6C60"/>
    <w:rsid w:val="00EC6D56"/>
    <w:rsid w:val="00EC6FE9"/>
    <w:rsid w:val="00ED12AC"/>
    <w:rsid w:val="00ED216F"/>
    <w:rsid w:val="00ED4C4B"/>
    <w:rsid w:val="00ED624A"/>
    <w:rsid w:val="00EE0EB0"/>
    <w:rsid w:val="00EF3053"/>
    <w:rsid w:val="00EF4F5F"/>
    <w:rsid w:val="00EF6AA0"/>
    <w:rsid w:val="00EF73B2"/>
    <w:rsid w:val="00F00CCF"/>
    <w:rsid w:val="00F02FF6"/>
    <w:rsid w:val="00F046EC"/>
    <w:rsid w:val="00F074F6"/>
    <w:rsid w:val="00F104D1"/>
    <w:rsid w:val="00F14352"/>
    <w:rsid w:val="00F2225B"/>
    <w:rsid w:val="00F23B8F"/>
    <w:rsid w:val="00F23BAB"/>
    <w:rsid w:val="00F24ECC"/>
    <w:rsid w:val="00F2667F"/>
    <w:rsid w:val="00F2681F"/>
    <w:rsid w:val="00F26F6B"/>
    <w:rsid w:val="00F33600"/>
    <w:rsid w:val="00F64426"/>
    <w:rsid w:val="00F658D1"/>
    <w:rsid w:val="00F665CC"/>
    <w:rsid w:val="00F66ACC"/>
    <w:rsid w:val="00F70226"/>
    <w:rsid w:val="00F73034"/>
    <w:rsid w:val="00F7442E"/>
    <w:rsid w:val="00F77867"/>
    <w:rsid w:val="00F81FB7"/>
    <w:rsid w:val="00F83A86"/>
    <w:rsid w:val="00F8492E"/>
    <w:rsid w:val="00F84F85"/>
    <w:rsid w:val="00F86B42"/>
    <w:rsid w:val="00F9398F"/>
    <w:rsid w:val="00F94819"/>
    <w:rsid w:val="00FB0CA8"/>
    <w:rsid w:val="00FB50AE"/>
    <w:rsid w:val="00FB58B3"/>
    <w:rsid w:val="00FB5A9D"/>
    <w:rsid w:val="00FB64B3"/>
    <w:rsid w:val="00FB67E1"/>
    <w:rsid w:val="00FC3B91"/>
    <w:rsid w:val="00FC594F"/>
    <w:rsid w:val="00FC786A"/>
    <w:rsid w:val="00FD52EA"/>
    <w:rsid w:val="00FD55F2"/>
    <w:rsid w:val="00FD6663"/>
    <w:rsid w:val="00FE0EA0"/>
    <w:rsid w:val="00FE4617"/>
    <w:rsid w:val="00FE6C2B"/>
    <w:rsid w:val="00FF0EBA"/>
    <w:rsid w:val="00FF1F3B"/>
    <w:rsid w:val="00FF2D52"/>
    <w:rsid w:val="00FF4D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65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E71AD"/>
    <w:pPr>
      <w:tabs>
        <w:tab w:val="center" w:pos="4320"/>
        <w:tab w:val="right" w:pos="8640"/>
      </w:tabs>
    </w:pPr>
  </w:style>
  <w:style w:type="character" w:customStyle="1" w:styleId="HeaderChar">
    <w:name w:val="Header Char"/>
    <w:basedOn w:val="DefaultParagraphFont"/>
    <w:link w:val="Header"/>
    <w:uiPriority w:val="99"/>
    <w:semiHidden/>
    <w:locked/>
    <w:rsid w:val="003E71AD"/>
    <w:rPr>
      <w:rFonts w:cs="Times New Roman"/>
    </w:rPr>
  </w:style>
  <w:style w:type="paragraph" w:styleId="Footer">
    <w:name w:val="footer"/>
    <w:basedOn w:val="Normal"/>
    <w:link w:val="FooterChar"/>
    <w:uiPriority w:val="99"/>
    <w:rsid w:val="003E71AD"/>
    <w:pPr>
      <w:tabs>
        <w:tab w:val="center" w:pos="4320"/>
        <w:tab w:val="right" w:pos="8640"/>
      </w:tabs>
    </w:pPr>
  </w:style>
  <w:style w:type="character" w:customStyle="1" w:styleId="FooterChar">
    <w:name w:val="Footer Char"/>
    <w:basedOn w:val="DefaultParagraphFont"/>
    <w:link w:val="Footer"/>
    <w:uiPriority w:val="99"/>
    <w:locked/>
    <w:rsid w:val="003E71AD"/>
    <w:rPr>
      <w:rFonts w:cs="Times New Roman"/>
    </w:rPr>
  </w:style>
  <w:style w:type="paragraph" w:styleId="BalloonText">
    <w:name w:val="Balloon Text"/>
    <w:basedOn w:val="Normal"/>
    <w:link w:val="BalloonTextChar"/>
    <w:uiPriority w:val="99"/>
    <w:semiHidden/>
    <w:rsid w:val="0083340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340A"/>
    <w:rPr>
      <w:rFonts w:ascii="Tahoma" w:hAnsi="Tahoma" w:cs="Tahoma"/>
      <w:sz w:val="16"/>
      <w:szCs w:val="16"/>
    </w:rPr>
  </w:style>
  <w:style w:type="character" w:styleId="Hyperlink">
    <w:name w:val="Hyperlink"/>
    <w:basedOn w:val="DefaultParagraphFont"/>
    <w:uiPriority w:val="99"/>
    <w:rsid w:val="0026033C"/>
    <w:rPr>
      <w:rFonts w:cs="Times New Roman"/>
      <w:color w:val="0000FF"/>
      <w:u w:val="single"/>
    </w:rPr>
  </w:style>
  <w:style w:type="paragraph" w:styleId="ListParagraph">
    <w:name w:val="List Paragraph"/>
    <w:basedOn w:val="Normal"/>
    <w:uiPriority w:val="99"/>
    <w:qFormat/>
    <w:rsid w:val="00E302EB"/>
    <w:pPr>
      <w:ind w:left="720"/>
      <w:contextualSpacing/>
    </w:pPr>
  </w:style>
  <w:style w:type="paragraph" w:styleId="FootnoteText">
    <w:name w:val="footnote text"/>
    <w:basedOn w:val="Normal"/>
    <w:link w:val="FootnoteTextChar"/>
    <w:uiPriority w:val="99"/>
    <w:semiHidden/>
    <w:rsid w:val="00BA610C"/>
    <w:rPr>
      <w:sz w:val="20"/>
      <w:szCs w:val="20"/>
    </w:rPr>
  </w:style>
  <w:style w:type="character" w:customStyle="1" w:styleId="FootnoteTextChar">
    <w:name w:val="Footnote Text Char"/>
    <w:basedOn w:val="DefaultParagraphFont"/>
    <w:link w:val="FootnoteText"/>
    <w:uiPriority w:val="99"/>
    <w:semiHidden/>
    <w:locked/>
    <w:rsid w:val="00BA610C"/>
    <w:rPr>
      <w:rFonts w:cs="Times New Roman"/>
      <w:sz w:val="20"/>
      <w:szCs w:val="20"/>
      <w:lang w:val="en-US" w:eastAsia="en-US"/>
    </w:rPr>
  </w:style>
  <w:style w:type="character" w:styleId="FootnoteReference">
    <w:name w:val="footnote reference"/>
    <w:basedOn w:val="DefaultParagraphFont"/>
    <w:uiPriority w:val="99"/>
    <w:semiHidden/>
    <w:rsid w:val="00BA610C"/>
    <w:rPr>
      <w:rFonts w:cs="Times New Roman"/>
      <w:vertAlign w:val="superscript"/>
    </w:rPr>
  </w:style>
  <w:style w:type="character" w:styleId="CommentReference">
    <w:name w:val="annotation reference"/>
    <w:basedOn w:val="DefaultParagraphFont"/>
    <w:uiPriority w:val="99"/>
    <w:semiHidden/>
    <w:rsid w:val="006F67FD"/>
    <w:rPr>
      <w:rFonts w:cs="Times New Roman"/>
      <w:sz w:val="16"/>
      <w:szCs w:val="16"/>
    </w:rPr>
  </w:style>
  <w:style w:type="paragraph" w:styleId="CommentText">
    <w:name w:val="annotation text"/>
    <w:basedOn w:val="Normal"/>
    <w:link w:val="CommentTextChar"/>
    <w:uiPriority w:val="99"/>
    <w:semiHidden/>
    <w:rsid w:val="006F67FD"/>
    <w:rPr>
      <w:sz w:val="20"/>
      <w:szCs w:val="20"/>
    </w:rPr>
  </w:style>
  <w:style w:type="character" w:customStyle="1" w:styleId="CommentTextChar">
    <w:name w:val="Comment Text Char"/>
    <w:basedOn w:val="DefaultParagraphFont"/>
    <w:link w:val="CommentText"/>
    <w:uiPriority w:val="99"/>
    <w:semiHidden/>
    <w:locked/>
    <w:rsid w:val="006F67FD"/>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6F67FD"/>
    <w:rPr>
      <w:b/>
      <w:bCs/>
    </w:rPr>
  </w:style>
  <w:style w:type="character" w:customStyle="1" w:styleId="CommentSubjectChar">
    <w:name w:val="Comment Subject Char"/>
    <w:basedOn w:val="CommentTextChar"/>
    <w:link w:val="CommentSubject"/>
    <w:uiPriority w:val="99"/>
    <w:semiHidden/>
    <w:locked/>
    <w:rsid w:val="006F67FD"/>
    <w:rPr>
      <w:rFonts w:cs="Times New Roman"/>
      <w:b/>
      <w:bCs/>
      <w:sz w:val="20"/>
      <w:szCs w:val="20"/>
      <w:lang w:val="en-US" w:eastAsia="en-US"/>
    </w:rPr>
  </w:style>
  <w:style w:type="paragraph" w:styleId="Revision">
    <w:name w:val="Revision"/>
    <w:hidden/>
    <w:uiPriority w:val="99"/>
    <w:semiHidden/>
    <w:rsid w:val="00FD52EA"/>
    <w:rPr>
      <w:sz w:val="24"/>
      <w:szCs w:val="24"/>
      <w:lang w:val="en-US" w:eastAsia="en-US"/>
    </w:rPr>
  </w:style>
  <w:style w:type="character" w:styleId="Emphasis">
    <w:name w:val="Emphasis"/>
    <w:basedOn w:val="DefaultParagraphFont"/>
    <w:uiPriority w:val="20"/>
    <w:qFormat/>
    <w:locked/>
    <w:rsid w:val="00B87489"/>
    <w:rPr>
      <w:i/>
      <w:iCs/>
    </w:rPr>
  </w:style>
  <w:style w:type="table" w:styleId="TableGrid">
    <w:name w:val="Table Grid"/>
    <w:basedOn w:val="TableNormal"/>
    <w:locked/>
    <w:rsid w:val="000E39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803473"/>
    <w:rPr>
      <w:rFonts w:ascii="Tahoma" w:hAnsi="Tahoma" w:cs="Tahoma"/>
      <w:sz w:val="16"/>
      <w:szCs w:val="16"/>
    </w:rPr>
  </w:style>
  <w:style w:type="character" w:customStyle="1" w:styleId="DocumentMapChar">
    <w:name w:val="Document Map Char"/>
    <w:basedOn w:val="DefaultParagraphFont"/>
    <w:link w:val="DocumentMap"/>
    <w:uiPriority w:val="99"/>
    <w:semiHidden/>
    <w:rsid w:val="00803473"/>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65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E71AD"/>
    <w:pPr>
      <w:tabs>
        <w:tab w:val="center" w:pos="4320"/>
        <w:tab w:val="right" w:pos="8640"/>
      </w:tabs>
    </w:pPr>
  </w:style>
  <w:style w:type="character" w:customStyle="1" w:styleId="HeaderChar">
    <w:name w:val="Header Char"/>
    <w:basedOn w:val="DefaultParagraphFont"/>
    <w:link w:val="Header"/>
    <w:uiPriority w:val="99"/>
    <w:semiHidden/>
    <w:locked/>
    <w:rsid w:val="003E71AD"/>
    <w:rPr>
      <w:rFonts w:cs="Times New Roman"/>
    </w:rPr>
  </w:style>
  <w:style w:type="paragraph" w:styleId="Footer">
    <w:name w:val="footer"/>
    <w:basedOn w:val="Normal"/>
    <w:link w:val="FooterChar"/>
    <w:uiPriority w:val="99"/>
    <w:rsid w:val="003E71AD"/>
    <w:pPr>
      <w:tabs>
        <w:tab w:val="center" w:pos="4320"/>
        <w:tab w:val="right" w:pos="8640"/>
      </w:tabs>
    </w:pPr>
  </w:style>
  <w:style w:type="character" w:customStyle="1" w:styleId="FooterChar">
    <w:name w:val="Footer Char"/>
    <w:basedOn w:val="DefaultParagraphFont"/>
    <w:link w:val="Footer"/>
    <w:uiPriority w:val="99"/>
    <w:locked/>
    <w:rsid w:val="003E71AD"/>
    <w:rPr>
      <w:rFonts w:cs="Times New Roman"/>
    </w:rPr>
  </w:style>
  <w:style w:type="paragraph" w:styleId="BalloonText">
    <w:name w:val="Balloon Text"/>
    <w:basedOn w:val="Normal"/>
    <w:link w:val="BalloonTextChar"/>
    <w:uiPriority w:val="99"/>
    <w:semiHidden/>
    <w:rsid w:val="0083340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340A"/>
    <w:rPr>
      <w:rFonts w:ascii="Tahoma" w:hAnsi="Tahoma" w:cs="Tahoma"/>
      <w:sz w:val="16"/>
      <w:szCs w:val="16"/>
    </w:rPr>
  </w:style>
  <w:style w:type="character" w:styleId="Hyperlink">
    <w:name w:val="Hyperlink"/>
    <w:basedOn w:val="DefaultParagraphFont"/>
    <w:uiPriority w:val="99"/>
    <w:rsid w:val="0026033C"/>
    <w:rPr>
      <w:rFonts w:cs="Times New Roman"/>
      <w:color w:val="0000FF"/>
      <w:u w:val="single"/>
    </w:rPr>
  </w:style>
  <w:style w:type="paragraph" w:styleId="ListParagraph">
    <w:name w:val="List Paragraph"/>
    <w:basedOn w:val="Normal"/>
    <w:uiPriority w:val="99"/>
    <w:qFormat/>
    <w:rsid w:val="00E302EB"/>
    <w:pPr>
      <w:ind w:left="720"/>
      <w:contextualSpacing/>
    </w:pPr>
  </w:style>
  <w:style w:type="paragraph" w:styleId="FootnoteText">
    <w:name w:val="footnote text"/>
    <w:basedOn w:val="Normal"/>
    <w:link w:val="FootnoteTextChar"/>
    <w:uiPriority w:val="99"/>
    <w:semiHidden/>
    <w:rsid w:val="00BA610C"/>
    <w:rPr>
      <w:sz w:val="20"/>
      <w:szCs w:val="20"/>
    </w:rPr>
  </w:style>
  <w:style w:type="character" w:customStyle="1" w:styleId="FootnoteTextChar">
    <w:name w:val="Footnote Text Char"/>
    <w:basedOn w:val="DefaultParagraphFont"/>
    <w:link w:val="FootnoteText"/>
    <w:uiPriority w:val="99"/>
    <w:semiHidden/>
    <w:locked/>
    <w:rsid w:val="00BA610C"/>
    <w:rPr>
      <w:rFonts w:cs="Times New Roman"/>
      <w:sz w:val="20"/>
      <w:szCs w:val="20"/>
      <w:lang w:val="en-US" w:eastAsia="en-US"/>
    </w:rPr>
  </w:style>
  <w:style w:type="character" w:styleId="FootnoteReference">
    <w:name w:val="footnote reference"/>
    <w:basedOn w:val="DefaultParagraphFont"/>
    <w:uiPriority w:val="99"/>
    <w:semiHidden/>
    <w:rsid w:val="00BA610C"/>
    <w:rPr>
      <w:rFonts w:cs="Times New Roman"/>
      <w:vertAlign w:val="superscript"/>
    </w:rPr>
  </w:style>
  <w:style w:type="character" w:styleId="CommentReference">
    <w:name w:val="annotation reference"/>
    <w:basedOn w:val="DefaultParagraphFont"/>
    <w:uiPriority w:val="99"/>
    <w:semiHidden/>
    <w:rsid w:val="006F67FD"/>
    <w:rPr>
      <w:rFonts w:cs="Times New Roman"/>
      <w:sz w:val="16"/>
      <w:szCs w:val="16"/>
    </w:rPr>
  </w:style>
  <w:style w:type="paragraph" w:styleId="CommentText">
    <w:name w:val="annotation text"/>
    <w:basedOn w:val="Normal"/>
    <w:link w:val="CommentTextChar"/>
    <w:uiPriority w:val="99"/>
    <w:semiHidden/>
    <w:rsid w:val="006F67FD"/>
    <w:rPr>
      <w:sz w:val="20"/>
      <w:szCs w:val="20"/>
    </w:rPr>
  </w:style>
  <w:style w:type="character" w:customStyle="1" w:styleId="CommentTextChar">
    <w:name w:val="Comment Text Char"/>
    <w:basedOn w:val="DefaultParagraphFont"/>
    <w:link w:val="CommentText"/>
    <w:uiPriority w:val="99"/>
    <w:semiHidden/>
    <w:locked/>
    <w:rsid w:val="006F67FD"/>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6F67FD"/>
    <w:rPr>
      <w:b/>
      <w:bCs/>
    </w:rPr>
  </w:style>
  <w:style w:type="character" w:customStyle="1" w:styleId="CommentSubjectChar">
    <w:name w:val="Comment Subject Char"/>
    <w:basedOn w:val="CommentTextChar"/>
    <w:link w:val="CommentSubject"/>
    <w:uiPriority w:val="99"/>
    <w:semiHidden/>
    <w:locked/>
    <w:rsid w:val="006F67FD"/>
    <w:rPr>
      <w:rFonts w:cs="Times New Roman"/>
      <w:b/>
      <w:bCs/>
      <w:sz w:val="20"/>
      <w:szCs w:val="20"/>
      <w:lang w:val="en-US" w:eastAsia="en-US"/>
    </w:rPr>
  </w:style>
  <w:style w:type="paragraph" w:styleId="Revision">
    <w:name w:val="Revision"/>
    <w:hidden/>
    <w:uiPriority w:val="99"/>
    <w:semiHidden/>
    <w:rsid w:val="00FD52EA"/>
    <w:rPr>
      <w:sz w:val="24"/>
      <w:szCs w:val="24"/>
      <w:lang w:val="en-US" w:eastAsia="en-US"/>
    </w:rPr>
  </w:style>
  <w:style w:type="character" w:styleId="Emphasis">
    <w:name w:val="Emphasis"/>
    <w:basedOn w:val="DefaultParagraphFont"/>
    <w:uiPriority w:val="20"/>
    <w:qFormat/>
    <w:locked/>
    <w:rsid w:val="00B87489"/>
    <w:rPr>
      <w:i/>
      <w:iCs/>
    </w:rPr>
  </w:style>
  <w:style w:type="table" w:styleId="TableGrid">
    <w:name w:val="Table Grid"/>
    <w:basedOn w:val="TableNormal"/>
    <w:locked/>
    <w:rsid w:val="000E39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803473"/>
    <w:rPr>
      <w:rFonts w:ascii="Tahoma" w:hAnsi="Tahoma" w:cs="Tahoma"/>
      <w:sz w:val="16"/>
      <w:szCs w:val="16"/>
    </w:rPr>
  </w:style>
  <w:style w:type="character" w:customStyle="1" w:styleId="DocumentMapChar">
    <w:name w:val="Document Map Char"/>
    <w:basedOn w:val="DefaultParagraphFont"/>
    <w:link w:val="DocumentMap"/>
    <w:uiPriority w:val="99"/>
    <w:semiHidden/>
    <w:rsid w:val="00803473"/>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6464">
      <w:bodyDiv w:val="1"/>
      <w:marLeft w:val="0"/>
      <w:marRight w:val="0"/>
      <w:marTop w:val="0"/>
      <w:marBottom w:val="0"/>
      <w:divBdr>
        <w:top w:val="none" w:sz="0" w:space="0" w:color="auto"/>
        <w:left w:val="none" w:sz="0" w:space="0" w:color="auto"/>
        <w:bottom w:val="none" w:sz="0" w:space="0" w:color="auto"/>
        <w:right w:val="none" w:sz="0" w:space="0" w:color="auto"/>
      </w:divBdr>
    </w:div>
    <w:div w:id="129904420">
      <w:bodyDiv w:val="1"/>
      <w:marLeft w:val="0"/>
      <w:marRight w:val="0"/>
      <w:marTop w:val="0"/>
      <w:marBottom w:val="0"/>
      <w:divBdr>
        <w:top w:val="none" w:sz="0" w:space="0" w:color="auto"/>
        <w:left w:val="none" w:sz="0" w:space="0" w:color="auto"/>
        <w:bottom w:val="none" w:sz="0" w:space="0" w:color="auto"/>
        <w:right w:val="none" w:sz="0" w:space="0" w:color="auto"/>
      </w:divBdr>
    </w:div>
    <w:div w:id="216164493">
      <w:bodyDiv w:val="1"/>
      <w:marLeft w:val="0"/>
      <w:marRight w:val="0"/>
      <w:marTop w:val="0"/>
      <w:marBottom w:val="0"/>
      <w:divBdr>
        <w:top w:val="none" w:sz="0" w:space="0" w:color="auto"/>
        <w:left w:val="none" w:sz="0" w:space="0" w:color="auto"/>
        <w:bottom w:val="none" w:sz="0" w:space="0" w:color="auto"/>
        <w:right w:val="none" w:sz="0" w:space="0" w:color="auto"/>
      </w:divBdr>
    </w:div>
    <w:div w:id="533083361">
      <w:bodyDiv w:val="1"/>
      <w:marLeft w:val="0"/>
      <w:marRight w:val="0"/>
      <w:marTop w:val="0"/>
      <w:marBottom w:val="0"/>
      <w:divBdr>
        <w:top w:val="none" w:sz="0" w:space="0" w:color="auto"/>
        <w:left w:val="none" w:sz="0" w:space="0" w:color="auto"/>
        <w:bottom w:val="none" w:sz="0" w:space="0" w:color="auto"/>
        <w:right w:val="none" w:sz="0" w:space="0" w:color="auto"/>
      </w:divBdr>
      <w:divsChild>
        <w:div w:id="1156068173">
          <w:marLeft w:val="0"/>
          <w:marRight w:val="0"/>
          <w:marTop w:val="0"/>
          <w:marBottom w:val="0"/>
          <w:divBdr>
            <w:top w:val="none" w:sz="0" w:space="0" w:color="auto"/>
            <w:left w:val="none" w:sz="0" w:space="0" w:color="auto"/>
            <w:bottom w:val="none" w:sz="0" w:space="0" w:color="auto"/>
            <w:right w:val="none" w:sz="0" w:space="0" w:color="auto"/>
          </w:divBdr>
        </w:div>
      </w:divsChild>
    </w:div>
    <w:div w:id="593636098">
      <w:bodyDiv w:val="1"/>
      <w:marLeft w:val="0"/>
      <w:marRight w:val="0"/>
      <w:marTop w:val="0"/>
      <w:marBottom w:val="0"/>
      <w:divBdr>
        <w:top w:val="none" w:sz="0" w:space="0" w:color="auto"/>
        <w:left w:val="none" w:sz="0" w:space="0" w:color="auto"/>
        <w:bottom w:val="none" w:sz="0" w:space="0" w:color="auto"/>
        <w:right w:val="none" w:sz="0" w:space="0" w:color="auto"/>
      </w:divBdr>
      <w:divsChild>
        <w:div w:id="621545795">
          <w:marLeft w:val="0"/>
          <w:marRight w:val="0"/>
          <w:marTop w:val="0"/>
          <w:marBottom w:val="0"/>
          <w:divBdr>
            <w:top w:val="none" w:sz="0" w:space="0" w:color="auto"/>
            <w:left w:val="none" w:sz="0" w:space="0" w:color="auto"/>
            <w:bottom w:val="none" w:sz="0" w:space="0" w:color="auto"/>
            <w:right w:val="none" w:sz="0" w:space="0" w:color="auto"/>
          </w:divBdr>
        </w:div>
        <w:div w:id="1691566125">
          <w:marLeft w:val="0"/>
          <w:marRight w:val="0"/>
          <w:marTop w:val="0"/>
          <w:marBottom w:val="0"/>
          <w:divBdr>
            <w:top w:val="none" w:sz="0" w:space="0" w:color="auto"/>
            <w:left w:val="none" w:sz="0" w:space="0" w:color="auto"/>
            <w:bottom w:val="none" w:sz="0" w:space="0" w:color="auto"/>
            <w:right w:val="none" w:sz="0" w:space="0" w:color="auto"/>
          </w:divBdr>
        </w:div>
      </w:divsChild>
    </w:div>
    <w:div w:id="912855663">
      <w:bodyDiv w:val="1"/>
      <w:marLeft w:val="0"/>
      <w:marRight w:val="0"/>
      <w:marTop w:val="0"/>
      <w:marBottom w:val="0"/>
      <w:divBdr>
        <w:top w:val="none" w:sz="0" w:space="0" w:color="auto"/>
        <w:left w:val="none" w:sz="0" w:space="0" w:color="auto"/>
        <w:bottom w:val="none" w:sz="0" w:space="0" w:color="auto"/>
        <w:right w:val="none" w:sz="0" w:space="0" w:color="auto"/>
      </w:divBdr>
    </w:div>
    <w:div w:id="937563437">
      <w:bodyDiv w:val="1"/>
      <w:marLeft w:val="0"/>
      <w:marRight w:val="0"/>
      <w:marTop w:val="0"/>
      <w:marBottom w:val="0"/>
      <w:divBdr>
        <w:top w:val="none" w:sz="0" w:space="0" w:color="auto"/>
        <w:left w:val="none" w:sz="0" w:space="0" w:color="auto"/>
        <w:bottom w:val="none" w:sz="0" w:space="0" w:color="auto"/>
        <w:right w:val="none" w:sz="0" w:space="0" w:color="auto"/>
      </w:divBdr>
    </w:div>
    <w:div w:id="1169102992">
      <w:bodyDiv w:val="1"/>
      <w:marLeft w:val="0"/>
      <w:marRight w:val="0"/>
      <w:marTop w:val="0"/>
      <w:marBottom w:val="0"/>
      <w:divBdr>
        <w:top w:val="none" w:sz="0" w:space="0" w:color="auto"/>
        <w:left w:val="none" w:sz="0" w:space="0" w:color="auto"/>
        <w:bottom w:val="none" w:sz="0" w:space="0" w:color="auto"/>
        <w:right w:val="none" w:sz="0" w:space="0" w:color="auto"/>
      </w:divBdr>
      <w:divsChild>
        <w:div w:id="48458314">
          <w:marLeft w:val="0"/>
          <w:marRight w:val="0"/>
          <w:marTop w:val="0"/>
          <w:marBottom w:val="0"/>
          <w:divBdr>
            <w:top w:val="none" w:sz="0" w:space="0" w:color="auto"/>
            <w:left w:val="none" w:sz="0" w:space="0" w:color="auto"/>
            <w:bottom w:val="none" w:sz="0" w:space="0" w:color="auto"/>
            <w:right w:val="none" w:sz="0" w:space="0" w:color="auto"/>
          </w:divBdr>
        </w:div>
      </w:divsChild>
    </w:div>
    <w:div w:id="1188762194">
      <w:bodyDiv w:val="1"/>
      <w:marLeft w:val="0"/>
      <w:marRight w:val="0"/>
      <w:marTop w:val="0"/>
      <w:marBottom w:val="0"/>
      <w:divBdr>
        <w:top w:val="none" w:sz="0" w:space="0" w:color="auto"/>
        <w:left w:val="none" w:sz="0" w:space="0" w:color="auto"/>
        <w:bottom w:val="none" w:sz="0" w:space="0" w:color="auto"/>
        <w:right w:val="none" w:sz="0" w:space="0" w:color="auto"/>
      </w:divBdr>
    </w:div>
    <w:div w:id="1277101510">
      <w:marLeft w:val="0"/>
      <w:marRight w:val="0"/>
      <w:marTop w:val="0"/>
      <w:marBottom w:val="0"/>
      <w:divBdr>
        <w:top w:val="none" w:sz="0" w:space="0" w:color="auto"/>
        <w:left w:val="none" w:sz="0" w:space="0" w:color="auto"/>
        <w:bottom w:val="none" w:sz="0" w:space="0" w:color="auto"/>
        <w:right w:val="none" w:sz="0" w:space="0" w:color="auto"/>
      </w:divBdr>
    </w:div>
    <w:div w:id="1277101512">
      <w:marLeft w:val="0"/>
      <w:marRight w:val="0"/>
      <w:marTop w:val="0"/>
      <w:marBottom w:val="0"/>
      <w:divBdr>
        <w:top w:val="none" w:sz="0" w:space="0" w:color="auto"/>
        <w:left w:val="none" w:sz="0" w:space="0" w:color="auto"/>
        <w:bottom w:val="none" w:sz="0" w:space="0" w:color="auto"/>
        <w:right w:val="none" w:sz="0" w:space="0" w:color="auto"/>
      </w:divBdr>
      <w:divsChild>
        <w:div w:id="1277101524">
          <w:marLeft w:val="0"/>
          <w:marRight w:val="0"/>
          <w:marTop w:val="0"/>
          <w:marBottom w:val="0"/>
          <w:divBdr>
            <w:top w:val="none" w:sz="0" w:space="0" w:color="auto"/>
            <w:left w:val="none" w:sz="0" w:space="0" w:color="auto"/>
            <w:bottom w:val="none" w:sz="0" w:space="0" w:color="auto"/>
            <w:right w:val="none" w:sz="0" w:space="0" w:color="auto"/>
          </w:divBdr>
          <w:divsChild>
            <w:div w:id="1277101509">
              <w:marLeft w:val="0"/>
              <w:marRight w:val="0"/>
              <w:marTop w:val="0"/>
              <w:marBottom w:val="0"/>
              <w:divBdr>
                <w:top w:val="none" w:sz="0" w:space="0" w:color="auto"/>
                <w:left w:val="none" w:sz="0" w:space="0" w:color="auto"/>
                <w:bottom w:val="none" w:sz="0" w:space="0" w:color="auto"/>
                <w:right w:val="none" w:sz="0" w:space="0" w:color="auto"/>
              </w:divBdr>
              <w:divsChild>
                <w:div w:id="1277101515">
                  <w:marLeft w:val="0"/>
                  <w:marRight w:val="0"/>
                  <w:marTop w:val="0"/>
                  <w:marBottom w:val="0"/>
                  <w:divBdr>
                    <w:top w:val="none" w:sz="0" w:space="0" w:color="auto"/>
                    <w:left w:val="none" w:sz="0" w:space="0" w:color="auto"/>
                    <w:bottom w:val="none" w:sz="0" w:space="0" w:color="auto"/>
                    <w:right w:val="none" w:sz="0" w:space="0" w:color="auto"/>
                  </w:divBdr>
                  <w:divsChild>
                    <w:div w:id="1277101514">
                      <w:marLeft w:val="0"/>
                      <w:marRight w:val="0"/>
                      <w:marTop w:val="0"/>
                      <w:marBottom w:val="0"/>
                      <w:divBdr>
                        <w:top w:val="none" w:sz="0" w:space="0" w:color="auto"/>
                        <w:left w:val="none" w:sz="0" w:space="0" w:color="auto"/>
                        <w:bottom w:val="none" w:sz="0" w:space="0" w:color="auto"/>
                        <w:right w:val="none" w:sz="0" w:space="0" w:color="auto"/>
                      </w:divBdr>
                    </w:div>
                  </w:divsChild>
                </w:div>
                <w:div w:id="1277101517">
                  <w:marLeft w:val="0"/>
                  <w:marRight w:val="0"/>
                  <w:marTop w:val="0"/>
                  <w:marBottom w:val="0"/>
                  <w:divBdr>
                    <w:top w:val="none" w:sz="0" w:space="0" w:color="auto"/>
                    <w:left w:val="none" w:sz="0" w:space="0" w:color="auto"/>
                    <w:bottom w:val="none" w:sz="0" w:space="0" w:color="auto"/>
                    <w:right w:val="none" w:sz="0" w:space="0" w:color="auto"/>
                  </w:divBdr>
                  <w:divsChild>
                    <w:div w:id="127710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1518">
      <w:marLeft w:val="0"/>
      <w:marRight w:val="0"/>
      <w:marTop w:val="0"/>
      <w:marBottom w:val="0"/>
      <w:divBdr>
        <w:top w:val="none" w:sz="0" w:space="0" w:color="auto"/>
        <w:left w:val="none" w:sz="0" w:space="0" w:color="auto"/>
        <w:bottom w:val="none" w:sz="0" w:space="0" w:color="auto"/>
        <w:right w:val="none" w:sz="0" w:space="0" w:color="auto"/>
      </w:divBdr>
    </w:div>
    <w:div w:id="1277101519">
      <w:marLeft w:val="0"/>
      <w:marRight w:val="0"/>
      <w:marTop w:val="0"/>
      <w:marBottom w:val="0"/>
      <w:divBdr>
        <w:top w:val="none" w:sz="0" w:space="0" w:color="auto"/>
        <w:left w:val="none" w:sz="0" w:space="0" w:color="auto"/>
        <w:bottom w:val="none" w:sz="0" w:space="0" w:color="auto"/>
        <w:right w:val="none" w:sz="0" w:space="0" w:color="auto"/>
      </w:divBdr>
      <w:divsChild>
        <w:div w:id="1277101511">
          <w:marLeft w:val="0"/>
          <w:marRight w:val="0"/>
          <w:marTop w:val="0"/>
          <w:marBottom w:val="0"/>
          <w:divBdr>
            <w:top w:val="none" w:sz="0" w:space="0" w:color="auto"/>
            <w:left w:val="none" w:sz="0" w:space="0" w:color="auto"/>
            <w:bottom w:val="none" w:sz="0" w:space="0" w:color="auto"/>
            <w:right w:val="none" w:sz="0" w:space="0" w:color="auto"/>
          </w:divBdr>
        </w:div>
      </w:divsChild>
    </w:div>
    <w:div w:id="1277101520">
      <w:marLeft w:val="0"/>
      <w:marRight w:val="0"/>
      <w:marTop w:val="0"/>
      <w:marBottom w:val="0"/>
      <w:divBdr>
        <w:top w:val="none" w:sz="0" w:space="0" w:color="auto"/>
        <w:left w:val="none" w:sz="0" w:space="0" w:color="auto"/>
        <w:bottom w:val="none" w:sz="0" w:space="0" w:color="auto"/>
        <w:right w:val="none" w:sz="0" w:space="0" w:color="auto"/>
      </w:divBdr>
    </w:div>
    <w:div w:id="1277101521">
      <w:marLeft w:val="0"/>
      <w:marRight w:val="0"/>
      <w:marTop w:val="0"/>
      <w:marBottom w:val="0"/>
      <w:divBdr>
        <w:top w:val="none" w:sz="0" w:space="0" w:color="auto"/>
        <w:left w:val="none" w:sz="0" w:space="0" w:color="auto"/>
        <w:bottom w:val="none" w:sz="0" w:space="0" w:color="auto"/>
        <w:right w:val="none" w:sz="0" w:space="0" w:color="auto"/>
      </w:divBdr>
      <w:divsChild>
        <w:div w:id="1277101525">
          <w:marLeft w:val="0"/>
          <w:marRight w:val="0"/>
          <w:marTop w:val="0"/>
          <w:marBottom w:val="0"/>
          <w:divBdr>
            <w:top w:val="none" w:sz="0" w:space="0" w:color="auto"/>
            <w:left w:val="none" w:sz="0" w:space="0" w:color="auto"/>
            <w:bottom w:val="none" w:sz="0" w:space="0" w:color="auto"/>
            <w:right w:val="none" w:sz="0" w:space="0" w:color="auto"/>
          </w:divBdr>
        </w:div>
      </w:divsChild>
    </w:div>
    <w:div w:id="1277101522">
      <w:marLeft w:val="0"/>
      <w:marRight w:val="0"/>
      <w:marTop w:val="0"/>
      <w:marBottom w:val="0"/>
      <w:divBdr>
        <w:top w:val="none" w:sz="0" w:space="0" w:color="auto"/>
        <w:left w:val="none" w:sz="0" w:space="0" w:color="auto"/>
        <w:bottom w:val="none" w:sz="0" w:space="0" w:color="auto"/>
        <w:right w:val="none" w:sz="0" w:space="0" w:color="auto"/>
      </w:divBdr>
    </w:div>
    <w:div w:id="1277101527">
      <w:marLeft w:val="0"/>
      <w:marRight w:val="0"/>
      <w:marTop w:val="0"/>
      <w:marBottom w:val="0"/>
      <w:divBdr>
        <w:top w:val="none" w:sz="0" w:space="0" w:color="auto"/>
        <w:left w:val="none" w:sz="0" w:space="0" w:color="auto"/>
        <w:bottom w:val="none" w:sz="0" w:space="0" w:color="auto"/>
        <w:right w:val="none" w:sz="0" w:space="0" w:color="auto"/>
      </w:divBdr>
    </w:div>
    <w:div w:id="1277101528">
      <w:marLeft w:val="0"/>
      <w:marRight w:val="0"/>
      <w:marTop w:val="0"/>
      <w:marBottom w:val="0"/>
      <w:divBdr>
        <w:top w:val="none" w:sz="0" w:space="0" w:color="auto"/>
        <w:left w:val="none" w:sz="0" w:space="0" w:color="auto"/>
        <w:bottom w:val="none" w:sz="0" w:space="0" w:color="auto"/>
        <w:right w:val="none" w:sz="0" w:space="0" w:color="auto"/>
      </w:divBdr>
      <w:divsChild>
        <w:div w:id="1277101550">
          <w:marLeft w:val="0"/>
          <w:marRight w:val="0"/>
          <w:marTop w:val="0"/>
          <w:marBottom w:val="0"/>
          <w:divBdr>
            <w:top w:val="none" w:sz="0" w:space="0" w:color="auto"/>
            <w:left w:val="none" w:sz="0" w:space="0" w:color="auto"/>
            <w:bottom w:val="none" w:sz="0" w:space="0" w:color="auto"/>
            <w:right w:val="none" w:sz="0" w:space="0" w:color="auto"/>
          </w:divBdr>
          <w:divsChild>
            <w:div w:id="1277101530">
              <w:marLeft w:val="0"/>
              <w:marRight w:val="0"/>
              <w:marTop w:val="0"/>
              <w:marBottom w:val="0"/>
              <w:divBdr>
                <w:top w:val="none" w:sz="0" w:space="0" w:color="auto"/>
                <w:left w:val="none" w:sz="0" w:space="0" w:color="auto"/>
                <w:bottom w:val="none" w:sz="0" w:space="0" w:color="auto"/>
                <w:right w:val="none" w:sz="0" w:space="0" w:color="auto"/>
              </w:divBdr>
              <w:divsChild>
                <w:div w:id="1277101516">
                  <w:marLeft w:val="0"/>
                  <w:marRight w:val="0"/>
                  <w:marTop w:val="0"/>
                  <w:marBottom w:val="0"/>
                  <w:divBdr>
                    <w:top w:val="none" w:sz="0" w:space="0" w:color="auto"/>
                    <w:left w:val="none" w:sz="0" w:space="0" w:color="auto"/>
                    <w:bottom w:val="none" w:sz="0" w:space="0" w:color="auto"/>
                    <w:right w:val="none" w:sz="0" w:space="0" w:color="auto"/>
                  </w:divBdr>
                  <w:divsChild>
                    <w:div w:id="1277101513">
                      <w:marLeft w:val="0"/>
                      <w:marRight w:val="0"/>
                      <w:marTop w:val="0"/>
                      <w:marBottom w:val="0"/>
                      <w:divBdr>
                        <w:top w:val="none" w:sz="0" w:space="0" w:color="auto"/>
                        <w:left w:val="none" w:sz="0" w:space="0" w:color="auto"/>
                        <w:bottom w:val="none" w:sz="0" w:space="0" w:color="auto"/>
                        <w:right w:val="none" w:sz="0" w:space="0" w:color="auto"/>
                      </w:divBdr>
                    </w:div>
                  </w:divsChild>
                </w:div>
                <w:div w:id="1277101523">
                  <w:marLeft w:val="0"/>
                  <w:marRight w:val="0"/>
                  <w:marTop w:val="0"/>
                  <w:marBottom w:val="0"/>
                  <w:divBdr>
                    <w:top w:val="none" w:sz="0" w:space="0" w:color="auto"/>
                    <w:left w:val="none" w:sz="0" w:space="0" w:color="auto"/>
                    <w:bottom w:val="none" w:sz="0" w:space="0" w:color="auto"/>
                    <w:right w:val="none" w:sz="0" w:space="0" w:color="auto"/>
                  </w:divBdr>
                  <w:divsChild>
                    <w:div w:id="127710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1529">
      <w:marLeft w:val="0"/>
      <w:marRight w:val="0"/>
      <w:marTop w:val="0"/>
      <w:marBottom w:val="0"/>
      <w:divBdr>
        <w:top w:val="none" w:sz="0" w:space="0" w:color="auto"/>
        <w:left w:val="none" w:sz="0" w:space="0" w:color="auto"/>
        <w:bottom w:val="none" w:sz="0" w:space="0" w:color="auto"/>
        <w:right w:val="none" w:sz="0" w:space="0" w:color="auto"/>
      </w:divBdr>
      <w:divsChild>
        <w:div w:id="1277101526">
          <w:marLeft w:val="0"/>
          <w:marRight w:val="0"/>
          <w:marTop w:val="0"/>
          <w:marBottom w:val="0"/>
          <w:divBdr>
            <w:top w:val="none" w:sz="0" w:space="0" w:color="auto"/>
            <w:left w:val="none" w:sz="0" w:space="0" w:color="auto"/>
            <w:bottom w:val="none" w:sz="0" w:space="0" w:color="auto"/>
            <w:right w:val="none" w:sz="0" w:space="0" w:color="auto"/>
          </w:divBdr>
        </w:div>
      </w:divsChild>
    </w:div>
    <w:div w:id="1277101531">
      <w:marLeft w:val="0"/>
      <w:marRight w:val="0"/>
      <w:marTop w:val="0"/>
      <w:marBottom w:val="0"/>
      <w:divBdr>
        <w:top w:val="none" w:sz="0" w:space="0" w:color="auto"/>
        <w:left w:val="none" w:sz="0" w:space="0" w:color="auto"/>
        <w:bottom w:val="none" w:sz="0" w:space="0" w:color="auto"/>
        <w:right w:val="none" w:sz="0" w:space="0" w:color="auto"/>
      </w:divBdr>
    </w:div>
    <w:div w:id="1277101532">
      <w:marLeft w:val="0"/>
      <w:marRight w:val="0"/>
      <w:marTop w:val="0"/>
      <w:marBottom w:val="0"/>
      <w:divBdr>
        <w:top w:val="none" w:sz="0" w:space="0" w:color="auto"/>
        <w:left w:val="none" w:sz="0" w:space="0" w:color="auto"/>
        <w:bottom w:val="none" w:sz="0" w:space="0" w:color="auto"/>
        <w:right w:val="none" w:sz="0" w:space="0" w:color="auto"/>
      </w:divBdr>
    </w:div>
    <w:div w:id="1277101533">
      <w:marLeft w:val="0"/>
      <w:marRight w:val="0"/>
      <w:marTop w:val="0"/>
      <w:marBottom w:val="0"/>
      <w:divBdr>
        <w:top w:val="none" w:sz="0" w:space="0" w:color="auto"/>
        <w:left w:val="none" w:sz="0" w:space="0" w:color="auto"/>
        <w:bottom w:val="none" w:sz="0" w:space="0" w:color="auto"/>
        <w:right w:val="none" w:sz="0" w:space="0" w:color="auto"/>
      </w:divBdr>
    </w:div>
    <w:div w:id="1277101534">
      <w:marLeft w:val="0"/>
      <w:marRight w:val="0"/>
      <w:marTop w:val="0"/>
      <w:marBottom w:val="0"/>
      <w:divBdr>
        <w:top w:val="none" w:sz="0" w:space="0" w:color="auto"/>
        <w:left w:val="none" w:sz="0" w:space="0" w:color="auto"/>
        <w:bottom w:val="none" w:sz="0" w:space="0" w:color="auto"/>
        <w:right w:val="none" w:sz="0" w:space="0" w:color="auto"/>
      </w:divBdr>
    </w:div>
    <w:div w:id="1277101535">
      <w:marLeft w:val="0"/>
      <w:marRight w:val="0"/>
      <w:marTop w:val="0"/>
      <w:marBottom w:val="0"/>
      <w:divBdr>
        <w:top w:val="none" w:sz="0" w:space="0" w:color="auto"/>
        <w:left w:val="none" w:sz="0" w:space="0" w:color="auto"/>
        <w:bottom w:val="none" w:sz="0" w:space="0" w:color="auto"/>
        <w:right w:val="none" w:sz="0" w:space="0" w:color="auto"/>
      </w:divBdr>
    </w:div>
    <w:div w:id="1277101536">
      <w:marLeft w:val="0"/>
      <w:marRight w:val="0"/>
      <w:marTop w:val="0"/>
      <w:marBottom w:val="0"/>
      <w:divBdr>
        <w:top w:val="none" w:sz="0" w:space="0" w:color="auto"/>
        <w:left w:val="none" w:sz="0" w:space="0" w:color="auto"/>
        <w:bottom w:val="none" w:sz="0" w:space="0" w:color="auto"/>
        <w:right w:val="none" w:sz="0" w:space="0" w:color="auto"/>
      </w:divBdr>
    </w:div>
    <w:div w:id="1277101537">
      <w:marLeft w:val="0"/>
      <w:marRight w:val="0"/>
      <w:marTop w:val="0"/>
      <w:marBottom w:val="0"/>
      <w:divBdr>
        <w:top w:val="none" w:sz="0" w:space="0" w:color="auto"/>
        <w:left w:val="none" w:sz="0" w:space="0" w:color="auto"/>
        <w:bottom w:val="none" w:sz="0" w:space="0" w:color="auto"/>
        <w:right w:val="none" w:sz="0" w:space="0" w:color="auto"/>
      </w:divBdr>
    </w:div>
    <w:div w:id="1277101538">
      <w:marLeft w:val="0"/>
      <w:marRight w:val="0"/>
      <w:marTop w:val="0"/>
      <w:marBottom w:val="0"/>
      <w:divBdr>
        <w:top w:val="none" w:sz="0" w:space="0" w:color="auto"/>
        <w:left w:val="none" w:sz="0" w:space="0" w:color="auto"/>
        <w:bottom w:val="none" w:sz="0" w:space="0" w:color="auto"/>
        <w:right w:val="none" w:sz="0" w:space="0" w:color="auto"/>
      </w:divBdr>
    </w:div>
    <w:div w:id="1277101539">
      <w:marLeft w:val="0"/>
      <w:marRight w:val="0"/>
      <w:marTop w:val="0"/>
      <w:marBottom w:val="0"/>
      <w:divBdr>
        <w:top w:val="none" w:sz="0" w:space="0" w:color="auto"/>
        <w:left w:val="none" w:sz="0" w:space="0" w:color="auto"/>
        <w:bottom w:val="none" w:sz="0" w:space="0" w:color="auto"/>
        <w:right w:val="none" w:sz="0" w:space="0" w:color="auto"/>
      </w:divBdr>
    </w:div>
    <w:div w:id="1277101540">
      <w:marLeft w:val="0"/>
      <w:marRight w:val="0"/>
      <w:marTop w:val="0"/>
      <w:marBottom w:val="0"/>
      <w:divBdr>
        <w:top w:val="none" w:sz="0" w:space="0" w:color="auto"/>
        <w:left w:val="none" w:sz="0" w:space="0" w:color="auto"/>
        <w:bottom w:val="none" w:sz="0" w:space="0" w:color="auto"/>
        <w:right w:val="none" w:sz="0" w:space="0" w:color="auto"/>
      </w:divBdr>
    </w:div>
    <w:div w:id="1277101541">
      <w:marLeft w:val="0"/>
      <w:marRight w:val="0"/>
      <w:marTop w:val="0"/>
      <w:marBottom w:val="0"/>
      <w:divBdr>
        <w:top w:val="none" w:sz="0" w:space="0" w:color="auto"/>
        <w:left w:val="none" w:sz="0" w:space="0" w:color="auto"/>
        <w:bottom w:val="none" w:sz="0" w:space="0" w:color="auto"/>
        <w:right w:val="none" w:sz="0" w:space="0" w:color="auto"/>
      </w:divBdr>
    </w:div>
    <w:div w:id="1277101542">
      <w:marLeft w:val="0"/>
      <w:marRight w:val="0"/>
      <w:marTop w:val="0"/>
      <w:marBottom w:val="0"/>
      <w:divBdr>
        <w:top w:val="none" w:sz="0" w:space="0" w:color="auto"/>
        <w:left w:val="none" w:sz="0" w:space="0" w:color="auto"/>
        <w:bottom w:val="none" w:sz="0" w:space="0" w:color="auto"/>
        <w:right w:val="none" w:sz="0" w:space="0" w:color="auto"/>
      </w:divBdr>
    </w:div>
    <w:div w:id="1277101543">
      <w:marLeft w:val="0"/>
      <w:marRight w:val="0"/>
      <w:marTop w:val="0"/>
      <w:marBottom w:val="0"/>
      <w:divBdr>
        <w:top w:val="none" w:sz="0" w:space="0" w:color="auto"/>
        <w:left w:val="none" w:sz="0" w:space="0" w:color="auto"/>
        <w:bottom w:val="none" w:sz="0" w:space="0" w:color="auto"/>
        <w:right w:val="none" w:sz="0" w:space="0" w:color="auto"/>
      </w:divBdr>
    </w:div>
    <w:div w:id="1277101544">
      <w:marLeft w:val="0"/>
      <w:marRight w:val="0"/>
      <w:marTop w:val="0"/>
      <w:marBottom w:val="0"/>
      <w:divBdr>
        <w:top w:val="none" w:sz="0" w:space="0" w:color="auto"/>
        <w:left w:val="none" w:sz="0" w:space="0" w:color="auto"/>
        <w:bottom w:val="none" w:sz="0" w:space="0" w:color="auto"/>
        <w:right w:val="none" w:sz="0" w:space="0" w:color="auto"/>
      </w:divBdr>
    </w:div>
    <w:div w:id="1277101545">
      <w:marLeft w:val="0"/>
      <w:marRight w:val="0"/>
      <w:marTop w:val="0"/>
      <w:marBottom w:val="0"/>
      <w:divBdr>
        <w:top w:val="none" w:sz="0" w:space="0" w:color="auto"/>
        <w:left w:val="none" w:sz="0" w:space="0" w:color="auto"/>
        <w:bottom w:val="none" w:sz="0" w:space="0" w:color="auto"/>
        <w:right w:val="none" w:sz="0" w:space="0" w:color="auto"/>
      </w:divBdr>
    </w:div>
    <w:div w:id="1277101546">
      <w:marLeft w:val="0"/>
      <w:marRight w:val="0"/>
      <w:marTop w:val="0"/>
      <w:marBottom w:val="0"/>
      <w:divBdr>
        <w:top w:val="none" w:sz="0" w:space="0" w:color="auto"/>
        <w:left w:val="none" w:sz="0" w:space="0" w:color="auto"/>
        <w:bottom w:val="none" w:sz="0" w:space="0" w:color="auto"/>
        <w:right w:val="none" w:sz="0" w:space="0" w:color="auto"/>
      </w:divBdr>
    </w:div>
    <w:div w:id="1277101547">
      <w:marLeft w:val="0"/>
      <w:marRight w:val="0"/>
      <w:marTop w:val="0"/>
      <w:marBottom w:val="0"/>
      <w:divBdr>
        <w:top w:val="none" w:sz="0" w:space="0" w:color="auto"/>
        <w:left w:val="none" w:sz="0" w:space="0" w:color="auto"/>
        <w:bottom w:val="none" w:sz="0" w:space="0" w:color="auto"/>
        <w:right w:val="none" w:sz="0" w:space="0" w:color="auto"/>
      </w:divBdr>
    </w:div>
    <w:div w:id="1277101548">
      <w:marLeft w:val="0"/>
      <w:marRight w:val="0"/>
      <w:marTop w:val="0"/>
      <w:marBottom w:val="0"/>
      <w:divBdr>
        <w:top w:val="none" w:sz="0" w:space="0" w:color="auto"/>
        <w:left w:val="none" w:sz="0" w:space="0" w:color="auto"/>
        <w:bottom w:val="none" w:sz="0" w:space="0" w:color="auto"/>
        <w:right w:val="none" w:sz="0" w:space="0" w:color="auto"/>
      </w:divBdr>
    </w:div>
    <w:div w:id="1442069351">
      <w:bodyDiv w:val="1"/>
      <w:marLeft w:val="0"/>
      <w:marRight w:val="0"/>
      <w:marTop w:val="0"/>
      <w:marBottom w:val="0"/>
      <w:divBdr>
        <w:top w:val="none" w:sz="0" w:space="0" w:color="auto"/>
        <w:left w:val="none" w:sz="0" w:space="0" w:color="auto"/>
        <w:bottom w:val="none" w:sz="0" w:space="0" w:color="auto"/>
        <w:right w:val="none" w:sz="0" w:space="0" w:color="auto"/>
      </w:divBdr>
    </w:div>
    <w:div w:id="1508905876">
      <w:bodyDiv w:val="1"/>
      <w:marLeft w:val="0"/>
      <w:marRight w:val="0"/>
      <w:marTop w:val="0"/>
      <w:marBottom w:val="0"/>
      <w:divBdr>
        <w:top w:val="none" w:sz="0" w:space="0" w:color="auto"/>
        <w:left w:val="none" w:sz="0" w:space="0" w:color="auto"/>
        <w:bottom w:val="none" w:sz="0" w:space="0" w:color="auto"/>
        <w:right w:val="none" w:sz="0" w:space="0" w:color="auto"/>
      </w:divBdr>
    </w:div>
    <w:div w:id="1632634889">
      <w:bodyDiv w:val="1"/>
      <w:marLeft w:val="0"/>
      <w:marRight w:val="0"/>
      <w:marTop w:val="0"/>
      <w:marBottom w:val="0"/>
      <w:divBdr>
        <w:top w:val="none" w:sz="0" w:space="0" w:color="auto"/>
        <w:left w:val="none" w:sz="0" w:space="0" w:color="auto"/>
        <w:bottom w:val="none" w:sz="0" w:space="0" w:color="auto"/>
        <w:right w:val="none" w:sz="0" w:space="0" w:color="auto"/>
      </w:divBdr>
    </w:div>
    <w:div w:id="1694573612">
      <w:bodyDiv w:val="1"/>
      <w:marLeft w:val="0"/>
      <w:marRight w:val="0"/>
      <w:marTop w:val="0"/>
      <w:marBottom w:val="0"/>
      <w:divBdr>
        <w:top w:val="none" w:sz="0" w:space="0" w:color="auto"/>
        <w:left w:val="none" w:sz="0" w:space="0" w:color="auto"/>
        <w:bottom w:val="none" w:sz="0" w:space="0" w:color="auto"/>
        <w:right w:val="none" w:sz="0" w:space="0" w:color="auto"/>
      </w:divBdr>
    </w:div>
    <w:div w:id="1765302143">
      <w:bodyDiv w:val="1"/>
      <w:marLeft w:val="0"/>
      <w:marRight w:val="0"/>
      <w:marTop w:val="0"/>
      <w:marBottom w:val="0"/>
      <w:divBdr>
        <w:top w:val="none" w:sz="0" w:space="0" w:color="auto"/>
        <w:left w:val="none" w:sz="0" w:space="0" w:color="auto"/>
        <w:bottom w:val="none" w:sz="0" w:space="0" w:color="auto"/>
        <w:right w:val="none" w:sz="0" w:space="0" w:color="auto"/>
      </w:divBdr>
    </w:div>
    <w:div w:id="17890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33ADC-5742-44AF-ADB4-D21A741F1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2214</Words>
  <Characters>12621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Parallax Design</Company>
  <LinksUpToDate>false</LinksUpToDate>
  <CharactersWithSpaces>14806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SPAA - Submission to the consultation on 'Creating a Regulatory Framework for Tax Advice (Financial Product) Services'</dc:title>
  <dc:creator>jordangeorge@spaa.asn.au</dc:creator>
  <cp:lastModifiedBy>Hansen, Kim</cp:lastModifiedBy>
  <cp:revision>6</cp:revision>
  <cp:lastPrinted>2013-03-19T23:32:00Z</cp:lastPrinted>
  <dcterms:created xsi:type="dcterms:W3CDTF">2013-03-19T23:32:00Z</dcterms:created>
  <dcterms:modified xsi:type="dcterms:W3CDTF">2013-03-20T22:43:00Z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HeaderConverted">
    <vt:bool>true</vt:bool>
  </property>
</Properties>
</file>