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3F990" w14:textId="77777777" w:rsidR="00667F8D" w:rsidRDefault="00667F8D" w:rsidP="00006F7E">
      <w:pPr>
        <w:pStyle w:val="CoverTitleSub"/>
        <w:rPr>
          <w:rFonts w:cs="Calibri"/>
          <w:szCs w:val="36"/>
        </w:rPr>
      </w:pPr>
    </w:p>
    <w:p w14:paraId="4D0A095D" w14:textId="77777777" w:rsidR="00667F8D" w:rsidRDefault="00667F8D" w:rsidP="00006F7E">
      <w:pPr>
        <w:pStyle w:val="CoverTitleSub"/>
        <w:rPr>
          <w:rFonts w:cs="Calibri"/>
          <w:szCs w:val="36"/>
        </w:rPr>
      </w:pPr>
    </w:p>
    <w:p w14:paraId="15161EE3" w14:textId="77777777" w:rsidR="00667F8D" w:rsidRDefault="00667F8D" w:rsidP="00006F7E">
      <w:pPr>
        <w:pStyle w:val="CoverTitleSub"/>
        <w:rPr>
          <w:rFonts w:cs="Calibri"/>
          <w:szCs w:val="36"/>
        </w:rPr>
      </w:pPr>
    </w:p>
    <w:p w14:paraId="0CABA5BD" w14:textId="77777777" w:rsidR="00667F8D" w:rsidRDefault="00667F8D" w:rsidP="00006F7E">
      <w:pPr>
        <w:pStyle w:val="CoverTitleSub"/>
        <w:rPr>
          <w:rFonts w:cs="Calibri"/>
          <w:szCs w:val="36"/>
        </w:rPr>
      </w:pPr>
    </w:p>
    <w:p w14:paraId="3001EAC6" w14:textId="77777777" w:rsidR="00667F8D" w:rsidRDefault="00667F8D" w:rsidP="00006F7E">
      <w:pPr>
        <w:pStyle w:val="CoverTitleSub"/>
        <w:rPr>
          <w:rFonts w:cs="Calibri"/>
          <w:szCs w:val="36"/>
        </w:rPr>
      </w:pPr>
    </w:p>
    <w:p w14:paraId="549880B9" w14:textId="77777777" w:rsidR="00667F8D" w:rsidRDefault="00AE3BCA" w:rsidP="00006F7E">
      <w:pPr>
        <w:pStyle w:val="CoverTitleSub"/>
        <w:ind w:left="-1400" w:right="-1418"/>
      </w:pPr>
      <w:r>
        <w:rPr>
          <w:noProof/>
        </w:rPr>
        <mc:AlternateContent>
          <mc:Choice Requires="wps">
            <w:drawing>
              <wp:inline distT="0" distB="0" distL="0" distR="0" wp14:anchorId="05ABEA21" wp14:editId="2F41A37F">
                <wp:extent cx="7560310" cy="2286000"/>
                <wp:effectExtent l="0" t="0" r="254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286000"/>
                        </a:xfrm>
                        <a:prstGeom prst="rect">
                          <a:avLst/>
                        </a:prstGeom>
                        <a:gradFill rotWithShape="1">
                          <a:gsLst>
                            <a:gs pos="0">
                              <a:srgbClr val="342E82"/>
                            </a:gs>
                            <a:gs pos="100000">
                              <a:srgbClr val="342E82">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DEFE8" w14:textId="77777777" w:rsidR="00E4787D" w:rsidRDefault="00E4787D" w:rsidP="00006F7E">
                            <w:pPr>
                              <w:jc w:val="right"/>
                              <w:rPr>
                                <w:rFonts w:cs="Calibri"/>
                                <w:sz w:val="48"/>
                                <w:szCs w:val="48"/>
                              </w:rPr>
                            </w:pPr>
                          </w:p>
                          <w:p w14:paraId="0379831B" w14:textId="77777777" w:rsidR="00E4787D" w:rsidRDefault="00E4787D" w:rsidP="00006F7E">
                            <w:pPr>
                              <w:spacing w:before="240" w:line="360" w:lineRule="auto"/>
                              <w:jc w:val="right"/>
                              <w:rPr>
                                <w:color w:val="FFFFFF"/>
                                <w:sz w:val="56"/>
                                <w:szCs w:val="56"/>
                              </w:rPr>
                            </w:pPr>
                            <w:bookmarkStart w:id="0" w:name="_GoBack"/>
                            <w:r>
                              <w:rPr>
                                <w:color w:val="FFFFFF"/>
                                <w:sz w:val="56"/>
                                <w:szCs w:val="56"/>
                              </w:rPr>
                              <w:t>Taxation relief to support the implementation of Stronger Super</w:t>
                            </w:r>
                          </w:p>
                          <w:bookmarkEnd w:id="0"/>
                          <w:p w14:paraId="67A764F8" w14:textId="77777777" w:rsidR="00E4787D" w:rsidRDefault="00E4787D" w:rsidP="00006F7E">
                            <w:pPr>
                              <w:jc w:val="right"/>
                              <w:rPr>
                                <w:rFonts w:cs="Calibri"/>
                                <w:b/>
                                <w:sz w:val="48"/>
                                <w:szCs w:val="48"/>
                              </w:rPr>
                            </w:pPr>
                          </w:p>
                        </w:txbxContent>
                      </wps:txbx>
                      <wps:bodyPr rot="0" vert="horz" wrap="square" lIns="91440" tIns="45720" rIns="90000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95.3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" fillcolor="#342e82" stroked="f">
                <v:fill color2="#18153c" rotate="t" focus="100%" type="gradient"/>
                <v:textbox inset=",,25mm">
                  <w:txbxContent>
                    <w:p w14:paraId="7CCDEFE8" w14:textId="77777777" w:rsidR="00E4787D" w:rsidRDefault="00E4787D" w:rsidP="00006F7E">
                      <w:pPr>
                        <w:jc w:val="right"/>
                        <w:rPr>
                          <w:rFonts w:cs="Calibri"/>
                          <w:sz w:val="48"/>
                          <w:szCs w:val="48"/>
                        </w:rPr>
                      </w:pPr>
                    </w:p>
                    <w:p w14:paraId="0379831B" w14:textId="77777777" w:rsidR="00E4787D" w:rsidRDefault="00E4787D" w:rsidP="00006F7E">
                      <w:pPr>
                        <w:spacing w:before="240" w:line="360" w:lineRule="auto"/>
                        <w:jc w:val="right"/>
                        <w:rPr>
                          <w:color w:val="FFFFFF"/>
                          <w:sz w:val="56"/>
                          <w:szCs w:val="56"/>
                        </w:rPr>
                      </w:pPr>
                      <w:r>
                        <w:rPr>
                          <w:color w:val="FFFFFF"/>
                          <w:sz w:val="56"/>
                          <w:szCs w:val="56"/>
                        </w:rPr>
                        <w:t>Taxation relief to support the implementation of Stronger Super</w:t>
                      </w:r>
                    </w:p>
                    <w:p w14:paraId="67A764F8" w14:textId="77777777" w:rsidR="00E4787D" w:rsidRDefault="00E4787D" w:rsidP="00006F7E">
                      <w:pPr>
                        <w:jc w:val="right"/>
                        <w:rPr>
                          <w:rFonts w:cs="Calibri"/>
                          <w:b/>
                          <w:sz w:val="48"/>
                          <w:szCs w:val="48"/>
                        </w:rPr>
                      </w:pPr>
                    </w:p>
                  </w:txbxContent>
                </v:textbox>
                <w10:anchorlock/>
              </v:shape>
            </w:pict>
          </mc:Fallback>
        </mc:AlternateContent>
      </w:r>
    </w:p>
    <w:p w14:paraId="798F2E64" w14:textId="77777777" w:rsidR="00667F8D" w:rsidRDefault="00667F8D" w:rsidP="00006F7E">
      <w:pPr>
        <w:pStyle w:val="CoverTitleSub"/>
      </w:pPr>
      <w:r>
        <w:rPr>
          <w:rFonts w:cs="Calibri"/>
        </w:rPr>
        <w:t>Proposals Paper</w:t>
      </w:r>
      <w:r>
        <w:rPr>
          <w:rFonts w:cs="Calibri"/>
        </w:rPr>
        <w:br/>
      </w:r>
      <w:r w:rsidR="00F63D0C">
        <w:rPr>
          <w:szCs w:val="28"/>
        </w:rPr>
        <w:t>May</w:t>
      </w:r>
      <w:r w:rsidR="00524304">
        <w:rPr>
          <w:szCs w:val="28"/>
        </w:rPr>
        <w:t xml:space="preserve"> 2012</w:t>
      </w:r>
    </w:p>
    <w:p w14:paraId="04F3B5D5" w14:textId="77777777" w:rsidR="00667F8D" w:rsidRDefault="00667F8D" w:rsidP="00006F7E">
      <w:pPr>
        <w:rPr>
          <w:rFonts w:cs="Calibri"/>
          <w:sz w:val="20"/>
        </w:rPr>
      </w:pPr>
    </w:p>
    <w:p w14:paraId="14935777" w14:textId="77777777" w:rsidR="00667F8D" w:rsidRDefault="00667F8D" w:rsidP="00006F7E">
      <w:pPr>
        <w:sectPr w:rsidR="00667F8D">
          <w:headerReference w:type="even" r:id="rId12"/>
          <w:footerReference w:type="even" r:id="rId13"/>
          <w:pgSz w:w="11906" w:h="16838"/>
          <w:pgMar w:top="1418" w:right="1418" w:bottom="1418" w:left="1418" w:header="709" w:footer="709" w:gutter="0"/>
          <w:cols w:space="720"/>
        </w:sectPr>
      </w:pPr>
    </w:p>
    <w:p w14:paraId="738F34B6" w14:textId="77777777" w:rsidR="00240AAC" w:rsidRPr="00266E61" w:rsidRDefault="00240AAC" w:rsidP="00240AAC">
      <w:r w:rsidRPr="00661BF0">
        <w:lastRenderedPageBreak/>
        <w:t xml:space="preserve">© Commonwealth of Australia </w:t>
      </w:r>
      <w:r w:rsidR="00524304" w:rsidRPr="00266E61">
        <w:t>2012</w:t>
      </w:r>
    </w:p>
    <w:p w14:paraId="57E62B11" w14:textId="3DE5C84F" w:rsidR="00240AAC" w:rsidRPr="00C71D15" w:rsidRDefault="00240AAC" w:rsidP="00240AAC">
      <w:pPr>
        <w:rPr>
          <w:rFonts w:ascii="Arial" w:hAnsi="Arial" w:cs="Arial"/>
          <w:color w:val="auto"/>
          <w:sz w:val="20"/>
        </w:rPr>
      </w:pPr>
      <w:r w:rsidRPr="00266E61">
        <w:t xml:space="preserve">ISBN </w:t>
      </w:r>
      <w:r w:rsidR="00C71D15" w:rsidRPr="00C71D15">
        <w:t>978-0-642-74814-0</w:t>
      </w:r>
    </w:p>
    <w:p w14:paraId="340F1C3E" w14:textId="77777777" w:rsidR="00240AAC" w:rsidRPr="00086F82" w:rsidRDefault="00240AAC" w:rsidP="00240AAC">
      <w:pPr>
        <w:tabs>
          <w:tab w:val="left" w:pos="1650"/>
        </w:tabs>
        <w:spacing w:before="100" w:beforeAutospacing="1" w:after="100" w:afterAutospacing="1"/>
        <w:rPr>
          <w:rStyle w:val="A5"/>
          <w:rFonts w:cstheme="minorBidi"/>
          <w:sz w:val="24"/>
          <w:szCs w:val="24"/>
        </w:rPr>
      </w:pPr>
      <w:r w:rsidRPr="00266E61">
        <w:t>This publication is available for your use under a</w:t>
      </w:r>
      <w:r w:rsidRPr="00266E61">
        <w:rPr>
          <w:rStyle w:val="A5"/>
          <w:rFonts w:cstheme="minorHAnsi"/>
          <w:sz w:val="24"/>
          <w:szCs w:val="24"/>
        </w:rPr>
        <w:t xml:space="preserve"> </w:t>
      </w:r>
      <w:hyperlink r:id="rId14" w:history="1">
        <w:r w:rsidRPr="00266E61">
          <w:rPr>
            <w:rStyle w:val="Hyperlink"/>
          </w:rPr>
          <w:t>Creative Commons Attribution 3.0 Australia</w:t>
        </w:r>
      </w:hyperlink>
      <w:r w:rsidRPr="00266E61">
        <w:rPr>
          <w:rStyle w:val="A5"/>
          <w:rFonts w:cstheme="minorHAnsi"/>
          <w:sz w:val="24"/>
          <w:szCs w:val="24"/>
        </w:rPr>
        <w:t xml:space="preserve"> </w:t>
      </w:r>
      <w:r w:rsidRPr="00266E61">
        <w:t>licence, with the exception of the Commonwealth Coat of Arms, the Treasury logo, photographs, images, signatures and where otherwise stated [list if required]. The full licence terms are available from</w:t>
      </w:r>
      <w:r w:rsidRPr="00266E61">
        <w:rPr>
          <w:rStyle w:val="A5"/>
          <w:rFonts w:cstheme="minorHAnsi"/>
          <w:sz w:val="24"/>
          <w:szCs w:val="24"/>
        </w:rPr>
        <w:t xml:space="preserve"> </w:t>
      </w:r>
      <w:hyperlink r:id="rId15" w:history="1">
        <w:r w:rsidRPr="00266E61">
          <w:rPr>
            <w:rStyle w:val="Hyperlink"/>
          </w:rPr>
          <w:t>http://creativecommons.org/licenses/by/3.0/au/legalcode</w:t>
        </w:r>
      </w:hyperlink>
      <w:r w:rsidRPr="00266E61">
        <w:rPr>
          <w:rStyle w:val="Hyperlink"/>
        </w:rPr>
        <w:t>.</w:t>
      </w:r>
      <w:r w:rsidRPr="00D06A21">
        <w:rPr>
          <w:sz w:val="24"/>
          <w:szCs w:val="24"/>
        </w:rPr>
        <w:t xml:space="preserve"> </w:t>
      </w:r>
    </w:p>
    <w:p w14:paraId="42BB5409" w14:textId="77777777" w:rsidR="00240AAC" w:rsidRDefault="00240AAC" w:rsidP="00240AAC">
      <w:pPr>
        <w:tabs>
          <w:tab w:val="left" w:pos="1650"/>
        </w:tabs>
        <w:spacing w:before="100" w:beforeAutospacing="1" w:after="100" w:afterAutospacing="1" w:line="240" w:lineRule="auto"/>
        <w:rPr>
          <w:rFonts w:cstheme="minorHAnsi"/>
          <w:sz w:val="24"/>
          <w:szCs w:val="24"/>
        </w:rPr>
      </w:pPr>
      <w:r w:rsidRPr="00E56DFB">
        <w:rPr>
          <w:rFonts w:cstheme="minorHAnsi"/>
          <w:noProof/>
          <w:sz w:val="24"/>
          <w:szCs w:val="24"/>
        </w:rPr>
        <w:drawing>
          <wp:inline distT="0" distB="0" distL="0" distR="0" wp14:anchorId="0429F8C3" wp14:editId="5938F81A">
            <wp:extent cx="809625" cy="285750"/>
            <wp:effectExtent l="19050" t="0" r="9525" b="0"/>
            <wp:docPr id="7"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793AB1F" w14:textId="77777777" w:rsidR="00240AAC" w:rsidRPr="006627B4" w:rsidRDefault="00240AAC" w:rsidP="00240AAC">
      <w:pPr>
        <w:tabs>
          <w:tab w:val="left" w:pos="1650"/>
        </w:tabs>
        <w:spacing w:before="100" w:beforeAutospacing="1" w:after="100" w:afterAutospacing="1"/>
      </w:pPr>
      <w:r w:rsidRPr="006627B4">
        <w:t>Use of Treasury material under a</w:t>
      </w:r>
      <w:r w:rsidRPr="00476F09">
        <w:rPr>
          <w:rFonts w:cstheme="minorHAnsi"/>
          <w:sz w:val="24"/>
          <w:szCs w:val="24"/>
        </w:rPr>
        <w:t xml:space="preserve"> </w:t>
      </w:r>
      <w:hyperlink r:id="rId17" w:history="1">
        <w:r w:rsidRPr="002F1BC2">
          <w:rPr>
            <w:rStyle w:val="Hyperlink"/>
          </w:rPr>
          <w:t>Creative Commons 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67189389" w14:textId="77777777" w:rsidR="00240AAC" w:rsidRPr="002F1BC2" w:rsidRDefault="00240AAC" w:rsidP="00240AAC">
      <w:pPr>
        <w:rPr>
          <w:i/>
        </w:rPr>
      </w:pPr>
      <w:r w:rsidRPr="002F1BC2">
        <w:rPr>
          <w:i/>
        </w:rPr>
        <w:t>Treasury material used 'as supplied'</w:t>
      </w:r>
    </w:p>
    <w:p w14:paraId="34E0CF5A" w14:textId="42D7900F" w:rsidR="00240AAC" w:rsidRPr="00476F09" w:rsidRDefault="00240AAC" w:rsidP="00240AAC">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C71D15">
        <w:t xml:space="preserve"> — </w:t>
      </w:r>
      <w:r>
        <w:t>then Treasury prefers t</w:t>
      </w:r>
      <w:r w:rsidRPr="00476F09">
        <w:t xml:space="preserve">he following attribution: </w:t>
      </w:r>
    </w:p>
    <w:p w14:paraId="2F7F8EB5" w14:textId="77777777" w:rsidR="00240AAC" w:rsidRPr="00A13A11" w:rsidRDefault="00240AAC" w:rsidP="00240AAC">
      <w:pPr>
        <w:ind w:firstLine="720"/>
      </w:pPr>
      <w:r w:rsidRPr="002F1BC2">
        <w:rPr>
          <w:i/>
        </w:rPr>
        <w:t xml:space="preserve">Source: The </w:t>
      </w:r>
      <w:r w:rsidRPr="002F1BC2">
        <w:rPr>
          <w:i/>
          <w:iCs/>
        </w:rPr>
        <w:t xml:space="preserve">Australian Government the Treasury </w:t>
      </w:r>
    </w:p>
    <w:p w14:paraId="4B927584" w14:textId="77777777" w:rsidR="00240AAC" w:rsidRPr="006627B4" w:rsidRDefault="00240AAC" w:rsidP="00240AAC">
      <w:r w:rsidRPr="006627B4">
        <w:t>Derivative material</w:t>
      </w:r>
    </w:p>
    <w:p w14:paraId="4CB338E5" w14:textId="77777777" w:rsidR="00240AAC" w:rsidRPr="006627B4" w:rsidRDefault="00240AAC" w:rsidP="00240AAC">
      <w:r w:rsidRPr="006627B4">
        <w:t xml:space="preserve">If you have modified or transformed Treasury material, or derived new material from those of the Treasury in any way, then Treasury prefers the following attribution: </w:t>
      </w:r>
    </w:p>
    <w:p w14:paraId="129A9145" w14:textId="77777777" w:rsidR="00240AAC" w:rsidRPr="006627B4" w:rsidRDefault="00240AAC" w:rsidP="00240AAC">
      <w:pPr>
        <w:ind w:firstLine="720"/>
      </w:pPr>
      <w:r w:rsidRPr="002F1BC2">
        <w:rPr>
          <w:i/>
        </w:rPr>
        <w:t>Based on The Australian Government the Treasury data</w:t>
      </w:r>
      <w:r w:rsidRPr="006627B4">
        <w:t xml:space="preserve"> </w:t>
      </w:r>
    </w:p>
    <w:p w14:paraId="4EC3C301" w14:textId="77777777" w:rsidR="00240AAC" w:rsidRPr="006627B4" w:rsidRDefault="00240AAC" w:rsidP="00240AAC">
      <w:pPr>
        <w:spacing w:after="40"/>
        <w:rPr>
          <w:b/>
        </w:rPr>
      </w:pPr>
      <w:r w:rsidRPr="006627B4">
        <w:rPr>
          <w:b/>
        </w:rPr>
        <w:t>Use of the Coat of Arms</w:t>
      </w:r>
    </w:p>
    <w:p w14:paraId="471CED62" w14:textId="77777777" w:rsidR="00240AAC" w:rsidRPr="006627B4" w:rsidRDefault="00240AAC" w:rsidP="00240AAC">
      <w:r w:rsidRPr="006627B4">
        <w:t xml:space="preserve">The terms under which the Coat of Arms can be used are set out on the It’s an Honour website (see </w:t>
      </w:r>
      <w:hyperlink r:id="rId18" w:history="1">
        <w:r w:rsidRPr="006627B4">
          <w:t>www.itsanhonour.gov.au</w:t>
        </w:r>
      </w:hyperlink>
      <w:r w:rsidRPr="006627B4">
        <w:t>)</w:t>
      </w:r>
    </w:p>
    <w:p w14:paraId="3BCB9148" w14:textId="77777777" w:rsidR="00240AAC" w:rsidRPr="006627B4" w:rsidRDefault="00240AAC" w:rsidP="00240AAC">
      <w:pPr>
        <w:spacing w:after="40"/>
        <w:rPr>
          <w:b/>
        </w:rPr>
      </w:pPr>
      <w:r w:rsidRPr="006627B4">
        <w:rPr>
          <w:b/>
        </w:rPr>
        <w:t>Other Uses</w:t>
      </w:r>
    </w:p>
    <w:p w14:paraId="0B915857" w14:textId="77777777" w:rsidR="00240AAC" w:rsidRPr="006627B4" w:rsidRDefault="00240AAC" w:rsidP="00240AAC">
      <w:r w:rsidRPr="006627B4">
        <w:t>Inquiries regarding this licence and any other use of this document are welcome at:</w:t>
      </w:r>
    </w:p>
    <w:p w14:paraId="61F6CBA2" w14:textId="77777777" w:rsidR="00240AAC" w:rsidRPr="006627B4" w:rsidRDefault="00240AAC" w:rsidP="00240AAC">
      <w:pPr>
        <w:spacing w:after="0"/>
        <w:ind w:left="720"/>
      </w:pPr>
      <w:r w:rsidRPr="006627B4">
        <w:t>Manager</w:t>
      </w:r>
    </w:p>
    <w:p w14:paraId="53EEF15F" w14:textId="77777777" w:rsidR="00240AAC" w:rsidRPr="006627B4" w:rsidRDefault="00240AAC" w:rsidP="00240AAC">
      <w:pPr>
        <w:spacing w:after="0"/>
        <w:ind w:left="720"/>
      </w:pPr>
      <w:r w:rsidRPr="006627B4">
        <w:t xml:space="preserve">Communications </w:t>
      </w:r>
    </w:p>
    <w:p w14:paraId="10AEBC74" w14:textId="77777777" w:rsidR="00240AAC" w:rsidRPr="006627B4" w:rsidRDefault="00240AAC" w:rsidP="00240AAC">
      <w:pPr>
        <w:spacing w:after="0"/>
        <w:ind w:left="720"/>
      </w:pPr>
      <w:r w:rsidRPr="006627B4">
        <w:t>The Treasury</w:t>
      </w:r>
    </w:p>
    <w:p w14:paraId="1A807A0C" w14:textId="77777777" w:rsidR="00240AAC" w:rsidRPr="006627B4" w:rsidRDefault="00240AAC" w:rsidP="00240AAC">
      <w:pPr>
        <w:spacing w:after="0"/>
        <w:ind w:left="720"/>
      </w:pPr>
      <w:r w:rsidRPr="006627B4">
        <w:t xml:space="preserve">Langton Crescent </w:t>
      </w:r>
      <w:proofErr w:type="spellStart"/>
      <w:r w:rsidRPr="006627B4">
        <w:t>Parkes</w:t>
      </w:r>
      <w:proofErr w:type="spellEnd"/>
      <w:r w:rsidRPr="006627B4">
        <w:t xml:space="preserve"> ACT 2600</w:t>
      </w:r>
    </w:p>
    <w:p w14:paraId="4DD6D1E9" w14:textId="77777777" w:rsidR="00240AAC" w:rsidRPr="002F1BC2" w:rsidRDefault="00240AAC" w:rsidP="00240AAC">
      <w:pPr>
        <w:spacing w:after="0"/>
        <w:ind w:left="720"/>
        <w:rPr>
          <w:rStyle w:val="Hyperlink"/>
        </w:rPr>
      </w:pPr>
      <w:r w:rsidRPr="006627B4">
        <w:t xml:space="preserve">Email: </w:t>
      </w:r>
      <w:hyperlink r:id="rId19" w:history="1">
        <w:r w:rsidR="00046BF5" w:rsidRPr="00B31CFB">
          <w:rPr>
            <w:rStyle w:val="Hyperlink"/>
          </w:rPr>
          <w:t>medialiaison@treasury.gov.au</w:t>
        </w:r>
      </w:hyperlink>
      <w:r w:rsidRPr="002F1BC2">
        <w:rPr>
          <w:rStyle w:val="Hyperlink"/>
        </w:rPr>
        <w:t xml:space="preserve"> </w:t>
      </w:r>
    </w:p>
    <w:p w14:paraId="453FB049" w14:textId="77777777" w:rsidR="002F3D8E" w:rsidRDefault="002F3D8E" w:rsidP="007F7C8E">
      <w:pPr>
        <w:rPr>
          <w:rFonts w:cs="Arial"/>
        </w:rPr>
      </w:pPr>
    </w:p>
    <w:p w14:paraId="375AB5CA" w14:textId="77777777" w:rsidR="00667F8D" w:rsidRDefault="00667F8D" w:rsidP="00006F7E">
      <w:pPr>
        <w:sectPr w:rsidR="00667F8D">
          <w:footerReference w:type="even" r:id="rId20"/>
          <w:pgSz w:w="11906" w:h="16838"/>
          <w:pgMar w:top="1418" w:right="1418" w:bottom="1418" w:left="1418" w:header="709" w:footer="709" w:gutter="0"/>
          <w:cols w:space="720"/>
        </w:sectPr>
      </w:pPr>
    </w:p>
    <w:p w14:paraId="2DFCD4FC" w14:textId="77777777" w:rsidR="00667F8D" w:rsidRDefault="00667F8D" w:rsidP="00006F7E">
      <w:pPr>
        <w:pStyle w:val="Heading2NotNumbered"/>
        <w:rPr>
          <w:rFonts w:cs="Calibri"/>
          <w:caps/>
        </w:rPr>
      </w:pPr>
      <w:r>
        <w:rPr>
          <w:rFonts w:cs="Calibri"/>
        </w:rPr>
        <w:lastRenderedPageBreak/>
        <w:t>Consultation Process</w:t>
      </w:r>
    </w:p>
    <w:p w14:paraId="57838FC7" w14:textId="77777777" w:rsidR="00667F8D" w:rsidRDefault="00667F8D" w:rsidP="00006F7E">
      <w:pPr>
        <w:pStyle w:val="Heading4"/>
      </w:pPr>
      <w:r>
        <w:rPr>
          <w:rFonts w:cs="Calibri"/>
          <w:bCs w:val="0"/>
        </w:rPr>
        <w:t>Request for feedback and comments</w:t>
      </w:r>
    </w:p>
    <w:p w14:paraId="6D2FA307" w14:textId="125831AD" w:rsidR="00667F8D" w:rsidRDefault="00524304" w:rsidP="00006F7E">
      <w:pPr>
        <w:rPr>
          <w:rFonts w:cs="Arial"/>
        </w:rPr>
      </w:pPr>
      <w:r>
        <w:rPr>
          <w:rFonts w:cs="Arial"/>
        </w:rPr>
        <w:t>We invite interested parties to lodge written submissions on the design of th</w:t>
      </w:r>
      <w:r w:rsidR="001A0097">
        <w:rPr>
          <w:rFonts w:cs="Arial"/>
        </w:rPr>
        <w:t>is</w:t>
      </w:r>
      <w:r>
        <w:rPr>
          <w:rFonts w:cs="Arial"/>
        </w:rPr>
        <w:t xml:space="preserve"> measure</w:t>
      </w:r>
      <w:r w:rsidR="00C71D15">
        <w:rPr>
          <w:rFonts w:cs="Arial"/>
        </w:rPr>
        <w:t xml:space="preserve">. </w:t>
      </w:r>
    </w:p>
    <w:p w14:paraId="578E264C" w14:textId="47A00B90" w:rsidR="00524304" w:rsidRDefault="00524304" w:rsidP="00006F7E">
      <w:pPr>
        <w:rPr>
          <w:rFonts w:cs="Arial"/>
        </w:rPr>
      </w:pPr>
      <w:r>
        <w:rPr>
          <w:rFonts w:cs="Arial"/>
        </w:rPr>
        <w:t>We also encourage the identification of any other issues, including interaction issues with other parts of the tax law that may be relevant to the design of these measures</w:t>
      </w:r>
      <w:r w:rsidR="00C71D15">
        <w:rPr>
          <w:rFonts w:cs="Arial"/>
        </w:rPr>
        <w:t xml:space="preserve">. </w:t>
      </w:r>
      <w:r>
        <w:rPr>
          <w:rFonts w:cs="Arial"/>
        </w:rPr>
        <w:t>While submissions may be lodged electronically, by post or by facsimile, electronic lodgement is preferred.</w:t>
      </w:r>
    </w:p>
    <w:p w14:paraId="03601AE3" w14:textId="2FD4F5CE" w:rsidR="00524304" w:rsidRPr="00524304" w:rsidRDefault="00524304" w:rsidP="00006F7E">
      <w:pPr>
        <w:rPr>
          <w:rFonts w:cs="Arial"/>
        </w:rPr>
      </w:pPr>
      <w:r>
        <w:rPr>
          <w:rFonts w:cs="Arial"/>
        </w:rPr>
        <w:t>Submissions will be made available on the Treasury website unless you clearly indicate that you would like all or part of your submission to remain confidential</w:t>
      </w:r>
      <w:r w:rsidR="00C71D15">
        <w:rPr>
          <w:rFonts w:cs="Arial"/>
        </w:rPr>
        <w:t xml:space="preserve">. </w:t>
      </w:r>
      <w:r>
        <w:rPr>
          <w:rFonts w:cs="Arial"/>
        </w:rPr>
        <w:t>Automatically generated confidentiality statements in emails do not suffice for this purpose</w:t>
      </w:r>
      <w:r w:rsidR="00C71D15">
        <w:rPr>
          <w:rFonts w:cs="Arial"/>
        </w:rPr>
        <w:t xml:space="preserve">. </w:t>
      </w:r>
      <w:r>
        <w:rPr>
          <w:rFonts w:cs="Arial"/>
        </w:rPr>
        <w:t xml:space="preserve">A request made under the </w:t>
      </w:r>
      <w:r>
        <w:rPr>
          <w:rFonts w:cs="Arial"/>
          <w:i/>
        </w:rPr>
        <w:t>Freedom of Information Act 1982</w:t>
      </w:r>
      <w:r>
        <w:rPr>
          <w:rFonts w:cs="Arial"/>
        </w:rPr>
        <w:t xml:space="preserve"> for access to a submission marked confidential will be determined in a</w:t>
      </w:r>
      <w:r w:rsidR="001E09F7">
        <w:rPr>
          <w:rFonts w:cs="Arial"/>
        </w:rPr>
        <w:t>ccordance with that act.</w:t>
      </w:r>
    </w:p>
    <w:p w14:paraId="18F431D0" w14:textId="62AF42EF" w:rsidR="00667F8D" w:rsidRDefault="00667F8D" w:rsidP="00006F7E">
      <w:pPr>
        <w:pStyle w:val="Heading4"/>
      </w:pPr>
      <w:r>
        <w:rPr>
          <w:rFonts w:cs="Calibri"/>
          <w:bCs w:val="0"/>
        </w:rPr>
        <w:t xml:space="preserve">Closing date for submissions: </w:t>
      </w:r>
      <w:r w:rsidR="001244EE">
        <w:rPr>
          <w:rFonts w:cs="Calibri"/>
          <w:bCs w:val="0"/>
        </w:rPr>
        <w:t>8 June 2012</w:t>
      </w:r>
    </w:p>
    <w:tbl>
      <w:tblPr>
        <w:tblW w:w="0" w:type="auto"/>
        <w:tblLook w:val="01E0" w:firstRow="1" w:lastRow="1" w:firstColumn="1" w:lastColumn="1" w:noHBand="0" w:noVBand="0"/>
      </w:tblPr>
      <w:tblGrid>
        <w:gridCol w:w="1668"/>
        <w:gridCol w:w="7618"/>
      </w:tblGrid>
      <w:tr w:rsidR="00667F8D" w14:paraId="4BA63A99" w14:textId="77777777" w:rsidTr="00006F7E">
        <w:tc>
          <w:tcPr>
            <w:tcW w:w="1668" w:type="dxa"/>
            <w:hideMark/>
          </w:tcPr>
          <w:p w14:paraId="6B27A6A4" w14:textId="77777777" w:rsidR="00667F8D" w:rsidRDefault="00667F8D">
            <w:pPr>
              <w:pStyle w:val="SingleParagraph"/>
              <w:rPr>
                <w:rFonts w:cs="Arial"/>
              </w:rPr>
            </w:pPr>
            <w:bookmarkStart w:id="1" w:name="OLE_LINK5" w:colFirst="0" w:colLast="0"/>
            <w:bookmarkStart w:id="2" w:name="OLE_LINK6" w:colFirst="0" w:colLast="0"/>
            <w:r>
              <w:rPr>
                <w:rFonts w:cs="Arial"/>
              </w:rPr>
              <w:t xml:space="preserve">Email: </w:t>
            </w:r>
          </w:p>
        </w:tc>
        <w:tc>
          <w:tcPr>
            <w:tcW w:w="7618" w:type="dxa"/>
            <w:hideMark/>
          </w:tcPr>
          <w:p w14:paraId="6B30D69D" w14:textId="47673DF0" w:rsidR="00667F8D" w:rsidRDefault="00F92DF8">
            <w:pPr>
              <w:rPr>
                <w:rFonts w:ascii="Calibri" w:hAnsi="Calibri" w:cs="Arial"/>
              </w:rPr>
            </w:pPr>
            <w:hyperlink r:id="rId21" w:history="1">
              <w:r w:rsidR="005B35E8" w:rsidRPr="004F2110">
                <w:rPr>
                  <w:rStyle w:val="Hyperlink"/>
                  <w:rFonts w:cs="Arial"/>
                </w:rPr>
                <w:t>cgt_super_roll</w:t>
              </w:r>
              <w:r w:rsidR="00C71D15">
                <w:rPr>
                  <w:rStyle w:val="Hyperlink"/>
                  <w:rFonts w:cs="Arial"/>
                </w:rPr>
                <w:noBreakHyphen/>
              </w:r>
              <w:r w:rsidR="005B35E8" w:rsidRPr="004F2110">
                <w:rPr>
                  <w:rStyle w:val="Hyperlink"/>
                  <w:rFonts w:cs="Arial"/>
                </w:rPr>
                <w:t>over@treasury.gov.au</w:t>
              </w:r>
            </w:hyperlink>
            <w:r w:rsidR="005B35E8">
              <w:rPr>
                <w:rFonts w:cs="Arial"/>
              </w:rPr>
              <w:t xml:space="preserve"> </w:t>
            </w:r>
          </w:p>
        </w:tc>
      </w:tr>
      <w:bookmarkEnd w:id="1"/>
      <w:bookmarkEnd w:id="2"/>
      <w:tr w:rsidR="00667F8D" w14:paraId="19D4837C" w14:textId="77777777" w:rsidTr="00006F7E">
        <w:tc>
          <w:tcPr>
            <w:tcW w:w="1668" w:type="dxa"/>
            <w:hideMark/>
          </w:tcPr>
          <w:p w14:paraId="4322D945" w14:textId="77777777" w:rsidR="00667F8D" w:rsidRDefault="00667F8D">
            <w:pPr>
              <w:pStyle w:val="SingleParagraph"/>
              <w:rPr>
                <w:rFonts w:cs="Arial"/>
              </w:rPr>
            </w:pPr>
            <w:r>
              <w:rPr>
                <w:rFonts w:cs="Arial"/>
              </w:rPr>
              <w:t>Mail:</w:t>
            </w:r>
          </w:p>
        </w:tc>
        <w:tc>
          <w:tcPr>
            <w:tcW w:w="7618" w:type="dxa"/>
            <w:hideMark/>
          </w:tcPr>
          <w:p w14:paraId="2AF6162B" w14:textId="77777777" w:rsidR="00667F8D" w:rsidRDefault="005B35E8">
            <w:pPr>
              <w:pStyle w:val="SingleParagraph"/>
              <w:rPr>
                <w:rFonts w:ascii="Calibri" w:hAnsi="Calibri" w:cs="Arial"/>
              </w:rPr>
            </w:pPr>
            <w:r>
              <w:rPr>
                <w:rFonts w:cs="Arial"/>
              </w:rPr>
              <w:t>The General Manager</w:t>
            </w:r>
          </w:p>
          <w:p w14:paraId="3DBD2AE4" w14:textId="77777777" w:rsidR="00667F8D" w:rsidRDefault="005B35E8">
            <w:pPr>
              <w:pStyle w:val="SingleParagraph"/>
              <w:rPr>
                <w:rFonts w:cs="Arial"/>
              </w:rPr>
            </w:pPr>
            <w:r>
              <w:rPr>
                <w:rFonts w:cs="Arial"/>
              </w:rPr>
              <w:t>Business Tax Division</w:t>
            </w:r>
          </w:p>
          <w:p w14:paraId="1D233A4E" w14:textId="77777777" w:rsidR="00667F8D" w:rsidRDefault="00667F8D">
            <w:pPr>
              <w:pStyle w:val="SingleParagraph"/>
              <w:rPr>
                <w:rFonts w:cs="Arial"/>
              </w:rPr>
            </w:pPr>
            <w:r>
              <w:rPr>
                <w:rFonts w:cs="Arial"/>
              </w:rPr>
              <w:t>The Treasury</w:t>
            </w:r>
          </w:p>
          <w:p w14:paraId="6B809521" w14:textId="77777777" w:rsidR="00667F8D" w:rsidRDefault="00667F8D">
            <w:pPr>
              <w:pStyle w:val="SingleParagraph"/>
              <w:rPr>
                <w:rFonts w:cs="Arial"/>
              </w:rPr>
            </w:pPr>
            <w:r>
              <w:rPr>
                <w:rFonts w:cs="Arial"/>
              </w:rPr>
              <w:t>Langton Crescent</w:t>
            </w:r>
          </w:p>
          <w:p w14:paraId="3EE6082D" w14:textId="77777777" w:rsidR="00667F8D" w:rsidRDefault="00667F8D">
            <w:pPr>
              <w:rPr>
                <w:rFonts w:ascii="Calibri" w:hAnsi="Calibri" w:cs="Arial"/>
              </w:rPr>
            </w:pPr>
            <w:r>
              <w:rPr>
                <w:rFonts w:cs="Arial"/>
              </w:rPr>
              <w:t>PARKES ACT 2600</w:t>
            </w:r>
          </w:p>
        </w:tc>
      </w:tr>
      <w:tr w:rsidR="00667F8D" w14:paraId="54270575" w14:textId="77777777" w:rsidTr="00006F7E">
        <w:tc>
          <w:tcPr>
            <w:tcW w:w="1668" w:type="dxa"/>
            <w:hideMark/>
          </w:tcPr>
          <w:p w14:paraId="08C4FD6C" w14:textId="77777777" w:rsidR="00667F8D" w:rsidRDefault="00667F8D">
            <w:pPr>
              <w:pStyle w:val="SingleParagraph"/>
              <w:rPr>
                <w:rFonts w:cs="Arial"/>
              </w:rPr>
            </w:pPr>
          </w:p>
        </w:tc>
        <w:tc>
          <w:tcPr>
            <w:tcW w:w="7618" w:type="dxa"/>
            <w:hideMark/>
          </w:tcPr>
          <w:p w14:paraId="083AD5C1" w14:textId="77777777" w:rsidR="00667F8D" w:rsidRDefault="00667F8D" w:rsidP="005B35E8">
            <w:pPr>
              <w:rPr>
                <w:rFonts w:ascii="Calibri" w:hAnsi="Calibri" w:cs="Arial"/>
              </w:rPr>
            </w:pPr>
            <w:r>
              <w:rPr>
                <w:rFonts w:cs="Arial"/>
              </w:rPr>
              <w:t xml:space="preserve">Enquiries can be initially directed to </w:t>
            </w:r>
            <w:r w:rsidR="005B35E8">
              <w:rPr>
                <w:rFonts w:cs="Arial"/>
              </w:rPr>
              <w:t>Ly Mai</w:t>
            </w:r>
          </w:p>
        </w:tc>
      </w:tr>
      <w:tr w:rsidR="00667F8D" w14:paraId="097F61B8" w14:textId="77777777" w:rsidTr="00006F7E">
        <w:tc>
          <w:tcPr>
            <w:tcW w:w="1668" w:type="dxa"/>
            <w:hideMark/>
          </w:tcPr>
          <w:p w14:paraId="78094A1E" w14:textId="77777777" w:rsidR="001A0097" w:rsidRDefault="00667F8D">
            <w:pPr>
              <w:rPr>
                <w:rFonts w:ascii="Calibri" w:hAnsi="Calibri" w:cs="Arial"/>
              </w:rPr>
            </w:pPr>
            <w:r>
              <w:rPr>
                <w:rFonts w:cs="Arial"/>
              </w:rPr>
              <w:t>Phone:</w:t>
            </w:r>
          </w:p>
          <w:p w14:paraId="176D6154" w14:textId="77777777" w:rsidR="00667F8D" w:rsidRPr="00913F67" w:rsidRDefault="001A0097" w:rsidP="00913F67">
            <w:pPr>
              <w:rPr>
                <w:rFonts w:ascii="Calibri" w:hAnsi="Calibri" w:cs="Arial"/>
              </w:rPr>
            </w:pPr>
            <w:r>
              <w:rPr>
                <w:rFonts w:ascii="Calibri" w:hAnsi="Calibri" w:cs="Arial"/>
              </w:rPr>
              <w:t>Fax:</w:t>
            </w:r>
          </w:p>
        </w:tc>
        <w:tc>
          <w:tcPr>
            <w:tcW w:w="7618" w:type="dxa"/>
            <w:hideMark/>
          </w:tcPr>
          <w:p w14:paraId="5A3B93BA" w14:textId="77777777" w:rsidR="00667F8D" w:rsidRDefault="00667F8D" w:rsidP="005B35E8">
            <w:pPr>
              <w:rPr>
                <w:rFonts w:cs="Arial"/>
              </w:rPr>
            </w:pPr>
            <w:r>
              <w:rPr>
                <w:rFonts w:cs="Arial"/>
              </w:rPr>
              <w:t xml:space="preserve">02 6263 </w:t>
            </w:r>
            <w:r w:rsidR="005B35E8">
              <w:rPr>
                <w:rFonts w:cs="Arial"/>
              </w:rPr>
              <w:t>3919</w:t>
            </w:r>
          </w:p>
          <w:p w14:paraId="3A9F39F6" w14:textId="77777777" w:rsidR="001A0097" w:rsidRDefault="001A0097" w:rsidP="005B35E8">
            <w:pPr>
              <w:rPr>
                <w:rFonts w:ascii="Calibri" w:hAnsi="Calibri" w:cs="Arial"/>
              </w:rPr>
            </w:pPr>
            <w:r>
              <w:rPr>
                <w:rFonts w:ascii="Calibri" w:hAnsi="Calibri" w:cs="Arial"/>
              </w:rPr>
              <w:t>02 6263 4471</w:t>
            </w:r>
          </w:p>
        </w:tc>
      </w:tr>
    </w:tbl>
    <w:p w14:paraId="76D49107" w14:textId="77777777" w:rsidR="00667F8D" w:rsidRDefault="00667F8D" w:rsidP="00006F7E">
      <w:pPr>
        <w:pStyle w:val="SingleParagraph"/>
        <w:rPr>
          <w:rFonts w:ascii="Calibri" w:hAnsi="Calibri" w:cs="Arial"/>
        </w:rPr>
      </w:pPr>
    </w:p>
    <w:p w14:paraId="53CCBACB" w14:textId="77777777" w:rsidR="00667F8D" w:rsidRDefault="00667F8D" w:rsidP="00006F7E">
      <w:pPr>
        <w:sectPr w:rsidR="00667F8D">
          <w:footerReference w:type="default" r:id="rId22"/>
          <w:pgSz w:w="11906" w:h="16838"/>
          <w:pgMar w:top="1418" w:right="1418" w:bottom="1418" w:left="1418" w:header="709" w:footer="709" w:gutter="0"/>
          <w:pgNumType w:fmt="lowerRoman"/>
          <w:cols w:space="720"/>
        </w:sectPr>
      </w:pPr>
    </w:p>
    <w:p w14:paraId="7026E452" w14:textId="77777777" w:rsidR="00667F8D" w:rsidRDefault="00667F8D" w:rsidP="00006F7E">
      <w:pPr>
        <w:pStyle w:val="ContentsHeading"/>
      </w:pPr>
      <w:r>
        <w:rPr>
          <w:rFonts w:cs="Calibri"/>
        </w:rPr>
        <w:lastRenderedPageBreak/>
        <w:t>Contents</w:t>
      </w:r>
    </w:p>
    <w:p w14:paraId="1F12112E" w14:textId="77777777" w:rsidR="00EE05E3" w:rsidRDefault="005B00BF">
      <w:pPr>
        <w:pStyle w:val="TOC1"/>
        <w:rPr>
          <w:rFonts w:asciiTheme="minorHAnsi" w:eastAsiaTheme="minorEastAsia" w:hAnsiTheme="minorHAnsi" w:cstheme="minorBidi"/>
          <w:b w:val="0"/>
          <w:smallCaps w:val="0"/>
          <w:noProof/>
          <w:color w:val="auto"/>
        </w:rPr>
      </w:pPr>
      <w:r>
        <w:fldChar w:fldCharType="begin"/>
      </w:r>
      <w:r w:rsidR="00667F8D">
        <w:instrText xml:space="preserve"> TOC \o "1-2" \t "Heading 1 Not Numbered,1" </w:instrText>
      </w:r>
      <w:r>
        <w:fldChar w:fldCharType="separate"/>
      </w:r>
      <w:r w:rsidR="00EE05E3" w:rsidRPr="00FE2136">
        <w:rPr>
          <w:rFonts w:cs="Calibri"/>
          <w:noProof/>
        </w:rPr>
        <w:t>Foreword</w:t>
      </w:r>
      <w:r w:rsidR="00EE05E3">
        <w:rPr>
          <w:noProof/>
        </w:rPr>
        <w:tab/>
      </w:r>
      <w:r w:rsidR="00EE05E3">
        <w:rPr>
          <w:noProof/>
        </w:rPr>
        <w:fldChar w:fldCharType="begin"/>
      </w:r>
      <w:r w:rsidR="00EE05E3">
        <w:rPr>
          <w:noProof/>
        </w:rPr>
        <w:instrText xml:space="preserve"> PAGEREF _Toc323205302 \h </w:instrText>
      </w:r>
      <w:r w:rsidR="00EE05E3">
        <w:rPr>
          <w:noProof/>
        </w:rPr>
      </w:r>
      <w:r w:rsidR="00EE05E3">
        <w:rPr>
          <w:noProof/>
        </w:rPr>
        <w:fldChar w:fldCharType="separate"/>
      </w:r>
      <w:r w:rsidR="005F3AF2">
        <w:rPr>
          <w:noProof/>
        </w:rPr>
        <w:t>v</w:t>
      </w:r>
      <w:r w:rsidR="00EE05E3">
        <w:rPr>
          <w:noProof/>
        </w:rPr>
        <w:fldChar w:fldCharType="end"/>
      </w:r>
    </w:p>
    <w:p w14:paraId="1329E110" w14:textId="77777777" w:rsidR="00EE05E3" w:rsidRDefault="00EE05E3">
      <w:pPr>
        <w:pStyle w:val="TOC1"/>
        <w:rPr>
          <w:rFonts w:asciiTheme="minorHAnsi" w:eastAsiaTheme="minorEastAsia" w:hAnsiTheme="minorHAnsi" w:cstheme="minorBidi"/>
          <w:b w:val="0"/>
          <w:smallCaps w:val="0"/>
          <w:noProof/>
          <w:color w:val="auto"/>
        </w:rPr>
      </w:pPr>
      <w:r w:rsidRPr="00FE2136">
        <w:rPr>
          <w:rFonts w:cs="Calibri"/>
          <w:noProof/>
        </w:rPr>
        <w:t>Summary</w:t>
      </w:r>
      <w:r>
        <w:rPr>
          <w:noProof/>
        </w:rPr>
        <w:tab/>
      </w:r>
      <w:r>
        <w:rPr>
          <w:noProof/>
        </w:rPr>
        <w:fldChar w:fldCharType="begin"/>
      </w:r>
      <w:r>
        <w:rPr>
          <w:noProof/>
        </w:rPr>
        <w:instrText xml:space="preserve"> PAGEREF _Toc323205303 \h </w:instrText>
      </w:r>
      <w:r>
        <w:rPr>
          <w:noProof/>
        </w:rPr>
      </w:r>
      <w:r>
        <w:rPr>
          <w:noProof/>
        </w:rPr>
        <w:fldChar w:fldCharType="separate"/>
      </w:r>
      <w:r w:rsidR="005F3AF2">
        <w:rPr>
          <w:noProof/>
        </w:rPr>
        <w:t>1</w:t>
      </w:r>
      <w:r>
        <w:rPr>
          <w:noProof/>
        </w:rPr>
        <w:fldChar w:fldCharType="end"/>
      </w:r>
    </w:p>
    <w:p w14:paraId="48ABE400" w14:textId="77777777" w:rsidR="00EE05E3" w:rsidRDefault="00EE05E3">
      <w:pPr>
        <w:pStyle w:val="TOC1"/>
        <w:rPr>
          <w:rFonts w:asciiTheme="minorHAnsi" w:eastAsiaTheme="minorEastAsia" w:hAnsiTheme="minorHAnsi" w:cstheme="minorBidi"/>
          <w:b w:val="0"/>
          <w:smallCaps w:val="0"/>
          <w:noProof/>
          <w:color w:val="auto"/>
        </w:rPr>
      </w:pPr>
      <w:r w:rsidRPr="00FE2136">
        <w:rPr>
          <w:rFonts w:ascii="Arial" w:hAnsi="Arial"/>
          <w:noProof/>
        </w:rPr>
        <w:t>1.</w:t>
      </w:r>
      <w:r>
        <w:rPr>
          <w:rFonts w:asciiTheme="minorHAnsi" w:eastAsiaTheme="minorEastAsia" w:hAnsiTheme="minorHAnsi" w:cstheme="minorBidi"/>
          <w:b w:val="0"/>
          <w:smallCaps w:val="0"/>
          <w:noProof/>
          <w:color w:val="auto"/>
        </w:rPr>
        <w:tab/>
      </w:r>
      <w:r>
        <w:rPr>
          <w:noProof/>
        </w:rPr>
        <w:t>Purpose</w:t>
      </w:r>
      <w:r>
        <w:rPr>
          <w:noProof/>
        </w:rPr>
        <w:tab/>
      </w:r>
      <w:r>
        <w:rPr>
          <w:noProof/>
        </w:rPr>
        <w:fldChar w:fldCharType="begin"/>
      </w:r>
      <w:r>
        <w:rPr>
          <w:noProof/>
        </w:rPr>
        <w:instrText xml:space="preserve"> PAGEREF _Toc323205304 \h </w:instrText>
      </w:r>
      <w:r>
        <w:rPr>
          <w:noProof/>
        </w:rPr>
      </w:r>
      <w:r>
        <w:rPr>
          <w:noProof/>
        </w:rPr>
        <w:fldChar w:fldCharType="separate"/>
      </w:r>
      <w:r w:rsidR="005F3AF2">
        <w:rPr>
          <w:noProof/>
        </w:rPr>
        <w:t>2</w:t>
      </w:r>
      <w:r>
        <w:rPr>
          <w:noProof/>
        </w:rPr>
        <w:fldChar w:fldCharType="end"/>
      </w:r>
    </w:p>
    <w:p w14:paraId="0556AEE4" w14:textId="77777777" w:rsidR="00EE05E3" w:rsidRDefault="00EE05E3">
      <w:pPr>
        <w:pStyle w:val="TOC1"/>
        <w:rPr>
          <w:rFonts w:asciiTheme="minorHAnsi" w:eastAsiaTheme="minorEastAsia" w:hAnsiTheme="minorHAnsi" w:cstheme="minorBidi"/>
          <w:b w:val="0"/>
          <w:smallCaps w:val="0"/>
          <w:noProof/>
          <w:color w:val="auto"/>
        </w:rPr>
      </w:pPr>
      <w:r w:rsidRPr="00FE2136">
        <w:rPr>
          <w:rFonts w:ascii="Arial" w:hAnsi="Arial"/>
          <w:noProof/>
        </w:rPr>
        <w:t>2.</w:t>
      </w:r>
      <w:r>
        <w:rPr>
          <w:rFonts w:asciiTheme="minorHAnsi" w:eastAsiaTheme="minorEastAsia" w:hAnsiTheme="minorHAnsi" w:cstheme="minorBidi"/>
          <w:b w:val="0"/>
          <w:smallCaps w:val="0"/>
          <w:noProof/>
          <w:color w:val="auto"/>
        </w:rPr>
        <w:tab/>
      </w:r>
      <w:r>
        <w:rPr>
          <w:noProof/>
        </w:rPr>
        <w:t>Background</w:t>
      </w:r>
      <w:r>
        <w:rPr>
          <w:noProof/>
        </w:rPr>
        <w:tab/>
      </w:r>
      <w:r>
        <w:rPr>
          <w:noProof/>
        </w:rPr>
        <w:fldChar w:fldCharType="begin"/>
      </w:r>
      <w:r>
        <w:rPr>
          <w:noProof/>
        </w:rPr>
        <w:instrText xml:space="preserve"> PAGEREF _Toc323205305 \h </w:instrText>
      </w:r>
      <w:r>
        <w:rPr>
          <w:noProof/>
        </w:rPr>
      </w:r>
      <w:r>
        <w:rPr>
          <w:noProof/>
        </w:rPr>
        <w:fldChar w:fldCharType="separate"/>
      </w:r>
      <w:r w:rsidR="005F3AF2">
        <w:rPr>
          <w:noProof/>
        </w:rPr>
        <w:t>2</w:t>
      </w:r>
      <w:r>
        <w:rPr>
          <w:noProof/>
        </w:rPr>
        <w:fldChar w:fldCharType="end"/>
      </w:r>
    </w:p>
    <w:p w14:paraId="698020F7" w14:textId="77777777" w:rsidR="00EE05E3" w:rsidRDefault="00EE05E3">
      <w:pPr>
        <w:pStyle w:val="TOC2"/>
        <w:rPr>
          <w:rFonts w:asciiTheme="minorHAnsi" w:eastAsiaTheme="minorEastAsia" w:hAnsiTheme="minorHAnsi" w:cstheme="minorBidi"/>
          <w:noProof/>
          <w:color w:val="auto"/>
          <w:sz w:val="22"/>
          <w:szCs w:val="22"/>
        </w:rPr>
      </w:pPr>
      <w:r w:rsidRPr="00FE2136">
        <w:rPr>
          <w:rFonts w:ascii="Arial" w:hAnsi="Arial"/>
          <w:noProof/>
        </w:rPr>
        <w:t>2.1</w:t>
      </w:r>
      <w:r>
        <w:rPr>
          <w:rFonts w:asciiTheme="minorHAnsi" w:eastAsiaTheme="minorEastAsia" w:hAnsiTheme="minorHAnsi" w:cstheme="minorBidi"/>
          <w:noProof/>
          <w:color w:val="auto"/>
          <w:sz w:val="22"/>
          <w:szCs w:val="22"/>
        </w:rPr>
        <w:tab/>
      </w:r>
      <w:r>
        <w:rPr>
          <w:noProof/>
        </w:rPr>
        <w:t>Operation of existing law</w:t>
      </w:r>
      <w:r>
        <w:rPr>
          <w:noProof/>
        </w:rPr>
        <w:tab/>
      </w:r>
      <w:r>
        <w:rPr>
          <w:noProof/>
        </w:rPr>
        <w:fldChar w:fldCharType="begin"/>
      </w:r>
      <w:r>
        <w:rPr>
          <w:noProof/>
        </w:rPr>
        <w:instrText xml:space="preserve"> PAGEREF _Toc323205306 \h </w:instrText>
      </w:r>
      <w:r>
        <w:rPr>
          <w:noProof/>
        </w:rPr>
      </w:r>
      <w:r>
        <w:rPr>
          <w:noProof/>
        </w:rPr>
        <w:fldChar w:fldCharType="separate"/>
      </w:r>
      <w:r w:rsidR="005F3AF2">
        <w:rPr>
          <w:noProof/>
        </w:rPr>
        <w:t>2</w:t>
      </w:r>
      <w:r>
        <w:rPr>
          <w:noProof/>
        </w:rPr>
        <w:fldChar w:fldCharType="end"/>
      </w:r>
    </w:p>
    <w:p w14:paraId="737D9026" w14:textId="77777777" w:rsidR="00EE05E3" w:rsidRDefault="00EE05E3">
      <w:pPr>
        <w:pStyle w:val="TOC2"/>
        <w:rPr>
          <w:rFonts w:asciiTheme="minorHAnsi" w:eastAsiaTheme="minorEastAsia" w:hAnsiTheme="minorHAnsi" w:cstheme="minorBidi"/>
          <w:noProof/>
          <w:color w:val="auto"/>
          <w:sz w:val="22"/>
          <w:szCs w:val="22"/>
        </w:rPr>
      </w:pPr>
      <w:r w:rsidRPr="00FE2136">
        <w:rPr>
          <w:rFonts w:ascii="Arial" w:hAnsi="Arial"/>
          <w:noProof/>
        </w:rPr>
        <w:t>2.2</w:t>
      </w:r>
      <w:r>
        <w:rPr>
          <w:rFonts w:asciiTheme="minorHAnsi" w:eastAsiaTheme="minorEastAsia" w:hAnsiTheme="minorHAnsi" w:cstheme="minorBidi"/>
          <w:noProof/>
          <w:color w:val="auto"/>
          <w:sz w:val="22"/>
          <w:szCs w:val="22"/>
        </w:rPr>
        <w:tab/>
      </w:r>
      <w:r>
        <w:rPr>
          <w:noProof/>
        </w:rPr>
        <w:t>Previous Loss Relief</w:t>
      </w:r>
      <w:r>
        <w:rPr>
          <w:noProof/>
        </w:rPr>
        <w:tab/>
      </w:r>
      <w:r>
        <w:rPr>
          <w:noProof/>
        </w:rPr>
        <w:fldChar w:fldCharType="begin"/>
      </w:r>
      <w:r>
        <w:rPr>
          <w:noProof/>
        </w:rPr>
        <w:instrText xml:space="preserve"> PAGEREF _Toc323205307 \h </w:instrText>
      </w:r>
      <w:r>
        <w:rPr>
          <w:noProof/>
        </w:rPr>
      </w:r>
      <w:r>
        <w:rPr>
          <w:noProof/>
        </w:rPr>
        <w:fldChar w:fldCharType="separate"/>
      </w:r>
      <w:r w:rsidR="005F3AF2">
        <w:rPr>
          <w:noProof/>
        </w:rPr>
        <w:t>2</w:t>
      </w:r>
      <w:r>
        <w:rPr>
          <w:noProof/>
        </w:rPr>
        <w:fldChar w:fldCharType="end"/>
      </w:r>
    </w:p>
    <w:p w14:paraId="330FFBA4" w14:textId="77777777" w:rsidR="00EE05E3" w:rsidRDefault="00EE05E3">
      <w:pPr>
        <w:pStyle w:val="TOC1"/>
        <w:rPr>
          <w:rFonts w:asciiTheme="minorHAnsi" w:eastAsiaTheme="minorEastAsia" w:hAnsiTheme="minorHAnsi" w:cstheme="minorBidi"/>
          <w:b w:val="0"/>
          <w:smallCaps w:val="0"/>
          <w:noProof/>
          <w:color w:val="auto"/>
        </w:rPr>
      </w:pPr>
      <w:r w:rsidRPr="00FE2136">
        <w:rPr>
          <w:rFonts w:ascii="Arial" w:hAnsi="Arial"/>
          <w:noProof/>
        </w:rPr>
        <w:t>3.</w:t>
      </w:r>
      <w:r>
        <w:rPr>
          <w:rFonts w:asciiTheme="minorHAnsi" w:eastAsiaTheme="minorEastAsia" w:hAnsiTheme="minorHAnsi" w:cstheme="minorBidi"/>
          <w:b w:val="0"/>
          <w:smallCaps w:val="0"/>
          <w:noProof/>
          <w:color w:val="auto"/>
        </w:rPr>
        <w:tab/>
      </w:r>
      <w:r>
        <w:rPr>
          <w:noProof/>
        </w:rPr>
        <w:t>The Stronger Super reforms</w:t>
      </w:r>
      <w:r>
        <w:rPr>
          <w:noProof/>
        </w:rPr>
        <w:tab/>
      </w:r>
      <w:r>
        <w:rPr>
          <w:noProof/>
        </w:rPr>
        <w:fldChar w:fldCharType="begin"/>
      </w:r>
      <w:r>
        <w:rPr>
          <w:noProof/>
        </w:rPr>
        <w:instrText xml:space="preserve"> PAGEREF _Toc323205308 \h </w:instrText>
      </w:r>
      <w:r>
        <w:rPr>
          <w:noProof/>
        </w:rPr>
      </w:r>
      <w:r>
        <w:rPr>
          <w:noProof/>
        </w:rPr>
        <w:fldChar w:fldCharType="separate"/>
      </w:r>
      <w:r w:rsidR="005F3AF2">
        <w:rPr>
          <w:noProof/>
        </w:rPr>
        <w:t>3</w:t>
      </w:r>
      <w:r>
        <w:rPr>
          <w:noProof/>
        </w:rPr>
        <w:fldChar w:fldCharType="end"/>
      </w:r>
    </w:p>
    <w:p w14:paraId="07358365" w14:textId="77777777" w:rsidR="00EE05E3" w:rsidRDefault="00EE05E3">
      <w:pPr>
        <w:pStyle w:val="TOC2"/>
        <w:rPr>
          <w:rFonts w:asciiTheme="minorHAnsi" w:eastAsiaTheme="minorEastAsia" w:hAnsiTheme="minorHAnsi" w:cstheme="minorBidi"/>
          <w:noProof/>
          <w:color w:val="auto"/>
          <w:sz w:val="22"/>
          <w:szCs w:val="22"/>
        </w:rPr>
      </w:pPr>
      <w:r w:rsidRPr="00FE2136">
        <w:rPr>
          <w:rFonts w:ascii="Arial" w:hAnsi="Arial"/>
          <w:noProof/>
        </w:rPr>
        <w:t>3.1</w:t>
      </w:r>
      <w:r>
        <w:rPr>
          <w:rFonts w:asciiTheme="minorHAnsi" w:eastAsiaTheme="minorEastAsia" w:hAnsiTheme="minorHAnsi" w:cstheme="minorBidi"/>
          <w:noProof/>
          <w:color w:val="auto"/>
          <w:sz w:val="22"/>
          <w:szCs w:val="22"/>
        </w:rPr>
        <w:tab/>
      </w:r>
      <w:r>
        <w:rPr>
          <w:noProof/>
        </w:rPr>
        <w:t>MySuper products</w:t>
      </w:r>
      <w:r>
        <w:rPr>
          <w:noProof/>
        </w:rPr>
        <w:tab/>
      </w:r>
      <w:r>
        <w:rPr>
          <w:noProof/>
        </w:rPr>
        <w:fldChar w:fldCharType="begin"/>
      </w:r>
      <w:r>
        <w:rPr>
          <w:noProof/>
        </w:rPr>
        <w:instrText xml:space="preserve"> PAGEREF _Toc323205309 \h </w:instrText>
      </w:r>
      <w:r>
        <w:rPr>
          <w:noProof/>
        </w:rPr>
      </w:r>
      <w:r>
        <w:rPr>
          <w:noProof/>
        </w:rPr>
        <w:fldChar w:fldCharType="separate"/>
      </w:r>
      <w:r w:rsidR="005F3AF2">
        <w:rPr>
          <w:noProof/>
        </w:rPr>
        <w:t>3</w:t>
      </w:r>
      <w:r>
        <w:rPr>
          <w:noProof/>
        </w:rPr>
        <w:fldChar w:fldCharType="end"/>
      </w:r>
    </w:p>
    <w:p w14:paraId="2AFE71BD" w14:textId="77777777" w:rsidR="00EE05E3" w:rsidRDefault="00EE05E3">
      <w:pPr>
        <w:pStyle w:val="TOC2"/>
        <w:rPr>
          <w:rFonts w:asciiTheme="minorHAnsi" w:eastAsiaTheme="minorEastAsia" w:hAnsiTheme="minorHAnsi" w:cstheme="minorBidi"/>
          <w:noProof/>
          <w:color w:val="auto"/>
          <w:sz w:val="22"/>
          <w:szCs w:val="22"/>
        </w:rPr>
      </w:pPr>
      <w:r w:rsidRPr="00FE2136">
        <w:rPr>
          <w:rFonts w:ascii="Arial" w:hAnsi="Arial"/>
          <w:noProof/>
        </w:rPr>
        <w:t>3.2</w:t>
      </w:r>
      <w:r>
        <w:rPr>
          <w:rFonts w:asciiTheme="minorHAnsi" w:eastAsiaTheme="minorEastAsia" w:hAnsiTheme="minorHAnsi" w:cstheme="minorBidi"/>
          <w:noProof/>
          <w:color w:val="auto"/>
          <w:sz w:val="22"/>
          <w:szCs w:val="22"/>
        </w:rPr>
        <w:tab/>
      </w:r>
      <w:r>
        <w:rPr>
          <w:noProof/>
        </w:rPr>
        <w:t>Importance of increased scale for superannuation funds</w:t>
      </w:r>
      <w:r>
        <w:rPr>
          <w:noProof/>
        </w:rPr>
        <w:tab/>
      </w:r>
      <w:r>
        <w:rPr>
          <w:noProof/>
        </w:rPr>
        <w:fldChar w:fldCharType="begin"/>
      </w:r>
      <w:r>
        <w:rPr>
          <w:noProof/>
        </w:rPr>
        <w:instrText xml:space="preserve"> PAGEREF _Toc323205310 \h </w:instrText>
      </w:r>
      <w:r>
        <w:rPr>
          <w:noProof/>
        </w:rPr>
      </w:r>
      <w:r>
        <w:rPr>
          <w:noProof/>
        </w:rPr>
        <w:fldChar w:fldCharType="separate"/>
      </w:r>
      <w:r w:rsidR="005F3AF2">
        <w:rPr>
          <w:noProof/>
        </w:rPr>
        <w:t>4</w:t>
      </w:r>
      <w:r>
        <w:rPr>
          <w:noProof/>
        </w:rPr>
        <w:fldChar w:fldCharType="end"/>
      </w:r>
    </w:p>
    <w:p w14:paraId="7E5E3467" w14:textId="77777777" w:rsidR="00EE05E3" w:rsidRDefault="00EE05E3">
      <w:pPr>
        <w:pStyle w:val="TOC2"/>
        <w:rPr>
          <w:rFonts w:asciiTheme="minorHAnsi" w:eastAsiaTheme="minorEastAsia" w:hAnsiTheme="minorHAnsi" w:cstheme="minorBidi"/>
          <w:noProof/>
          <w:color w:val="auto"/>
          <w:sz w:val="22"/>
          <w:szCs w:val="22"/>
        </w:rPr>
      </w:pPr>
      <w:r w:rsidRPr="00FE2136">
        <w:rPr>
          <w:rFonts w:ascii="Arial" w:hAnsi="Arial"/>
          <w:noProof/>
        </w:rPr>
        <w:t>3.3</w:t>
      </w:r>
      <w:r>
        <w:rPr>
          <w:rFonts w:asciiTheme="minorHAnsi" w:eastAsiaTheme="minorEastAsia" w:hAnsiTheme="minorHAnsi" w:cstheme="minorBidi"/>
          <w:noProof/>
          <w:color w:val="auto"/>
          <w:sz w:val="22"/>
          <w:szCs w:val="22"/>
        </w:rPr>
        <w:tab/>
      </w:r>
      <w:r>
        <w:rPr>
          <w:noProof/>
        </w:rPr>
        <w:t>SuperStream reforms</w:t>
      </w:r>
      <w:r>
        <w:rPr>
          <w:noProof/>
        </w:rPr>
        <w:tab/>
      </w:r>
      <w:r>
        <w:rPr>
          <w:noProof/>
        </w:rPr>
        <w:fldChar w:fldCharType="begin"/>
      </w:r>
      <w:r>
        <w:rPr>
          <w:noProof/>
        </w:rPr>
        <w:instrText xml:space="preserve"> PAGEREF _Toc323205311 \h </w:instrText>
      </w:r>
      <w:r>
        <w:rPr>
          <w:noProof/>
        </w:rPr>
      </w:r>
      <w:r>
        <w:rPr>
          <w:noProof/>
        </w:rPr>
        <w:fldChar w:fldCharType="separate"/>
      </w:r>
      <w:r w:rsidR="005F3AF2">
        <w:rPr>
          <w:noProof/>
        </w:rPr>
        <w:t>4</w:t>
      </w:r>
      <w:r>
        <w:rPr>
          <w:noProof/>
        </w:rPr>
        <w:fldChar w:fldCharType="end"/>
      </w:r>
    </w:p>
    <w:p w14:paraId="7F0D3DF6" w14:textId="77777777" w:rsidR="00EE05E3" w:rsidRDefault="00EE05E3">
      <w:pPr>
        <w:pStyle w:val="TOC1"/>
        <w:rPr>
          <w:rFonts w:asciiTheme="minorHAnsi" w:eastAsiaTheme="minorEastAsia" w:hAnsiTheme="minorHAnsi" w:cstheme="minorBidi"/>
          <w:b w:val="0"/>
          <w:smallCaps w:val="0"/>
          <w:noProof/>
          <w:color w:val="auto"/>
        </w:rPr>
      </w:pPr>
      <w:r w:rsidRPr="00FE2136">
        <w:rPr>
          <w:rFonts w:ascii="Arial" w:hAnsi="Arial"/>
          <w:noProof/>
        </w:rPr>
        <w:t>4.</w:t>
      </w:r>
      <w:r>
        <w:rPr>
          <w:rFonts w:asciiTheme="minorHAnsi" w:eastAsiaTheme="minorEastAsia" w:hAnsiTheme="minorHAnsi" w:cstheme="minorBidi"/>
          <w:b w:val="0"/>
          <w:smallCaps w:val="0"/>
          <w:noProof/>
          <w:color w:val="auto"/>
        </w:rPr>
        <w:tab/>
      </w:r>
      <w:r>
        <w:rPr>
          <w:noProof/>
        </w:rPr>
        <w:t>Tax proposals to support the implementation of stronger super</w:t>
      </w:r>
      <w:r>
        <w:rPr>
          <w:noProof/>
        </w:rPr>
        <w:tab/>
      </w:r>
      <w:r>
        <w:rPr>
          <w:noProof/>
        </w:rPr>
        <w:fldChar w:fldCharType="begin"/>
      </w:r>
      <w:r>
        <w:rPr>
          <w:noProof/>
        </w:rPr>
        <w:instrText xml:space="preserve"> PAGEREF _Toc323205312 \h </w:instrText>
      </w:r>
      <w:r>
        <w:rPr>
          <w:noProof/>
        </w:rPr>
      </w:r>
      <w:r>
        <w:rPr>
          <w:noProof/>
        </w:rPr>
        <w:fldChar w:fldCharType="separate"/>
      </w:r>
      <w:r w:rsidR="005F3AF2">
        <w:rPr>
          <w:noProof/>
        </w:rPr>
        <w:t>4</w:t>
      </w:r>
      <w:r>
        <w:rPr>
          <w:noProof/>
        </w:rPr>
        <w:fldChar w:fldCharType="end"/>
      </w:r>
    </w:p>
    <w:p w14:paraId="3A0F11CF" w14:textId="77777777" w:rsidR="00EE05E3" w:rsidRDefault="00EE05E3">
      <w:pPr>
        <w:pStyle w:val="TOC2"/>
        <w:rPr>
          <w:rFonts w:asciiTheme="minorHAnsi" w:eastAsiaTheme="minorEastAsia" w:hAnsiTheme="minorHAnsi" w:cstheme="minorBidi"/>
          <w:noProof/>
          <w:color w:val="auto"/>
          <w:sz w:val="22"/>
          <w:szCs w:val="22"/>
        </w:rPr>
      </w:pPr>
      <w:r w:rsidRPr="00FE2136">
        <w:rPr>
          <w:rFonts w:ascii="Arial" w:hAnsi="Arial"/>
          <w:noProof/>
        </w:rPr>
        <w:t>4.1</w:t>
      </w:r>
      <w:r>
        <w:rPr>
          <w:rFonts w:asciiTheme="minorHAnsi" w:eastAsiaTheme="minorEastAsia" w:hAnsiTheme="minorHAnsi" w:cstheme="minorBidi"/>
          <w:noProof/>
          <w:color w:val="auto"/>
          <w:sz w:val="22"/>
          <w:szCs w:val="22"/>
        </w:rPr>
        <w:tab/>
      </w:r>
      <w:r>
        <w:rPr>
          <w:noProof/>
        </w:rPr>
        <w:t>Taxation Relief to Facilitate Mergers of Superannuation funds</w:t>
      </w:r>
      <w:r>
        <w:rPr>
          <w:noProof/>
        </w:rPr>
        <w:tab/>
      </w:r>
      <w:r>
        <w:rPr>
          <w:noProof/>
        </w:rPr>
        <w:fldChar w:fldCharType="begin"/>
      </w:r>
      <w:r>
        <w:rPr>
          <w:noProof/>
        </w:rPr>
        <w:instrText xml:space="preserve"> PAGEREF _Toc323205313 \h </w:instrText>
      </w:r>
      <w:r>
        <w:rPr>
          <w:noProof/>
        </w:rPr>
      </w:r>
      <w:r>
        <w:rPr>
          <w:noProof/>
        </w:rPr>
        <w:fldChar w:fldCharType="separate"/>
      </w:r>
      <w:r w:rsidR="005F3AF2">
        <w:rPr>
          <w:noProof/>
        </w:rPr>
        <w:t>5</w:t>
      </w:r>
      <w:r>
        <w:rPr>
          <w:noProof/>
        </w:rPr>
        <w:fldChar w:fldCharType="end"/>
      </w:r>
    </w:p>
    <w:p w14:paraId="6F2B0D62" w14:textId="77777777" w:rsidR="00EE05E3" w:rsidRDefault="00EE05E3" w:rsidP="00EE05E3">
      <w:pPr>
        <w:pStyle w:val="TOC2"/>
        <w:ind w:left="851" w:hanging="567"/>
        <w:rPr>
          <w:rFonts w:asciiTheme="minorHAnsi" w:eastAsiaTheme="minorEastAsia" w:hAnsiTheme="minorHAnsi" w:cstheme="minorBidi"/>
          <w:noProof/>
          <w:color w:val="auto"/>
          <w:sz w:val="22"/>
          <w:szCs w:val="22"/>
        </w:rPr>
      </w:pPr>
      <w:r w:rsidRPr="00FE2136">
        <w:rPr>
          <w:rFonts w:ascii="Arial" w:hAnsi="Arial"/>
          <w:noProof/>
        </w:rPr>
        <w:t>4.2</w:t>
      </w:r>
      <w:r>
        <w:rPr>
          <w:rFonts w:asciiTheme="minorHAnsi" w:eastAsiaTheme="minorEastAsia" w:hAnsiTheme="minorHAnsi" w:cstheme="minorBidi"/>
          <w:noProof/>
          <w:color w:val="auto"/>
          <w:sz w:val="22"/>
          <w:szCs w:val="22"/>
        </w:rPr>
        <w:tab/>
      </w:r>
      <w:r>
        <w:rPr>
          <w:noProof/>
        </w:rPr>
        <w:t>Taxation Relief to Facilitate the Mandatory Requirements to Transfer Members and Assets to a Fund That Offers a MySuper product</w:t>
      </w:r>
      <w:r>
        <w:rPr>
          <w:noProof/>
        </w:rPr>
        <w:tab/>
      </w:r>
      <w:r>
        <w:rPr>
          <w:noProof/>
        </w:rPr>
        <w:fldChar w:fldCharType="begin"/>
      </w:r>
      <w:r>
        <w:rPr>
          <w:noProof/>
        </w:rPr>
        <w:instrText xml:space="preserve"> PAGEREF _Toc323205314 \h </w:instrText>
      </w:r>
      <w:r>
        <w:rPr>
          <w:noProof/>
        </w:rPr>
      </w:r>
      <w:r>
        <w:rPr>
          <w:noProof/>
        </w:rPr>
        <w:fldChar w:fldCharType="separate"/>
      </w:r>
      <w:r w:rsidR="005F3AF2">
        <w:rPr>
          <w:noProof/>
        </w:rPr>
        <w:t>8</w:t>
      </w:r>
      <w:r>
        <w:rPr>
          <w:noProof/>
        </w:rPr>
        <w:fldChar w:fldCharType="end"/>
      </w:r>
    </w:p>
    <w:p w14:paraId="61AD6AFA" w14:textId="77777777" w:rsidR="00EE05E3" w:rsidRDefault="00EE05E3">
      <w:pPr>
        <w:pStyle w:val="TOC1"/>
        <w:rPr>
          <w:rFonts w:asciiTheme="minorHAnsi" w:eastAsiaTheme="minorEastAsia" w:hAnsiTheme="minorHAnsi" w:cstheme="minorBidi"/>
          <w:b w:val="0"/>
          <w:smallCaps w:val="0"/>
          <w:noProof/>
          <w:color w:val="auto"/>
        </w:rPr>
      </w:pPr>
      <w:r w:rsidRPr="00FE2136">
        <w:rPr>
          <w:rFonts w:ascii="Arial" w:hAnsi="Arial"/>
          <w:noProof/>
        </w:rPr>
        <w:t>5.</w:t>
      </w:r>
      <w:r>
        <w:rPr>
          <w:rFonts w:asciiTheme="minorHAnsi" w:eastAsiaTheme="minorEastAsia" w:hAnsiTheme="minorHAnsi" w:cstheme="minorBidi"/>
          <w:b w:val="0"/>
          <w:smallCaps w:val="0"/>
          <w:noProof/>
          <w:color w:val="auto"/>
        </w:rPr>
        <w:tab/>
      </w:r>
      <w:r>
        <w:rPr>
          <w:noProof/>
        </w:rPr>
        <w:t>Summary of Tax Outcomes under proposed relief</w:t>
      </w:r>
      <w:r>
        <w:rPr>
          <w:noProof/>
        </w:rPr>
        <w:tab/>
      </w:r>
      <w:r>
        <w:rPr>
          <w:noProof/>
        </w:rPr>
        <w:fldChar w:fldCharType="begin"/>
      </w:r>
      <w:r>
        <w:rPr>
          <w:noProof/>
        </w:rPr>
        <w:instrText xml:space="preserve"> PAGEREF _Toc323205315 \h </w:instrText>
      </w:r>
      <w:r>
        <w:rPr>
          <w:noProof/>
        </w:rPr>
      </w:r>
      <w:r>
        <w:rPr>
          <w:noProof/>
        </w:rPr>
        <w:fldChar w:fldCharType="separate"/>
      </w:r>
      <w:r w:rsidR="005F3AF2">
        <w:rPr>
          <w:noProof/>
        </w:rPr>
        <w:t>10</w:t>
      </w:r>
      <w:r>
        <w:rPr>
          <w:noProof/>
        </w:rPr>
        <w:fldChar w:fldCharType="end"/>
      </w:r>
    </w:p>
    <w:p w14:paraId="54EDD4C2" w14:textId="77777777" w:rsidR="00667F8D" w:rsidRDefault="005B00BF" w:rsidP="00006F7E">
      <w:pPr>
        <w:rPr>
          <w:rFonts w:ascii="Calibri" w:hAnsi="Calibri"/>
        </w:rPr>
      </w:pPr>
      <w:r>
        <w:fldChar w:fldCharType="end"/>
      </w:r>
    </w:p>
    <w:p w14:paraId="4307EB72" w14:textId="77777777" w:rsidR="00667F8D" w:rsidRDefault="00667F8D" w:rsidP="00006F7E">
      <w:pPr>
        <w:rPr>
          <w:rFonts w:cs="Calibri"/>
          <w:sz w:val="20"/>
        </w:rPr>
      </w:pPr>
    </w:p>
    <w:p w14:paraId="21E04D82" w14:textId="77777777" w:rsidR="00667F8D" w:rsidRDefault="00667F8D" w:rsidP="00006F7E">
      <w:pPr>
        <w:sectPr w:rsidR="00667F8D">
          <w:footerReference w:type="even" r:id="rId23"/>
          <w:pgSz w:w="11906" w:h="16838"/>
          <w:pgMar w:top="1418" w:right="1418" w:bottom="1418" w:left="1418" w:header="709" w:footer="709" w:gutter="0"/>
          <w:pgNumType w:fmt="lowerRoman"/>
          <w:cols w:space="720"/>
        </w:sectPr>
      </w:pPr>
    </w:p>
    <w:p w14:paraId="350A2694" w14:textId="77777777" w:rsidR="00667F8D" w:rsidRDefault="00667F8D" w:rsidP="00006F7E">
      <w:pPr>
        <w:pStyle w:val="Heading1NotNumbered"/>
        <w:rPr>
          <w:rFonts w:cs="Calibri"/>
        </w:rPr>
      </w:pPr>
      <w:bookmarkStart w:id="3" w:name="_Toc323205302"/>
      <w:r>
        <w:rPr>
          <w:rFonts w:cs="Calibri"/>
        </w:rPr>
        <w:lastRenderedPageBreak/>
        <w:t>Foreword</w:t>
      </w:r>
      <w:bookmarkEnd w:id="3"/>
    </w:p>
    <w:p w14:paraId="274968D8" w14:textId="47F6B502" w:rsidR="00667F8D" w:rsidRDefault="00667F8D" w:rsidP="00006F7E">
      <w:r>
        <w:rPr>
          <w:noProof/>
        </w:rPr>
        <w:drawing>
          <wp:anchor distT="0" distB="0" distL="114300" distR="114300" simplePos="0" relativeHeight="251658240" behindDoc="0" locked="0" layoutInCell="1" allowOverlap="1" wp14:anchorId="7992DE2D" wp14:editId="1262514C">
            <wp:simplePos x="0" y="0"/>
            <wp:positionH relativeFrom="column">
              <wp:posOffset>23495</wp:posOffset>
            </wp:positionH>
            <wp:positionV relativeFrom="paragraph">
              <wp:posOffset>1905</wp:posOffset>
            </wp:positionV>
            <wp:extent cx="1327785" cy="1828800"/>
            <wp:effectExtent l="19050" t="0" r="5715" b="0"/>
            <wp:wrapSquare wrapText="bothSides"/>
            <wp:docPr id="5" name="Picture 4" descr="Bill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Headshot.JPG"/>
                    <pic:cNvPicPr/>
                  </pic:nvPicPr>
                  <pic:blipFill>
                    <a:blip r:embed="rId24" cstate="print"/>
                    <a:stretch>
                      <a:fillRect/>
                    </a:stretch>
                  </pic:blipFill>
                  <pic:spPr>
                    <a:xfrm>
                      <a:off x="0" y="0"/>
                      <a:ext cx="1327785" cy="1828800"/>
                    </a:xfrm>
                    <a:prstGeom prst="rect">
                      <a:avLst/>
                    </a:prstGeom>
                  </pic:spPr>
                </pic:pic>
              </a:graphicData>
            </a:graphic>
          </wp:anchor>
        </w:drawing>
      </w:r>
      <w:r w:rsidR="000C625B">
        <w:t xml:space="preserve">I am very pleased to release this paper on the Government’s proposal </w:t>
      </w:r>
      <w:r w:rsidR="000A0D80">
        <w:t xml:space="preserve">to provide </w:t>
      </w:r>
      <w:r w:rsidR="00552992">
        <w:t>taxation relief</w:t>
      </w:r>
      <w:r w:rsidR="000C625B">
        <w:t xml:space="preserve"> to support the </w:t>
      </w:r>
      <w:r w:rsidR="00E271D0">
        <w:t>implementation of the Government’s package of reforms of the superannuation system known as ‘Stronger Super’</w:t>
      </w:r>
      <w:r w:rsidR="00C71D15">
        <w:t xml:space="preserve">. </w:t>
      </w:r>
    </w:p>
    <w:p w14:paraId="4647EF13" w14:textId="02EEF19C" w:rsidR="00450DF2" w:rsidRDefault="0004436E" w:rsidP="00BE22EA">
      <w:r>
        <w:t>The proposed relief will</w:t>
      </w:r>
      <w:r w:rsidR="00321E59">
        <w:t xml:space="preserve"> ensure that tax </w:t>
      </w:r>
      <w:r w:rsidR="00BE22EA">
        <w:t>con</w:t>
      </w:r>
      <w:r w:rsidR="005E52BC">
        <w:t>siderations</w:t>
      </w:r>
      <w:r w:rsidR="00BE22EA">
        <w:t xml:space="preserve"> are</w:t>
      </w:r>
      <w:r w:rsidR="007078CD">
        <w:t xml:space="preserve"> not an impediment to</w:t>
      </w:r>
      <w:r w:rsidR="00450DF2">
        <w:t xml:space="preserve"> </w:t>
      </w:r>
      <w:r w:rsidR="00FD74F1">
        <w:t xml:space="preserve">superannuation </w:t>
      </w:r>
      <w:r w:rsidR="001A48AC">
        <w:t xml:space="preserve">funds </w:t>
      </w:r>
      <w:r w:rsidR="00FD74F1">
        <w:t>seeking to merge and consolidate in response to the Stronger Super reforms</w:t>
      </w:r>
      <w:r w:rsidR="00C71D15">
        <w:t xml:space="preserve">. </w:t>
      </w:r>
      <w:r w:rsidR="00FD74F1">
        <w:t xml:space="preserve">The taxation relief will also ensure that </w:t>
      </w:r>
      <w:r w:rsidR="005E52BC">
        <w:t xml:space="preserve">default </w:t>
      </w:r>
      <w:r w:rsidR="0011162F">
        <w:t xml:space="preserve">members of superannuation </w:t>
      </w:r>
      <w:r w:rsidR="001A48AC">
        <w:t xml:space="preserve">funds </w:t>
      </w:r>
      <w:r w:rsidR="0011162F">
        <w:t xml:space="preserve">are not adversely affected </w:t>
      </w:r>
      <w:r w:rsidR="005E52BC">
        <w:t xml:space="preserve">if their </w:t>
      </w:r>
      <w:r w:rsidR="007029AC">
        <w:t>superannuation benefits</w:t>
      </w:r>
      <w:r w:rsidR="00AC12C2">
        <w:t xml:space="preserve"> and relevant assets </w:t>
      </w:r>
      <w:r w:rsidR="005E52BC">
        <w:t xml:space="preserve">are transferred </w:t>
      </w:r>
      <w:r w:rsidR="0011162F">
        <w:t xml:space="preserve">under the </w:t>
      </w:r>
      <w:proofErr w:type="spellStart"/>
      <w:r w:rsidR="0011162F">
        <w:t>MySuper</w:t>
      </w:r>
      <w:proofErr w:type="spellEnd"/>
      <w:r w:rsidR="0011162F">
        <w:t xml:space="preserve"> reforms.</w:t>
      </w:r>
    </w:p>
    <w:p w14:paraId="50AB861E" w14:textId="54D3B5D1" w:rsidR="00710BDC" w:rsidRDefault="00710BDC" w:rsidP="00006F7E">
      <w:r>
        <w:t xml:space="preserve">This </w:t>
      </w:r>
      <w:r w:rsidR="00AA738F">
        <w:t xml:space="preserve">proposals </w:t>
      </w:r>
      <w:r>
        <w:t xml:space="preserve">paper sets out the implementation and design details of the proposed </w:t>
      </w:r>
      <w:r w:rsidR="007078CD">
        <w:t>taxation</w:t>
      </w:r>
      <w:r>
        <w:t xml:space="preserve"> relief and I encourage interested parties to participate in the consultation process</w:t>
      </w:r>
      <w:r w:rsidR="00C71D15">
        <w:t xml:space="preserve">. </w:t>
      </w:r>
    </w:p>
    <w:p w14:paraId="5F44FB0C" w14:textId="77777777" w:rsidR="00667F8D" w:rsidRDefault="00667F8D" w:rsidP="00006F7E">
      <w:pPr>
        <w:pStyle w:val="TableGraphic"/>
        <w:rPr>
          <w:rFonts w:cs="Arial"/>
          <w:sz w:val="24"/>
          <w:szCs w:val="24"/>
        </w:rPr>
      </w:pPr>
    </w:p>
    <w:p w14:paraId="745FE681" w14:textId="77777777" w:rsidR="00737153" w:rsidRDefault="00163F01" w:rsidP="00737153">
      <w:pPr>
        <w:pStyle w:val="SingleParagraph"/>
        <w:rPr>
          <w:rFonts w:cs="Arial"/>
          <w:b/>
          <w:sz w:val="24"/>
          <w:szCs w:val="24"/>
        </w:rPr>
      </w:pPr>
      <w:r w:rsidRPr="00163F01">
        <w:rPr>
          <w:rFonts w:cs="Calibri"/>
          <w:b/>
        </w:rPr>
        <w:t xml:space="preserve">The Hon </w:t>
      </w:r>
      <w:r w:rsidR="00667F8D" w:rsidRPr="00163F01">
        <w:rPr>
          <w:rFonts w:cs="Calibri"/>
          <w:b/>
        </w:rPr>
        <w:t>Bill Shorten MP</w:t>
      </w:r>
      <w:r w:rsidR="00737153" w:rsidRPr="00737153">
        <w:rPr>
          <w:rFonts w:cs="Arial"/>
          <w:b/>
          <w:sz w:val="24"/>
          <w:szCs w:val="24"/>
        </w:rPr>
        <w:t xml:space="preserve"> </w:t>
      </w:r>
    </w:p>
    <w:p w14:paraId="1E1AD954" w14:textId="77777777" w:rsidR="004B52DC" w:rsidRPr="00737153" w:rsidRDefault="004B52DC" w:rsidP="00737153">
      <w:pPr>
        <w:pStyle w:val="SingleParagraph"/>
        <w:jc w:val="left"/>
        <w:rPr>
          <w:rFonts w:cs="Arial"/>
          <w:b/>
          <w:szCs w:val="24"/>
        </w:rPr>
      </w:pPr>
      <w:r w:rsidRPr="004B52DC">
        <w:rPr>
          <w:rFonts w:cs="Arial"/>
          <w:b/>
          <w:szCs w:val="24"/>
        </w:rPr>
        <w:t>Minister for Financial Services and Superannuation</w:t>
      </w:r>
      <w:r w:rsidR="0004436E">
        <w:rPr>
          <w:rFonts w:cs="Arial"/>
          <w:b/>
          <w:szCs w:val="24"/>
        </w:rPr>
        <w:t xml:space="preserve"> and</w:t>
      </w:r>
      <w:r w:rsidR="0004436E" w:rsidRPr="004B52DC">
        <w:rPr>
          <w:rFonts w:cs="Arial"/>
          <w:b/>
          <w:szCs w:val="24"/>
        </w:rPr>
        <w:t xml:space="preserve"> </w:t>
      </w:r>
      <w:r w:rsidRPr="004B52DC">
        <w:rPr>
          <w:rFonts w:cs="Arial"/>
          <w:b/>
          <w:szCs w:val="24"/>
        </w:rPr>
        <w:t>Minister for Employment and Workplace Relations</w:t>
      </w:r>
    </w:p>
    <w:p w14:paraId="071025BD" w14:textId="77777777" w:rsidR="00667F8D" w:rsidRPr="00163F01" w:rsidRDefault="00667F8D" w:rsidP="00006F7E">
      <w:pPr>
        <w:rPr>
          <w:b/>
        </w:rPr>
      </w:pPr>
    </w:p>
    <w:p w14:paraId="11847C4F" w14:textId="77777777" w:rsidR="00667F8D" w:rsidRDefault="00667F8D" w:rsidP="00006F7E">
      <w:pPr>
        <w:sectPr w:rsidR="00667F8D">
          <w:footerReference w:type="default" r:id="rId25"/>
          <w:pgSz w:w="11906" w:h="16838"/>
          <w:pgMar w:top="1418" w:right="1418" w:bottom="1418" w:left="1418" w:header="709" w:footer="709" w:gutter="0"/>
          <w:pgNumType w:fmt="lowerRoman"/>
          <w:cols w:space="720"/>
        </w:sectPr>
      </w:pPr>
    </w:p>
    <w:p w14:paraId="22A1A277" w14:textId="77777777" w:rsidR="001E09F7" w:rsidRDefault="001E09F7" w:rsidP="001E09F7">
      <w:pPr>
        <w:pStyle w:val="Heading1NotNumbered"/>
      </w:pPr>
      <w:bookmarkStart w:id="4" w:name="_Toc323205303"/>
      <w:r>
        <w:rPr>
          <w:rFonts w:cs="Calibri"/>
        </w:rPr>
        <w:lastRenderedPageBreak/>
        <w:t>Summary</w:t>
      </w:r>
      <w:bookmarkEnd w:id="4"/>
    </w:p>
    <w:p w14:paraId="2DE278D0" w14:textId="7C3DD82E" w:rsidR="00E04092" w:rsidRDefault="00E04092" w:rsidP="001E09F7">
      <w:pPr>
        <w:rPr>
          <w:rFonts w:cs="Calibri"/>
          <w:szCs w:val="22"/>
        </w:rPr>
      </w:pPr>
      <w:r>
        <w:rPr>
          <w:rFonts w:cs="Calibri"/>
          <w:szCs w:val="22"/>
        </w:rPr>
        <w:t>On 29 May 2009, the Government commissioned the Super System Review (the Review), chaired by Jeremy Cooper, to make recommendations to ensure the superannuation system focus</w:t>
      </w:r>
      <w:r w:rsidR="00605E6D">
        <w:rPr>
          <w:rFonts w:cs="Calibri"/>
          <w:szCs w:val="22"/>
        </w:rPr>
        <w:t>ed more sharply</w:t>
      </w:r>
      <w:r>
        <w:rPr>
          <w:rFonts w:cs="Calibri"/>
          <w:szCs w:val="22"/>
        </w:rPr>
        <w:t xml:space="preserve"> on operating in </w:t>
      </w:r>
      <w:r w:rsidR="003B66E4">
        <w:rPr>
          <w:rFonts w:cs="Calibri"/>
          <w:szCs w:val="22"/>
        </w:rPr>
        <w:t xml:space="preserve">the </w:t>
      </w:r>
      <w:r>
        <w:rPr>
          <w:rFonts w:cs="Calibri"/>
          <w:szCs w:val="22"/>
        </w:rPr>
        <w:t>best interests</w:t>
      </w:r>
      <w:r w:rsidR="003B66E4">
        <w:rPr>
          <w:rFonts w:cs="Calibri"/>
          <w:szCs w:val="22"/>
        </w:rPr>
        <w:t xml:space="preserve"> of members</w:t>
      </w:r>
      <w:r w:rsidR="00C71D15">
        <w:rPr>
          <w:rFonts w:cs="Calibri"/>
          <w:szCs w:val="22"/>
        </w:rPr>
        <w:t xml:space="preserve">. </w:t>
      </w:r>
      <w:r>
        <w:rPr>
          <w:rFonts w:cs="Calibri"/>
          <w:szCs w:val="22"/>
        </w:rPr>
        <w:t>The Review’s final report was handed to the Government on 30 June 2010.</w:t>
      </w:r>
    </w:p>
    <w:p w14:paraId="64418546" w14:textId="41231BF2" w:rsidR="005879A6" w:rsidRPr="005879A6" w:rsidRDefault="001E09F7" w:rsidP="005879A6">
      <w:pPr>
        <w:rPr>
          <w:rFonts w:cs="Calibri"/>
          <w:szCs w:val="22"/>
        </w:rPr>
      </w:pPr>
      <w:r>
        <w:t>In response to the Review, the Government announced a package of reforms of the superannuation system called ‘Stronger Super’</w:t>
      </w:r>
      <w:r w:rsidR="00C71D15">
        <w:t xml:space="preserve">. </w:t>
      </w:r>
      <w:r w:rsidR="005879A6" w:rsidRPr="005879A6">
        <w:rPr>
          <w:rFonts w:cs="Calibri"/>
          <w:szCs w:val="22"/>
        </w:rPr>
        <w:t>The key elements of the reforms are:</w:t>
      </w:r>
    </w:p>
    <w:p w14:paraId="40A2B3BC" w14:textId="4E6C24F1" w:rsidR="005879A6" w:rsidRPr="005879A6" w:rsidRDefault="005879A6" w:rsidP="00C71D15">
      <w:pPr>
        <w:pStyle w:val="Bullet"/>
      </w:pPr>
      <w:r w:rsidRPr="005879A6">
        <w:t xml:space="preserve">the introduction of </w:t>
      </w:r>
      <w:proofErr w:type="spellStart"/>
      <w:r w:rsidRPr="005879A6">
        <w:t>MySuper</w:t>
      </w:r>
      <w:proofErr w:type="spellEnd"/>
      <w:r w:rsidRPr="005879A6">
        <w:t>, a new simple, cost‐effective default superannuation product;</w:t>
      </w:r>
    </w:p>
    <w:p w14:paraId="3CD5FCF4" w14:textId="0DF818E5" w:rsidR="005879A6" w:rsidRPr="005879A6" w:rsidRDefault="005879A6" w:rsidP="00C71D15">
      <w:pPr>
        <w:pStyle w:val="Bullet"/>
      </w:pPr>
      <w:r w:rsidRPr="005879A6">
        <w:t>making the process of everyday transactions easier, cheaper and faster through the</w:t>
      </w:r>
      <w:r>
        <w:t xml:space="preserve"> </w:t>
      </w:r>
      <w:proofErr w:type="spellStart"/>
      <w:r w:rsidRPr="005879A6">
        <w:t>SuperStream</w:t>
      </w:r>
      <w:proofErr w:type="spellEnd"/>
      <w:r w:rsidRPr="005879A6">
        <w:t xml:space="preserve"> package of measures;</w:t>
      </w:r>
      <w:r w:rsidR="00605E6D">
        <w:t xml:space="preserve"> and</w:t>
      </w:r>
    </w:p>
    <w:p w14:paraId="7855E551" w14:textId="5CD029EE" w:rsidR="005879A6" w:rsidRPr="005879A6" w:rsidRDefault="005879A6" w:rsidP="00C71D15">
      <w:pPr>
        <w:pStyle w:val="Bullet"/>
      </w:pPr>
      <w:proofErr w:type="gramStart"/>
      <w:r w:rsidRPr="005879A6">
        <w:t>clearer</w:t>
      </w:r>
      <w:proofErr w:type="gramEnd"/>
      <w:r w:rsidRPr="005879A6">
        <w:t xml:space="preserve"> duties for directors of superannuation trustee boards and other measures to improve</w:t>
      </w:r>
      <w:r>
        <w:t xml:space="preserve"> </w:t>
      </w:r>
      <w:r w:rsidRPr="005879A6">
        <w:t>the governance and integrity of the superannuation system</w:t>
      </w:r>
      <w:r w:rsidR="003C2C4D">
        <w:t>.</w:t>
      </w:r>
    </w:p>
    <w:p w14:paraId="124B5BF9" w14:textId="3453B8D6" w:rsidR="00BF5873" w:rsidRDefault="003523BF" w:rsidP="00BF5873">
      <w:r>
        <w:t>Several aspects of the Stronger Super reforms will put pressure on</w:t>
      </w:r>
      <w:r w:rsidR="00F75927">
        <w:t xml:space="preserve"> superannuation </w:t>
      </w:r>
      <w:r w:rsidR="001A48AC">
        <w:t xml:space="preserve">funds </w:t>
      </w:r>
      <w:r w:rsidR="00F75927">
        <w:t xml:space="preserve">to improve their competitiveness or reassess their viability in the absence of merging with another </w:t>
      </w:r>
      <w:r w:rsidR="000D6C94">
        <w:t>entity</w:t>
      </w:r>
      <w:r w:rsidR="00C71D15">
        <w:t xml:space="preserve">. </w:t>
      </w:r>
      <w:r w:rsidR="008830E6">
        <w:t xml:space="preserve">The transfer of assets by way of a merger can result in either </w:t>
      </w:r>
      <w:r w:rsidR="003470E6">
        <w:t xml:space="preserve">a tax liability or the </w:t>
      </w:r>
      <w:r w:rsidR="00A674D5">
        <w:t>extinguishment</w:t>
      </w:r>
      <w:r w:rsidR="003470E6">
        <w:t xml:space="preserve"> of tax losses</w:t>
      </w:r>
      <w:r w:rsidR="00C71D15">
        <w:t xml:space="preserve">. </w:t>
      </w:r>
      <w:r w:rsidR="00753046">
        <w:t xml:space="preserve">These losses </w:t>
      </w:r>
      <w:r w:rsidR="00A674D5">
        <w:t>have arisen from recent unfavourable financial market conditions</w:t>
      </w:r>
      <w:r w:rsidR="00C71D15">
        <w:t xml:space="preserve">. </w:t>
      </w:r>
      <w:r w:rsidR="001A0097">
        <w:t>T</w:t>
      </w:r>
      <w:r w:rsidR="00A674D5">
        <w:t>ax considerations are a major impediment</w:t>
      </w:r>
      <w:r w:rsidR="006F11B0">
        <w:t xml:space="preserve"> to mergers</w:t>
      </w:r>
      <w:r w:rsidR="00A674D5">
        <w:t xml:space="preserve"> </w:t>
      </w:r>
      <w:r w:rsidR="006F11B0">
        <w:t xml:space="preserve">as </w:t>
      </w:r>
      <w:r w:rsidR="00753046">
        <w:t>trustees</w:t>
      </w:r>
      <w:r w:rsidR="006F11B0">
        <w:t xml:space="preserve"> of super</w:t>
      </w:r>
      <w:r w:rsidR="00C33089">
        <w:t>annuation</w:t>
      </w:r>
      <w:r w:rsidR="006F11B0">
        <w:t xml:space="preserve"> </w:t>
      </w:r>
      <w:r w:rsidR="001A48AC">
        <w:t xml:space="preserve">funds </w:t>
      </w:r>
      <w:r w:rsidR="006F11B0">
        <w:t>must consider the</w:t>
      </w:r>
      <w:r w:rsidR="00472287">
        <w:t xml:space="preserve"> adverse tax </w:t>
      </w:r>
      <w:r w:rsidR="006F11B0">
        <w:t>impacts on members’ accounts</w:t>
      </w:r>
      <w:r w:rsidR="00C71D15">
        <w:t xml:space="preserve">. </w:t>
      </w:r>
      <w:r w:rsidR="00BF5873">
        <w:t xml:space="preserve">Although a merger may be in the </w:t>
      </w:r>
      <w:r w:rsidR="00605E6D">
        <w:t>long</w:t>
      </w:r>
      <w:r w:rsidR="00C71D15">
        <w:noBreakHyphen/>
      </w:r>
      <w:r w:rsidR="00BF5873">
        <w:t xml:space="preserve">term interest of members, the immediate </w:t>
      </w:r>
      <w:r w:rsidR="00554FE4">
        <w:t>reduction in members’ account balances</w:t>
      </w:r>
      <w:r w:rsidR="00BF5873">
        <w:t xml:space="preserve"> may preclude this from happening.</w:t>
      </w:r>
    </w:p>
    <w:p w14:paraId="7014298F" w14:textId="3BD75931" w:rsidR="00472287" w:rsidRDefault="00CE5163" w:rsidP="001E09F7">
      <w:r>
        <w:t xml:space="preserve">The introduction of </w:t>
      </w:r>
      <w:proofErr w:type="spellStart"/>
      <w:r>
        <w:t>MySuper</w:t>
      </w:r>
      <w:proofErr w:type="spellEnd"/>
      <w:r>
        <w:t xml:space="preserve"> will require </w:t>
      </w:r>
      <w:r w:rsidR="000D6C94">
        <w:t xml:space="preserve">superannuation </w:t>
      </w:r>
      <w:r w:rsidR="001A48AC">
        <w:t xml:space="preserve">funds </w:t>
      </w:r>
      <w:r>
        <w:t xml:space="preserve">not wishing to offer </w:t>
      </w:r>
      <w:proofErr w:type="spellStart"/>
      <w:r>
        <w:t>MySuper</w:t>
      </w:r>
      <w:proofErr w:type="spellEnd"/>
      <w:r>
        <w:t xml:space="preserve"> products to transfer existing default member </w:t>
      </w:r>
      <w:r w:rsidR="00D55BB1">
        <w:t xml:space="preserve">benefits </w:t>
      </w:r>
      <w:r w:rsidR="00605E6D">
        <w:t xml:space="preserve">and relevant assets </w:t>
      </w:r>
      <w:r w:rsidR="00343449">
        <w:t xml:space="preserve">to another </w:t>
      </w:r>
      <w:r w:rsidR="000D6C94">
        <w:t xml:space="preserve">superannuation </w:t>
      </w:r>
      <w:r w:rsidR="001A48AC">
        <w:t>fund</w:t>
      </w:r>
      <w:r w:rsidR="00C71D15">
        <w:t xml:space="preserve">. </w:t>
      </w:r>
      <w:r>
        <w:t xml:space="preserve">If such transfers </w:t>
      </w:r>
      <w:r w:rsidR="00605E6D">
        <w:t xml:space="preserve">of funds’ assets </w:t>
      </w:r>
      <w:r>
        <w:t xml:space="preserve">create a </w:t>
      </w:r>
      <w:r w:rsidR="000A3BC4">
        <w:t xml:space="preserve">capital gains </w:t>
      </w:r>
      <w:r>
        <w:t>tax liability, the affected members could be adversely impacted</w:t>
      </w:r>
      <w:r w:rsidR="00C71D15">
        <w:t xml:space="preserve">. </w:t>
      </w:r>
    </w:p>
    <w:p w14:paraId="508B4570" w14:textId="4ED6603C" w:rsidR="00F75927" w:rsidRDefault="00F75927" w:rsidP="001E09F7">
      <w:r>
        <w:t xml:space="preserve">Given the potential benefits to members of facilitating industry consolidation and the possible costs for some </w:t>
      </w:r>
      <w:r w:rsidR="003C2C4D">
        <w:t>entities</w:t>
      </w:r>
      <w:r>
        <w:t xml:space="preserve"> </w:t>
      </w:r>
      <w:r w:rsidR="000E5161">
        <w:t>transitioning to Stronger Super, temporary taxation relief</w:t>
      </w:r>
      <w:r w:rsidR="001A0097">
        <w:t xml:space="preserve"> in the form of loss </w:t>
      </w:r>
      <w:r w:rsidR="00C33089">
        <w:t xml:space="preserve">relief </w:t>
      </w:r>
      <w:r w:rsidR="001A0097">
        <w:t>and</w:t>
      </w:r>
      <w:r w:rsidR="00C33089">
        <w:t xml:space="preserve"> capital gains tax</w:t>
      </w:r>
      <w:r w:rsidR="001A0097">
        <w:t xml:space="preserve"> roll</w:t>
      </w:r>
      <w:r w:rsidR="00C71D15">
        <w:noBreakHyphen/>
      </w:r>
      <w:r w:rsidR="001A0097">
        <w:t xml:space="preserve">over </w:t>
      </w:r>
      <w:r w:rsidR="000E5161">
        <w:t>for merger</w:t>
      </w:r>
      <w:r w:rsidR="00BF5873">
        <w:t xml:space="preserve">s of superannuation </w:t>
      </w:r>
      <w:r w:rsidR="001A48AC">
        <w:t xml:space="preserve">funds </w:t>
      </w:r>
      <w:r w:rsidR="00BF5873">
        <w:t xml:space="preserve">and </w:t>
      </w:r>
      <w:r w:rsidR="00753046">
        <w:t>asset transfers is appropriate.</w:t>
      </w:r>
    </w:p>
    <w:p w14:paraId="09F3C883" w14:textId="77777777" w:rsidR="000A0D80" w:rsidRDefault="000A0D80">
      <w:pPr>
        <w:spacing w:after="0" w:line="240" w:lineRule="auto"/>
        <w:jc w:val="left"/>
      </w:pPr>
      <w:r>
        <w:br w:type="page"/>
      </w:r>
    </w:p>
    <w:p w14:paraId="685FEF80" w14:textId="77777777" w:rsidR="001E09F7" w:rsidRDefault="001E09F7" w:rsidP="00AE3BCA">
      <w:pPr>
        <w:pStyle w:val="Heading1"/>
        <w:spacing w:after="240"/>
      </w:pPr>
      <w:bookmarkStart w:id="5" w:name="_Toc320195338"/>
      <w:bookmarkStart w:id="6" w:name="_Toc323205304"/>
      <w:bookmarkEnd w:id="5"/>
      <w:r>
        <w:lastRenderedPageBreak/>
        <w:t>Purpose</w:t>
      </w:r>
      <w:bookmarkEnd w:id="6"/>
    </w:p>
    <w:p w14:paraId="4373FE41" w14:textId="1A7949B1" w:rsidR="001E09F7" w:rsidRDefault="001E09F7" w:rsidP="00913F67">
      <w:r>
        <w:t xml:space="preserve">This proposals paper forms the basis for consultation on </w:t>
      </w:r>
      <w:r w:rsidR="00C33089">
        <w:t>the temporary taxation relief</w:t>
      </w:r>
      <w:r>
        <w:t xml:space="preserve"> and sets out, in broad terms the way they may be implemented</w:t>
      </w:r>
      <w:r w:rsidR="00C71D15">
        <w:t xml:space="preserve">. </w:t>
      </w:r>
      <w:r>
        <w:t>The purpose of this proposals paper is to provide interested parties with an opportunity to comment on the policy design of these changes</w:t>
      </w:r>
      <w:r w:rsidR="00C71D15">
        <w:t xml:space="preserve">. </w:t>
      </w:r>
    </w:p>
    <w:p w14:paraId="53EDEE03" w14:textId="161C68AD" w:rsidR="001E09F7" w:rsidRPr="006F3E00" w:rsidRDefault="001E09F7" w:rsidP="00913F67">
      <w:r>
        <w:t xml:space="preserve">All legislative references in this paper refer to the </w:t>
      </w:r>
      <w:r>
        <w:rPr>
          <w:i/>
        </w:rPr>
        <w:t>Income Tax Assessment Act 1997</w:t>
      </w:r>
      <w:r w:rsidR="00C71D15">
        <w:rPr>
          <w:i/>
        </w:rPr>
        <w:t xml:space="preserve">. </w:t>
      </w:r>
      <w:r w:rsidR="006F3E00">
        <w:t xml:space="preserve">The term ‘complying superannuation fund’ is used in this paper as </w:t>
      </w:r>
      <w:proofErr w:type="gramStart"/>
      <w:r w:rsidR="007D4E2B">
        <w:t>a shorthand</w:t>
      </w:r>
      <w:proofErr w:type="gramEnd"/>
      <w:r w:rsidR="006F3E00">
        <w:t xml:space="preserve"> to cover both a </w:t>
      </w:r>
      <w:r w:rsidR="006F3E00" w:rsidRPr="006F3E00">
        <w:t>complying superannuation fund</w:t>
      </w:r>
      <w:r w:rsidR="006F3E00">
        <w:t xml:space="preserve"> and a complying approved deposit fund</w:t>
      </w:r>
      <w:r w:rsidR="001643FC">
        <w:t xml:space="preserve"> (ADF)</w:t>
      </w:r>
      <w:r w:rsidR="006F3E00">
        <w:t>.</w:t>
      </w:r>
    </w:p>
    <w:p w14:paraId="69D0C03B" w14:textId="77777777" w:rsidR="001E09F7" w:rsidRDefault="001E09F7" w:rsidP="00AE3BCA">
      <w:pPr>
        <w:pStyle w:val="Heading1"/>
        <w:spacing w:after="240"/>
      </w:pPr>
      <w:bookmarkStart w:id="7" w:name="_Toc323205305"/>
      <w:r>
        <w:t>Background</w:t>
      </w:r>
      <w:bookmarkEnd w:id="7"/>
    </w:p>
    <w:p w14:paraId="086B7ACB" w14:textId="77777777" w:rsidR="001E09F7" w:rsidRDefault="001E09F7" w:rsidP="00AE3BCA">
      <w:pPr>
        <w:pStyle w:val="Heading2"/>
        <w:spacing w:after="240"/>
      </w:pPr>
      <w:bookmarkStart w:id="8" w:name="_Toc323205306"/>
      <w:r>
        <w:t>Operation of existing law</w:t>
      </w:r>
      <w:bookmarkEnd w:id="8"/>
    </w:p>
    <w:p w14:paraId="1E526BAE" w14:textId="415DD4A9" w:rsidR="001E09F7" w:rsidRDefault="00B068F4" w:rsidP="00913F67">
      <w:r>
        <w:t xml:space="preserve">Where superannuation </w:t>
      </w:r>
      <w:r w:rsidR="001A48AC">
        <w:t xml:space="preserve">funds </w:t>
      </w:r>
      <w:r w:rsidR="00057DAA">
        <w:t xml:space="preserve">merge, there is </w:t>
      </w:r>
      <w:r w:rsidR="00D55BB1">
        <w:t>usually</w:t>
      </w:r>
      <w:r w:rsidR="00057DAA">
        <w:t xml:space="preserve"> a</w:t>
      </w:r>
      <w:r w:rsidR="00D55BB1">
        <w:t xml:space="preserve"> </w:t>
      </w:r>
      <w:r>
        <w:t>change in legal and underlying ownership of the transferred assets</w:t>
      </w:r>
      <w:r w:rsidR="00C71D15">
        <w:t xml:space="preserve">. </w:t>
      </w:r>
      <w:r w:rsidR="001E09F7">
        <w:t xml:space="preserve">The transfer of assets from one superannuation </w:t>
      </w:r>
      <w:r w:rsidR="001A48AC">
        <w:t xml:space="preserve">fund </w:t>
      </w:r>
      <w:r w:rsidR="001E09F7">
        <w:t>to another</w:t>
      </w:r>
      <w:r>
        <w:t xml:space="preserve"> </w:t>
      </w:r>
      <w:r w:rsidR="001E09F7">
        <w:t xml:space="preserve">will </w:t>
      </w:r>
      <w:r w:rsidR="00237671">
        <w:t xml:space="preserve">result in the realisation of capital gains or capital losses for the transferring </w:t>
      </w:r>
      <w:r w:rsidR="001A48AC">
        <w:t xml:space="preserve">fund </w:t>
      </w:r>
      <w:r w:rsidR="00237671">
        <w:t xml:space="preserve">in the form of </w:t>
      </w:r>
      <w:r w:rsidR="000A3BC4">
        <w:t>capital gains tax (</w:t>
      </w:r>
      <w:r w:rsidR="001E09F7">
        <w:t>CGT</w:t>
      </w:r>
      <w:r w:rsidR="000A3BC4">
        <w:t>)</w:t>
      </w:r>
      <w:r w:rsidR="001E09F7">
        <w:t xml:space="preserve"> event A1 (section 104</w:t>
      </w:r>
      <w:r w:rsidR="00C71D15">
        <w:noBreakHyphen/>
      </w:r>
      <w:r w:rsidR="001E09F7">
        <w:t>10)</w:t>
      </w:r>
      <w:r>
        <w:t xml:space="preserve"> or CGT event E2 (section 104</w:t>
      </w:r>
      <w:r w:rsidR="00C71D15">
        <w:noBreakHyphen/>
      </w:r>
      <w:r>
        <w:t>60)</w:t>
      </w:r>
      <w:r w:rsidR="00C71D15">
        <w:t xml:space="preserve">. </w:t>
      </w:r>
      <w:r w:rsidR="00E42683">
        <w:t>F</w:t>
      </w:r>
      <w:r w:rsidR="001E09F7">
        <w:t xml:space="preserve">ollowing this asset transfer and </w:t>
      </w:r>
      <w:r w:rsidR="00E42683">
        <w:t xml:space="preserve">the </w:t>
      </w:r>
      <w:r w:rsidR="001E09F7">
        <w:t xml:space="preserve">transfer of members’ </w:t>
      </w:r>
      <w:r w:rsidR="007029AC">
        <w:t>benefits</w:t>
      </w:r>
      <w:r w:rsidR="00605E6D">
        <w:t xml:space="preserve"> </w:t>
      </w:r>
      <w:r w:rsidR="001E09F7">
        <w:t xml:space="preserve">to the receiving </w:t>
      </w:r>
      <w:r w:rsidR="001A48AC">
        <w:t>fund</w:t>
      </w:r>
      <w:r w:rsidR="001E09F7">
        <w:t xml:space="preserve">, the transferring </w:t>
      </w:r>
      <w:r w:rsidR="001A48AC">
        <w:t xml:space="preserve">fund </w:t>
      </w:r>
      <w:r w:rsidR="001E09F7">
        <w:t>will generally be wound up</w:t>
      </w:r>
      <w:r w:rsidR="00614CAB">
        <w:t xml:space="preserve"> in a merger</w:t>
      </w:r>
      <w:r w:rsidR="00C71D15">
        <w:t xml:space="preserve">. </w:t>
      </w:r>
    </w:p>
    <w:p w14:paraId="5AF9B2F3" w14:textId="00731ED8" w:rsidR="001E09F7" w:rsidRDefault="00E42683" w:rsidP="001E09F7">
      <w:r>
        <w:t>Revenue and capital l</w:t>
      </w:r>
      <w:r w:rsidR="001E09F7">
        <w:t>osses are extinguished on the ending of an entity</w:t>
      </w:r>
      <w:r w:rsidR="00C71D15">
        <w:t xml:space="preserve">. </w:t>
      </w:r>
      <w:r w:rsidR="001E09F7">
        <w:t>As losses can be used to offset present and future gains, they carry some value</w:t>
      </w:r>
      <w:r w:rsidR="00237671">
        <w:t xml:space="preserve"> —</w:t>
      </w:r>
      <w:r w:rsidR="001E09F7">
        <w:t xml:space="preserve"> the value of the tax liability that would otherwise be payable</w:t>
      </w:r>
      <w:r w:rsidR="00C71D15">
        <w:t xml:space="preserve">. </w:t>
      </w:r>
      <w:r w:rsidR="001E09F7">
        <w:t xml:space="preserve">This value is extinguished on the winding up of the transferring superannuation </w:t>
      </w:r>
      <w:r w:rsidR="001A48AC">
        <w:t xml:space="preserve">fund </w:t>
      </w:r>
      <w:r w:rsidR="001E09F7">
        <w:t>following the transfer of assets</w:t>
      </w:r>
      <w:r w:rsidR="00C71D15">
        <w:t xml:space="preserve">. </w:t>
      </w:r>
    </w:p>
    <w:p w14:paraId="3852EBB8" w14:textId="093E7DB6" w:rsidR="001E09F7" w:rsidRDefault="00DC2EAF" w:rsidP="001E09F7">
      <w:r>
        <w:t xml:space="preserve">Superannuation </w:t>
      </w:r>
      <w:r w:rsidR="001A48AC">
        <w:t xml:space="preserve">funds </w:t>
      </w:r>
      <w:r>
        <w:t xml:space="preserve">typically credit the tax value of </w:t>
      </w:r>
      <w:r w:rsidR="00C1470D">
        <w:t>unrealised losses and unused losses to the account balances of members</w:t>
      </w:r>
      <w:r w:rsidR="00C71D15">
        <w:t xml:space="preserve">. </w:t>
      </w:r>
      <w:r w:rsidR="00C1470D">
        <w:t xml:space="preserve">This recognises the future offsetting tax benefit that unrealised or unused capital losses </w:t>
      </w:r>
      <w:r w:rsidR="00D55BB1">
        <w:t xml:space="preserve">have </w:t>
      </w:r>
      <w:r w:rsidR="00C1470D">
        <w:t>against future capital gains (and similarly for revenue losses)</w:t>
      </w:r>
      <w:r w:rsidR="00C71D15">
        <w:t xml:space="preserve">. </w:t>
      </w:r>
      <w:r w:rsidR="001E09F7">
        <w:t xml:space="preserve">Where the tax </w:t>
      </w:r>
      <w:r w:rsidR="00C33089">
        <w:t xml:space="preserve">value </w:t>
      </w:r>
      <w:r w:rsidR="001E09F7">
        <w:t xml:space="preserve">of unrealised losses </w:t>
      </w:r>
      <w:r w:rsidR="00C33089">
        <w:t xml:space="preserve">has </w:t>
      </w:r>
      <w:r w:rsidR="001E09F7">
        <w:t xml:space="preserve">been included in the valuation of members’ accounts, then the merger of their superannuation </w:t>
      </w:r>
      <w:r w:rsidR="001A48AC">
        <w:t xml:space="preserve">fund </w:t>
      </w:r>
      <w:r w:rsidR="001E09F7">
        <w:t xml:space="preserve">or transfer of </w:t>
      </w:r>
      <w:r w:rsidR="000A0D80">
        <w:t xml:space="preserve">their </w:t>
      </w:r>
      <w:r w:rsidR="001E09F7">
        <w:t>members</w:t>
      </w:r>
      <w:r w:rsidR="000A0D80">
        <w:t>’ interests</w:t>
      </w:r>
      <w:r w:rsidR="001E09F7">
        <w:t xml:space="preserve"> from one </w:t>
      </w:r>
      <w:r w:rsidR="001A48AC">
        <w:t xml:space="preserve">fund </w:t>
      </w:r>
      <w:r w:rsidR="001E09F7">
        <w:t>to another will lead to a reduction in their account balances</w:t>
      </w:r>
      <w:r w:rsidR="00C71D15">
        <w:t xml:space="preserve">. </w:t>
      </w:r>
      <w:r w:rsidR="001E09F7">
        <w:t xml:space="preserve">This can act as an obstacle to the superannuation </w:t>
      </w:r>
      <w:r w:rsidR="001A48AC">
        <w:t xml:space="preserve">fund </w:t>
      </w:r>
      <w:r w:rsidR="001E09F7">
        <w:t xml:space="preserve">merging with another </w:t>
      </w:r>
      <w:r w:rsidR="001A48AC">
        <w:t xml:space="preserve">fund </w:t>
      </w:r>
      <w:r w:rsidR="001E09F7">
        <w:t>because the trustee</w:t>
      </w:r>
      <w:r w:rsidR="00C33089">
        <w:t xml:space="preserve">, in contemplating a potential merger, </w:t>
      </w:r>
      <w:r w:rsidR="001E09F7">
        <w:t xml:space="preserve">has to take this reduction of members’ account balances </w:t>
      </w:r>
      <w:r w:rsidR="00237671">
        <w:t>into consideration</w:t>
      </w:r>
      <w:r w:rsidR="00C71D15">
        <w:t xml:space="preserve">. </w:t>
      </w:r>
    </w:p>
    <w:p w14:paraId="6029CAB5" w14:textId="77777777" w:rsidR="001E09F7" w:rsidRDefault="001E09F7" w:rsidP="00AE3BCA">
      <w:pPr>
        <w:pStyle w:val="Heading2"/>
        <w:spacing w:after="240"/>
      </w:pPr>
      <w:bookmarkStart w:id="9" w:name="_Toc323205307"/>
      <w:r>
        <w:t>Previous Loss Relief</w:t>
      </w:r>
      <w:bookmarkEnd w:id="9"/>
    </w:p>
    <w:p w14:paraId="3E526BED" w14:textId="343B6876" w:rsidR="00B4299A" w:rsidRDefault="00EF42B1" w:rsidP="00913F67">
      <w:r>
        <w:t>The</w:t>
      </w:r>
      <w:r w:rsidR="001E09F7">
        <w:t xml:space="preserve"> </w:t>
      </w:r>
      <w:r>
        <w:t xml:space="preserve">previous loss relief, which applied from 24 December 2008 to 30 September 2011, </w:t>
      </w:r>
      <w:r w:rsidR="001E09F7">
        <w:t>provide</w:t>
      </w:r>
      <w:r>
        <w:t>d</w:t>
      </w:r>
      <w:r w:rsidR="001E09F7">
        <w:t xml:space="preserve"> an optional CGT roll</w:t>
      </w:r>
      <w:r w:rsidR="00C71D15">
        <w:noBreakHyphen/>
      </w:r>
      <w:r w:rsidR="001E09F7">
        <w:t xml:space="preserve">over for capital losses </w:t>
      </w:r>
      <w:r>
        <w:t xml:space="preserve">and revenue losses </w:t>
      </w:r>
      <w:r w:rsidR="001E09F7">
        <w:t xml:space="preserve">arising from a complying superannuation </w:t>
      </w:r>
      <w:r w:rsidR="001A48AC">
        <w:t xml:space="preserve">fund’s </w:t>
      </w:r>
      <w:r w:rsidR="001E09F7">
        <w:t xml:space="preserve">merger with an </w:t>
      </w:r>
      <w:r w:rsidR="00237671">
        <w:t>Australian Prudential Regulatory Authority (</w:t>
      </w:r>
      <w:r w:rsidR="001E09F7">
        <w:t>APRA</w:t>
      </w:r>
      <w:r w:rsidR="00237671">
        <w:t>)</w:t>
      </w:r>
      <w:r w:rsidR="001E09F7">
        <w:t xml:space="preserve"> regulated superannuation </w:t>
      </w:r>
      <w:r w:rsidR="001A48AC">
        <w:t xml:space="preserve">fund </w:t>
      </w:r>
      <w:r w:rsidR="001E09F7">
        <w:t>with at least five members</w:t>
      </w:r>
      <w:r w:rsidR="00C71D15">
        <w:t xml:space="preserve">. </w:t>
      </w:r>
      <w:r w:rsidR="00B4299A">
        <w:t>Without the relief such losses would have been extinguished when a merging fund is wound up, which would have affected the account balances of members of that fund.</w:t>
      </w:r>
    </w:p>
    <w:p w14:paraId="7B034BB2" w14:textId="2A74B727" w:rsidR="009C0255" w:rsidRDefault="00B4299A" w:rsidP="00913F67">
      <w:r>
        <w:t xml:space="preserve">The previous loss relief covered </w:t>
      </w:r>
      <w:r w:rsidRPr="00B4299A">
        <w:t xml:space="preserve">mergers involving pooled superannuation trusts (PSTs), </w:t>
      </w:r>
      <w:r>
        <w:t xml:space="preserve">and the </w:t>
      </w:r>
      <w:r w:rsidRPr="00B4299A">
        <w:t>complying superannuation businesses of life insurance companies</w:t>
      </w:r>
      <w:r w:rsidR="00C71D15">
        <w:t xml:space="preserve">. </w:t>
      </w:r>
      <w:r>
        <w:t>T</w:t>
      </w:r>
      <w:r w:rsidRPr="00B4299A">
        <w:t xml:space="preserve">he transfer of previously realised </w:t>
      </w:r>
      <w:r w:rsidRPr="00B4299A">
        <w:lastRenderedPageBreak/>
        <w:t>net capital losses and revenue losses, including prior year losses</w:t>
      </w:r>
      <w:r>
        <w:t>, was also provided under the previous loss relief.</w:t>
      </w:r>
    </w:p>
    <w:p w14:paraId="487BDB62" w14:textId="3CD80761" w:rsidR="00EE05E3" w:rsidRDefault="0059055D" w:rsidP="00EE05E3">
      <w:r>
        <w:t>The previous</w:t>
      </w:r>
      <w:r w:rsidR="00881706">
        <w:t xml:space="preserve"> </w:t>
      </w:r>
      <w:r w:rsidR="00237671">
        <w:t xml:space="preserve">loss </w:t>
      </w:r>
      <w:r w:rsidR="00881706">
        <w:t xml:space="preserve">relief was provided in </w:t>
      </w:r>
      <w:r w:rsidR="009C0255">
        <w:t>response to</w:t>
      </w:r>
      <w:r w:rsidR="00881706">
        <w:t xml:space="preserve"> the uncertain condition</w:t>
      </w:r>
      <w:r w:rsidR="00137E25">
        <w:t>s</w:t>
      </w:r>
      <w:r w:rsidR="00881706">
        <w:t xml:space="preserve"> in the global economy and the financial market turmoil that </w:t>
      </w:r>
      <w:r w:rsidR="00137E25">
        <w:t xml:space="preserve">existed </w:t>
      </w:r>
      <w:r>
        <w:t>at the time</w:t>
      </w:r>
      <w:r w:rsidR="009D1073">
        <w:t xml:space="preserve"> to ensure the efficiency and robustness of the superannuation system</w:t>
      </w:r>
      <w:r w:rsidR="00C71D15">
        <w:t xml:space="preserve">. </w:t>
      </w:r>
    </w:p>
    <w:p w14:paraId="529C11D9" w14:textId="77777777" w:rsidR="001E09F7" w:rsidRDefault="003A4672" w:rsidP="00AE3BCA">
      <w:pPr>
        <w:pStyle w:val="Heading1"/>
        <w:spacing w:after="240"/>
      </w:pPr>
      <w:bookmarkStart w:id="10" w:name="_Toc323205308"/>
      <w:r>
        <w:t>The Stronger Super reforms</w:t>
      </w:r>
      <w:bookmarkEnd w:id="10"/>
      <w:r>
        <w:t xml:space="preserve"> </w:t>
      </w:r>
    </w:p>
    <w:p w14:paraId="4865841A" w14:textId="7F947169" w:rsidR="0000017E" w:rsidRDefault="001E09F7" w:rsidP="00913F67">
      <w:r>
        <w:t>In response to the Review into the governance, efficiency, structure and operation of Australia’s superannuation system, the Government announced a package of reforms of the superannuation system called ‘Stronger Super’</w:t>
      </w:r>
      <w:r w:rsidR="00C71D15">
        <w:t xml:space="preserve">. </w:t>
      </w:r>
    </w:p>
    <w:p w14:paraId="7989C437" w14:textId="2F81C1F8" w:rsidR="0000017E" w:rsidRDefault="0000017E" w:rsidP="0000017E">
      <w:r>
        <w:t>On 21 September 2011, key design aspects of the Stronger Super reforms were announced</w:t>
      </w:r>
      <w:r w:rsidR="00C71D15">
        <w:t xml:space="preserve">. </w:t>
      </w:r>
      <w:r>
        <w:t xml:space="preserve">Public consultation was conducted with key stakeholders on </w:t>
      </w:r>
      <w:r w:rsidR="00B7183D">
        <w:t xml:space="preserve">the </w:t>
      </w:r>
      <w:r>
        <w:t>CGT consequences that may directly arise from transitioning to Stronger Super</w:t>
      </w:r>
      <w:r w:rsidR="00C71D15">
        <w:t xml:space="preserve">. </w:t>
      </w:r>
      <w:r>
        <w:t>The open public consultation concluded on 21 October 2011</w:t>
      </w:r>
      <w:r w:rsidR="009A12A0">
        <w:t>.</w:t>
      </w:r>
    </w:p>
    <w:p w14:paraId="35396BF7" w14:textId="77777777" w:rsidR="001E09F7" w:rsidRDefault="001E09F7" w:rsidP="001E09F7">
      <w:r>
        <w:t xml:space="preserve">Key elements </w:t>
      </w:r>
      <w:r w:rsidR="000A3BC4">
        <w:t xml:space="preserve">of Stronger Super </w:t>
      </w:r>
      <w:r>
        <w:t xml:space="preserve">that are related to </w:t>
      </w:r>
      <w:r w:rsidR="000A3BC4">
        <w:t xml:space="preserve">the </w:t>
      </w:r>
      <w:r>
        <w:t xml:space="preserve">consideration of </w:t>
      </w:r>
      <w:r w:rsidR="000A3BC4">
        <w:t>tax</w:t>
      </w:r>
      <w:r>
        <w:t xml:space="preserve"> consequences</w:t>
      </w:r>
      <w:r w:rsidR="008633BC">
        <w:t xml:space="preserve"> include</w:t>
      </w:r>
      <w:r>
        <w:t>:</w:t>
      </w:r>
    </w:p>
    <w:p w14:paraId="76EFB17A" w14:textId="77777777" w:rsidR="00FE003E" w:rsidRDefault="00FE003E" w:rsidP="001F1E4D">
      <w:pPr>
        <w:pStyle w:val="Bullet"/>
        <w:tabs>
          <w:tab w:val="num" w:pos="567"/>
        </w:tabs>
        <w:ind w:left="499" w:hanging="454"/>
      </w:pPr>
      <w:r>
        <w:t xml:space="preserve">the introduction of </w:t>
      </w:r>
      <w:proofErr w:type="spellStart"/>
      <w:r>
        <w:t>MySuper</w:t>
      </w:r>
      <w:proofErr w:type="spellEnd"/>
      <w:r>
        <w:t xml:space="preserve"> products to replace the existing default funds offered by superannuation entities;</w:t>
      </w:r>
    </w:p>
    <w:p w14:paraId="647891D9" w14:textId="77777777" w:rsidR="00FE003E" w:rsidRDefault="00FE003E" w:rsidP="001F1E4D">
      <w:pPr>
        <w:pStyle w:val="Bullet"/>
        <w:tabs>
          <w:tab w:val="num" w:pos="567"/>
        </w:tabs>
        <w:ind w:left="499" w:hanging="454"/>
      </w:pPr>
      <w:r>
        <w:t xml:space="preserve">superannuation fund trustees will be required to actively consider whether they have sufficient scale (in terms of both assets and members) to provide optimum benefits to </w:t>
      </w:r>
      <w:proofErr w:type="spellStart"/>
      <w:r>
        <w:t>MySuper</w:t>
      </w:r>
      <w:proofErr w:type="spellEnd"/>
      <w:r>
        <w:t xml:space="preserve"> members; and</w:t>
      </w:r>
    </w:p>
    <w:p w14:paraId="00802DB1" w14:textId="77777777" w:rsidR="00FE003E" w:rsidRDefault="00FE003E" w:rsidP="00FE003E">
      <w:pPr>
        <w:pStyle w:val="Bullet"/>
        <w:tabs>
          <w:tab w:val="num" w:pos="567"/>
        </w:tabs>
        <w:ind w:left="567"/>
      </w:pPr>
      <w:proofErr w:type="gramStart"/>
      <w:r>
        <w:t>the</w:t>
      </w:r>
      <w:proofErr w:type="gramEnd"/>
      <w:r>
        <w:t xml:space="preserve"> ‘</w:t>
      </w:r>
      <w:proofErr w:type="spellStart"/>
      <w:r>
        <w:t>SuperStream</w:t>
      </w:r>
      <w:proofErr w:type="spellEnd"/>
      <w:r>
        <w:t>’ reforms to enhance the ‘back office’ of superannuation.</w:t>
      </w:r>
    </w:p>
    <w:p w14:paraId="50659C71" w14:textId="77777777" w:rsidR="00E803B7" w:rsidRDefault="00E803B7" w:rsidP="00AE3BCA">
      <w:pPr>
        <w:pStyle w:val="Heading2"/>
        <w:spacing w:after="240"/>
      </w:pPr>
      <w:bookmarkStart w:id="11" w:name="_Toc323205309"/>
      <w:proofErr w:type="spellStart"/>
      <w:r>
        <w:t>MySuper</w:t>
      </w:r>
      <w:proofErr w:type="spellEnd"/>
      <w:r>
        <w:t xml:space="preserve"> </w:t>
      </w:r>
      <w:r w:rsidR="00220E50">
        <w:t>products</w:t>
      </w:r>
      <w:bookmarkEnd w:id="11"/>
    </w:p>
    <w:p w14:paraId="652F7D48" w14:textId="77777777" w:rsidR="008633BC" w:rsidRDefault="008633BC" w:rsidP="00913F67">
      <w:r>
        <w:t xml:space="preserve">The introduction of </w:t>
      </w:r>
      <w:proofErr w:type="spellStart"/>
      <w:r>
        <w:t>MySuper</w:t>
      </w:r>
      <w:proofErr w:type="spellEnd"/>
      <w:r w:rsidR="00220E50">
        <w:t xml:space="preserve"> products</w:t>
      </w:r>
      <w:r>
        <w:t xml:space="preserve"> from 1 July 2013 will increase standards applicable to default superannuation products by imposing heightened duties on trustees to act in the best financial interests of members.</w:t>
      </w:r>
    </w:p>
    <w:p w14:paraId="69E61D7A" w14:textId="09DEE9FB" w:rsidR="00E803B7" w:rsidRDefault="00E803B7" w:rsidP="00913F67">
      <w:r>
        <w:t xml:space="preserve">From 1 October 2013, all contributions on behalf of members that have not made a choice of fund must be placed into a </w:t>
      </w:r>
      <w:proofErr w:type="spellStart"/>
      <w:r>
        <w:t>MySuper</w:t>
      </w:r>
      <w:proofErr w:type="spellEnd"/>
      <w:r>
        <w:t xml:space="preserve"> product</w:t>
      </w:r>
      <w:r w:rsidR="00C71D15">
        <w:t xml:space="preserve">. </w:t>
      </w:r>
      <w:r w:rsidR="00220E50">
        <w:t>Amounts accrued by these members</w:t>
      </w:r>
      <w:r w:rsidR="00237671">
        <w:t xml:space="preserve"> before 1 </w:t>
      </w:r>
      <w:r>
        <w:t>October</w:t>
      </w:r>
      <w:r w:rsidR="00237671">
        <w:t> </w:t>
      </w:r>
      <w:r>
        <w:t xml:space="preserve">2013 </w:t>
      </w:r>
      <w:r w:rsidR="00220E50">
        <w:t xml:space="preserve">will </w:t>
      </w:r>
      <w:r>
        <w:t xml:space="preserve">have to be </w:t>
      </w:r>
      <w:r w:rsidR="00220E50">
        <w:t>transferred to</w:t>
      </w:r>
      <w:r>
        <w:t xml:space="preserve"> a</w:t>
      </w:r>
      <w:r w:rsidR="00220E50">
        <w:t>n authorised</w:t>
      </w:r>
      <w:r>
        <w:t xml:space="preserve"> </w:t>
      </w:r>
      <w:proofErr w:type="spellStart"/>
      <w:r>
        <w:t>MySuper</w:t>
      </w:r>
      <w:proofErr w:type="spellEnd"/>
      <w:r>
        <w:t xml:space="preserve"> </w:t>
      </w:r>
      <w:r w:rsidR="00220E50">
        <w:t>product in the same fund</w:t>
      </w:r>
      <w:r>
        <w:t xml:space="preserve"> by 30 June 2017</w:t>
      </w:r>
      <w:r w:rsidR="00C71D15">
        <w:t xml:space="preserve">. </w:t>
      </w:r>
      <w:r w:rsidR="00220E50">
        <w:t>However, w</w:t>
      </w:r>
      <w:r w:rsidR="00F9295A">
        <w:t xml:space="preserve">here a fund chooses not to offer a </w:t>
      </w:r>
      <w:proofErr w:type="spellStart"/>
      <w:r w:rsidR="00F9295A">
        <w:t>MySuper</w:t>
      </w:r>
      <w:proofErr w:type="spellEnd"/>
      <w:r w:rsidR="00F9295A">
        <w:t xml:space="preserve"> product, it will have</w:t>
      </w:r>
      <w:r w:rsidR="00220E50">
        <w:t xml:space="preserve"> a legislative requirement</w:t>
      </w:r>
      <w:r w:rsidR="00F9295A">
        <w:t xml:space="preserve"> to transfer m</w:t>
      </w:r>
      <w:r w:rsidR="00D85001">
        <w:t xml:space="preserve">embers’ </w:t>
      </w:r>
      <w:r w:rsidR="00006057">
        <w:t>benefits</w:t>
      </w:r>
      <w:r w:rsidR="00430EE0">
        <w:t xml:space="preserve"> </w:t>
      </w:r>
      <w:r w:rsidR="00D85001">
        <w:t xml:space="preserve">and relevant assets to a </w:t>
      </w:r>
      <w:r w:rsidR="00220E50">
        <w:t xml:space="preserve">fund that does offer a </w:t>
      </w:r>
      <w:proofErr w:type="spellStart"/>
      <w:r w:rsidR="00D85001">
        <w:t>MySuper</w:t>
      </w:r>
      <w:proofErr w:type="spellEnd"/>
      <w:r w:rsidR="00D85001">
        <w:t xml:space="preserve"> </w:t>
      </w:r>
      <w:r w:rsidR="00220E50">
        <w:t>product</w:t>
      </w:r>
      <w:r w:rsidR="005F3AF2">
        <w:t xml:space="preserve"> by 30 </w:t>
      </w:r>
      <w:r w:rsidR="00D85001">
        <w:t>June 2017.</w:t>
      </w:r>
    </w:p>
    <w:p w14:paraId="3C05C7DC" w14:textId="77777777" w:rsidR="00D85001" w:rsidRPr="00E803B7" w:rsidRDefault="00D85001" w:rsidP="001E09F7">
      <w:r>
        <w:t xml:space="preserve">The introduction of </w:t>
      </w:r>
      <w:proofErr w:type="spellStart"/>
      <w:r>
        <w:t>MySuper</w:t>
      </w:r>
      <w:proofErr w:type="spellEnd"/>
      <w:r>
        <w:t xml:space="preserve"> is expected to encourage, and in some cases necessitate, superannuation fund mergers and transfers of members</w:t>
      </w:r>
      <w:r w:rsidR="00237671">
        <w:t>’</w:t>
      </w:r>
      <w:r>
        <w:t xml:space="preserve"> </w:t>
      </w:r>
      <w:r w:rsidR="007D4E2B">
        <w:t>benefits</w:t>
      </w:r>
      <w:r>
        <w:t xml:space="preserve"> and relevant assets to another fund. </w:t>
      </w:r>
    </w:p>
    <w:p w14:paraId="44D10409" w14:textId="77777777" w:rsidR="00A437F0" w:rsidRDefault="00A437F0" w:rsidP="00AE3BCA">
      <w:pPr>
        <w:pStyle w:val="Heading2"/>
        <w:spacing w:after="240"/>
      </w:pPr>
      <w:bookmarkStart w:id="12" w:name="_Toc320195346"/>
      <w:bookmarkStart w:id="13" w:name="_Toc323205310"/>
      <w:bookmarkEnd w:id="12"/>
      <w:r>
        <w:lastRenderedPageBreak/>
        <w:t>Importance of increased scale for superannuation funds</w:t>
      </w:r>
      <w:bookmarkEnd w:id="13"/>
    </w:p>
    <w:p w14:paraId="2194A131" w14:textId="77777777" w:rsidR="00A437F0" w:rsidRDefault="00A437F0" w:rsidP="00913F67">
      <w:r>
        <w:t>Increased size of superannuation funds is a significant factor that enables funds to provide a range of benefits to members, including lower fees through administrative efficiency and greater returns and diversification of investment through additional investment weight.</w:t>
      </w:r>
    </w:p>
    <w:p w14:paraId="5DF8990F" w14:textId="77777777" w:rsidR="00A437F0" w:rsidRDefault="00A437F0" w:rsidP="001E09F7">
      <w:r>
        <w:t xml:space="preserve">To encourage additional scale, </w:t>
      </w:r>
      <w:proofErr w:type="spellStart"/>
      <w:r>
        <w:t>MySuper</w:t>
      </w:r>
      <w:proofErr w:type="spellEnd"/>
      <w:r>
        <w:t xml:space="preserve"> trustees will have a duty to actively consider whether their </w:t>
      </w:r>
      <w:proofErr w:type="spellStart"/>
      <w:r>
        <w:t>MySuper</w:t>
      </w:r>
      <w:proofErr w:type="spellEnd"/>
      <w:r>
        <w:t xml:space="preserve"> products and their funds as a whole have sufficient investment scale (in terms of assets) or administrative scale (in terms of members) on their own to ensure the financial interests of their </w:t>
      </w:r>
      <w:proofErr w:type="spellStart"/>
      <w:r>
        <w:t>MySuper</w:t>
      </w:r>
      <w:proofErr w:type="spellEnd"/>
      <w:r>
        <w:t xml:space="preserve"> members are not disadvantaged relative to other </w:t>
      </w:r>
      <w:proofErr w:type="spellStart"/>
      <w:r>
        <w:t>MySuper</w:t>
      </w:r>
      <w:proofErr w:type="spellEnd"/>
      <w:r>
        <w:t xml:space="preserve"> product beneficiaries in other funds</w:t>
      </w:r>
      <w:r w:rsidR="00237671">
        <w:t>.</w:t>
      </w:r>
      <w:r>
        <w:t xml:space="preserve"> </w:t>
      </w:r>
    </w:p>
    <w:p w14:paraId="2514C07F" w14:textId="77777777" w:rsidR="006F1932" w:rsidRDefault="006F1932" w:rsidP="00AE3BCA">
      <w:pPr>
        <w:pStyle w:val="Heading2"/>
      </w:pPr>
      <w:bookmarkStart w:id="14" w:name="_Toc323205311"/>
      <w:proofErr w:type="spellStart"/>
      <w:r>
        <w:t>SuperStream</w:t>
      </w:r>
      <w:proofErr w:type="spellEnd"/>
      <w:r>
        <w:t xml:space="preserve"> reforms</w:t>
      </w:r>
      <w:bookmarkEnd w:id="14"/>
    </w:p>
    <w:p w14:paraId="28299F21" w14:textId="71BF99BC" w:rsidR="006F1932" w:rsidRDefault="006F1932" w:rsidP="001E09F7">
      <w:r>
        <w:t xml:space="preserve">The implementation of the </w:t>
      </w:r>
      <w:proofErr w:type="spellStart"/>
      <w:r>
        <w:t>SuperStream</w:t>
      </w:r>
      <w:proofErr w:type="spellEnd"/>
      <w:r>
        <w:t xml:space="preserve"> reforms will require superannuation funds (and employers)</w:t>
      </w:r>
      <w:r w:rsidR="00437B9F">
        <w:t xml:space="preserve"> to upgrade their information technology systems to comply with the new mandatory data and e</w:t>
      </w:r>
      <w:r w:rsidR="00C71D15">
        <w:noBreakHyphen/>
      </w:r>
      <w:r w:rsidR="00913F67">
        <w:t>c</w:t>
      </w:r>
      <w:r w:rsidR="00437B9F">
        <w:t>ommerce data requirements</w:t>
      </w:r>
      <w:r w:rsidR="00C71D15">
        <w:t xml:space="preserve">. </w:t>
      </w:r>
      <w:r w:rsidR="00437B9F">
        <w:t>Costs associated with the upgrade of systems may be substantial.</w:t>
      </w:r>
    </w:p>
    <w:p w14:paraId="5FCA8A68" w14:textId="77777777" w:rsidR="00EE05E3" w:rsidRDefault="00437B9F" w:rsidP="00EE05E3">
      <w:r>
        <w:t xml:space="preserve">The mandatory costs associated with the </w:t>
      </w:r>
      <w:proofErr w:type="spellStart"/>
      <w:r>
        <w:t>SuperStream</w:t>
      </w:r>
      <w:proofErr w:type="spellEnd"/>
      <w:r>
        <w:t xml:space="preserve"> reforms are likely to influence potential merger decisions.</w:t>
      </w:r>
    </w:p>
    <w:p w14:paraId="782C9451" w14:textId="77777777" w:rsidR="001E09F7" w:rsidRDefault="00B67B12" w:rsidP="00913F67">
      <w:pPr>
        <w:pStyle w:val="Heading1"/>
      </w:pPr>
      <w:bookmarkStart w:id="15" w:name="_Toc320195349"/>
      <w:bookmarkStart w:id="16" w:name="_Toc320195350"/>
      <w:bookmarkStart w:id="17" w:name="_Toc323205312"/>
      <w:bookmarkEnd w:id="15"/>
      <w:bookmarkEnd w:id="16"/>
      <w:r>
        <w:t xml:space="preserve">Tax proposals </w:t>
      </w:r>
      <w:r w:rsidR="001E09F7">
        <w:t xml:space="preserve">to </w:t>
      </w:r>
      <w:r w:rsidR="009A12A0">
        <w:t xml:space="preserve">support the </w:t>
      </w:r>
      <w:r w:rsidR="00650793">
        <w:t>implementation of stronger super</w:t>
      </w:r>
      <w:bookmarkEnd w:id="17"/>
    </w:p>
    <w:p w14:paraId="6142CDC7" w14:textId="77777777" w:rsidR="00543F4C" w:rsidRDefault="00543F4C" w:rsidP="001E09F7">
      <w:r>
        <w:t xml:space="preserve">The </w:t>
      </w:r>
      <w:r w:rsidR="005C0294">
        <w:t>proposal</w:t>
      </w:r>
      <w:r w:rsidR="006B0805">
        <w:t>s</w:t>
      </w:r>
      <w:r w:rsidR="005C0294">
        <w:t xml:space="preserve"> to support the implementation of Stronger Super </w:t>
      </w:r>
      <w:r w:rsidR="006B0805">
        <w:t xml:space="preserve">have </w:t>
      </w:r>
      <w:r w:rsidR="00903B55">
        <w:t>two objectives:</w:t>
      </w:r>
    </w:p>
    <w:p w14:paraId="5ADD29C7" w14:textId="77777777" w:rsidR="005C0294" w:rsidRDefault="00A03ABB" w:rsidP="001F1E4D">
      <w:pPr>
        <w:pStyle w:val="Bullet"/>
        <w:tabs>
          <w:tab w:val="num" w:pos="567"/>
        </w:tabs>
        <w:ind w:left="499" w:hanging="454"/>
      </w:pPr>
      <w:r>
        <w:t xml:space="preserve">to </w:t>
      </w:r>
      <w:r w:rsidR="005C0294">
        <w:t xml:space="preserve">ensure </w:t>
      </w:r>
      <w:r w:rsidR="00B85A8E">
        <w:t xml:space="preserve">income </w:t>
      </w:r>
      <w:r w:rsidR="005C0294">
        <w:t>tax con</w:t>
      </w:r>
      <w:r w:rsidR="00B85A8E">
        <w:t>siderations</w:t>
      </w:r>
      <w:r w:rsidR="005C0294">
        <w:t xml:space="preserve"> </w:t>
      </w:r>
      <w:r w:rsidR="00B85A8E">
        <w:t xml:space="preserve">do not </w:t>
      </w:r>
      <w:r w:rsidR="001643FC">
        <w:t xml:space="preserve">prevent </w:t>
      </w:r>
      <w:r>
        <w:t xml:space="preserve">mergers of superannuation </w:t>
      </w:r>
      <w:r w:rsidR="006F3E00">
        <w:t>fund</w:t>
      </w:r>
      <w:r w:rsidR="007075F8">
        <w:t>s</w:t>
      </w:r>
      <w:r w:rsidR="005C0294">
        <w:t>; and</w:t>
      </w:r>
    </w:p>
    <w:p w14:paraId="71989301" w14:textId="77777777" w:rsidR="005C0294" w:rsidRDefault="005C0294" w:rsidP="001F1E4D">
      <w:pPr>
        <w:pStyle w:val="Bullet"/>
        <w:tabs>
          <w:tab w:val="num" w:pos="567"/>
        </w:tabs>
        <w:ind w:left="499" w:hanging="454"/>
      </w:pPr>
      <w:proofErr w:type="gramStart"/>
      <w:r>
        <w:t>to</w:t>
      </w:r>
      <w:proofErr w:type="gramEnd"/>
      <w:r>
        <w:t xml:space="preserve"> ensure there are neutral tax consequences for superannuation </w:t>
      </w:r>
      <w:r w:rsidR="006F3E00">
        <w:t>fund</w:t>
      </w:r>
      <w:r w:rsidR="006F3E00" w:rsidRPr="005C0294">
        <w:t xml:space="preserve">s </w:t>
      </w:r>
      <w:r w:rsidRPr="005C0294">
        <w:t xml:space="preserve">not wishing to offer </w:t>
      </w:r>
      <w:proofErr w:type="spellStart"/>
      <w:r w:rsidRPr="005C0294">
        <w:t>MySuper</w:t>
      </w:r>
      <w:proofErr w:type="spellEnd"/>
      <w:r w:rsidRPr="005C0294">
        <w:t xml:space="preserve"> products to transfer existing members</w:t>
      </w:r>
      <w:r w:rsidR="00E86F9B">
        <w:t>’</w:t>
      </w:r>
      <w:r w:rsidR="004F3260">
        <w:t xml:space="preserve"> </w:t>
      </w:r>
      <w:r w:rsidR="00006057">
        <w:t>benefits</w:t>
      </w:r>
      <w:r w:rsidR="00B67B12">
        <w:t xml:space="preserve"> </w:t>
      </w:r>
      <w:r w:rsidR="004F3260">
        <w:t>and relevant assets</w:t>
      </w:r>
      <w:r w:rsidRPr="005C0294">
        <w:t xml:space="preserve"> to a</w:t>
      </w:r>
      <w:r w:rsidR="00220E50">
        <w:t xml:space="preserve"> fund that does offer a</w:t>
      </w:r>
      <w:r w:rsidRPr="005C0294">
        <w:t xml:space="preserve"> </w:t>
      </w:r>
      <w:proofErr w:type="spellStart"/>
      <w:r w:rsidRPr="005C0294">
        <w:t>MySuper</w:t>
      </w:r>
      <w:proofErr w:type="spellEnd"/>
      <w:r w:rsidRPr="005C0294">
        <w:t xml:space="preserve"> product</w:t>
      </w:r>
      <w:r>
        <w:t>.</w:t>
      </w:r>
    </w:p>
    <w:p w14:paraId="054C73CB" w14:textId="77777777" w:rsidR="007E05DE" w:rsidRDefault="007E05DE" w:rsidP="00C71D15">
      <w:r>
        <w:t xml:space="preserve">To achieve these objectives the proposals will provide merger relief and relief for mandatory transactions required under the </w:t>
      </w:r>
      <w:proofErr w:type="spellStart"/>
      <w:r>
        <w:t>MySuper</w:t>
      </w:r>
      <w:proofErr w:type="spellEnd"/>
      <w:r>
        <w:t xml:space="preserve"> reforms.</w:t>
      </w:r>
    </w:p>
    <w:p w14:paraId="6102F1E9" w14:textId="77777777" w:rsidR="00BB7A8B" w:rsidRPr="00C316D2" w:rsidRDefault="007075F8" w:rsidP="00C71D15">
      <w:pPr>
        <w:pStyle w:val="Heading2NotNumbered"/>
      </w:pPr>
      <w:r>
        <w:t>Taxation</w:t>
      </w:r>
      <w:r w:rsidR="00BB7A8B" w:rsidRPr="00C316D2">
        <w:t xml:space="preserve"> relief</w:t>
      </w:r>
      <w:r>
        <w:t xml:space="preserve"> for merging superannuation funds</w:t>
      </w:r>
    </w:p>
    <w:p w14:paraId="49075634" w14:textId="5D9B7244" w:rsidR="001E09F7" w:rsidRDefault="007075F8" w:rsidP="007E2435">
      <w:r>
        <w:t>The taxation relief</w:t>
      </w:r>
      <w:r w:rsidR="0055206F">
        <w:t xml:space="preserve"> </w:t>
      </w:r>
      <w:r w:rsidR="00581E19">
        <w:t xml:space="preserve">for merging superannuation funds </w:t>
      </w:r>
      <w:r w:rsidR="0055206F">
        <w:t xml:space="preserve">will be provided on </w:t>
      </w:r>
      <w:r w:rsidR="00232CCF">
        <w:t xml:space="preserve">generally </w:t>
      </w:r>
      <w:r w:rsidR="0055206F">
        <w:t xml:space="preserve">the same terms and conditions as the </w:t>
      </w:r>
      <w:r w:rsidR="004D2F64">
        <w:t>previous loss relief</w:t>
      </w:r>
      <w:r w:rsidR="0055206F">
        <w:t xml:space="preserve"> for capital </w:t>
      </w:r>
      <w:r w:rsidR="00AA6A10">
        <w:t xml:space="preserve">losses </w:t>
      </w:r>
      <w:r w:rsidR="0055206F">
        <w:t xml:space="preserve">and revenue losses </w:t>
      </w:r>
      <w:r w:rsidR="00AA6A10">
        <w:t xml:space="preserve">relating to </w:t>
      </w:r>
      <w:r w:rsidR="001E09F7">
        <w:t xml:space="preserve">mergers of superannuation </w:t>
      </w:r>
      <w:r w:rsidR="006F3E00">
        <w:t>funds</w:t>
      </w:r>
      <w:r w:rsidR="00C71D15">
        <w:t xml:space="preserve">. </w:t>
      </w:r>
      <w:r w:rsidR="00AA6A10">
        <w:t>However, there will be some other terms and conditions for the proposed</w:t>
      </w:r>
      <w:r w:rsidR="005F57B2">
        <w:t xml:space="preserve"> </w:t>
      </w:r>
      <w:r>
        <w:t>taxation</w:t>
      </w:r>
      <w:r w:rsidR="00AA6A10">
        <w:t xml:space="preserve"> </w:t>
      </w:r>
      <w:r w:rsidR="005F57B2">
        <w:t xml:space="preserve">relief </w:t>
      </w:r>
      <w:r w:rsidR="0055206F">
        <w:t>includ</w:t>
      </w:r>
      <w:r w:rsidR="005F57B2">
        <w:t>ing</w:t>
      </w:r>
      <w:r w:rsidR="0055206F">
        <w:t>:</w:t>
      </w:r>
    </w:p>
    <w:p w14:paraId="3982EB92" w14:textId="010F5118" w:rsidR="005245D8" w:rsidRDefault="001E09F7" w:rsidP="004D64EA">
      <w:pPr>
        <w:pStyle w:val="Bullet"/>
        <w:tabs>
          <w:tab w:val="num" w:pos="567"/>
        </w:tabs>
        <w:ind w:left="499" w:hanging="454"/>
      </w:pPr>
      <w:r>
        <w:t>an optional asset roll</w:t>
      </w:r>
      <w:r w:rsidR="00C71D15">
        <w:noBreakHyphen/>
      </w:r>
      <w:r>
        <w:t>over for capital gains for all</w:t>
      </w:r>
      <w:r w:rsidR="00D85799">
        <w:t xml:space="preserve"> superannuation </w:t>
      </w:r>
      <w:r w:rsidR="006F3E00">
        <w:t xml:space="preserve">fund </w:t>
      </w:r>
      <w:r w:rsidR="00D85799">
        <w:t xml:space="preserve">mergers eligible for the </w:t>
      </w:r>
      <w:r w:rsidR="00B67B12">
        <w:t xml:space="preserve">proposed </w:t>
      </w:r>
      <w:r w:rsidR="00D85799">
        <w:t>loss relief</w:t>
      </w:r>
      <w:r w:rsidR="005245D8">
        <w:t xml:space="preserve">;  </w:t>
      </w:r>
    </w:p>
    <w:p w14:paraId="6E942258" w14:textId="77777777" w:rsidR="005245D8" w:rsidRDefault="001E09F7" w:rsidP="004D64EA">
      <w:pPr>
        <w:pStyle w:val="Bullet"/>
        <w:tabs>
          <w:tab w:val="num" w:pos="567"/>
        </w:tabs>
        <w:ind w:left="499" w:hanging="454"/>
      </w:pPr>
      <w:r>
        <w:t xml:space="preserve">losses that are transferred to the </w:t>
      </w:r>
      <w:r w:rsidR="00C17AF3">
        <w:t>receiving entity</w:t>
      </w:r>
      <w:r w:rsidR="006F3E00">
        <w:t xml:space="preserve"> </w:t>
      </w:r>
      <w:r w:rsidR="00C17AF3">
        <w:t>will be</w:t>
      </w:r>
      <w:r>
        <w:t xml:space="preserve"> treated as having been </w:t>
      </w:r>
      <w:r w:rsidR="00C17AF3">
        <w:t xml:space="preserve">made </w:t>
      </w:r>
      <w:r>
        <w:t xml:space="preserve">in the income year that they </w:t>
      </w:r>
      <w:r w:rsidR="00B24344">
        <w:t xml:space="preserve">were </w:t>
      </w:r>
      <w:r>
        <w:t>transferred</w:t>
      </w:r>
      <w:r w:rsidR="005245D8">
        <w:t xml:space="preserve">;  </w:t>
      </w:r>
    </w:p>
    <w:p w14:paraId="43F66FCC" w14:textId="77777777" w:rsidR="001E09F7" w:rsidRDefault="001E09F7" w:rsidP="00DA78A6">
      <w:pPr>
        <w:pStyle w:val="Bullet"/>
        <w:tabs>
          <w:tab w:val="num" w:pos="567"/>
        </w:tabs>
        <w:ind w:left="499" w:hanging="454"/>
      </w:pPr>
      <w:r>
        <w:lastRenderedPageBreak/>
        <w:t xml:space="preserve">realised losses from disposals of assets in the 12 months prior to a merger to </w:t>
      </w:r>
      <w:r w:rsidR="00C17AF3">
        <w:t>an entity</w:t>
      </w:r>
      <w:r w:rsidR="006F3E00">
        <w:t xml:space="preserve"> </w:t>
      </w:r>
      <w:r>
        <w:t xml:space="preserve">that becomes a </w:t>
      </w:r>
      <w:r w:rsidR="00C17AF3">
        <w:t>receiving entity</w:t>
      </w:r>
      <w:r w:rsidR="006F3E00">
        <w:t xml:space="preserve"> </w:t>
      </w:r>
      <w:r>
        <w:t>in the merger</w:t>
      </w:r>
      <w:r w:rsidR="00913F67">
        <w:t>,</w:t>
      </w:r>
      <w:r>
        <w:t xml:space="preserve"> where those assets are still held by that </w:t>
      </w:r>
      <w:r w:rsidR="00777AF4">
        <w:t>entity</w:t>
      </w:r>
      <w:r w:rsidR="006F3E00">
        <w:t xml:space="preserve"> </w:t>
      </w:r>
      <w:r>
        <w:t xml:space="preserve">will not be able to be transferred to that </w:t>
      </w:r>
      <w:r w:rsidR="00777AF4">
        <w:t>entity</w:t>
      </w:r>
      <w:r w:rsidR="005343F9">
        <w:t>;</w:t>
      </w:r>
    </w:p>
    <w:p w14:paraId="602BB941" w14:textId="31E30FB9" w:rsidR="005343F9" w:rsidRPr="00F905AE" w:rsidRDefault="005343F9" w:rsidP="005245D8">
      <w:pPr>
        <w:pStyle w:val="Dash"/>
      </w:pPr>
      <w:r w:rsidRPr="00F905AE">
        <w:t>This will prevent direct disposals of assets</w:t>
      </w:r>
      <w:r w:rsidR="003B47B0" w:rsidRPr="00F905AE">
        <w:t xml:space="preserve"> from the transferring </w:t>
      </w:r>
      <w:r w:rsidR="00C17AF3" w:rsidRPr="00F905AE">
        <w:t>entity</w:t>
      </w:r>
      <w:r w:rsidR="006F3E00" w:rsidRPr="00F905AE">
        <w:t xml:space="preserve"> </w:t>
      </w:r>
      <w:r w:rsidRPr="00F905AE">
        <w:t xml:space="preserve">to the </w:t>
      </w:r>
      <w:r w:rsidR="00777AF4" w:rsidRPr="00F905AE">
        <w:t>receiving entity</w:t>
      </w:r>
      <w:r w:rsidR="00C71D15">
        <w:t xml:space="preserve">. </w:t>
      </w:r>
      <w:r w:rsidRPr="00F905AE">
        <w:t xml:space="preserve">Purchases of assets that were owned by the </w:t>
      </w:r>
      <w:r w:rsidR="00777AF4" w:rsidRPr="00F905AE">
        <w:t>transferring entity</w:t>
      </w:r>
      <w:r w:rsidR="006F3E00" w:rsidRPr="00F905AE">
        <w:t xml:space="preserve"> </w:t>
      </w:r>
      <w:r w:rsidRPr="00F905AE">
        <w:t xml:space="preserve">on the market </w:t>
      </w:r>
      <w:r w:rsidR="00B67B12" w:rsidRPr="00F905AE">
        <w:t xml:space="preserve">by the receiving entity will </w:t>
      </w:r>
      <w:r w:rsidRPr="00F905AE">
        <w:t>not be affected</w:t>
      </w:r>
      <w:r w:rsidR="005245D8" w:rsidRPr="00F905AE">
        <w:t>.</w:t>
      </w:r>
    </w:p>
    <w:p w14:paraId="086ECBC8" w14:textId="6E85E00D" w:rsidR="00792349" w:rsidRDefault="006B0805" w:rsidP="00DA78A6">
      <w:pPr>
        <w:pStyle w:val="Bullet"/>
        <w:tabs>
          <w:tab w:val="num" w:pos="567"/>
        </w:tabs>
        <w:ind w:left="499" w:hanging="454"/>
      </w:pPr>
      <w:proofErr w:type="gramStart"/>
      <w:r>
        <w:t>the</w:t>
      </w:r>
      <w:proofErr w:type="gramEnd"/>
      <w:r>
        <w:t xml:space="preserve"> </w:t>
      </w:r>
      <w:r w:rsidR="00324737">
        <w:t xml:space="preserve">complete </w:t>
      </w:r>
      <w:r>
        <w:t xml:space="preserve">exclusion of </w:t>
      </w:r>
      <w:r w:rsidR="00792349">
        <w:t>self</w:t>
      </w:r>
      <w:r w:rsidR="00C71D15">
        <w:noBreakHyphen/>
      </w:r>
      <w:r w:rsidR="00792349">
        <w:t xml:space="preserve">managed superannuation </w:t>
      </w:r>
      <w:r w:rsidR="00AB4564">
        <w:t>funds from the relief.</w:t>
      </w:r>
    </w:p>
    <w:p w14:paraId="1D8C70FB" w14:textId="7BC439DE" w:rsidR="001E09F7" w:rsidRDefault="00DD74D0" w:rsidP="001E09F7">
      <w:r>
        <w:t xml:space="preserve">The proposed optional loss relief </w:t>
      </w:r>
      <w:r w:rsidR="00550575">
        <w:t>will</w:t>
      </w:r>
      <w:r>
        <w:t xml:space="preserve"> </w:t>
      </w:r>
      <w:r w:rsidR="001E09F7">
        <w:t>apply from 1 June 2012 to 1 July 2017</w:t>
      </w:r>
      <w:r w:rsidR="00C71D15">
        <w:t xml:space="preserve">. </w:t>
      </w:r>
      <w:r w:rsidR="007E3328">
        <w:t>This period</w:t>
      </w:r>
      <w:r w:rsidR="008C0DA2">
        <w:t xml:space="preserve"> </w:t>
      </w:r>
      <w:r w:rsidR="0048196B">
        <w:t xml:space="preserve">broadly </w:t>
      </w:r>
      <w:r w:rsidR="004701F2">
        <w:t>coincide</w:t>
      </w:r>
      <w:r w:rsidR="007E3328">
        <w:t>s</w:t>
      </w:r>
      <w:r w:rsidR="008C0DA2">
        <w:t xml:space="preserve"> with the </w:t>
      </w:r>
      <w:r w:rsidR="007E3328">
        <w:t>period</w:t>
      </w:r>
      <w:r w:rsidR="008C0DA2">
        <w:t xml:space="preserve"> for superannuation </w:t>
      </w:r>
      <w:r w:rsidR="006F3E00">
        <w:t xml:space="preserve">funds </w:t>
      </w:r>
      <w:r w:rsidR="008C0DA2">
        <w:t xml:space="preserve">to undertake the preparation required to transition to </w:t>
      </w:r>
      <w:r w:rsidR="007E3328">
        <w:t xml:space="preserve">the </w:t>
      </w:r>
      <w:r w:rsidR="008C0DA2">
        <w:t>Stronger Super reforms.</w:t>
      </w:r>
    </w:p>
    <w:p w14:paraId="2FD6FEF0" w14:textId="77777777" w:rsidR="00550575" w:rsidRPr="00C316D2" w:rsidRDefault="00550575" w:rsidP="00C71D15">
      <w:pPr>
        <w:pStyle w:val="Heading2NotNumbered"/>
      </w:pPr>
      <w:proofErr w:type="spellStart"/>
      <w:r w:rsidRPr="00C316D2">
        <w:t>MySuper</w:t>
      </w:r>
      <w:proofErr w:type="spellEnd"/>
      <w:r w:rsidRPr="00C316D2">
        <w:t xml:space="preserve"> relief</w:t>
      </w:r>
    </w:p>
    <w:p w14:paraId="65FF080A" w14:textId="61134D5E" w:rsidR="00E86F9B" w:rsidRDefault="00581E19" w:rsidP="001E09F7">
      <w:r>
        <w:t>O</w:t>
      </w:r>
      <w:r w:rsidR="00E86F9B">
        <w:t>ptional roll</w:t>
      </w:r>
      <w:r w:rsidR="00C71D15">
        <w:noBreakHyphen/>
      </w:r>
      <w:r w:rsidR="00E86F9B">
        <w:t xml:space="preserve">over for capital gains and capital losses will be provided to facilitate the </w:t>
      </w:r>
      <w:r w:rsidR="007C2FC8">
        <w:t xml:space="preserve">mandatory </w:t>
      </w:r>
      <w:r w:rsidR="00E86F9B">
        <w:t xml:space="preserve">transfer of members’ </w:t>
      </w:r>
      <w:r w:rsidR="00006057">
        <w:t>benefits</w:t>
      </w:r>
      <w:r w:rsidR="0048196B">
        <w:t xml:space="preserve"> </w:t>
      </w:r>
      <w:r w:rsidR="00E86F9B">
        <w:t xml:space="preserve">and relevant </w:t>
      </w:r>
      <w:r w:rsidR="007C2FC8">
        <w:t xml:space="preserve">assets to a </w:t>
      </w:r>
      <w:r w:rsidR="006F3E00">
        <w:t>fund</w:t>
      </w:r>
      <w:r w:rsidR="00220E50">
        <w:t xml:space="preserve"> that offers a </w:t>
      </w:r>
      <w:proofErr w:type="spellStart"/>
      <w:r w:rsidR="00220E50">
        <w:t>MySuper</w:t>
      </w:r>
      <w:proofErr w:type="spellEnd"/>
      <w:r w:rsidR="00220E50">
        <w:t xml:space="preserve"> product</w:t>
      </w:r>
      <w:r w:rsidR="00C71D15">
        <w:t xml:space="preserve">. </w:t>
      </w:r>
      <w:r w:rsidR="007C2FC8">
        <w:t>Optional loss relief</w:t>
      </w:r>
      <w:r w:rsidR="00B872CE">
        <w:t xml:space="preserve"> </w:t>
      </w:r>
      <w:r w:rsidR="0048196B">
        <w:t xml:space="preserve">will </w:t>
      </w:r>
      <w:r w:rsidR="007C2FC8">
        <w:t xml:space="preserve">also </w:t>
      </w:r>
      <w:r w:rsidR="0048196B">
        <w:t xml:space="preserve">be </w:t>
      </w:r>
      <w:r w:rsidR="007C2FC8">
        <w:t xml:space="preserve">available for losses that are related to the transfer of members’ </w:t>
      </w:r>
      <w:r w:rsidR="00006057">
        <w:t>benefits</w:t>
      </w:r>
      <w:r w:rsidR="007C2FC8">
        <w:t>.</w:t>
      </w:r>
    </w:p>
    <w:p w14:paraId="03E45315" w14:textId="5E5C24BF" w:rsidR="001643FC" w:rsidRDefault="00B872CE" w:rsidP="001E09F7">
      <w:r>
        <w:t>This proposed optional roll</w:t>
      </w:r>
      <w:r w:rsidR="00C71D15">
        <w:noBreakHyphen/>
      </w:r>
      <w:r>
        <w:t>over will be available from 1 July 2013 to 1 July 2017</w:t>
      </w:r>
      <w:r w:rsidR="00C71D15">
        <w:t xml:space="preserve">. </w:t>
      </w:r>
      <w:r w:rsidR="008C0DA2">
        <w:t xml:space="preserve">These dates </w:t>
      </w:r>
      <w:r w:rsidR="00B62E09">
        <w:t xml:space="preserve">broadly </w:t>
      </w:r>
      <w:r w:rsidR="008C0DA2">
        <w:t xml:space="preserve">coincide with the </w:t>
      </w:r>
      <w:r w:rsidR="007E3328">
        <w:t xml:space="preserve">date of </w:t>
      </w:r>
      <w:r w:rsidR="008C0DA2">
        <w:t xml:space="preserve">introduction of </w:t>
      </w:r>
      <w:proofErr w:type="spellStart"/>
      <w:r w:rsidR="008C0DA2">
        <w:t>MySuper</w:t>
      </w:r>
      <w:proofErr w:type="spellEnd"/>
      <w:r w:rsidR="008C0DA2">
        <w:t xml:space="preserve"> and the deadline for the transfer of </w:t>
      </w:r>
      <w:r w:rsidR="00220E50">
        <w:t xml:space="preserve">certain specified amounts </w:t>
      </w:r>
      <w:r w:rsidR="008C0DA2">
        <w:t xml:space="preserve">to a </w:t>
      </w:r>
      <w:proofErr w:type="spellStart"/>
      <w:r w:rsidR="008C0DA2">
        <w:t>MySuper</w:t>
      </w:r>
      <w:proofErr w:type="spellEnd"/>
      <w:r w:rsidR="008C0DA2">
        <w:t xml:space="preserve"> product.</w:t>
      </w:r>
    </w:p>
    <w:p w14:paraId="6954123C" w14:textId="77777777" w:rsidR="001E09F7" w:rsidRDefault="001E09F7" w:rsidP="001E09F7">
      <w:pPr>
        <w:pStyle w:val="Heading2"/>
      </w:pPr>
      <w:bookmarkStart w:id="18" w:name="_Toc323205313"/>
      <w:r>
        <w:t xml:space="preserve">Taxation Relief to Facilitate Mergers of Superannuation </w:t>
      </w:r>
      <w:r w:rsidR="00615E18">
        <w:t>funds</w:t>
      </w:r>
      <w:bookmarkEnd w:id="18"/>
    </w:p>
    <w:p w14:paraId="594C7E2F" w14:textId="77777777" w:rsidR="000B0E8F" w:rsidRDefault="000B0E8F" w:rsidP="001E09F7">
      <w:r>
        <w:t xml:space="preserve">An eligible </w:t>
      </w:r>
      <w:r w:rsidR="001E09F7">
        <w:t xml:space="preserve">complying superannuation </w:t>
      </w:r>
      <w:r w:rsidR="001A48AC">
        <w:t xml:space="preserve">fund </w:t>
      </w:r>
      <w:r w:rsidR="001E09F7">
        <w:t xml:space="preserve">may </w:t>
      </w:r>
      <w:proofErr w:type="gramStart"/>
      <w:r w:rsidR="00550575">
        <w:t>choose,</w:t>
      </w:r>
      <w:proofErr w:type="gramEnd"/>
      <w:r w:rsidR="00A31E25">
        <w:t xml:space="preserve"> </w:t>
      </w:r>
      <w:r w:rsidR="00550575" w:rsidRPr="00550575">
        <w:t>where there is an arrangement to merge the fund with another complying superannuation fund with five or more members</w:t>
      </w:r>
      <w:r w:rsidR="00550575">
        <w:t>,</w:t>
      </w:r>
      <w:r w:rsidR="00550575" w:rsidRPr="00550575">
        <w:t xml:space="preserve"> </w:t>
      </w:r>
      <w:r w:rsidR="00A31E25">
        <w:t>to</w:t>
      </w:r>
      <w:r>
        <w:t>:</w:t>
      </w:r>
    </w:p>
    <w:p w14:paraId="6691AA9D" w14:textId="77777777" w:rsidR="00556092" w:rsidRDefault="00205D44" w:rsidP="00DA78A6">
      <w:pPr>
        <w:pStyle w:val="Bullet"/>
        <w:tabs>
          <w:tab w:val="num" w:pos="567"/>
        </w:tabs>
        <w:ind w:left="499" w:hanging="454"/>
      </w:pPr>
      <w:r>
        <w:t xml:space="preserve">transfer </w:t>
      </w:r>
      <w:r w:rsidR="000B0E8F">
        <w:t xml:space="preserve">unused </w:t>
      </w:r>
      <w:r>
        <w:t>capital losses</w:t>
      </w:r>
      <w:r w:rsidR="00A61BDE">
        <w:t xml:space="preserve"> </w:t>
      </w:r>
      <w:r w:rsidR="00006057">
        <w:t xml:space="preserve">and/or revenue losses </w:t>
      </w:r>
      <w:r w:rsidR="000B0E8F">
        <w:t>that were realised prior to a merger (including prior year losses)</w:t>
      </w:r>
      <w:r w:rsidR="00556092">
        <w:t>;</w:t>
      </w:r>
      <w:r w:rsidR="001A48AC" w:rsidRPr="001A48AC">
        <w:t xml:space="preserve"> and</w:t>
      </w:r>
    </w:p>
    <w:p w14:paraId="7D4B2532" w14:textId="77777777" w:rsidR="00A31E25" w:rsidRDefault="00913F67" w:rsidP="00DA78A6">
      <w:pPr>
        <w:pStyle w:val="Bullet"/>
        <w:tabs>
          <w:tab w:val="num" w:pos="567"/>
        </w:tabs>
        <w:ind w:left="499" w:hanging="454"/>
      </w:pPr>
      <w:proofErr w:type="gramStart"/>
      <w:r>
        <w:t>roll</w:t>
      </w:r>
      <w:proofErr w:type="gramEnd"/>
      <w:r>
        <w:t xml:space="preserve"> </w:t>
      </w:r>
      <w:r w:rsidR="00A31E25">
        <w:t xml:space="preserve">over </w:t>
      </w:r>
      <w:r w:rsidR="00A61BDE">
        <w:t>capital gain</w:t>
      </w:r>
      <w:r w:rsidR="000B0E8F">
        <w:t xml:space="preserve">s and capital losses and revenue losses (and revenue gains in particular circumstances) </w:t>
      </w:r>
      <w:r w:rsidR="000533DB">
        <w:t>on transferred assets</w:t>
      </w:r>
      <w:r w:rsidR="009F6D4C">
        <w:t>.</w:t>
      </w:r>
    </w:p>
    <w:p w14:paraId="46DED90A" w14:textId="19C69EB8" w:rsidR="009F6D4C" w:rsidRDefault="009F6D4C" w:rsidP="001E09F7">
      <w:r>
        <w:t>This choice by a</w:t>
      </w:r>
      <w:r w:rsidR="000B0E8F">
        <w:t xml:space="preserve">n eligible </w:t>
      </w:r>
      <w:r>
        <w:t xml:space="preserve">complying superannuation </w:t>
      </w:r>
      <w:r w:rsidR="001A48AC">
        <w:t xml:space="preserve">fund </w:t>
      </w:r>
      <w:r w:rsidR="007E05DE">
        <w:t xml:space="preserve">will be </w:t>
      </w:r>
      <w:r>
        <w:t>achieved through the provision of a loss transfer and an asset roll</w:t>
      </w:r>
      <w:r w:rsidR="00C71D15">
        <w:noBreakHyphen/>
      </w:r>
      <w:r>
        <w:t>over</w:t>
      </w:r>
      <w:r w:rsidR="00C71D15">
        <w:t xml:space="preserve">. </w:t>
      </w:r>
    </w:p>
    <w:p w14:paraId="6E39216F" w14:textId="00B1BA74" w:rsidR="001914D7" w:rsidRDefault="00550575" w:rsidP="00195629">
      <w:pPr>
        <w:pStyle w:val="Bullet"/>
        <w:numPr>
          <w:ilvl w:val="0"/>
          <w:numId w:val="0"/>
        </w:numPr>
        <w:tabs>
          <w:tab w:val="num" w:pos="0"/>
        </w:tabs>
      </w:pPr>
      <w:r>
        <w:t>S</w:t>
      </w:r>
      <w:r w:rsidR="001914D7">
        <w:t xml:space="preserve">uperannuation </w:t>
      </w:r>
      <w:r w:rsidR="006F3E00">
        <w:t xml:space="preserve">funds </w:t>
      </w:r>
      <w:r w:rsidR="001914D7">
        <w:t xml:space="preserve">will not be required to be in an overall </w:t>
      </w:r>
      <w:r>
        <w:t xml:space="preserve">capital </w:t>
      </w:r>
      <w:r w:rsidR="001914D7">
        <w:t xml:space="preserve">loss position to be able to </w:t>
      </w:r>
      <w:r w:rsidR="00556092">
        <w:t>be able to roll over capital gains on transferred assets</w:t>
      </w:r>
      <w:r w:rsidR="00C71D15">
        <w:t xml:space="preserve">. </w:t>
      </w:r>
    </w:p>
    <w:p w14:paraId="20C48022" w14:textId="77777777" w:rsidR="00F55EB1" w:rsidRDefault="00F55EB1" w:rsidP="007E2435">
      <w:pPr>
        <w:pStyle w:val="Heading3"/>
      </w:pPr>
      <w:r>
        <w:t>Entities eligible for the taxation</w:t>
      </w:r>
      <w:r w:rsidR="007C0A18">
        <w:t xml:space="preserve"> </w:t>
      </w:r>
      <w:r>
        <w:t>relief</w:t>
      </w:r>
    </w:p>
    <w:p w14:paraId="2D7465E7" w14:textId="725DFD78" w:rsidR="00F55EB1" w:rsidRDefault="00622E73" w:rsidP="00F55EB1">
      <w:r>
        <w:t xml:space="preserve">The proposed taxation relief for mergers of superannuation </w:t>
      </w:r>
      <w:r w:rsidR="00FF6A4A">
        <w:t>fund</w:t>
      </w:r>
      <w:r>
        <w:t xml:space="preserve">s will generally apply to the same entities that were able to access </w:t>
      </w:r>
      <w:r w:rsidR="001A48AC">
        <w:t xml:space="preserve">the </w:t>
      </w:r>
      <w:r>
        <w:t xml:space="preserve">previous </w:t>
      </w:r>
      <w:r w:rsidR="00B62E09">
        <w:t>loss</w:t>
      </w:r>
      <w:r>
        <w:t xml:space="preserve"> relief</w:t>
      </w:r>
      <w:r w:rsidR="00C71D15">
        <w:t xml:space="preserve">. </w:t>
      </w:r>
    </w:p>
    <w:p w14:paraId="657628AE" w14:textId="06A5E557" w:rsidR="00FD397C" w:rsidRDefault="00F61EBB" w:rsidP="00AE4AA7">
      <w:r>
        <w:t>As such, t</w:t>
      </w:r>
      <w:r w:rsidRPr="00AE4AA7">
        <w:t>he</w:t>
      </w:r>
      <w:r>
        <w:t xml:space="preserve"> </w:t>
      </w:r>
      <w:r w:rsidR="00AE4AA7" w:rsidRPr="00AE4AA7">
        <w:t>entities that may be eligible for the proposed relief are: complying superannuation funds, complying ADFs, a life insurance company or a PST</w:t>
      </w:r>
      <w:r w:rsidR="00C71D15">
        <w:t xml:space="preserve">. </w:t>
      </w:r>
      <w:r w:rsidR="00AE4AA7" w:rsidRPr="00AE4AA7">
        <w:t>For a life insurance company or a PST to be eligible for the proposed relief, a complying superannuation fund needs to hold assets via a complying superannuation/</w:t>
      </w:r>
      <w:r w:rsidR="00D12B7A">
        <w:t>first home saver account</w:t>
      </w:r>
      <w:r w:rsidR="00D12B7A" w:rsidRPr="00AE4AA7">
        <w:t xml:space="preserve"> </w:t>
      </w:r>
      <w:r w:rsidR="00886222">
        <w:t xml:space="preserve">(FHSA) </w:t>
      </w:r>
      <w:r w:rsidR="00AE4AA7" w:rsidRPr="00AE4AA7">
        <w:t>policy or hold assets via units in a PST</w:t>
      </w:r>
      <w:r w:rsidR="00C71D15">
        <w:t xml:space="preserve">. </w:t>
      </w:r>
    </w:p>
    <w:p w14:paraId="00295D4F" w14:textId="375A1912" w:rsidR="00A35003" w:rsidRDefault="00A35003" w:rsidP="00C71D15">
      <w:pPr>
        <w:pStyle w:val="Heading4NotNumbered"/>
      </w:pPr>
      <w:r w:rsidRPr="003B67DB">
        <w:lastRenderedPageBreak/>
        <w:t>Exclu</w:t>
      </w:r>
      <w:r>
        <w:t>sion of</w:t>
      </w:r>
      <w:r w:rsidRPr="003B67DB">
        <w:t xml:space="preserve"> self</w:t>
      </w:r>
      <w:r w:rsidR="00C71D15">
        <w:noBreakHyphen/>
      </w:r>
      <w:r w:rsidRPr="003B67DB">
        <w:t>managed superannuation funds (SMSFs)</w:t>
      </w:r>
    </w:p>
    <w:p w14:paraId="4DED4730" w14:textId="3FA1F656" w:rsidR="003C0F6F" w:rsidRPr="00A35003" w:rsidRDefault="00006057">
      <w:pPr>
        <w:pStyle w:val="Bullet"/>
        <w:numPr>
          <w:ilvl w:val="0"/>
          <w:numId w:val="0"/>
        </w:numPr>
        <w:tabs>
          <w:tab w:val="num" w:pos="0"/>
        </w:tabs>
      </w:pPr>
      <w:r>
        <w:t xml:space="preserve">The Stronger Super reforms </w:t>
      </w:r>
      <w:r w:rsidR="00A35003" w:rsidRPr="00A35003">
        <w:t>will not place pressure on SMSFs to merge and consolidate</w:t>
      </w:r>
      <w:r w:rsidR="00C71D15">
        <w:t xml:space="preserve">. </w:t>
      </w:r>
      <w:r w:rsidR="00A35003" w:rsidRPr="00A35003">
        <w:t xml:space="preserve">Further, the </w:t>
      </w:r>
      <w:proofErr w:type="spellStart"/>
      <w:r w:rsidR="00A35003" w:rsidRPr="00A35003">
        <w:t>MySuper</w:t>
      </w:r>
      <w:proofErr w:type="spellEnd"/>
      <w:r w:rsidR="00A35003" w:rsidRPr="00A35003">
        <w:t xml:space="preserve"> requirements will not be applicable to SMSFs</w:t>
      </w:r>
      <w:r w:rsidR="00C71D15">
        <w:t xml:space="preserve">. </w:t>
      </w:r>
      <w:r w:rsidR="00A35003" w:rsidRPr="00A35003">
        <w:t xml:space="preserve">Therefore, extending the </w:t>
      </w:r>
      <w:r w:rsidR="009D475A">
        <w:t>taxation relief for mergers</w:t>
      </w:r>
      <w:r w:rsidR="00A35003" w:rsidRPr="00A35003">
        <w:t xml:space="preserve"> to SMSFs </w:t>
      </w:r>
      <w:r w:rsidR="009D475A">
        <w:t xml:space="preserve">or providing the </w:t>
      </w:r>
      <w:proofErr w:type="spellStart"/>
      <w:r w:rsidR="009D475A">
        <w:t>MySuper</w:t>
      </w:r>
      <w:proofErr w:type="spellEnd"/>
      <w:r w:rsidR="009D475A">
        <w:t xml:space="preserve"> tax relief for SMSFs </w:t>
      </w:r>
      <w:r w:rsidR="00A35003" w:rsidRPr="00A35003">
        <w:t>is not warranted</w:t>
      </w:r>
      <w:r w:rsidR="00C71D15">
        <w:t xml:space="preserve">. </w:t>
      </w:r>
    </w:p>
    <w:p w14:paraId="22D0D737" w14:textId="77777777" w:rsidR="00297E01" w:rsidRDefault="00297E01" w:rsidP="00AD0428">
      <w:pPr>
        <w:pStyle w:val="Heading3"/>
      </w:pPr>
      <w:r>
        <w:t xml:space="preserve">Conditions </w:t>
      </w:r>
      <w:r w:rsidR="008A562C">
        <w:t>to transfer losses</w:t>
      </w:r>
    </w:p>
    <w:p w14:paraId="40DD0DBB" w14:textId="55A4E44E" w:rsidR="008A562C" w:rsidRDefault="00320D5D" w:rsidP="003B67DB">
      <w:pPr>
        <w:pStyle w:val="Bullet"/>
        <w:numPr>
          <w:ilvl w:val="0"/>
          <w:numId w:val="0"/>
        </w:numPr>
        <w:tabs>
          <w:tab w:val="num" w:pos="0"/>
        </w:tabs>
      </w:pPr>
      <w:r>
        <w:t xml:space="preserve">The proposed loss </w:t>
      </w:r>
      <w:r w:rsidR="008A562C">
        <w:t xml:space="preserve">transfer </w:t>
      </w:r>
      <w:r>
        <w:t xml:space="preserve">relief will require the same conditions </w:t>
      </w:r>
      <w:r w:rsidR="007C0A18">
        <w:t>for</w:t>
      </w:r>
      <w:r w:rsidR="00F06126">
        <w:t xml:space="preserve"> an en</w:t>
      </w:r>
      <w:r w:rsidR="00D1093C">
        <w:t xml:space="preserve">tity to choose the loss transfer in respect of an arrangement to merge superannuation </w:t>
      </w:r>
      <w:r w:rsidR="00FF6A4A">
        <w:t xml:space="preserve">funds </w:t>
      </w:r>
      <w:r w:rsidR="008A562C">
        <w:t>as applied under the former loss relief</w:t>
      </w:r>
      <w:r w:rsidR="00C71D15">
        <w:t xml:space="preserve">. </w:t>
      </w:r>
    </w:p>
    <w:p w14:paraId="7B6493F9" w14:textId="77777777" w:rsidR="003C0A01" w:rsidRDefault="003C0A01" w:rsidP="00C316D2">
      <w:pPr>
        <w:pStyle w:val="Heading3"/>
      </w:pPr>
      <w:r>
        <w:t>Certain realised losses will not be able to be transferred</w:t>
      </w:r>
    </w:p>
    <w:p w14:paraId="5C8DBDE1" w14:textId="3455D127" w:rsidR="00732334" w:rsidRDefault="003C0A01" w:rsidP="00C71D15">
      <w:r>
        <w:t>T</w:t>
      </w:r>
      <w:r w:rsidR="008A562C">
        <w:t>o ensure integrity around the loss transfer</w:t>
      </w:r>
      <w:r>
        <w:t>,</w:t>
      </w:r>
      <w:r w:rsidR="008A562C">
        <w:t xml:space="preserve"> certain realised losses will not be able to be transferred</w:t>
      </w:r>
      <w:r w:rsidR="00C71D15">
        <w:t xml:space="preserve">. </w:t>
      </w:r>
      <w:r w:rsidR="008A562C" w:rsidRPr="00C316D2">
        <w:t>R</w:t>
      </w:r>
      <w:r w:rsidR="00732334" w:rsidRPr="0097192A">
        <w:t xml:space="preserve">ealised losses from disposals of assets </w:t>
      </w:r>
      <w:r w:rsidR="00CC5B8E" w:rsidRPr="00CC5B8E">
        <w:t xml:space="preserve">to a merger entity including a PST or life insurance company </w:t>
      </w:r>
      <w:r w:rsidR="00732334" w:rsidRPr="0097192A">
        <w:t xml:space="preserve">in the 12 months prior to a merger, where those assets are still held by that </w:t>
      </w:r>
      <w:r w:rsidR="00732334" w:rsidRPr="00AE3BCA">
        <w:t>entity</w:t>
      </w:r>
      <w:r w:rsidR="00732334" w:rsidRPr="0097192A">
        <w:t xml:space="preserve"> will not be able to be transferred as realised losses to that entity</w:t>
      </w:r>
      <w:r w:rsidR="00C71D15">
        <w:t xml:space="preserve">. </w:t>
      </w:r>
      <w:r w:rsidR="00732334">
        <w:t xml:space="preserve">This ensures that the proposed loss relief will not apply to losses attributable to transfers of assets within the 12 months prior to a merger where those assets were directly </w:t>
      </w:r>
      <w:r w:rsidR="009853C8">
        <w:t xml:space="preserve">transferred </w:t>
      </w:r>
      <w:r w:rsidR="00732334">
        <w:t xml:space="preserve">to </w:t>
      </w:r>
      <w:r w:rsidR="00CC5B8E">
        <w:t>the other</w:t>
      </w:r>
      <w:r w:rsidR="00732334">
        <w:t xml:space="preserve"> merger</w:t>
      </w:r>
      <w:r w:rsidR="00A24DA4">
        <w:t xml:space="preserve"> entity</w:t>
      </w:r>
      <w:r w:rsidR="00732334">
        <w:t>.</w:t>
      </w:r>
    </w:p>
    <w:p w14:paraId="44BA3555" w14:textId="3559B7A3" w:rsidR="00732334" w:rsidRDefault="00732334" w:rsidP="00732334">
      <w:r>
        <w:t>This would not stop merging entities from engaging in normal trading activities</w:t>
      </w:r>
      <w:r w:rsidR="00C71D15">
        <w:t xml:space="preserve">. </w:t>
      </w:r>
      <w:r>
        <w:t xml:space="preserve">It would only apply where assets that a transferring entity sells or transfers to the </w:t>
      </w:r>
      <w:r w:rsidR="00A24DA4">
        <w:t xml:space="preserve">other relevant merger </w:t>
      </w:r>
      <w:r>
        <w:t>entity</w:t>
      </w:r>
      <w:r w:rsidR="00C71D15">
        <w:t xml:space="preserve">. </w:t>
      </w:r>
      <w:r>
        <w:t xml:space="preserve">For example, it would not apply if the transferring entity sold shares in a particular company through the ASX and realised losses on the sale and </w:t>
      </w:r>
      <w:r w:rsidR="00A24DA4">
        <w:t xml:space="preserve">the other </w:t>
      </w:r>
      <w:r>
        <w:t xml:space="preserve">relevant </w:t>
      </w:r>
      <w:r w:rsidR="00A24DA4">
        <w:t>merger</w:t>
      </w:r>
      <w:r>
        <w:t xml:space="preserve"> entity purchased </w:t>
      </w:r>
      <w:r w:rsidR="00CC5B8E">
        <w:t xml:space="preserve">those </w:t>
      </w:r>
      <w:r>
        <w:t xml:space="preserve">shares </w:t>
      </w:r>
      <w:r w:rsidR="00CC5B8E">
        <w:t>through the ASX</w:t>
      </w:r>
      <w:r>
        <w:t>.</w:t>
      </w:r>
    </w:p>
    <w:p w14:paraId="369CDA7E" w14:textId="5E4628B9" w:rsidR="00732334" w:rsidRDefault="00732334" w:rsidP="00732334">
      <w:r>
        <w:t xml:space="preserve">For consistency, </w:t>
      </w:r>
      <w:r w:rsidR="00CC5B8E" w:rsidRPr="00CC5B8E">
        <w:t xml:space="preserve">during the merger time </w:t>
      </w:r>
      <w:r>
        <w:t>the t</w:t>
      </w:r>
      <w:r w:rsidR="00CC5B8E">
        <w:t>ransferring</w:t>
      </w:r>
      <w:r>
        <w:t xml:space="preserve"> entity will not be able to realise a loss and not choose roll</w:t>
      </w:r>
      <w:r w:rsidR="00C71D15">
        <w:noBreakHyphen/>
      </w:r>
      <w:r>
        <w:t>over and then transfer the realised loss and the asset on which the loss was made to a</w:t>
      </w:r>
      <w:r w:rsidR="00A24DA4">
        <w:t xml:space="preserve">nother relevant merger </w:t>
      </w:r>
      <w:r>
        <w:t>entity.</w:t>
      </w:r>
    </w:p>
    <w:p w14:paraId="3A76DABB" w14:textId="77777777" w:rsidR="001914D7" w:rsidRPr="006F428C" w:rsidRDefault="002529AB" w:rsidP="00C316D2">
      <w:pPr>
        <w:pStyle w:val="Heading3"/>
      </w:pPr>
      <w:r>
        <w:t>Use</w:t>
      </w:r>
      <w:r w:rsidR="00301066" w:rsidRPr="003B67DB">
        <w:t xml:space="preserve"> of </w:t>
      </w:r>
      <w:r w:rsidR="00301066">
        <w:t>t</w:t>
      </w:r>
      <w:r w:rsidR="001914D7" w:rsidRPr="006F428C">
        <w:t xml:space="preserve">ransferred </w:t>
      </w:r>
      <w:r w:rsidR="00301066">
        <w:t xml:space="preserve">losses </w:t>
      </w:r>
    </w:p>
    <w:p w14:paraId="7CB2124B" w14:textId="732FDA42" w:rsidR="001914D7" w:rsidRDefault="002529AB" w:rsidP="001914D7">
      <w:r>
        <w:t>R</w:t>
      </w:r>
      <w:r w:rsidR="001914D7">
        <w:t xml:space="preserve">evenue and capital losses transferred to </w:t>
      </w:r>
      <w:r w:rsidR="003C0A01">
        <w:t xml:space="preserve">a </w:t>
      </w:r>
      <w:r w:rsidR="00A24DA4">
        <w:t xml:space="preserve">receiving </w:t>
      </w:r>
      <w:r w:rsidR="001914D7">
        <w:t xml:space="preserve">entity as part of a merger will be treated as having been </w:t>
      </w:r>
      <w:r w:rsidR="00C17AF3">
        <w:t xml:space="preserve">made </w:t>
      </w:r>
      <w:r w:rsidR="001914D7">
        <w:t xml:space="preserve">by the </w:t>
      </w:r>
      <w:r w:rsidR="00A24DA4">
        <w:t xml:space="preserve">receiving </w:t>
      </w:r>
      <w:r w:rsidR="001914D7">
        <w:t xml:space="preserve">entity in the income year that they </w:t>
      </w:r>
      <w:r w:rsidR="00B24344">
        <w:t xml:space="preserve">were </w:t>
      </w:r>
      <w:r w:rsidR="001914D7">
        <w:t>transferred</w:t>
      </w:r>
      <w:r w:rsidR="00C71D15">
        <w:t xml:space="preserve">. </w:t>
      </w:r>
      <w:r w:rsidR="001914D7">
        <w:t xml:space="preserve">These losses will </w:t>
      </w:r>
      <w:r w:rsidR="002B074A">
        <w:t xml:space="preserve">be </w:t>
      </w:r>
      <w:r w:rsidR="001914D7">
        <w:t xml:space="preserve">able to be used by the </w:t>
      </w:r>
      <w:r w:rsidR="00A24DA4">
        <w:t xml:space="preserve">receiving </w:t>
      </w:r>
      <w:r w:rsidR="001914D7">
        <w:t xml:space="preserve">entity to offset </w:t>
      </w:r>
      <w:r w:rsidR="00301066">
        <w:t xml:space="preserve">income or </w:t>
      </w:r>
      <w:r w:rsidR="001914D7">
        <w:t xml:space="preserve">gains </w:t>
      </w:r>
      <w:r w:rsidR="00301066">
        <w:t xml:space="preserve">(depending on whether a revenue loss or capital loss had been transferred) </w:t>
      </w:r>
      <w:r w:rsidR="001914D7">
        <w:t>in the income year of transfer and future income years</w:t>
      </w:r>
      <w:r w:rsidR="00C71D15">
        <w:t xml:space="preserve">. </w:t>
      </w:r>
      <w:r w:rsidR="001914D7">
        <w:t xml:space="preserve">This will mean that the </w:t>
      </w:r>
      <w:r w:rsidR="00A24DA4">
        <w:t xml:space="preserve">receiving </w:t>
      </w:r>
      <w:r w:rsidR="001914D7">
        <w:t xml:space="preserve">entity will be unable to use the transferred losses to offset gains in earlier income years. </w:t>
      </w:r>
    </w:p>
    <w:p w14:paraId="5674C9B2" w14:textId="26F67023" w:rsidR="00F55EB1" w:rsidRDefault="00F55EB1" w:rsidP="001914D7">
      <w:pPr>
        <w:pStyle w:val="Heading3"/>
      </w:pPr>
      <w:r>
        <w:t xml:space="preserve">Conditions for the </w:t>
      </w:r>
      <w:r w:rsidR="00597663">
        <w:t xml:space="preserve">asset </w:t>
      </w:r>
      <w:r>
        <w:t>roll</w:t>
      </w:r>
      <w:r w:rsidR="00C71D15">
        <w:noBreakHyphen/>
      </w:r>
      <w:r>
        <w:t xml:space="preserve">over </w:t>
      </w:r>
    </w:p>
    <w:p w14:paraId="596A94A5" w14:textId="7FD4895B" w:rsidR="0059073C" w:rsidRDefault="00597663" w:rsidP="00A668C8">
      <w:r>
        <w:t>In general, t</w:t>
      </w:r>
      <w:r w:rsidR="002529AB">
        <w:t>he conditions that applied for a</w:t>
      </w:r>
      <w:r>
        <w:t>n entity to choose the asset roll</w:t>
      </w:r>
      <w:r w:rsidR="00C71D15">
        <w:noBreakHyphen/>
      </w:r>
      <w:r>
        <w:t>over under the previous loss relief will apply to the proposed relief for asset roll</w:t>
      </w:r>
      <w:r w:rsidR="00C71D15">
        <w:noBreakHyphen/>
      </w:r>
      <w:r>
        <w:t>over</w:t>
      </w:r>
      <w:r w:rsidR="00C71D15">
        <w:t xml:space="preserve">. </w:t>
      </w:r>
    </w:p>
    <w:p w14:paraId="68D555C1" w14:textId="77777777" w:rsidR="0059073C" w:rsidRDefault="0059073C" w:rsidP="00A668C8">
      <w:r>
        <w:t>As noted earlier, capital gains realised on asset transfers will be able to be rolled over for all eligible superannuation fund mergers.</w:t>
      </w:r>
    </w:p>
    <w:p w14:paraId="5B47C8D2" w14:textId="77777777" w:rsidR="002529AB" w:rsidRDefault="00597663" w:rsidP="00A668C8">
      <w:r>
        <w:t xml:space="preserve">Mergers that have a completion time of 1 July 2017 will be accommodated </w:t>
      </w:r>
      <w:r w:rsidR="003C0A01">
        <w:t>in relation</w:t>
      </w:r>
      <w:r>
        <w:t xml:space="preserve"> to the condition that requires mergers to take place within a single income year.</w:t>
      </w:r>
    </w:p>
    <w:p w14:paraId="6BEFF5DB" w14:textId="632AE804" w:rsidR="006346D4" w:rsidRDefault="00B45C45" w:rsidP="006346D4">
      <w:pPr>
        <w:pStyle w:val="Heading3"/>
      </w:pPr>
      <w:r>
        <w:lastRenderedPageBreak/>
        <w:t>Choosing the form of the asset</w:t>
      </w:r>
      <w:r w:rsidR="00C71D15">
        <w:noBreakHyphen/>
      </w:r>
      <w:r>
        <w:t>roll</w:t>
      </w:r>
      <w:r w:rsidR="00C71D15">
        <w:noBreakHyphen/>
      </w:r>
      <w:r>
        <w:t>over</w:t>
      </w:r>
    </w:p>
    <w:p w14:paraId="6FB7BD07" w14:textId="42029374" w:rsidR="006E5713" w:rsidRDefault="006346D4" w:rsidP="006346D4">
      <w:r>
        <w:t xml:space="preserve">Under the previous loss relief, entities </w:t>
      </w:r>
      <w:r w:rsidR="006E5713">
        <w:t>eligible for the asset roll</w:t>
      </w:r>
      <w:r w:rsidR="00C71D15">
        <w:noBreakHyphen/>
      </w:r>
      <w:r w:rsidR="006E5713">
        <w:t xml:space="preserve">over may, depending on </w:t>
      </w:r>
      <w:r w:rsidR="00321CE6">
        <w:t xml:space="preserve">their </w:t>
      </w:r>
      <w:r w:rsidR="006E5713">
        <w:t xml:space="preserve">circumstances, </w:t>
      </w:r>
      <w:r w:rsidR="00FE0B6D">
        <w:t xml:space="preserve">have been </w:t>
      </w:r>
      <w:r w:rsidR="006E5713">
        <w:t>able to choose between two methods for executing the roll</w:t>
      </w:r>
      <w:r w:rsidR="00C71D15">
        <w:noBreakHyphen/>
      </w:r>
      <w:r w:rsidR="006E5713">
        <w:t>over</w:t>
      </w:r>
      <w:r w:rsidR="00C71D15">
        <w:t xml:space="preserve">. </w:t>
      </w:r>
      <w:r w:rsidR="00A668C8">
        <w:t xml:space="preserve">The two methods available </w:t>
      </w:r>
      <w:r w:rsidR="00321CE6">
        <w:t>were</w:t>
      </w:r>
      <w:r w:rsidR="00A668C8">
        <w:t>:</w:t>
      </w:r>
    </w:p>
    <w:p w14:paraId="76DBBA17" w14:textId="77777777" w:rsidR="00A668C8" w:rsidRDefault="00A668C8" w:rsidP="00A668C8">
      <w:pPr>
        <w:pStyle w:val="Bullet"/>
      </w:pPr>
      <w:r>
        <w:t>the global asset approach</w:t>
      </w:r>
      <w:r w:rsidR="00321CE6">
        <w:t xml:space="preserve">; </w:t>
      </w:r>
      <w:r w:rsidR="00321CE6" w:rsidRPr="00321CE6">
        <w:t>and</w:t>
      </w:r>
      <w:r w:rsidR="00321CE6">
        <w:t xml:space="preserve"> </w:t>
      </w:r>
    </w:p>
    <w:p w14:paraId="667EEAA1" w14:textId="1251691D" w:rsidR="00A668C8" w:rsidRDefault="00A668C8" w:rsidP="00A668C8">
      <w:pPr>
        <w:pStyle w:val="Bullet"/>
      </w:pPr>
      <w:proofErr w:type="gramStart"/>
      <w:r>
        <w:t>the</w:t>
      </w:r>
      <w:proofErr w:type="gramEnd"/>
      <w:r>
        <w:t xml:space="preserve"> individual asset approach</w:t>
      </w:r>
      <w:r w:rsidR="00C71D15">
        <w:t xml:space="preserve">. </w:t>
      </w:r>
    </w:p>
    <w:p w14:paraId="2DFC2072" w14:textId="4C76E640" w:rsidR="00321CE6" w:rsidRDefault="00321CE6" w:rsidP="006346D4">
      <w:r w:rsidRPr="00321CE6">
        <w:t xml:space="preserve">If an entity </w:t>
      </w:r>
      <w:r w:rsidR="00251576">
        <w:t>was</w:t>
      </w:r>
      <w:r w:rsidRPr="00321CE6">
        <w:t xml:space="preserve"> in a net </w:t>
      </w:r>
      <w:r w:rsidR="009D475A">
        <w:t xml:space="preserve">capital </w:t>
      </w:r>
      <w:r w:rsidRPr="00321CE6">
        <w:t xml:space="preserve">loss position in relation to the transferred assets for the current year, it may </w:t>
      </w:r>
      <w:r w:rsidR="00FE0B6D">
        <w:t xml:space="preserve">have </w:t>
      </w:r>
      <w:r w:rsidRPr="00321CE6">
        <w:t>cho</w:t>
      </w:r>
      <w:r w:rsidR="00FE0B6D">
        <w:t>sen</w:t>
      </w:r>
      <w:r w:rsidRPr="00321CE6">
        <w:t xml:space="preserve"> either the global asset approach or the individual asset approach</w:t>
      </w:r>
      <w:r w:rsidR="00C71D15">
        <w:t xml:space="preserve">. </w:t>
      </w:r>
      <w:r w:rsidRPr="00321CE6">
        <w:t xml:space="preserve">If the entity </w:t>
      </w:r>
      <w:r w:rsidR="00FE0B6D">
        <w:t>was</w:t>
      </w:r>
      <w:r w:rsidRPr="00321CE6">
        <w:t xml:space="preserve"> not in a </w:t>
      </w:r>
      <w:r w:rsidR="009D475A">
        <w:t xml:space="preserve">net capital </w:t>
      </w:r>
      <w:r w:rsidRPr="00321CE6">
        <w:t xml:space="preserve">loss position in relation to transferred assets it </w:t>
      </w:r>
      <w:r w:rsidR="00FE0B6D">
        <w:t>could</w:t>
      </w:r>
      <w:r w:rsidRPr="00321CE6">
        <w:t xml:space="preserve"> only </w:t>
      </w:r>
      <w:r w:rsidR="00FE0B6D">
        <w:t xml:space="preserve">have </w:t>
      </w:r>
      <w:r w:rsidRPr="00321CE6">
        <w:t>cho</w:t>
      </w:r>
      <w:r w:rsidR="00FE0B6D">
        <w:t>sen</w:t>
      </w:r>
      <w:r w:rsidRPr="00321CE6">
        <w:t xml:space="preserve"> the individual asset approach.</w:t>
      </w:r>
    </w:p>
    <w:p w14:paraId="3C7575DA" w14:textId="05D0CB76" w:rsidR="00321CE6" w:rsidRDefault="006376C8" w:rsidP="006346D4">
      <w:r>
        <w:t>Under</w:t>
      </w:r>
      <w:r w:rsidR="00321CE6" w:rsidRPr="00321CE6">
        <w:t xml:space="preserve"> the global asset approach all assets had to be rolled over from </w:t>
      </w:r>
      <w:r>
        <w:t>a</w:t>
      </w:r>
      <w:r w:rsidR="00321CE6" w:rsidRPr="00321CE6">
        <w:t xml:space="preserve"> transferring entity to the </w:t>
      </w:r>
      <w:r w:rsidR="00321CE6">
        <w:t>receiving</w:t>
      </w:r>
      <w:r w:rsidR="00321CE6" w:rsidRPr="00321CE6">
        <w:t xml:space="preserve"> entity</w:t>
      </w:r>
      <w:r w:rsidR="00C71D15">
        <w:t xml:space="preserve">. </w:t>
      </w:r>
      <w:r>
        <w:t>Under</w:t>
      </w:r>
      <w:r w:rsidR="00321CE6" w:rsidRPr="00321CE6">
        <w:t xml:space="preserve"> the individual asset approach </w:t>
      </w:r>
      <w:r>
        <w:t>a</w:t>
      </w:r>
      <w:r w:rsidR="00321CE6" w:rsidRPr="00321CE6">
        <w:t xml:space="preserve"> </w:t>
      </w:r>
      <w:r w:rsidR="00321CE6">
        <w:t>transferring</w:t>
      </w:r>
      <w:r w:rsidR="00321CE6" w:rsidRPr="00321CE6">
        <w:t xml:space="preserve"> entity </w:t>
      </w:r>
      <w:r>
        <w:t xml:space="preserve">may </w:t>
      </w:r>
      <w:r w:rsidR="00FE0B6D">
        <w:t xml:space="preserve">have </w:t>
      </w:r>
      <w:r>
        <w:t>disregard</w:t>
      </w:r>
      <w:r w:rsidR="00FE0B6D">
        <w:t>ed</w:t>
      </w:r>
      <w:r>
        <w:t xml:space="preserve"> all the capital losses it realise</w:t>
      </w:r>
      <w:r w:rsidR="00FE0B6D">
        <w:t>d</w:t>
      </w:r>
      <w:r>
        <w:t xml:space="preserve">, or it may </w:t>
      </w:r>
      <w:r w:rsidR="00FE0B6D">
        <w:t xml:space="preserve">have </w:t>
      </w:r>
      <w:r>
        <w:t>cho</w:t>
      </w:r>
      <w:r w:rsidR="00FE0B6D">
        <w:t>sen</w:t>
      </w:r>
      <w:r>
        <w:t xml:space="preserve"> to disregard some or none of its capital losses; any capital gains </w:t>
      </w:r>
      <w:r w:rsidR="00FE0B6D">
        <w:t xml:space="preserve">that had been </w:t>
      </w:r>
      <w:r>
        <w:t>realised on transferred assets were not able to be disregarded</w:t>
      </w:r>
      <w:r w:rsidR="00C71D15">
        <w:t xml:space="preserve">. </w:t>
      </w:r>
    </w:p>
    <w:p w14:paraId="01370E21" w14:textId="20C93DCF" w:rsidR="006346D4" w:rsidRDefault="006376C8" w:rsidP="006346D4">
      <w:r>
        <w:t>Similar rules applied in the previous loss relief for the transfer of revenue assets</w:t>
      </w:r>
      <w:r w:rsidR="00C71D15">
        <w:t xml:space="preserve">. </w:t>
      </w:r>
    </w:p>
    <w:p w14:paraId="3825CAFA" w14:textId="04FC3AB1" w:rsidR="004B4AA9" w:rsidRDefault="000C1AA8" w:rsidP="006346D4">
      <w:r w:rsidRPr="00EE05E3">
        <w:t xml:space="preserve">Under </w:t>
      </w:r>
      <w:r w:rsidR="00321CE6" w:rsidRPr="00EE05E3">
        <w:t xml:space="preserve">the </w:t>
      </w:r>
      <w:r w:rsidR="00E2358D" w:rsidRPr="00EE05E3">
        <w:t>proposed asset roll</w:t>
      </w:r>
      <w:r w:rsidR="00C71D15">
        <w:noBreakHyphen/>
      </w:r>
      <w:r w:rsidR="00E2358D" w:rsidRPr="00EE05E3">
        <w:t>over</w:t>
      </w:r>
      <w:r w:rsidR="00A668C8" w:rsidRPr="00EE05E3">
        <w:t>,</w:t>
      </w:r>
      <w:r w:rsidRPr="00EE05E3">
        <w:t xml:space="preserve"> assets with a capital gain </w:t>
      </w:r>
      <w:r w:rsidR="006376C8" w:rsidRPr="00EE05E3">
        <w:t xml:space="preserve">will </w:t>
      </w:r>
      <w:r w:rsidRPr="00EE05E3">
        <w:t>be</w:t>
      </w:r>
      <w:r w:rsidR="006376C8" w:rsidRPr="00EE05E3">
        <w:t xml:space="preserve"> able to be</w:t>
      </w:r>
      <w:r w:rsidRPr="00EE05E3">
        <w:t xml:space="preserve"> rolled over </w:t>
      </w:r>
      <w:r w:rsidR="006376C8" w:rsidRPr="00EE05E3">
        <w:t xml:space="preserve">regardless of a </w:t>
      </w:r>
      <w:r w:rsidRPr="00EE05E3">
        <w:t xml:space="preserve">transferring entity’s net </w:t>
      </w:r>
      <w:r w:rsidR="00321CE6" w:rsidRPr="00EE05E3">
        <w:t xml:space="preserve">capital loss </w:t>
      </w:r>
      <w:r w:rsidRPr="00EE05E3">
        <w:t>position</w:t>
      </w:r>
      <w:r w:rsidR="00C71D15">
        <w:t xml:space="preserve">. </w:t>
      </w:r>
      <w:r w:rsidRPr="00EE05E3">
        <w:t>The</w:t>
      </w:r>
      <w:r w:rsidR="00A668C8" w:rsidRPr="00EE05E3">
        <w:t xml:space="preserve">refore, </w:t>
      </w:r>
      <w:r w:rsidR="007B3B2F" w:rsidRPr="00EE05E3">
        <w:t xml:space="preserve">for CGT assets it may no longer be necessary to provide a global asset and individual asset approach but </w:t>
      </w:r>
      <w:r w:rsidR="00FE0B6D" w:rsidRPr="00EE05E3">
        <w:t xml:space="preserve">provide instead </w:t>
      </w:r>
      <w:r w:rsidR="007B3B2F" w:rsidRPr="00EE05E3">
        <w:t xml:space="preserve">a typical optional </w:t>
      </w:r>
      <w:r w:rsidR="00FE0B6D" w:rsidRPr="00EE05E3">
        <w:t>C</w:t>
      </w:r>
      <w:r w:rsidR="007B3B2F" w:rsidRPr="00EE05E3">
        <w:t>GT asset roll</w:t>
      </w:r>
      <w:r w:rsidR="00C71D15">
        <w:noBreakHyphen/>
      </w:r>
      <w:r w:rsidR="007B3B2F" w:rsidRPr="00EE05E3">
        <w:t>over for capital gains and capital losses</w:t>
      </w:r>
      <w:r w:rsidR="00C71D15">
        <w:t xml:space="preserve">. </w:t>
      </w:r>
      <w:r w:rsidR="00251576" w:rsidRPr="00EE05E3">
        <w:t>However, the global asset approach and the individual asset approach will still be required for revenue assets.</w:t>
      </w:r>
    </w:p>
    <w:p w14:paraId="1CE89B23" w14:textId="77777777" w:rsidR="001E09F7" w:rsidRDefault="00E566D5" w:rsidP="001E09F7">
      <w:pPr>
        <w:pStyle w:val="Heading2"/>
      </w:pPr>
      <w:bookmarkStart w:id="19" w:name="_Toc323205314"/>
      <w:r>
        <w:t>T</w:t>
      </w:r>
      <w:r w:rsidR="001E09F7">
        <w:t xml:space="preserve">axation </w:t>
      </w:r>
      <w:r>
        <w:t>R</w:t>
      </w:r>
      <w:r w:rsidR="001E09F7">
        <w:t xml:space="preserve">elief to </w:t>
      </w:r>
      <w:r>
        <w:t>F</w:t>
      </w:r>
      <w:r w:rsidR="001E09F7">
        <w:t xml:space="preserve">acilitate the </w:t>
      </w:r>
      <w:r>
        <w:t>Mandatory Requirements</w:t>
      </w:r>
      <w:r w:rsidR="00220E50">
        <w:t xml:space="preserve"> to Transfer </w:t>
      </w:r>
      <w:r w:rsidR="00E5289D">
        <w:t>M</w:t>
      </w:r>
      <w:r w:rsidR="00220E50">
        <w:t xml:space="preserve">embers and Assets to a Fund That Offers a </w:t>
      </w:r>
      <w:proofErr w:type="spellStart"/>
      <w:r w:rsidR="00220E50">
        <w:t>MySuper</w:t>
      </w:r>
      <w:proofErr w:type="spellEnd"/>
      <w:r w:rsidR="00220E50">
        <w:t xml:space="preserve"> product</w:t>
      </w:r>
      <w:bookmarkEnd w:id="19"/>
    </w:p>
    <w:p w14:paraId="22944324" w14:textId="63895E12" w:rsidR="001F583F" w:rsidRDefault="001E09F7" w:rsidP="001E09F7">
      <w:r>
        <w:t xml:space="preserve">The introduction of </w:t>
      </w:r>
      <w:proofErr w:type="spellStart"/>
      <w:r>
        <w:t>MySuper</w:t>
      </w:r>
      <w:proofErr w:type="spellEnd"/>
      <w:r>
        <w:t xml:space="preserve"> from 1 July 2013 will require </w:t>
      </w:r>
      <w:r w:rsidR="00FE0B6D" w:rsidRPr="00FE0B6D">
        <w:t>by 1 July 2017</w:t>
      </w:r>
      <w:r w:rsidR="00FE0B6D">
        <w:t xml:space="preserve"> </w:t>
      </w:r>
      <w:r w:rsidR="00D0202C">
        <w:t xml:space="preserve">superannuation funds </w:t>
      </w:r>
      <w:r>
        <w:t xml:space="preserve">not wishing to offer </w:t>
      </w:r>
      <w:proofErr w:type="spellStart"/>
      <w:r>
        <w:t>MySuper</w:t>
      </w:r>
      <w:proofErr w:type="spellEnd"/>
      <w:r>
        <w:t xml:space="preserve"> products to transfer member</w:t>
      </w:r>
      <w:r w:rsidR="00D0202C">
        <w:t>s</w:t>
      </w:r>
      <w:r w:rsidR="003C0A01">
        <w:t>,</w:t>
      </w:r>
      <w:r w:rsidR="00FE0B6D">
        <w:t xml:space="preserve"> their </w:t>
      </w:r>
      <w:r w:rsidR="009D475A">
        <w:t>benefit</w:t>
      </w:r>
      <w:r w:rsidR="00FE0B6D">
        <w:t>s</w:t>
      </w:r>
      <w:r w:rsidR="003C0A01">
        <w:t xml:space="preserve"> and </w:t>
      </w:r>
      <w:r w:rsidR="00D0202C">
        <w:t xml:space="preserve">relevant assets </w:t>
      </w:r>
      <w:r>
        <w:t>to a</w:t>
      </w:r>
      <w:r w:rsidR="00FE0B6D">
        <w:t xml:space="preserve">nother superannuation fund offering a </w:t>
      </w:r>
      <w:proofErr w:type="spellStart"/>
      <w:r>
        <w:t>MySuper</w:t>
      </w:r>
      <w:proofErr w:type="spellEnd"/>
      <w:r>
        <w:t xml:space="preserve"> product.</w:t>
      </w:r>
      <w:r w:rsidR="003C0A01">
        <w:t xml:space="preserve"> </w:t>
      </w:r>
      <w:r w:rsidR="00006057">
        <w:t xml:space="preserve">It is expected that the assets transferred will reflect an appropriate </w:t>
      </w:r>
      <w:r w:rsidR="008F2275">
        <w:t>proportion of the total assets held for all members of the transferring fund</w:t>
      </w:r>
      <w:r w:rsidR="00C71D15">
        <w:t xml:space="preserve">. </w:t>
      </w:r>
      <w:proofErr w:type="gramStart"/>
      <w:r w:rsidR="001F583F">
        <w:t xml:space="preserve">If such </w:t>
      </w:r>
      <w:r w:rsidR="00B1790E">
        <w:t xml:space="preserve">compulsory </w:t>
      </w:r>
      <w:r w:rsidR="001F583F">
        <w:t>transfers create a CGT liability (via the necessary transfers of assets), the</w:t>
      </w:r>
      <w:r w:rsidR="004F4EE8">
        <w:t>se</w:t>
      </w:r>
      <w:r w:rsidR="001F583F">
        <w:t xml:space="preserve"> members could be worse off</w:t>
      </w:r>
      <w:r w:rsidR="00C71D15">
        <w:t>.</w:t>
      </w:r>
      <w:proofErr w:type="gramEnd"/>
      <w:r w:rsidR="00C71D15">
        <w:t xml:space="preserve"> </w:t>
      </w:r>
      <w:r w:rsidR="003C0A01" w:rsidRPr="003C0A01">
        <w:t xml:space="preserve">As part of the transfer of existing default members </w:t>
      </w:r>
      <w:r w:rsidR="003C0A01">
        <w:t>and their be</w:t>
      </w:r>
      <w:r w:rsidR="009D475A">
        <w:t>nefit</w:t>
      </w:r>
      <w:r w:rsidR="003C0A01">
        <w:t xml:space="preserve">s </w:t>
      </w:r>
      <w:r w:rsidR="003C0A01" w:rsidRPr="003C0A01">
        <w:t xml:space="preserve">it may also be necessary to transfer a share of unused capital and revenue losses to the </w:t>
      </w:r>
      <w:r w:rsidR="004F4EE8">
        <w:t xml:space="preserve">receiving </w:t>
      </w:r>
      <w:r w:rsidR="003C0A01" w:rsidRPr="003C0A01">
        <w:t>fund.</w:t>
      </w:r>
    </w:p>
    <w:p w14:paraId="2CE0831D" w14:textId="305D32BE" w:rsidR="001F583F" w:rsidRDefault="00D46ECA" w:rsidP="001E09F7">
      <w:r>
        <w:t>Optional roll</w:t>
      </w:r>
      <w:r w:rsidR="00C71D15">
        <w:noBreakHyphen/>
      </w:r>
      <w:r>
        <w:t xml:space="preserve">over for capital gains and capital losses will be provided </w:t>
      </w:r>
      <w:r w:rsidR="007B59A2">
        <w:t xml:space="preserve">for </w:t>
      </w:r>
      <w:r>
        <w:t xml:space="preserve">transfers </w:t>
      </w:r>
      <w:r w:rsidR="00A60DCB">
        <w:t xml:space="preserve">of assets which </w:t>
      </w:r>
      <w:r w:rsidR="004F4EE8">
        <w:t xml:space="preserve">must be made from a fund that chooses not to offer a </w:t>
      </w:r>
      <w:proofErr w:type="spellStart"/>
      <w:r w:rsidR="004F4EE8">
        <w:t>MySuper</w:t>
      </w:r>
      <w:proofErr w:type="spellEnd"/>
      <w:r w:rsidR="004F4EE8">
        <w:t xml:space="preserve"> product to another fund that does offer a </w:t>
      </w:r>
      <w:proofErr w:type="spellStart"/>
      <w:r w:rsidR="004F4EE8">
        <w:t>MySuper</w:t>
      </w:r>
      <w:proofErr w:type="spellEnd"/>
      <w:r w:rsidR="004F4EE8">
        <w:t xml:space="preserve"> product</w:t>
      </w:r>
      <w:r w:rsidR="00C71D15">
        <w:t xml:space="preserve">. </w:t>
      </w:r>
      <w:r w:rsidR="001F583F">
        <w:t xml:space="preserve">Optional loss </w:t>
      </w:r>
      <w:r w:rsidR="00F34B1F">
        <w:t>relief</w:t>
      </w:r>
      <w:r w:rsidR="001F583F">
        <w:t xml:space="preserve"> wou</w:t>
      </w:r>
      <w:r w:rsidR="00B1790E">
        <w:t xml:space="preserve">ld also be available </w:t>
      </w:r>
      <w:r w:rsidR="005C155C">
        <w:t>to permit the transfer of losses that reflected the tax value of losses incorporated in members’ account balances</w:t>
      </w:r>
      <w:r w:rsidR="00B1790E">
        <w:t>.</w:t>
      </w:r>
    </w:p>
    <w:p w14:paraId="3C12AA81" w14:textId="30FCF5C0" w:rsidR="005C1AF7" w:rsidRPr="005C1AF7" w:rsidRDefault="005C1AF7" w:rsidP="005C1AF7">
      <w:r w:rsidRPr="005C1AF7">
        <w:t>The fund that has to transfer its default members may hold assets directly or it may hold assets indirectly through holding life insurance policies or units in a PST</w:t>
      </w:r>
      <w:r w:rsidR="00C71D15">
        <w:t xml:space="preserve">. </w:t>
      </w:r>
      <w:r w:rsidRPr="005C1AF7">
        <w:t xml:space="preserve">As such, when it transfers its default members to the other fund it may have to request the </w:t>
      </w:r>
      <w:r w:rsidR="007B59A2">
        <w:t xml:space="preserve">life </w:t>
      </w:r>
      <w:r w:rsidRPr="005C1AF7">
        <w:t>insurance company or PST to transfer assets to the value of the policy or attributable to the units in the PST to the other fund, another PST or life insurance company</w:t>
      </w:r>
      <w:r w:rsidR="00C71D15">
        <w:t xml:space="preserve">. </w:t>
      </w:r>
      <w:r w:rsidR="00826B58">
        <w:t>The transfer of these assets will require a standard CGT roll</w:t>
      </w:r>
      <w:r w:rsidR="00C71D15">
        <w:noBreakHyphen/>
      </w:r>
      <w:r w:rsidR="00826B58">
        <w:t xml:space="preserve">over so that any capital gains or capital losses are </w:t>
      </w:r>
      <w:r w:rsidR="007B59A2">
        <w:t>‘</w:t>
      </w:r>
      <w:r w:rsidR="00826B58">
        <w:t>rolled over</w:t>
      </w:r>
      <w:r w:rsidR="007B59A2">
        <w:t>’</w:t>
      </w:r>
      <w:r w:rsidR="00826B58">
        <w:t xml:space="preserve"> to the receiving entity</w:t>
      </w:r>
      <w:r w:rsidR="00C71D15">
        <w:t xml:space="preserve">. </w:t>
      </w:r>
    </w:p>
    <w:p w14:paraId="3323EED5" w14:textId="70C589E2" w:rsidR="00DD16E4" w:rsidRDefault="00DD16E4" w:rsidP="00DD16E4">
      <w:r>
        <w:lastRenderedPageBreak/>
        <w:t>The taxation relief to facilitate the</w:t>
      </w:r>
      <w:r w:rsidR="004F4EE8">
        <w:t>se</w:t>
      </w:r>
      <w:r>
        <w:t xml:space="preserve"> mandatory requirements </w:t>
      </w:r>
      <w:r w:rsidR="00826B58">
        <w:t>will apply</w:t>
      </w:r>
      <w:r>
        <w:t xml:space="preserve"> from 1 July 2013 to </w:t>
      </w:r>
      <w:r w:rsidR="007B59A2">
        <w:t>1 </w:t>
      </w:r>
      <w:r w:rsidR="005F3AF2">
        <w:t>July </w:t>
      </w:r>
      <w:r>
        <w:t>2017</w:t>
      </w:r>
      <w:r w:rsidR="00C71D15">
        <w:t xml:space="preserve">. </w:t>
      </w:r>
      <w:r>
        <w:t xml:space="preserve">This application period </w:t>
      </w:r>
      <w:r w:rsidR="007B59A2">
        <w:t xml:space="preserve">broadly </w:t>
      </w:r>
      <w:r>
        <w:t xml:space="preserve">coincides with the introduction of </w:t>
      </w:r>
      <w:proofErr w:type="spellStart"/>
      <w:r>
        <w:t>MySuper</w:t>
      </w:r>
      <w:proofErr w:type="spellEnd"/>
      <w:r>
        <w:t xml:space="preserve"> and the deadline for the transfer of a fund’s existing default members’ interests to a </w:t>
      </w:r>
      <w:proofErr w:type="spellStart"/>
      <w:r>
        <w:t>MySuper</w:t>
      </w:r>
      <w:proofErr w:type="spellEnd"/>
      <w:r>
        <w:t xml:space="preserve"> product.</w:t>
      </w:r>
    </w:p>
    <w:p w14:paraId="048E1E4D" w14:textId="0808416B" w:rsidR="00DD16E4" w:rsidRDefault="00DD16E4" w:rsidP="00F905AE">
      <w:pPr>
        <w:spacing w:after="0"/>
      </w:pPr>
      <w:r>
        <w:t>This roll</w:t>
      </w:r>
      <w:r w:rsidR="00C71D15">
        <w:noBreakHyphen/>
      </w:r>
      <w:r>
        <w:t xml:space="preserve">over and loss relief will apply </w:t>
      </w:r>
      <w:r w:rsidR="007B59A2">
        <w:t xml:space="preserve">only </w:t>
      </w:r>
      <w:r>
        <w:t xml:space="preserve">where there is no merger of the relevant superannuation </w:t>
      </w:r>
      <w:r w:rsidR="00251576">
        <w:t xml:space="preserve">funds </w:t>
      </w:r>
      <w:r>
        <w:t xml:space="preserve">as the </w:t>
      </w:r>
      <w:r w:rsidR="00251576">
        <w:t>merger roll</w:t>
      </w:r>
      <w:r w:rsidR="00C71D15">
        <w:noBreakHyphen/>
      </w:r>
      <w:r w:rsidR="00251576">
        <w:t>over</w:t>
      </w:r>
      <w:r>
        <w:t xml:space="preserve"> described above </w:t>
      </w:r>
      <w:r w:rsidR="007B59A2">
        <w:t xml:space="preserve">would </w:t>
      </w:r>
      <w:r w:rsidR="00251576">
        <w:t xml:space="preserve">apply to </w:t>
      </w:r>
      <w:r w:rsidR="007B59A2">
        <w:t>a merger</w:t>
      </w:r>
      <w:r>
        <w:t xml:space="preserve">. </w:t>
      </w:r>
    </w:p>
    <w:p w14:paraId="5B2D16EF" w14:textId="2051A155" w:rsidR="0035075F" w:rsidRDefault="00F34B1F" w:rsidP="0035075F">
      <w:pPr>
        <w:pStyle w:val="Heading3"/>
      </w:pPr>
      <w:r>
        <w:t>Op</w:t>
      </w:r>
      <w:r w:rsidR="0035075F">
        <w:t>tional roll</w:t>
      </w:r>
      <w:r w:rsidR="00C71D15">
        <w:noBreakHyphen/>
      </w:r>
      <w:r w:rsidR="0035075F">
        <w:t>over</w:t>
      </w:r>
      <w:r>
        <w:t xml:space="preserve"> under </w:t>
      </w:r>
      <w:proofErr w:type="spellStart"/>
      <w:r>
        <w:t>MySuper</w:t>
      </w:r>
      <w:proofErr w:type="spellEnd"/>
    </w:p>
    <w:p w14:paraId="6BD5BA0B" w14:textId="7CEC8DBA" w:rsidR="00F34B1F" w:rsidRPr="00F34B1F" w:rsidRDefault="00F34B1F" w:rsidP="00C71D15">
      <w:pPr>
        <w:pStyle w:val="Heading3NotNumbered"/>
      </w:pPr>
      <w:r w:rsidRPr="00F34B1F">
        <w:t>Conditions for the roll</w:t>
      </w:r>
      <w:r w:rsidR="00C71D15">
        <w:noBreakHyphen/>
      </w:r>
      <w:r w:rsidRPr="00F34B1F">
        <w:t>over</w:t>
      </w:r>
    </w:p>
    <w:p w14:paraId="014F356E" w14:textId="2FCC0244" w:rsidR="0035075F" w:rsidRDefault="0035075F" w:rsidP="0035075F">
      <w:r>
        <w:t>The standard conditions that usually</w:t>
      </w:r>
      <w:r w:rsidR="00D2296B">
        <w:t xml:space="preserve"> apply to roll</w:t>
      </w:r>
      <w:r w:rsidR="00C71D15">
        <w:noBreakHyphen/>
      </w:r>
      <w:r w:rsidR="00D2296B">
        <w:t>overs in D</w:t>
      </w:r>
      <w:r>
        <w:t>ivision 126</w:t>
      </w:r>
      <w:r w:rsidR="00826B58">
        <w:t>, which covers same asset roll</w:t>
      </w:r>
      <w:r w:rsidR="00C71D15">
        <w:noBreakHyphen/>
      </w:r>
      <w:r w:rsidR="00826B58">
        <w:t>overs</w:t>
      </w:r>
      <w:r w:rsidR="007B59A2">
        <w:t>,</w:t>
      </w:r>
      <w:r w:rsidR="00D2296B">
        <w:t xml:space="preserve"> will apply to the optional roll</w:t>
      </w:r>
      <w:r w:rsidR="00C71D15">
        <w:noBreakHyphen/>
      </w:r>
      <w:r w:rsidR="00D2296B">
        <w:t xml:space="preserve">over for capital gains and capital losses for those assets transferred under the </w:t>
      </w:r>
      <w:proofErr w:type="spellStart"/>
      <w:r w:rsidR="00D2296B">
        <w:t>MySuper</w:t>
      </w:r>
      <w:proofErr w:type="spellEnd"/>
      <w:r w:rsidR="00D2296B">
        <w:t xml:space="preserve"> requirements</w:t>
      </w:r>
      <w:r w:rsidR="00C71D15">
        <w:t xml:space="preserve">. </w:t>
      </w:r>
      <w:r w:rsidR="00D2296B">
        <w:t xml:space="preserve">The conditions for the </w:t>
      </w:r>
      <w:proofErr w:type="spellStart"/>
      <w:r w:rsidR="00D2296B">
        <w:t>MySuper</w:t>
      </w:r>
      <w:proofErr w:type="spellEnd"/>
      <w:r w:rsidR="00D2296B">
        <w:t xml:space="preserve"> roll</w:t>
      </w:r>
      <w:r w:rsidR="00C71D15">
        <w:noBreakHyphen/>
      </w:r>
      <w:r w:rsidR="00D2296B">
        <w:t xml:space="preserve">over </w:t>
      </w:r>
      <w:r w:rsidR="00826B58">
        <w:t xml:space="preserve">will </w:t>
      </w:r>
      <w:r w:rsidR="00D2296B">
        <w:t>include:</w:t>
      </w:r>
    </w:p>
    <w:p w14:paraId="56C172FC" w14:textId="77777777" w:rsidR="002E155F" w:rsidRDefault="002E155F" w:rsidP="002E155F">
      <w:pPr>
        <w:pStyle w:val="Bullet"/>
      </w:pPr>
      <w:r>
        <w:t xml:space="preserve">the </w:t>
      </w:r>
      <w:r w:rsidR="00DD16E4">
        <w:t xml:space="preserve">transferring and receiving </w:t>
      </w:r>
      <w:r>
        <w:t xml:space="preserve">entity must be a complying superannuation </w:t>
      </w:r>
      <w:r w:rsidR="005C1AF7">
        <w:t>fund, life insurance company with complying superannuation/FHSA business or PST</w:t>
      </w:r>
      <w:r>
        <w:t>;</w:t>
      </w:r>
    </w:p>
    <w:p w14:paraId="566505F6" w14:textId="77777777" w:rsidR="00F34B1F" w:rsidRDefault="00F34B1F" w:rsidP="002E155F">
      <w:pPr>
        <w:pStyle w:val="Bullet"/>
      </w:pPr>
      <w:r>
        <w:t xml:space="preserve">the </w:t>
      </w:r>
      <w:r w:rsidR="0015433F">
        <w:t xml:space="preserve">complying superannuation fund transferring </w:t>
      </w:r>
      <w:r w:rsidR="004F4EE8">
        <w:t>assets</w:t>
      </w:r>
      <w:r w:rsidR="0015433F">
        <w:t xml:space="preserve"> must not be </w:t>
      </w:r>
      <w:r>
        <w:t xml:space="preserve">merging with the </w:t>
      </w:r>
      <w:r w:rsidR="0015433F">
        <w:t>fund receiving the default members; and</w:t>
      </w:r>
    </w:p>
    <w:p w14:paraId="7CA2A08E" w14:textId="77777777" w:rsidR="00F34B1F" w:rsidRDefault="00F34B1F" w:rsidP="00F34B1F">
      <w:pPr>
        <w:pStyle w:val="Bullet"/>
      </w:pPr>
      <w:proofErr w:type="gramStart"/>
      <w:r w:rsidRPr="00F34B1F">
        <w:t>the</w:t>
      </w:r>
      <w:proofErr w:type="gramEnd"/>
      <w:r w:rsidRPr="00F34B1F">
        <w:t xml:space="preserve"> transfer of assets must occur </w:t>
      </w:r>
      <w:r w:rsidR="0015433F">
        <w:t xml:space="preserve">on or after </w:t>
      </w:r>
      <w:r>
        <w:t xml:space="preserve">1 July 2013 and </w:t>
      </w:r>
      <w:r w:rsidR="0015433F">
        <w:t xml:space="preserve">before 2 </w:t>
      </w:r>
      <w:r>
        <w:t>July 2017.</w:t>
      </w:r>
    </w:p>
    <w:p w14:paraId="05F660E6" w14:textId="7E06184C" w:rsidR="00F34B1F" w:rsidRDefault="00F34B1F" w:rsidP="00C71D15">
      <w:pPr>
        <w:pStyle w:val="Heading3NotNumbered"/>
      </w:pPr>
      <w:r w:rsidRPr="00F34B1F">
        <w:t>Consequences of choosing the roll</w:t>
      </w:r>
      <w:r w:rsidR="00C71D15">
        <w:noBreakHyphen/>
      </w:r>
      <w:r w:rsidRPr="00F34B1F">
        <w:t>over</w:t>
      </w:r>
    </w:p>
    <w:p w14:paraId="57F00E07" w14:textId="6C54AB11" w:rsidR="005B7AE8" w:rsidRDefault="005B7AE8" w:rsidP="005B7AE8">
      <w:r>
        <w:t>The consequences for the transferring entity in choosing the optional roll</w:t>
      </w:r>
      <w:r w:rsidR="00C71D15">
        <w:noBreakHyphen/>
      </w:r>
      <w:r>
        <w:t>over will result in capital gains or losses on the transferred assets being disregarded</w:t>
      </w:r>
      <w:r w:rsidR="00C71D15">
        <w:t xml:space="preserve">. </w:t>
      </w:r>
    </w:p>
    <w:p w14:paraId="2F56FE68" w14:textId="77777777" w:rsidR="005B7AE8" w:rsidRDefault="005B7AE8" w:rsidP="005B7AE8">
      <w:r>
        <w:t xml:space="preserve">The consequences for the receiving entity </w:t>
      </w:r>
      <w:r w:rsidR="007B59A2">
        <w:t>will be</w:t>
      </w:r>
      <w:r>
        <w:t>:</w:t>
      </w:r>
    </w:p>
    <w:p w14:paraId="376AA9C8" w14:textId="77777777" w:rsidR="005B7AE8" w:rsidRDefault="005B7AE8" w:rsidP="005B7AE8">
      <w:pPr>
        <w:pStyle w:val="Bullet"/>
      </w:pPr>
      <w:proofErr w:type="gramStart"/>
      <w:r>
        <w:t>if</w:t>
      </w:r>
      <w:proofErr w:type="gramEnd"/>
      <w:r>
        <w:t xml:space="preserve"> the transferred asset was acquired by the transferring entity on or after 20 September 1985, the first element of the asset’s cost base </w:t>
      </w:r>
      <w:r w:rsidR="004C6090">
        <w:t xml:space="preserve">will be </w:t>
      </w:r>
      <w:r>
        <w:t>equal to the transferring entity’s cost base at the time of transfer.</w:t>
      </w:r>
    </w:p>
    <w:p w14:paraId="12003ADF" w14:textId="77777777" w:rsidR="005B7AE8" w:rsidRDefault="006F332B" w:rsidP="005B7AE8">
      <w:pPr>
        <w:pStyle w:val="Bullet"/>
      </w:pPr>
      <w:proofErr w:type="gramStart"/>
      <w:r>
        <w:t>if</w:t>
      </w:r>
      <w:proofErr w:type="gramEnd"/>
      <w:r>
        <w:t xml:space="preserve"> the transferred asset was acquired by the transferring entity before 20 September 1985, the receiving entity </w:t>
      </w:r>
      <w:r w:rsidR="004C6090">
        <w:t xml:space="preserve">will be </w:t>
      </w:r>
      <w:r>
        <w:t>taken to have acquired the asset before that day.</w:t>
      </w:r>
    </w:p>
    <w:p w14:paraId="2DDF2EFE" w14:textId="6462187C" w:rsidR="006F332B" w:rsidRDefault="006F332B" w:rsidP="005B7AE8">
      <w:pPr>
        <w:pStyle w:val="Bullet"/>
      </w:pPr>
      <w:proofErr w:type="gramStart"/>
      <w:r>
        <w:t>for</w:t>
      </w:r>
      <w:proofErr w:type="gramEnd"/>
      <w:r>
        <w:t xml:space="preserve"> the purposes of the discount capital gain under section 115</w:t>
      </w:r>
      <w:r w:rsidR="00C71D15">
        <w:noBreakHyphen/>
      </w:r>
      <w:r>
        <w:t xml:space="preserve">25, the receiving entity </w:t>
      </w:r>
      <w:r w:rsidR="004C6090">
        <w:t xml:space="preserve">will be </w:t>
      </w:r>
      <w:r>
        <w:t xml:space="preserve">taken to have acquired the asset on the same day as </w:t>
      </w:r>
      <w:r w:rsidR="009646E1">
        <w:t xml:space="preserve">it was acquired by </w:t>
      </w:r>
      <w:r>
        <w:t>the transferring entity.</w:t>
      </w:r>
    </w:p>
    <w:p w14:paraId="661A7FAB" w14:textId="77777777" w:rsidR="0035075F" w:rsidRDefault="00F34B1F" w:rsidP="00F34B1F">
      <w:pPr>
        <w:pStyle w:val="Heading3"/>
      </w:pPr>
      <w:r>
        <w:t xml:space="preserve">Conditions for the optional loss transfer under </w:t>
      </w:r>
      <w:proofErr w:type="spellStart"/>
      <w:r>
        <w:t>MySuper</w:t>
      </w:r>
      <w:proofErr w:type="spellEnd"/>
      <w:r>
        <w:t xml:space="preserve"> </w:t>
      </w:r>
    </w:p>
    <w:p w14:paraId="21A0A235" w14:textId="77777777" w:rsidR="006F332B" w:rsidRPr="006F332B" w:rsidRDefault="006F332B" w:rsidP="006F332B">
      <w:r>
        <w:t>The conditions for the optional loss transfer</w:t>
      </w:r>
      <w:r w:rsidR="00DD16E4">
        <w:t xml:space="preserve"> </w:t>
      </w:r>
      <w:r w:rsidR="004C6090">
        <w:t xml:space="preserve">will </w:t>
      </w:r>
      <w:r w:rsidR="00DD16E4">
        <w:t>include:</w:t>
      </w:r>
    </w:p>
    <w:p w14:paraId="2A7B91FD" w14:textId="77777777" w:rsidR="006F332B" w:rsidRDefault="006F332B" w:rsidP="006F332B">
      <w:pPr>
        <w:pStyle w:val="Bullet"/>
      </w:pPr>
      <w:r>
        <w:t xml:space="preserve">the </w:t>
      </w:r>
      <w:r w:rsidR="00DD16E4">
        <w:t xml:space="preserve">transferring and receiving </w:t>
      </w:r>
      <w:r>
        <w:t xml:space="preserve">entity </w:t>
      </w:r>
      <w:r w:rsidR="004C6090">
        <w:t xml:space="preserve">will have to </w:t>
      </w:r>
      <w:r>
        <w:t xml:space="preserve">be a complying superannuation </w:t>
      </w:r>
      <w:r w:rsidR="000305F5" w:rsidRPr="000305F5">
        <w:t>fund, life insurance company with complying superannuation/FHSA business or PST</w:t>
      </w:r>
      <w:r>
        <w:t>;</w:t>
      </w:r>
      <w:r w:rsidR="00006057">
        <w:t xml:space="preserve"> and</w:t>
      </w:r>
    </w:p>
    <w:p w14:paraId="619C5C5E" w14:textId="77777777" w:rsidR="006F332B" w:rsidRDefault="006F332B" w:rsidP="006F332B">
      <w:pPr>
        <w:pStyle w:val="Bullet"/>
      </w:pPr>
      <w:proofErr w:type="gramStart"/>
      <w:r>
        <w:t>the</w:t>
      </w:r>
      <w:proofErr w:type="gramEnd"/>
      <w:r>
        <w:t xml:space="preserve"> transferring entity </w:t>
      </w:r>
      <w:r w:rsidR="004C6090">
        <w:t xml:space="preserve">will </w:t>
      </w:r>
      <w:r>
        <w:t>not be merging with the receiving entity.</w:t>
      </w:r>
    </w:p>
    <w:p w14:paraId="46906A99" w14:textId="2A543977" w:rsidR="00886222" w:rsidRDefault="00DD16E4" w:rsidP="001E09F7">
      <w:r>
        <w:t xml:space="preserve">The losses transferred to the receiving entity will be treated as having been </w:t>
      </w:r>
      <w:r w:rsidR="00777AF4">
        <w:t xml:space="preserve">made </w:t>
      </w:r>
      <w:r>
        <w:t xml:space="preserve">in the income </w:t>
      </w:r>
      <w:r w:rsidR="000305F5">
        <w:t xml:space="preserve">year </w:t>
      </w:r>
      <w:r>
        <w:t xml:space="preserve">that they </w:t>
      </w:r>
      <w:r w:rsidR="00B24344">
        <w:t xml:space="preserve">were </w:t>
      </w:r>
      <w:r>
        <w:t>transferred</w:t>
      </w:r>
      <w:r w:rsidR="00C71D15">
        <w:t xml:space="preserve">. </w:t>
      </w:r>
    </w:p>
    <w:p w14:paraId="2D56515D" w14:textId="77777777" w:rsidR="00840C05" w:rsidRDefault="00840C05" w:rsidP="00C316D2">
      <w:r w:rsidRPr="00840C05">
        <w:lastRenderedPageBreak/>
        <w:t xml:space="preserve">Realised losses from disposals of assets to a </w:t>
      </w:r>
      <w:r>
        <w:t>receiving</w:t>
      </w:r>
      <w:r w:rsidRPr="00840C05">
        <w:t xml:space="preserve"> entity in </w:t>
      </w:r>
      <w:r>
        <w:t>the 12 months prior to a merger</w:t>
      </w:r>
      <w:r w:rsidRPr="00840C05">
        <w:t xml:space="preserve"> where those assets are still held by that entity will not be able to be transferred as realised losses to that entity.</w:t>
      </w:r>
    </w:p>
    <w:p w14:paraId="637C3832" w14:textId="494DCEBA" w:rsidR="00556F93" w:rsidRDefault="00886222" w:rsidP="00C316D2">
      <w:r>
        <w:t>T</w:t>
      </w:r>
      <w:r w:rsidRPr="00886222">
        <w:t xml:space="preserve">he transferring entity will not be able to realise a </w:t>
      </w:r>
      <w:r w:rsidR="00840C05">
        <w:t xml:space="preserve">capital </w:t>
      </w:r>
      <w:r w:rsidRPr="00886222">
        <w:t>loss and not choose roll</w:t>
      </w:r>
      <w:r w:rsidR="00C71D15">
        <w:noBreakHyphen/>
      </w:r>
      <w:r w:rsidRPr="00886222">
        <w:t xml:space="preserve">over and then transfer the realised loss and the asset on which the loss was made to </w:t>
      </w:r>
      <w:r>
        <w:t>a receiving</w:t>
      </w:r>
      <w:r w:rsidRPr="00886222">
        <w:t xml:space="preserve"> entity.</w:t>
      </w:r>
    </w:p>
    <w:p w14:paraId="2F84C715" w14:textId="77777777" w:rsidR="008633BC" w:rsidRDefault="00F61EFB" w:rsidP="00AE3BCA">
      <w:pPr>
        <w:pStyle w:val="Heading1"/>
        <w:spacing w:after="240"/>
      </w:pPr>
      <w:bookmarkStart w:id="20" w:name="_Toc323205315"/>
      <w:r>
        <w:t xml:space="preserve">Summary of Tax Outcomes </w:t>
      </w:r>
      <w:r w:rsidR="00573915">
        <w:t>under proposed relief</w:t>
      </w:r>
      <w:bookmarkEnd w:id="20"/>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50"/>
      </w:tblGrid>
      <w:tr w:rsidR="00F61EFB" w14:paraId="609B842A" w14:textId="77777777" w:rsidTr="00556F93">
        <w:trPr>
          <w:tblHeader/>
        </w:trPr>
        <w:tc>
          <w:tcPr>
            <w:tcW w:w="3936" w:type="dxa"/>
            <w:shd w:val="clear" w:color="auto" w:fill="FFFFFF" w:themeFill="background1"/>
          </w:tcPr>
          <w:p w14:paraId="1D69E0FC" w14:textId="77777777" w:rsidR="00F61EFB" w:rsidRPr="00AE3BCA" w:rsidRDefault="00777AF4" w:rsidP="00C71D15">
            <w:pPr>
              <w:pStyle w:val="BoxHeading"/>
            </w:pPr>
            <w:r>
              <w:t>Assets transferred or losses already realised</w:t>
            </w:r>
          </w:p>
        </w:tc>
        <w:tc>
          <w:tcPr>
            <w:tcW w:w="5350" w:type="dxa"/>
            <w:shd w:val="clear" w:color="auto" w:fill="FFFFFF" w:themeFill="background1"/>
          </w:tcPr>
          <w:p w14:paraId="01E8F213" w14:textId="77777777" w:rsidR="00F61EFB" w:rsidRPr="00AE3BCA" w:rsidRDefault="00F61EFB" w:rsidP="00C71D15">
            <w:pPr>
              <w:pStyle w:val="BoxHeading"/>
            </w:pPr>
            <w:r w:rsidRPr="00AE3BCA">
              <w:t>Tax outcome</w:t>
            </w:r>
          </w:p>
        </w:tc>
      </w:tr>
      <w:tr w:rsidR="00155906" w14:paraId="228CC34C" w14:textId="77777777" w:rsidTr="00F61EFB">
        <w:tc>
          <w:tcPr>
            <w:tcW w:w="3936" w:type="dxa"/>
            <w:shd w:val="clear" w:color="auto" w:fill="FFFFFF" w:themeFill="background1"/>
          </w:tcPr>
          <w:p w14:paraId="492A211E" w14:textId="77777777" w:rsidR="00155906" w:rsidRDefault="00155906" w:rsidP="00C71D15">
            <w:pPr>
              <w:pStyle w:val="BoxText"/>
              <w:rPr>
                <w:b/>
                <w:u w:val="single"/>
              </w:rPr>
            </w:pPr>
            <w:r w:rsidRPr="00155906">
              <w:t xml:space="preserve">Revenue </w:t>
            </w:r>
            <w:r>
              <w:t>assets transferred at the time of merger</w:t>
            </w:r>
          </w:p>
        </w:tc>
        <w:tc>
          <w:tcPr>
            <w:tcW w:w="5350" w:type="dxa"/>
            <w:shd w:val="clear" w:color="auto" w:fill="FFFFFF" w:themeFill="background1"/>
          </w:tcPr>
          <w:p w14:paraId="2DF1711A" w14:textId="563C9984" w:rsidR="00155906" w:rsidRPr="00AE3BCA" w:rsidRDefault="00155906" w:rsidP="00C71D15">
            <w:pPr>
              <w:pStyle w:val="BoxText"/>
              <w:rPr>
                <w:b/>
                <w:u w:val="single"/>
              </w:rPr>
            </w:pPr>
            <w:r>
              <w:t xml:space="preserve">Deferral of tax outcome </w:t>
            </w:r>
            <w:r w:rsidR="00C17AF3" w:rsidRPr="00C17AF3">
              <w:t xml:space="preserve">by </w:t>
            </w:r>
            <w:r w:rsidR="00777AF4">
              <w:t>a</w:t>
            </w:r>
            <w:r w:rsidR="00C17AF3" w:rsidRPr="00C17AF3">
              <w:t xml:space="preserve"> receiving entity </w:t>
            </w:r>
            <w:r>
              <w:t xml:space="preserve">until a later dealing of the asset </w:t>
            </w:r>
            <w:r w:rsidR="000305F5">
              <w:t xml:space="preserve">for all assets </w:t>
            </w:r>
            <w:r w:rsidR="00C17AF3">
              <w:t>under the</w:t>
            </w:r>
            <w:r w:rsidR="000305F5">
              <w:t xml:space="preserve"> global asset approach or deferral </w:t>
            </w:r>
            <w:r w:rsidR="000305F5" w:rsidRPr="000305F5">
              <w:t xml:space="preserve">only </w:t>
            </w:r>
            <w:r w:rsidR="000305F5">
              <w:t>for loss</w:t>
            </w:r>
            <w:r w:rsidR="00C71D15">
              <w:noBreakHyphen/>
            </w:r>
            <w:r w:rsidR="000305F5">
              <w:t>making assets</w:t>
            </w:r>
            <w:r w:rsidR="00C17AF3">
              <w:t xml:space="preserve"> under the individual asset approach</w:t>
            </w:r>
            <w:r>
              <w:t xml:space="preserve">. </w:t>
            </w:r>
          </w:p>
        </w:tc>
      </w:tr>
      <w:tr w:rsidR="00F61EFB" w14:paraId="48AE679F" w14:textId="77777777" w:rsidTr="00AE3BCA">
        <w:tc>
          <w:tcPr>
            <w:tcW w:w="3936" w:type="dxa"/>
            <w:shd w:val="clear" w:color="auto" w:fill="FFFFFF" w:themeFill="background1"/>
          </w:tcPr>
          <w:p w14:paraId="42EBA8B2" w14:textId="312FFC9B" w:rsidR="00F61EFB" w:rsidRDefault="00155906" w:rsidP="00C71D15">
            <w:pPr>
              <w:pStyle w:val="BoxText"/>
            </w:pPr>
            <w:r>
              <w:t>L</w:t>
            </w:r>
            <w:r w:rsidR="00F61EFB">
              <w:t xml:space="preserve">osses </w:t>
            </w:r>
            <w:r w:rsidR="00A4132A">
              <w:t>on revenue assets</w:t>
            </w:r>
            <w:r>
              <w:t xml:space="preserve"> realised </w:t>
            </w:r>
            <w:r w:rsidR="00C17AF3">
              <w:t xml:space="preserve">prior to </w:t>
            </w:r>
            <w:r>
              <w:t>a merger or transfer</w:t>
            </w:r>
            <w:r w:rsidR="00A4132A">
              <w:t xml:space="preserve"> </w:t>
            </w:r>
            <w:r w:rsidR="00C17AF3">
              <w:t>including prior year losses</w:t>
            </w:r>
            <w:r w:rsidR="00F61EFB">
              <w:t xml:space="preserve"> </w:t>
            </w:r>
          </w:p>
        </w:tc>
        <w:tc>
          <w:tcPr>
            <w:tcW w:w="5350" w:type="dxa"/>
            <w:shd w:val="clear" w:color="auto" w:fill="FFFFFF" w:themeFill="background1"/>
          </w:tcPr>
          <w:p w14:paraId="0DC138D8" w14:textId="053FF5C9" w:rsidR="00F61EFB" w:rsidRDefault="0051206D" w:rsidP="00C71D15">
            <w:pPr>
              <w:pStyle w:val="BoxText"/>
            </w:pPr>
            <w:r>
              <w:t xml:space="preserve">Revenue </w:t>
            </w:r>
            <w:r w:rsidR="00F61EFB">
              <w:t xml:space="preserve">losses </w:t>
            </w:r>
            <w:r w:rsidR="00D53E8C">
              <w:t xml:space="preserve">will be able to be </w:t>
            </w:r>
            <w:r w:rsidR="00F61EFB">
              <w:t xml:space="preserve">transferred to </w:t>
            </w:r>
            <w:r w:rsidR="006E0B40">
              <w:t xml:space="preserve">a </w:t>
            </w:r>
            <w:r w:rsidR="00C17AF3">
              <w:t>receiving</w:t>
            </w:r>
            <w:r w:rsidR="00F61EFB">
              <w:t xml:space="preserve"> </w:t>
            </w:r>
            <w:r w:rsidR="008A2707">
              <w:t>entity</w:t>
            </w:r>
            <w:r w:rsidR="00C71D15">
              <w:t xml:space="preserve">. </w:t>
            </w:r>
            <w:r w:rsidR="00966553">
              <w:t>Transferred l</w:t>
            </w:r>
            <w:r w:rsidR="00F61EFB">
              <w:t xml:space="preserve">osses </w:t>
            </w:r>
            <w:r w:rsidR="00C17AF3">
              <w:t>will be treated as having been made</w:t>
            </w:r>
            <w:r w:rsidR="00F61EFB">
              <w:t xml:space="preserve"> by </w:t>
            </w:r>
            <w:r>
              <w:t xml:space="preserve">a </w:t>
            </w:r>
            <w:r w:rsidR="00966553">
              <w:t xml:space="preserve">receiving </w:t>
            </w:r>
            <w:r w:rsidR="008A2707">
              <w:t>entity</w:t>
            </w:r>
            <w:r w:rsidR="00F61EFB">
              <w:t xml:space="preserve"> on </w:t>
            </w:r>
            <w:r w:rsidR="00966553">
              <w:t xml:space="preserve">the </w:t>
            </w:r>
            <w:r w:rsidR="00F61EFB">
              <w:t xml:space="preserve">date of </w:t>
            </w:r>
            <w:r w:rsidR="00777AF4">
              <w:t>transfer</w:t>
            </w:r>
            <w:r w:rsidR="00C71D15">
              <w:t xml:space="preserve">. </w:t>
            </w:r>
            <w:r w:rsidR="00F61EFB">
              <w:t xml:space="preserve">The loss </w:t>
            </w:r>
            <w:r w:rsidR="00777AF4">
              <w:t xml:space="preserve">will </w:t>
            </w:r>
            <w:r w:rsidR="00F61EFB">
              <w:t xml:space="preserve">not </w:t>
            </w:r>
            <w:r w:rsidR="00777AF4">
              <w:t xml:space="preserve">be </w:t>
            </w:r>
            <w:r w:rsidR="00F61EFB">
              <w:t xml:space="preserve">transferable </w:t>
            </w:r>
            <w:r>
              <w:t xml:space="preserve">in the case of mergers </w:t>
            </w:r>
            <w:r w:rsidR="00F61EFB">
              <w:t xml:space="preserve">where the asset </w:t>
            </w:r>
            <w:r w:rsidR="00777AF4">
              <w:t xml:space="preserve">was </w:t>
            </w:r>
            <w:r w:rsidR="00F61EFB">
              <w:t xml:space="preserve">transferred to </w:t>
            </w:r>
            <w:r>
              <w:t xml:space="preserve">a </w:t>
            </w:r>
            <w:r w:rsidR="00777AF4">
              <w:t>receiving</w:t>
            </w:r>
            <w:r w:rsidR="00F61EFB">
              <w:t xml:space="preserve"> entity in the </w:t>
            </w:r>
            <w:r>
              <w:t>12 </w:t>
            </w:r>
            <w:r w:rsidR="00F61EFB">
              <w:t xml:space="preserve">months prior to </w:t>
            </w:r>
            <w:r w:rsidR="00777AF4">
              <w:t xml:space="preserve">the </w:t>
            </w:r>
            <w:r w:rsidR="00F61EFB">
              <w:t>merger</w:t>
            </w:r>
            <w:r w:rsidR="00777AF4">
              <w:t xml:space="preserve"> or transfer</w:t>
            </w:r>
            <w:r w:rsidR="00C71D15">
              <w:t xml:space="preserve">. </w:t>
            </w:r>
            <w:r w:rsidR="00777AF4">
              <w:t xml:space="preserve">Transferring entities will not be able to choose to realise a loss on an asset that </w:t>
            </w:r>
            <w:r w:rsidR="004C6090">
              <w:t>i</w:t>
            </w:r>
            <w:r w:rsidR="00777AF4">
              <w:t xml:space="preserve">s transferred to </w:t>
            </w:r>
            <w:r>
              <w:t>a</w:t>
            </w:r>
            <w:r w:rsidR="00777AF4">
              <w:t xml:space="preserve"> receiving entity and then transfer that loss to the receiving entity</w:t>
            </w:r>
            <w:r w:rsidR="004C6090">
              <w:t>;</w:t>
            </w:r>
            <w:r>
              <w:t xml:space="preserve"> such losses </w:t>
            </w:r>
            <w:r w:rsidR="004C6090">
              <w:t xml:space="preserve">will </w:t>
            </w:r>
            <w:r>
              <w:t>have to be ‘rolled over’ to the receiving entity</w:t>
            </w:r>
            <w:r w:rsidR="00777AF4">
              <w:t xml:space="preserve">. </w:t>
            </w:r>
          </w:p>
        </w:tc>
      </w:tr>
      <w:tr w:rsidR="00F61EFB" w14:paraId="470A9BA4" w14:textId="77777777" w:rsidTr="00AE3BCA">
        <w:tc>
          <w:tcPr>
            <w:tcW w:w="3936" w:type="dxa"/>
            <w:shd w:val="clear" w:color="auto" w:fill="FFFFFF" w:themeFill="background1"/>
          </w:tcPr>
          <w:p w14:paraId="4892A70A" w14:textId="55426B62" w:rsidR="00F61EFB" w:rsidRDefault="00F93D4C" w:rsidP="00C71D15">
            <w:pPr>
              <w:pStyle w:val="BoxText"/>
            </w:pPr>
            <w:r>
              <w:t xml:space="preserve">CGT assets </w:t>
            </w:r>
            <w:r w:rsidRPr="00C71D15">
              <w:t>transferred</w:t>
            </w:r>
            <w:r>
              <w:t xml:space="preserve"> as </w:t>
            </w:r>
            <w:r w:rsidR="006E0B40">
              <w:t xml:space="preserve">part of a merger or transfer of default members </w:t>
            </w:r>
          </w:p>
        </w:tc>
        <w:tc>
          <w:tcPr>
            <w:tcW w:w="5350" w:type="dxa"/>
            <w:shd w:val="clear" w:color="auto" w:fill="FFFFFF" w:themeFill="background1"/>
          </w:tcPr>
          <w:p w14:paraId="7626BC16" w14:textId="7EDA95B3" w:rsidR="00F93D4C" w:rsidRDefault="00F61EFB" w:rsidP="00C71D15">
            <w:pPr>
              <w:pStyle w:val="BoxText"/>
            </w:pPr>
            <w:r>
              <w:t xml:space="preserve">Deferral of tax outcome until </w:t>
            </w:r>
            <w:r w:rsidR="006E0B40">
              <w:t xml:space="preserve">a later dealing of the </w:t>
            </w:r>
            <w:r>
              <w:t xml:space="preserve">asset by </w:t>
            </w:r>
            <w:r w:rsidR="0051206D">
              <w:t>a receiving</w:t>
            </w:r>
            <w:r>
              <w:t xml:space="preserve"> entity. </w:t>
            </w:r>
          </w:p>
        </w:tc>
      </w:tr>
      <w:tr w:rsidR="00F61EFB" w14:paraId="16EC705D" w14:textId="77777777" w:rsidTr="00AE3BCA">
        <w:tc>
          <w:tcPr>
            <w:tcW w:w="3936" w:type="dxa"/>
            <w:shd w:val="clear" w:color="auto" w:fill="FFFFFF" w:themeFill="background1"/>
          </w:tcPr>
          <w:p w14:paraId="477ADCF9" w14:textId="36FC269E" w:rsidR="00F61EFB" w:rsidRDefault="00F93D4C" w:rsidP="00C71D15">
            <w:pPr>
              <w:pStyle w:val="BoxText"/>
            </w:pPr>
            <w:r>
              <w:t xml:space="preserve">Losses on CGT assets realised </w:t>
            </w:r>
            <w:r w:rsidR="0051206D" w:rsidRPr="0051206D">
              <w:t>prior to a merger or transfer including prior year losses</w:t>
            </w:r>
          </w:p>
        </w:tc>
        <w:tc>
          <w:tcPr>
            <w:tcW w:w="5350" w:type="dxa"/>
            <w:shd w:val="clear" w:color="auto" w:fill="FFFFFF" w:themeFill="background1"/>
          </w:tcPr>
          <w:p w14:paraId="66A9B0B1" w14:textId="76189185" w:rsidR="00F61EFB" w:rsidRDefault="0051206D" w:rsidP="00C71D15">
            <w:pPr>
              <w:pStyle w:val="BoxText"/>
            </w:pPr>
            <w:r>
              <w:t xml:space="preserve">CGT </w:t>
            </w:r>
            <w:r w:rsidR="00F93D4C">
              <w:t xml:space="preserve">losses will be able to be transferred to a </w:t>
            </w:r>
            <w:r>
              <w:t>receiving</w:t>
            </w:r>
            <w:r w:rsidR="00F93D4C">
              <w:t xml:space="preserve"> entity</w:t>
            </w:r>
            <w:r w:rsidR="00C71D15">
              <w:t xml:space="preserve">. </w:t>
            </w:r>
            <w:r w:rsidR="00F93D4C">
              <w:t xml:space="preserve">Transferred losses </w:t>
            </w:r>
            <w:r w:rsidRPr="0051206D">
              <w:t xml:space="preserve">will be treated as having been made by a </w:t>
            </w:r>
            <w:r w:rsidR="00F93D4C">
              <w:t xml:space="preserve">receiving entity on the date of </w:t>
            </w:r>
            <w:r>
              <w:t>transfer</w:t>
            </w:r>
            <w:r w:rsidR="00C71D15">
              <w:t xml:space="preserve">. </w:t>
            </w:r>
            <w:r w:rsidRPr="0051206D">
              <w:t>The loss will not be transferable in the case of mergers where the asset was transferred to a receiving entity in the 12 months prior to the merger or transfer</w:t>
            </w:r>
            <w:r w:rsidR="00C71D15">
              <w:t xml:space="preserve">. </w:t>
            </w:r>
            <w:r w:rsidRPr="0051206D">
              <w:t>Transferring entities will not be able to choose to realise a loss on an asset that is transferred to a receiving entity and then transfer that loss to the receiving entity</w:t>
            </w:r>
            <w:r w:rsidR="007E3F70">
              <w:t>;</w:t>
            </w:r>
            <w:r w:rsidRPr="0051206D">
              <w:t xml:space="preserve"> such losses </w:t>
            </w:r>
            <w:r w:rsidR="007E3F70">
              <w:t xml:space="preserve">will </w:t>
            </w:r>
            <w:r w:rsidRPr="0051206D">
              <w:t>have to be ‘rolled over’ to the receiving entity.</w:t>
            </w:r>
          </w:p>
        </w:tc>
      </w:tr>
    </w:tbl>
    <w:p w14:paraId="079F4F25" w14:textId="77777777" w:rsidR="00F61EFB" w:rsidRDefault="00F61EFB" w:rsidP="009A5212"/>
    <w:sectPr w:rsidR="00F61EFB" w:rsidSect="00421697">
      <w:footerReference w:type="even" r:id="rId26"/>
      <w:headerReference w:type="first" r:id="rId27"/>
      <w:footerReference w:type="first" r:id="rId2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4C75" w14:textId="77777777" w:rsidR="00E4787D" w:rsidRDefault="00E4787D">
      <w:r>
        <w:separator/>
      </w:r>
    </w:p>
  </w:endnote>
  <w:endnote w:type="continuationSeparator" w:id="0">
    <w:p w14:paraId="3D19A6F0" w14:textId="77777777" w:rsidR="00E4787D" w:rsidRDefault="00E4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42699"/>
      <w:docPartObj>
        <w:docPartGallery w:val="Page Numbers (Bottom of Page)"/>
        <w:docPartUnique/>
      </w:docPartObj>
    </w:sdtPr>
    <w:sdtEndPr>
      <w:rPr>
        <w:noProof/>
      </w:rPr>
    </w:sdtEndPr>
    <w:sdtContent>
      <w:p w14:paraId="494B9968" w14:textId="77777777" w:rsidR="00E4787D" w:rsidRDefault="005D1BD4">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58A9" w14:textId="77777777" w:rsidR="005D1BD4" w:rsidRDefault="005D1B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6BEB" w14:textId="77777777" w:rsidR="005D1BD4" w:rsidRPr="005D1BD4" w:rsidRDefault="005D1BD4" w:rsidP="005D1B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566385"/>
      <w:docPartObj>
        <w:docPartGallery w:val="Page Numbers (Bottom of Page)"/>
        <w:docPartUnique/>
      </w:docPartObj>
    </w:sdtPr>
    <w:sdtEndPr>
      <w:rPr>
        <w:noProof/>
      </w:rPr>
    </w:sdtEndPr>
    <w:sdtContent>
      <w:p w14:paraId="59D191B7" w14:textId="77777777" w:rsidR="005D1BD4" w:rsidRDefault="005D1BD4">
        <w:pPr>
          <w:pStyle w:val="Footer"/>
        </w:pPr>
        <w:r>
          <w:t xml:space="preserve">Page </w:t>
        </w:r>
        <w:r>
          <w:fldChar w:fldCharType="begin"/>
        </w:r>
        <w:r>
          <w:instrText xml:space="preserve"> PAGE   \* MERGEFORMAT </w:instrText>
        </w:r>
        <w:r>
          <w:fldChar w:fldCharType="separate"/>
        </w:r>
        <w:r w:rsidR="00F92DF8">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6735"/>
      <w:docPartObj>
        <w:docPartGallery w:val="Page Numbers (Bottom of Page)"/>
        <w:docPartUnique/>
      </w:docPartObj>
    </w:sdtPr>
    <w:sdtEndPr>
      <w:rPr>
        <w:noProof/>
      </w:rPr>
    </w:sdtEndPr>
    <w:sdtContent>
      <w:p w14:paraId="637F16E0" w14:textId="77777777" w:rsidR="005D1BD4" w:rsidRPr="005D1BD4" w:rsidRDefault="005D1BD4" w:rsidP="005D1BD4">
        <w:pPr>
          <w:pStyle w:val="Footer"/>
          <w:jc w:val="right"/>
        </w:pPr>
        <w:r>
          <w:t xml:space="preserve">Page </w:t>
        </w:r>
        <w:r>
          <w:fldChar w:fldCharType="begin"/>
        </w:r>
        <w:r>
          <w:instrText xml:space="preserve"> PAGE   \* MERGEFORMAT </w:instrText>
        </w:r>
        <w:r>
          <w:fldChar w:fldCharType="separate"/>
        </w:r>
        <w:r w:rsidR="00F92DF8">
          <w:rPr>
            <w:noProof/>
          </w:rPr>
          <w:t>9</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5184"/>
      <w:docPartObj>
        <w:docPartGallery w:val="Page Numbers (Bottom of Page)"/>
        <w:docPartUnique/>
      </w:docPartObj>
    </w:sdtPr>
    <w:sdtEndPr>
      <w:rPr>
        <w:noProof/>
      </w:rPr>
    </w:sdtEndPr>
    <w:sdtContent>
      <w:p w14:paraId="3F60A089" w14:textId="77777777" w:rsidR="005D1BD4" w:rsidRDefault="005D1BD4">
        <w:pPr>
          <w:pStyle w:val="Footer"/>
        </w:pPr>
        <w:r>
          <w:t xml:space="preserve">Page </w:t>
        </w:r>
        <w:r>
          <w:fldChar w:fldCharType="begin"/>
        </w:r>
        <w:r>
          <w:instrText xml:space="preserve"> PAGE   \* MERGEFORMAT </w:instrText>
        </w:r>
        <w:r>
          <w:fldChar w:fldCharType="separate"/>
        </w:r>
        <w:r w:rsidR="00F92DF8">
          <w:rPr>
            <w:noProof/>
          </w:rPr>
          <w:t>8</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598835"/>
      <w:docPartObj>
        <w:docPartGallery w:val="Page Numbers (Bottom of Page)"/>
        <w:docPartUnique/>
      </w:docPartObj>
    </w:sdtPr>
    <w:sdtEndPr>
      <w:rPr>
        <w:noProof/>
      </w:rPr>
    </w:sdtEndPr>
    <w:sdtContent>
      <w:p w14:paraId="54BAF417" w14:textId="77777777" w:rsidR="00E4787D" w:rsidRDefault="005D1BD4" w:rsidP="005D1BD4">
        <w:pPr>
          <w:pStyle w:val="Footer"/>
          <w:jc w:val="right"/>
        </w:pPr>
        <w:r>
          <w:t xml:space="preserve">Page </w:t>
        </w:r>
        <w:r>
          <w:fldChar w:fldCharType="begin"/>
        </w:r>
        <w:r>
          <w:instrText xml:space="preserve"> PAGE   \* MERGEFORMAT </w:instrText>
        </w:r>
        <w:r>
          <w:fldChar w:fldCharType="separate"/>
        </w:r>
        <w:r w:rsidR="00F92D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58821" w14:textId="77777777" w:rsidR="00E4787D" w:rsidRDefault="00E4787D">
      <w:r>
        <w:separator/>
      </w:r>
    </w:p>
  </w:footnote>
  <w:footnote w:type="continuationSeparator" w:id="0">
    <w:p w14:paraId="3D41D63E" w14:textId="77777777" w:rsidR="00E4787D" w:rsidRDefault="00E4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A223F" w14:textId="77777777" w:rsidR="00E4787D" w:rsidRDefault="00E4787D">
    <w:pPr>
      <w:pStyle w:val="Header"/>
      <w:jc w:val="center"/>
    </w:pPr>
  </w:p>
  <w:p w14:paraId="6BB0C53E" w14:textId="77777777" w:rsidR="00E4787D" w:rsidRDefault="00E478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A8363" w14:textId="77777777" w:rsidR="00E4787D" w:rsidRDefault="00E4787D" w:rsidP="00F23AEE">
    <w:pPr>
      <w:pStyle w:val="Cre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5BD1"/>
    <w:multiLevelType w:val="multilevel"/>
    <w:tmpl w:val="013EF670"/>
    <w:styleLink w:val="CABNETList"/>
    <w:lvl w:ilvl="0">
      <w:start w:val="1"/>
      <w:numFmt w:val="decimal"/>
      <w:lvlText w:val="%1."/>
      <w:lvlJc w:val="left"/>
      <w:pPr>
        <w:tabs>
          <w:tab w:val="num" w:pos="851"/>
        </w:tabs>
        <w:ind w:left="284"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1">
    <w:nsid w:val="19C960FD"/>
    <w:multiLevelType w:val="multilevel"/>
    <w:tmpl w:val="DA101CDC"/>
    <w:name w:val="OneLevelNumberedParagraphList"/>
    <w:lvl w:ilvl="0">
      <w:start w:val="1"/>
      <w:numFmt w:val="decimal"/>
      <w:lvlRestart w:val="0"/>
      <w:pStyle w:val="OneLevelNumberedParagraph"/>
      <w:lvlText w:val="%1."/>
      <w:lvlJc w:val="left"/>
      <w:pPr>
        <w:tabs>
          <w:tab w:val="num" w:pos="567"/>
        </w:tabs>
        <w:ind w:left="567" w:hanging="567"/>
      </w:pPr>
      <w:rPr>
        <w:rFonts w:ascii="Arial" w:hAnsi="Arial" w:cs="Arial"/>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2">
    <w:nsid w:val="207974D4"/>
    <w:multiLevelType w:val="hybridMultilevel"/>
    <w:tmpl w:val="794E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4237C5"/>
    <w:multiLevelType w:val="multilevel"/>
    <w:tmpl w:val="EDDCAC0A"/>
    <w:name w:val="StandardNumberedList"/>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134"/>
        </w:tabs>
        <w:ind w:left="1134" w:hanging="567"/>
      </w:pPr>
      <w:rPr>
        <w:rFonts w:hint="default"/>
        <w:b w:val="0"/>
        <w:i w:val="0"/>
      </w:rPr>
    </w:lvl>
    <w:lvl w:ilvl="2">
      <w:start w:val="1"/>
      <w:numFmt w:val="decimal"/>
      <w:pStyle w:val="OutlineNumbered3"/>
      <w:lvlText w:val="%1.%2.%3."/>
      <w:lvlJc w:val="left"/>
      <w:pPr>
        <w:tabs>
          <w:tab w:val="num" w:pos="1701"/>
        </w:tabs>
        <w:ind w:left="1701" w:hanging="567"/>
      </w:pPr>
      <w:rPr>
        <w:rFonts w:hint="default"/>
        <w:b w:val="0"/>
        <w:i w:val="0"/>
      </w:rPr>
    </w:lvl>
    <w:lvl w:ilvl="3">
      <w:start w:val="1"/>
      <w:numFmt w:val="decimal"/>
      <w:lvlText w:val="%1.%2.%3.%4"/>
      <w:lvlJc w:val="left"/>
      <w:pPr>
        <w:tabs>
          <w:tab w:val="num" w:pos="2551"/>
        </w:tabs>
        <w:ind w:left="2551" w:hanging="850"/>
      </w:pPr>
      <w:rPr>
        <w:rFonts w:hint="default"/>
        <w:b w:val="0"/>
        <w:i w:val="0"/>
      </w:rPr>
    </w:lvl>
    <w:lvl w:ilvl="4">
      <w:start w:val="1"/>
      <w:numFmt w:val="lowerLetter"/>
      <w:pStyle w:val="OutlineNumbered5"/>
      <w:lvlText w:val="(%5)"/>
      <w:lvlJc w:val="left"/>
      <w:pPr>
        <w:tabs>
          <w:tab w:val="num" w:pos="2835"/>
        </w:tabs>
        <w:ind w:left="2835" w:hanging="567"/>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27440C8B"/>
    <w:multiLevelType w:val="multilevel"/>
    <w:tmpl w:val="B6C8BF04"/>
    <w:name w:val="StandardBulletedList_"/>
    <w:lvl w:ilvl="0">
      <w:start w:val="1"/>
      <w:numFmt w:val="bullet"/>
      <w:lvlText w:val=""/>
      <w:lvlJc w:val="left"/>
      <w:pPr>
        <w:tabs>
          <w:tab w:val="num" w:pos="-1549"/>
        </w:tabs>
        <w:ind w:left="-1549" w:hanging="566"/>
      </w:pPr>
      <w:rPr>
        <w:rFonts w:ascii="Symbol" w:hAnsi="Symbol" w:hint="default"/>
        <w:b w:val="0"/>
        <w:i w:val="0"/>
      </w:rPr>
    </w:lvl>
    <w:lvl w:ilvl="1">
      <w:start w:val="1"/>
      <w:numFmt w:val="bullet"/>
      <w:lvlText w:val="–"/>
      <w:lvlJc w:val="left"/>
      <w:pPr>
        <w:tabs>
          <w:tab w:val="num" w:pos="-981"/>
        </w:tabs>
        <w:ind w:left="-981" w:hanging="568"/>
      </w:pPr>
      <w:rPr>
        <w:rFonts w:ascii="Times New Roman" w:hAnsi="Times New Roman" w:cs="Times New Roman"/>
        <w:b w:val="0"/>
        <w:i w:val="0"/>
      </w:rPr>
    </w:lvl>
    <w:lvl w:ilvl="2">
      <w:start w:val="1"/>
      <w:numFmt w:val="bullet"/>
      <w:lvlText w:val=":"/>
      <w:lvlJc w:val="left"/>
      <w:pPr>
        <w:tabs>
          <w:tab w:val="num" w:pos="-415"/>
        </w:tabs>
        <w:ind w:left="-415" w:hanging="566"/>
      </w:pPr>
      <w:rPr>
        <w:rFonts w:ascii="Times New Roman" w:hAnsi="Times New Roman" w:cs="Times New Roman"/>
        <w:b w:val="0"/>
        <w:i w:val="0"/>
      </w:rPr>
    </w:lvl>
    <w:lvl w:ilvl="3">
      <w:start w:val="1"/>
      <w:numFmt w:val="decimal"/>
      <w:lvlText w:val="(%4)"/>
      <w:lvlJc w:val="left"/>
      <w:pPr>
        <w:tabs>
          <w:tab w:val="num" w:pos="-675"/>
        </w:tabs>
        <w:ind w:left="-675" w:hanging="360"/>
      </w:pPr>
      <w:rPr>
        <w:b w:val="0"/>
        <w:i w:val="0"/>
      </w:rPr>
    </w:lvl>
    <w:lvl w:ilvl="4">
      <w:start w:val="1"/>
      <w:numFmt w:val="lowerLetter"/>
      <w:lvlText w:val="(%5)"/>
      <w:lvlJc w:val="left"/>
      <w:pPr>
        <w:tabs>
          <w:tab w:val="num" w:pos="-315"/>
        </w:tabs>
        <w:ind w:left="-315" w:hanging="360"/>
      </w:pPr>
      <w:rPr>
        <w:b w:val="0"/>
        <w:i w:val="0"/>
      </w:rPr>
    </w:lvl>
    <w:lvl w:ilvl="5">
      <w:start w:val="1"/>
      <w:numFmt w:val="lowerRoman"/>
      <w:lvlText w:val="(%6)"/>
      <w:lvlJc w:val="left"/>
      <w:pPr>
        <w:tabs>
          <w:tab w:val="num" w:pos="45"/>
        </w:tabs>
        <w:ind w:left="45" w:hanging="360"/>
      </w:pPr>
      <w:rPr>
        <w:b w:val="0"/>
        <w:i w:val="0"/>
      </w:rPr>
    </w:lvl>
    <w:lvl w:ilvl="6">
      <w:start w:val="1"/>
      <w:numFmt w:val="decimal"/>
      <w:lvlText w:val="%7."/>
      <w:lvlJc w:val="left"/>
      <w:pPr>
        <w:tabs>
          <w:tab w:val="num" w:pos="405"/>
        </w:tabs>
        <w:ind w:left="405" w:hanging="360"/>
      </w:pPr>
      <w:rPr>
        <w:b w:val="0"/>
        <w:i w:val="0"/>
      </w:rPr>
    </w:lvl>
    <w:lvl w:ilvl="7">
      <w:start w:val="1"/>
      <w:numFmt w:val="lowerLetter"/>
      <w:lvlText w:val="%8."/>
      <w:lvlJc w:val="left"/>
      <w:pPr>
        <w:tabs>
          <w:tab w:val="num" w:pos="765"/>
        </w:tabs>
        <w:ind w:left="765" w:hanging="360"/>
      </w:pPr>
      <w:rPr>
        <w:b w:val="0"/>
        <w:i w:val="0"/>
      </w:rPr>
    </w:lvl>
    <w:lvl w:ilvl="8">
      <w:start w:val="1"/>
      <w:numFmt w:val="lowerRoman"/>
      <w:lvlText w:val="%9."/>
      <w:lvlJc w:val="left"/>
      <w:pPr>
        <w:tabs>
          <w:tab w:val="num" w:pos="1125"/>
        </w:tabs>
        <w:ind w:left="1125" w:hanging="360"/>
      </w:pPr>
      <w:rPr>
        <w:b w:val="0"/>
        <w:i w:val="0"/>
      </w:rPr>
    </w:lvl>
  </w:abstractNum>
  <w:abstractNum w:abstractNumId="5">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2D097FDD"/>
    <w:multiLevelType w:val="multilevel"/>
    <w:tmpl w:val="0A1661C4"/>
    <w:name w:val="HeadingList"/>
    <w:lvl w:ilvl="0">
      <w:start w:val="1"/>
      <w:numFmt w:val="decimal"/>
      <w:lvlRestart w:val="0"/>
      <w:pStyle w:val="Heading1"/>
      <w:lvlText w:val="%1."/>
      <w:lvlJc w:val="left"/>
      <w:pPr>
        <w:tabs>
          <w:tab w:val="num" w:pos="567"/>
        </w:tabs>
        <w:ind w:left="567" w:hanging="567"/>
      </w:pPr>
      <w:rPr>
        <w:rFonts w:ascii="Arial" w:hAnsi="Arial" w:cs="Arial"/>
        <w:b w:val="0"/>
        <w:i w:val="0"/>
        <w:color w:val="342E82"/>
        <w:sz w:val="36"/>
      </w:rPr>
    </w:lvl>
    <w:lvl w:ilvl="1">
      <w:start w:val="1"/>
      <w:numFmt w:val="decimal"/>
      <w:pStyle w:val="Heading2"/>
      <w:lvlText w:val="%1.%2"/>
      <w:lvlJc w:val="left"/>
      <w:pPr>
        <w:tabs>
          <w:tab w:val="num" w:pos="567"/>
        </w:tabs>
        <w:ind w:left="567" w:hanging="567"/>
      </w:pPr>
      <w:rPr>
        <w:rFonts w:ascii="Arial" w:hAnsi="Arial" w:cs="Arial"/>
        <w:b w:val="0"/>
        <w:i w:val="0"/>
        <w:color w:val="342E82"/>
        <w:sz w:val="32"/>
      </w:rPr>
    </w:lvl>
    <w:lvl w:ilvl="2">
      <w:start w:val="1"/>
      <w:numFmt w:val="decimal"/>
      <w:pStyle w:val="Heading3"/>
      <w:lvlText w:val="%1.%2.%3"/>
      <w:lvlJc w:val="left"/>
      <w:pPr>
        <w:tabs>
          <w:tab w:val="num" w:pos="567"/>
        </w:tabs>
        <w:ind w:left="567" w:hanging="567"/>
      </w:pPr>
      <w:rPr>
        <w:rFonts w:ascii="Arial" w:hAnsi="Arial" w:cs="Arial"/>
        <w:b w:val="0"/>
        <w:i w:val="0"/>
        <w:color w:val="342E82"/>
        <w:sz w:val="28"/>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nsid w:val="2D665DFA"/>
    <w:multiLevelType w:val="singleLevel"/>
    <w:tmpl w:val="D7E4CFE6"/>
    <w:name w:val="OneLevelAlphaParagraphList"/>
    <w:lvl w:ilvl="0">
      <w:start w:val="1"/>
      <w:numFmt w:val="lowerLetter"/>
      <w:lvlRestart w:val="0"/>
      <w:pStyle w:val="AlphaParagraph"/>
      <w:lvlText w:val="(%1)"/>
      <w:lvlJc w:val="left"/>
      <w:pPr>
        <w:tabs>
          <w:tab w:val="num" w:pos="567"/>
        </w:tabs>
        <w:ind w:left="567" w:hanging="567"/>
      </w:pPr>
      <w:rPr>
        <w:rFonts w:ascii="Arial" w:hAnsi="Arial" w:cs="Arial"/>
        <w:b w:val="0"/>
        <w:i w:val="0"/>
        <w:sz w:val="22"/>
      </w:rPr>
    </w:lvl>
  </w:abstractNum>
  <w:abstractNum w:abstractNumId="8">
    <w:nsid w:val="42462D60"/>
    <w:multiLevelType w:val="multilevel"/>
    <w:tmpl w:val="8D489EB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0">
    <w:nsid w:val="58101827"/>
    <w:multiLevelType w:val="multilevel"/>
    <w:tmpl w:val="3CACDCCC"/>
    <w:name w:val="BoxBulletedList"/>
    <w:lvl w:ilvl="0">
      <w:start w:val="1"/>
      <w:numFmt w:val="bullet"/>
      <w:lvlRestart w:val="0"/>
      <w:pStyle w:val="BoxBullet"/>
      <w:lvlText w:val="•"/>
      <w:lvlJc w:val="left"/>
      <w:pPr>
        <w:tabs>
          <w:tab w:val="num" w:pos="566"/>
        </w:tabs>
        <w:ind w:left="566" w:hanging="566"/>
      </w:pPr>
      <w:rPr>
        <w:rFonts w:ascii="Times New Roman" w:hAnsi="Times New Roman" w:cs="Times New Roman"/>
        <w:b w:val="0"/>
        <w:i w:val="0"/>
        <w:sz w:val="20"/>
      </w:rPr>
    </w:lvl>
    <w:lvl w:ilvl="1">
      <w:start w:val="1"/>
      <w:numFmt w:val="bullet"/>
      <w:pStyle w:val="BoxDash"/>
      <w:lvlText w:val="–"/>
      <w:lvlJc w:val="left"/>
      <w:pPr>
        <w:tabs>
          <w:tab w:val="num" w:pos="1134"/>
        </w:tabs>
        <w:ind w:left="1134" w:hanging="568"/>
      </w:pPr>
      <w:rPr>
        <w:b w:val="0"/>
        <w:i w:val="0"/>
      </w:rPr>
    </w:lvl>
    <w:lvl w:ilvl="2">
      <w:start w:val="1"/>
      <w:numFmt w:val="bullet"/>
      <w:pStyle w:val="BoxDoubleDo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5E0A6F8D"/>
    <w:multiLevelType w:val="multilevel"/>
    <w:tmpl w:val="51941ED6"/>
    <w:name w:val="RecommendationBulletedList"/>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num w:numId="1">
    <w:abstractNumId w:val="3"/>
  </w:num>
  <w:num w:numId="2">
    <w:abstractNumId w:val="7"/>
  </w:num>
  <w:num w:numId="3">
    <w:abstractNumId w:val="9"/>
  </w:num>
  <w:num w:numId="4">
    <w:abstractNumId w:val="10"/>
  </w:num>
  <w:num w:numId="5">
    <w:abstractNumId w:val="1"/>
  </w:num>
  <w:num w:numId="6">
    <w:abstractNumId w:val="11"/>
  </w:num>
  <w:num w:numId="7">
    <w:abstractNumId w:val="5"/>
  </w:num>
  <w:num w:numId="8">
    <w:abstractNumId w:val="6"/>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AD"/>
    <w:rsid w:val="0000017E"/>
    <w:rsid w:val="00006057"/>
    <w:rsid w:val="00006F7E"/>
    <w:rsid w:val="00013641"/>
    <w:rsid w:val="0002314F"/>
    <w:rsid w:val="000232CD"/>
    <w:rsid w:val="000305F5"/>
    <w:rsid w:val="0004436E"/>
    <w:rsid w:val="0004481B"/>
    <w:rsid w:val="00046BF5"/>
    <w:rsid w:val="000533DB"/>
    <w:rsid w:val="00056147"/>
    <w:rsid w:val="00057DAA"/>
    <w:rsid w:val="00073EA5"/>
    <w:rsid w:val="0007421C"/>
    <w:rsid w:val="00075610"/>
    <w:rsid w:val="00092CB1"/>
    <w:rsid w:val="000A0D80"/>
    <w:rsid w:val="000A3BC4"/>
    <w:rsid w:val="000A3D45"/>
    <w:rsid w:val="000B0E8F"/>
    <w:rsid w:val="000C0270"/>
    <w:rsid w:val="000C1AA8"/>
    <w:rsid w:val="000C595D"/>
    <w:rsid w:val="000C625B"/>
    <w:rsid w:val="000C6312"/>
    <w:rsid w:val="000D6C94"/>
    <w:rsid w:val="000E5161"/>
    <w:rsid w:val="000F62A1"/>
    <w:rsid w:val="000F7F17"/>
    <w:rsid w:val="0011005E"/>
    <w:rsid w:val="0011162F"/>
    <w:rsid w:val="001244EE"/>
    <w:rsid w:val="00137D56"/>
    <w:rsid w:val="00137E25"/>
    <w:rsid w:val="00141A3B"/>
    <w:rsid w:val="001456F2"/>
    <w:rsid w:val="0015433F"/>
    <w:rsid w:val="00155906"/>
    <w:rsid w:val="00162B12"/>
    <w:rsid w:val="00163F01"/>
    <w:rsid w:val="001643FC"/>
    <w:rsid w:val="00165D8B"/>
    <w:rsid w:val="0018528B"/>
    <w:rsid w:val="00190C51"/>
    <w:rsid w:val="001914D7"/>
    <w:rsid w:val="001936BF"/>
    <w:rsid w:val="00195629"/>
    <w:rsid w:val="001A0097"/>
    <w:rsid w:val="001A48AC"/>
    <w:rsid w:val="001A5581"/>
    <w:rsid w:val="001A73F8"/>
    <w:rsid w:val="001B08B2"/>
    <w:rsid w:val="001C3218"/>
    <w:rsid w:val="001C7CC3"/>
    <w:rsid w:val="001D60A8"/>
    <w:rsid w:val="001E09F7"/>
    <w:rsid w:val="001F10A5"/>
    <w:rsid w:val="001F1E4D"/>
    <w:rsid w:val="001F583F"/>
    <w:rsid w:val="00203EF8"/>
    <w:rsid w:val="00205D44"/>
    <w:rsid w:val="00217012"/>
    <w:rsid w:val="00220E50"/>
    <w:rsid w:val="00224A32"/>
    <w:rsid w:val="00226A86"/>
    <w:rsid w:val="00232CCF"/>
    <w:rsid w:val="00232DEA"/>
    <w:rsid w:val="002371CE"/>
    <w:rsid w:val="00237671"/>
    <w:rsid w:val="00240AAC"/>
    <w:rsid w:val="00245CA3"/>
    <w:rsid w:val="00250FA3"/>
    <w:rsid w:val="00251576"/>
    <w:rsid w:val="002529AB"/>
    <w:rsid w:val="00253AFA"/>
    <w:rsid w:val="0025508E"/>
    <w:rsid w:val="00260DF8"/>
    <w:rsid w:val="00266E61"/>
    <w:rsid w:val="00271AB4"/>
    <w:rsid w:val="00277B4F"/>
    <w:rsid w:val="0028210D"/>
    <w:rsid w:val="00283710"/>
    <w:rsid w:val="002845BF"/>
    <w:rsid w:val="00285298"/>
    <w:rsid w:val="00292422"/>
    <w:rsid w:val="00297E01"/>
    <w:rsid w:val="002A2C88"/>
    <w:rsid w:val="002A6E0A"/>
    <w:rsid w:val="002B074A"/>
    <w:rsid w:val="002B26AD"/>
    <w:rsid w:val="002B3621"/>
    <w:rsid w:val="002C1E4E"/>
    <w:rsid w:val="002C3105"/>
    <w:rsid w:val="002D7403"/>
    <w:rsid w:val="002E155F"/>
    <w:rsid w:val="002E26AD"/>
    <w:rsid w:val="002F0661"/>
    <w:rsid w:val="002F354C"/>
    <w:rsid w:val="002F3D8E"/>
    <w:rsid w:val="00300CAF"/>
    <w:rsid w:val="00301066"/>
    <w:rsid w:val="00301CD5"/>
    <w:rsid w:val="003049DC"/>
    <w:rsid w:val="00304F9B"/>
    <w:rsid w:val="00312095"/>
    <w:rsid w:val="00320D5D"/>
    <w:rsid w:val="00321CE6"/>
    <w:rsid w:val="00321E59"/>
    <w:rsid w:val="00324737"/>
    <w:rsid w:val="003271A7"/>
    <w:rsid w:val="0033013B"/>
    <w:rsid w:val="0033172C"/>
    <w:rsid w:val="00343449"/>
    <w:rsid w:val="003470E6"/>
    <w:rsid w:val="0035075F"/>
    <w:rsid w:val="003523BF"/>
    <w:rsid w:val="00357E2F"/>
    <w:rsid w:val="003605E5"/>
    <w:rsid w:val="003707CD"/>
    <w:rsid w:val="003A4672"/>
    <w:rsid w:val="003B47B0"/>
    <w:rsid w:val="003B66E4"/>
    <w:rsid w:val="003B67DB"/>
    <w:rsid w:val="003C0A01"/>
    <w:rsid w:val="003C0F6F"/>
    <w:rsid w:val="003C2C4D"/>
    <w:rsid w:val="003C6A49"/>
    <w:rsid w:val="003E1449"/>
    <w:rsid w:val="003E73C6"/>
    <w:rsid w:val="003F38D3"/>
    <w:rsid w:val="003F439E"/>
    <w:rsid w:val="00421697"/>
    <w:rsid w:val="00430EE0"/>
    <w:rsid w:val="00434C52"/>
    <w:rsid w:val="00437B9F"/>
    <w:rsid w:val="00437E9B"/>
    <w:rsid w:val="00450D02"/>
    <w:rsid w:val="00450DF2"/>
    <w:rsid w:val="0045339B"/>
    <w:rsid w:val="00456912"/>
    <w:rsid w:val="004600AB"/>
    <w:rsid w:val="00467E7F"/>
    <w:rsid w:val="004701F2"/>
    <w:rsid w:val="0047120F"/>
    <w:rsid w:val="00472287"/>
    <w:rsid w:val="004725AC"/>
    <w:rsid w:val="004761AD"/>
    <w:rsid w:val="00477497"/>
    <w:rsid w:val="0048196B"/>
    <w:rsid w:val="00481B1D"/>
    <w:rsid w:val="00483D70"/>
    <w:rsid w:val="004867DE"/>
    <w:rsid w:val="00486FE7"/>
    <w:rsid w:val="0048777E"/>
    <w:rsid w:val="00487A97"/>
    <w:rsid w:val="0049114C"/>
    <w:rsid w:val="004A1773"/>
    <w:rsid w:val="004A50FC"/>
    <w:rsid w:val="004B2501"/>
    <w:rsid w:val="004B4AA9"/>
    <w:rsid w:val="004B5171"/>
    <w:rsid w:val="004B52DC"/>
    <w:rsid w:val="004C6090"/>
    <w:rsid w:val="004D1FCD"/>
    <w:rsid w:val="004D2850"/>
    <w:rsid w:val="004D2F64"/>
    <w:rsid w:val="004D64EA"/>
    <w:rsid w:val="004E7E9F"/>
    <w:rsid w:val="004F3260"/>
    <w:rsid w:val="004F4EE8"/>
    <w:rsid w:val="004F6E28"/>
    <w:rsid w:val="0050060F"/>
    <w:rsid w:val="00502953"/>
    <w:rsid w:val="00504F66"/>
    <w:rsid w:val="0051206D"/>
    <w:rsid w:val="00517F68"/>
    <w:rsid w:val="00524304"/>
    <w:rsid w:val="005245D8"/>
    <w:rsid w:val="00531A3C"/>
    <w:rsid w:val="00532E77"/>
    <w:rsid w:val="005343F9"/>
    <w:rsid w:val="00534683"/>
    <w:rsid w:val="00543F4C"/>
    <w:rsid w:val="00547AC6"/>
    <w:rsid w:val="00550575"/>
    <w:rsid w:val="0055206F"/>
    <w:rsid w:val="00552992"/>
    <w:rsid w:val="00554FE4"/>
    <w:rsid w:val="00556092"/>
    <w:rsid w:val="00556F93"/>
    <w:rsid w:val="00557267"/>
    <w:rsid w:val="00562BF4"/>
    <w:rsid w:val="00572617"/>
    <w:rsid w:val="00573915"/>
    <w:rsid w:val="005774C0"/>
    <w:rsid w:val="00581E19"/>
    <w:rsid w:val="00582713"/>
    <w:rsid w:val="005879A6"/>
    <w:rsid w:val="0059055D"/>
    <w:rsid w:val="0059073C"/>
    <w:rsid w:val="00592097"/>
    <w:rsid w:val="00595333"/>
    <w:rsid w:val="00597663"/>
    <w:rsid w:val="005A089C"/>
    <w:rsid w:val="005A33C1"/>
    <w:rsid w:val="005A3D75"/>
    <w:rsid w:val="005B00BF"/>
    <w:rsid w:val="005B1DCF"/>
    <w:rsid w:val="005B1DED"/>
    <w:rsid w:val="005B35E8"/>
    <w:rsid w:val="005B3C08"/>
    <w:rsid w:val="005B4174"/>
    <w:rsid w:val="005B7AE8"/>
    <w:rsid w:val="005C015E"/>
    <w:rsid w:val="005C0294"/>
    <w:rsid w:val="005C04AE"/>
    <w:rsid w:val="005C155C"/>
    <w:rsid w:val="005C1AF7"/>
    <w:rsid w:val="005D1BD4"/>
    <w:rsid w:val="005D4DF9"/>
    <w:rsid w:val="005D4E3C"/>
    <w:rsid w:val="005D5280"/>
    <w:rsid w:val="005E52BC"/>
    <w:rsid w:val="005E76C1"/>
    <w:rsid w:val="005F3AF2"/>
    <w:rsid w:val="005F57B2"/>
    <w:rsid w:val="005F59CA"/>
    <w:rsid w:val="005F6929"/>
    <w:rsid w:val="005F78AF"/>
    <w:rsid w:val="005F7F29"/>
    <w:rsid w:val="006046BE"/>
    <w:rsid w:val="00605088"/>
    <w:rsid w:val="00605E6D"/>
    <w:rsid w:val="00614CAB"/>
    <w:rsid w:val="00615E18"/>
    <w:rsid w:val="006220EC"/>
    <w:rsid w:val="00622E73"/>
    <w:rsid w:val="006311A1"/>
    <w:rsid w:val="006346D4"/>
    <w:rsid w:val="00634909"/>
    <w:rsid w:val="00635E55"/>
    <w:rsid w:val="006376C8"/>
    <w:rsid w:val="00637A17"/>
    <w:rsid w:val="0064288D"/>
    <w:rsid w:val="00650793"/>
    <w:rsid w:val="006555E6"/>
    <w:rsid w:val="00656DAE"/>
    <w:rsid w:val="00660400"/>
    <w:rsid w:val="00665387"/>
    <w:rsid w:val="00667F8D"/>
    <w:rsid w:val="0067089E"/>
    <w:rsid w:val="006728EC"/>
    <w:rsid w:val="00687ACC"/>
    <w:rsid w:val="006A787E"/>
    <w:rsid w:val="006B0805"/>
    <w:rsid w:val="006B5D2F"/>
    <w:rsid w:val="006C0CE9"/>
    <w:rsid w:val="006D0E7A"/>
    <w:rsid w:val="006D5CCA"/>
    <w:rsid w:val="006E0B40"/>
    <w:rsid w:val="006E1D91"/>
    <w:rsid w:val="006E5713"/>
    <w:rsid w:val="006F11B0"/>
    <w:rsid w:val="006F1932"/>
    <w:rsid w:val="006F332B"/>
    <w:rsid w:val="006F3540"/>
    <w:rsid w:val="006F3E00"/>
    <w:rsid w:val="006F428C"/>
    <w:rsid w:val="007029AC"/>
    <w:rsid w:val="007075F8"/>
    <w:rsid w:val="007078CD"/>
    <w:rsid w:val="00710BDC"/>
    <w:rsid w:val="00732334"/>
    <w:rsid w:val="00737153"/>
    <w:rsid w:val="0075263F"/>
    <w:rsid w:val="00753046"/>
    <w:rsid w:val="007569ED"/>
    <w:rsid w:val="00756F31"/>
    <w:rsid w:val="007628AB"/>
    <w:rsid w:val="00764DDE"/>
    <w:rsid w:val="00770367"/>
    <w:rsid w:val="0077523B"/>
    <w:rsid w:val="00777AF4"/>
    <w:rsid w:val="00783CEB"/>
    <w:rsid w:val="007865F9"/>
    <w:rsid w:val="007867FB"/>
    <w:rsid w:val="00790864"/>
    <w:rsid w:val="00791CB9"/>
    <w:rsid w:val="00792349"/>
    <w:rsid w:val="007A2E6F"/>
    <w:rsid w:val="007A323A"/>
    <w:rsid w:val="007B390B"/>
    <w:rsid w:val="007B3B2F"/>
    <w:rsid w:val="007B59A2"/>
    <w:rsid w:val="007C0A18"/>
    <w:rsid w:val="007C2061"/>
    <w:rsid w:val="007C2FC8"/>
    <w:rsid w:val="007D03E8"/>
    <w:rsid w:val="007D042B"/>
    <w:rsid w:val="007D2A9B"/>
    <w:rsid w:val="007D4E2B"/>
    <w:rsid w:val="007D6F5E"/>
    <w:rsid w:val="007E05DE"/>
    <w:rsid w:val="007E08A1"/>
    <w:rsid w:val="007E2435"/>
    <w:rsid w:val="007E3328"/>
    <w:rsid w:val="007E3F70"/>
    <w:rsid w:val="007F7C8E"/>
    <w:rsid w:val="0080477D"/>
    <w:rsid w:val="008047A3"/>
    <w:rsid w:val="00805582"/>
    <w:rsid w:val="00815210"/>
    <w:rsid w:val="00826B58"/>
    <w:rsid w:val="00826DB3"/>
    <w:rsid w:val="00840C05"/>
    <w:rsid w:val="00861116"/>
    <w:rsid w:val="008629BB"/>
    <w:rsid w:val="008633BC"/>
    <w:rsid w:val="00872025"/>
    <w:rsid w:val="00881706"/>
    <w:rsid w:val="00882640"/>
    <w:rsid w:val="008830E6"/>
    <w:rsid w:val="008858A5"/>
    <w:rsid w:val="00886222"/>
    <w:rsid w:val="0089374C"/>
    <w:rsid w:val="00897A87"/>
    <w:rsid w:val="008A2707"/>
    <w:rsid w:val="008A3433"/>
    <w:rsid w:val="008A562C"/>
    <w:rsid w:val="008B35DB"/>
    <w:rsid w:val="008B39A1"/>
    <w:rsid w:val="008B4088"/>
    <w:rsid w:val="008C0DA2"/>
    <w:rsid w:val="008D2E8B"/>
    <w:rsid w:val="008D52EE"/>
    <w:rsid w:val="008D578A"/>
    <w:rsid w:val="008D6825"/>
    <w:rsid w:val="008E0722"/>
    <w:rsid w:val="008E1CA3"/>
    <w:rsid w:val="008E3B84"/>
    <w:rsid w:val="008F2275"/>
    <w:rsid w:val="00903B55"/>
    <w:rsid w:val="00907A18"/>
    <w:rsid w:val="00913F67"/>
    <w:rsid w:val="00914DF4"/>
    <w:rsid w:val="009267E6"/>
    <w:rsid w:val="009270EF"/>
    <w:rsid w:val="00932E19"/>
    <w:rsid w:val="00942526"/>
    <w:rsid w:val="009646E1"/>
    <w:rsid w:val="00966553"/>
    <w:rsid w:val="00966624"/>
    <w:rsid w:val="0097192A"/>
    <w:rsid w:val="0097576B"/>
    <w:rsid w:val="00981231"/>
    <w:rsid w:val="009853C8"/>
    <w:rsid w:val="00990728"/>
    <w:rsid w:val="00991E52"/>
    <w:rsid w:val="00996DFF"/>
    <w:rsid w:val="009A098C"/>
    <w:rsid w:val="009A0D82"/>
    <w:rsid w:val="009A12A0"/>
    <w:rsid w:val="009A5212"/>
    <w:rsid w:val="009A7797"/>
    <w:rsid w:val="009C0255"/>
    <w:rsid w:val="009D1073"/>
    <w:rsid w:val="009D475A"/>
    <w:rsid w:val="009E5823"/>
    <w:rsid w:val="009E5B3C"/>
    <w:rsid w:val="009E6743"/>
    <w:rsid w:val="009F2A8B"/>
    <w:rsid w:val="009F6D4C"/>
    <w:rsid w:val="00A03ABB"/>
    <w:rsid w:val="00A06A2E"/>
    <w:rsid w:val="00A14DE6"/>
    <w:rsid w:val="00A1612C"/>
    <w:rsid w:val="00A16C23"/>
    <w:rsid w:val="00A21E23"/>
    <w:rsid w:val="00A23070"/>
    <w:rsid w:val="00A24DA4"/>
    <w:rsid w:val="00A31E25"/>
    <w:rsid w:val="00A35003"/>
    <w:rsid w:val="00A4132A"/>
    <w:rsid w:val="00A41815"/>
    <w:rsid w:val="00A437F0"/>
    <w:rsid w:val="00A547B5"/>
    <w:rsid w:val="00A562C9"/>
    <w:rsid w:val="00A603A6"/>
    <w:rsid w:val="00A60DCB"/>
    <w:rsid w:val="00A61BDE"/>
    <w:rsid w:val="00A668C8"/>
    <w:rsid w:val="00A674D5"/>
    <w:rsid w:val="00A70D38"/>
    <w:rsid w:val="00A728A5"/>
    <w:rsid w:val="00A732AF"/>
    <w:rsid w:val="00A75041"/>
    <w:rsid w:val="00A7772B"/>
    <w:rsid w:val="00A80DE8"/>
    <w:rsid w:val="00A92E4A"/>
    <w:rsid w:val="00A93595"/>
    <w:rsid w:val="00AA072D"/>
    <w:rsid w:val="00AA39A1"/>
    <w:rsid w:val="00AA6A10"/>
    <w:rsid w:val="00AA738F"/>
    <w:rsid w:val="00AB4564"/>
    <w:rsid w:val="00AB59CA"/>
    <w:rsid w:val="00AB6648"/>
    <w:rsid w:val="00AB7847"/>
    <w:rsid w:val="00AC0451"/>
    <w:rsid w:val="00AC12C2"/>
    <w:rsid w:val="00AC1358"/>
    <w:rsid w:val="00AC1A75"/>
    <w:rsid w:val="00AC6BAA"/>
    <w:rsid w:val="00AD0428"/>
    <w:rsid w:val="00AD12F6"/>
    <w:rsid w:val="00AD7F01"/>
    <w:rsid w:val="00AE3BCA"/>
    <w:rsid w:val="00AE4AA7"/>
    <w:rsid w:val="00AF1812"/>
    <w:rsid w:val="00AF7270"/>
    <w:rsid w:val="00B03398"/>
    <w:rsid w:val="00B0530A"/>
    <w:rsid w:val="00B068F4"/>
    <w:rsid w:val="00B10451"/>
    <w:rsid w:val="00B147BB"/>
    <w:rsid w:val="00B174B9"/>
    <w:rsid w:val="00B1790E"/>
    <w:rsid w:val="00B2418A"/>
    <w:rsid w:val="00B24344"/>
    <w:rsid w:val="00B244B0"/>
    <w:rsid w:val="00B32E3F"/>
    <w:rsid w:val="00B3448F"/>
    <w:rsid w:val="00B347D9"/>
    <w:rsid w:val="00B4299A"/>
    <w:rsid w:val="00B43152"/>
    <w:rsid w:val="00B45C45"/>
    <w:rsid w:val="00B57C3D"/>
    <w:rsid w:val="00B62E09"/>
    <w:rsid w:val="00B67B12"/>
    <w:rsid w:val="00B7183D"/>
    <w:rsid w:val="00B76F28"/>
    <w:rsid w:val="00B85A8E"/>
    <w:rsid w:val="00B86851"/>
    <w:rsid w:val="00B872CE"/>
    <w:rsid w:val="00B87817"/>
    <w:rsid w:val="00BA7EF5"/>
    <w:rsid w:val="00BB6445"/>
    <w:rsid w:val="00BB7A8B"/>
    <w:rsid w:val="00BC71EC"/>
    <w:rsid w:val="00BC7663"/>
    <w:rsid w:val="00BD2E2C"/>
    <w:rsid w:val="00BE1631"/>
    <w:rsid w:val="00BE22EA"/>
    <w:rsid w:val="00BF239E"/>
    <w:rsid w:val="00BF5873"/>
    <w:rsid w:val="00C01551"/>
    <w:rsid w:val="00C02D85"/>
    <w:rsid w:val="00C0799F"/>
    <w:rsid w:val="00C125D6"/>
    <w:rsid w:val="00C1470D"/>
    <w:rsid w:val="00C17AF3"/>
    <w:rsid w:val="00C316D2"/>
    <w:rsid w:val="00C324CB"/>
    <w:rsid w:val="00C33089"/>
    <w:rsid w:val="00C35AA5"/>
    <w:rsid w:val="00C43B54"/>
    <w:rsid w:val="00C449F7"/>
    <w:rsid w:val="00C466C6"/>
    <w:rsid w:val="00C5090F"/>
    <w:rsid w:val="00C53375"/>
    <w:rsid w:val="00C60A5C"/>
    <w:rsid w:val="00C64337"/>
    <w:rsid w:val="00C67207"/>
    <w:rsid w:val="00C71D15"/>
    <w:rsid w:val="00C83479"/>
    <w:rsid w:val="00C838BF"/>
    <w:rsid w:val="00C869C5"/>
    <w:rsid w:val="00CA2588"/>
    <w:rsid w:val="00CA447F"/>
    <w:rsid w:val="00CB2FE1"/>
    <w:rsid w:val="00CC090C"/>
    <w:rsid w:val="00CC40CD"/>
    <w:rsid w:val="00CC5B8E"/>
    <w:rsid w:val="00CC6C9E"/>
    <w:rsid w:val="00CE3881"/>
    <w:rsid w:val="00CE3A8B"/>
    <w:rsid w:val="00CE5163"/>
    <w:rsid w:val="00CE71FD"/>
    <w:rsid w:val="00CF212A"/>
    <w:rsid w:val="00CF2175"/>
    <w:rsid w:val="00CF2215"/>
    <w:rsid w:val="00CF3A5A"/>
    <w:rsid w:val="00D0202C"/>
    <w:rsid w:val="00D027B8"/>
    <w:rsid w:val="00D0314D"/>
    <w:rsid w:val="00D03180"/>
    <w:rsid w:val="00D06AB6"/>
    <w:rsid w:val="00D1093C"/>
    <w:rsid w:val="00D10EC2"/>
    <w:rsid w:val="00D12B7A"/>
    <w:rsid w:val="00D142DB"/>
    <w:rsid w:val="00D2296B"/>
    <w:rsid w:val="00D262E9"/>
    <w:rsid w:val="00D31841"/>
    <w:rsid w:val="00D3750D"/>
    <w:rsid w:val="00D42A15"/>
    <w:rsid w:val="00D44FC5"/>
    <w:rsid w:val="00D46ECA"/>
    <w:rsid w:val="00D477DD"/>
    <w:rsid w:val="00D51FBA"/>
    <w:rsid w:val="00D53E8C"/>
    <w:rsid w:val="00D55BB1"/>
    <w:rsid w:val="00D57E3F"/>
    <w:rsid w:val="00D62E18"/>
    <w:rsid w:val="00D66EDF"/>
    <w:rsid w:val="00D72CB4"/>
    <w:rsid w:val="00D72CE9"/>
    <w:rsid w:val="00D801C5"/>
    <w:rsid w:val="00D84250"/>
    <w:rsid w:val="00D85001"/>
    <w:rsid w:val="00D85799"/>
    <w:rsid w:val="00D9730D"/>
    <w:rsid w:val="00DA28D7"/>
    <w:rsid w:val="00DA78A6"/>
    <w:rsid w:val="00DB5EA2"/>
    <w:rsid w:val="00DC2EAF"/>
    <w:rsid w:val="00DC6AFB"/>
    <w:rsid w:val="00DD0AF4"/>
    <w:rsid w:val="00DD16E4"/>
    <w:rsid w:val="00DD2A5E"/>
    <w:rsid w:val="00DD74D0"/>
    <w:rsid w:val="00DE2A92"/>
    <w:rsid w:val="00DE5BA4"/>
    <w:rsid w:val="00DF07C1"/>
    <w:rsid w:val="00DF22F5"/>
    <w:rsid w:val="00DF71FC"/>
    <w:rsid w:val="00E01646"/>
    <w:rsid w:val="00E04092"/>
    <w:rsid w:val="00E069E3"/>
    <w:rsid w:val="00E07913"/>
    <w:rsid w:val="00E1106E"/>
    <w:rsid w:val="00E14954"/>
    <w:rsid w:val="00E22C6F"/>
    <w:rsid w:val="00E2358D"/>
    <w:rsid w:val="00E23C04"/>
    <w:rsid w:val="00E271D0"/>
    <w:rsid w:val="00E42617"/>
    <w:rsid w:val="00E42683"/>
    <w:rsid w:val="00E4787D"/>
    <w:rsid w:val="00E5289D"/>
    <w:rsid w:val="00E566D5"/>
    <w:rsid w:val="00E6096B"/>
    <w:rsid w:val="00E63746"/>
    <w:rsid w:val="00E71862"/>
    <w:rsid w:val="00E72C4D"/>
    <w:rsid w:val="00E803B7"/>
    <w:rsid w:val="00E834B2"/>
    <w:rsid w:val="00E86F9B"/>
    <w:rsid w:val="00E87CCD"/>
    <w:rsid w:val="00E97074"/>
    <w:rsid w:val="00EA349C"/>
    <w:rsid w:val="00EB2A00"/>
    <w:rsid w:val="00EC75E5"/>
    <w:rsid w:val="00ED58BD"/>
    <w:rsid w:val="00EE05E3"/>
    <w:rsid w:val="00EE776C"/>
    <w:rsid w:val="00EF0793"/>
    <w:rsid w:val="00EF42B1"/>
    <w:rsid w:val="00F042D5"/>
    <w:rsid w:val="00F06126"/>
    <w:rsid w:val="00F21127"/>
    <w:rsid w:val="00F21745"/>
    <w:rsid w:val="00F23AEE"/>
    <w:rsid w:val="00F34B1F"/>
    <w:rsid w:val="00F36B37"/>
    <w:rsid w:val="00F521CB"/>
    <w:rsid w:val="00F52AD0"/>
    <w:rsid w:val="00F539D2"/>
    <w:rsid w:val="00F54820"/>
    <w:rsid w:val="00F553D9"/>
    <w:rsid w:val="00F55EB1"/>
    <w:rsid w:val="00F57971"/>
    <w:rsid w:val="00F61EBB"/>
    <w:rsid w:val="00F61EFB"/>
    <w:rsid w:val="00F62C33"/>
    <w:rsid w:val="00F63CB1"/>
    <w:rsid w:val="00F63D0C"/>
    <w:rsid w:val="00F75927"/>
    <w:rsid w:val="00F766B0"/>
    <w:rsid w:val="00F905AE"/>
    <w:rsid w:val="00F922CC"/>
    <w:rsid w:val="00F9295A"/>
    <w:rsid w:val="00F92DF8"/>
    <w:rsid w:val="00F93D4C"/>
    <w:rsid w:val="00FB2AE7"/>
    <w:rsid w:val="00FB62CE"/>
    <w:rsid w:val="00FB676E"/>
    <w:rsid w:val="00FC21C3"/>
    <w:rsid w:val="00FC3B5D"/>
    <w:rsid w:val="00FD1E0F"/>
    <w:rsid w:val="00FD31CE"/>
    <w:rsid w:val="00FD397C"/>
    <w:rsid w:val="00FD6BEB"/>
    <w:rsid w:val="00FD74F1"/>
    <w:rsid w:val="00FE003E"/>
    <w:rsid w:val="00FE0B6D"/>
    <w:rsid w:val="00FF1764"/>
    <w:rsid w:val="00FF6A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E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50D"/>
    <w:pPr>
      <w:spacing w:after="240" w:line="280" w:lineRule="exact"/>
      <w:jc w:val="both"/>
    </w:pPr>
    <w:rPr>
      <w:rFonts w:asciiTheme="minorHAnsi" w:hAnsiTheme="minorHAnsi"/>
      <w:color w:val="000000"/>
      <w:sz w:val="22"/>
    </w:rPr>
  </w:style>
  <w:style w:type="paragraph" w:styleId="Heading1">
    <w:name w:val="heading 1"/>
    <w:basedOn w:val="HeadingBase"/>
    <w:next w:val="Normal"/>
    <w:qFormat/>
    <w:rsid w:val="00D3750D"/>
    <w:pPr>
      <w:numPr>
        <w:numId w:val="8"/>
      </w:numPr>
      <w:spacing w:before="720" w:after="360"/>
      <w:outlineLvl w:val="0"/>
    </w:pPr>
    <w:rPr>
      <w:rFonts w:cs="Arial"/>
      <w:bCs/>
      <w:smallCaps/>
      <w:kern w:val="32"/>
      <w:sz w:val="36"/>
      <w:szCs w:val="36"/>
    </w:rPr>
  </w:style>
  <w:style w:type="paragraph" w:styleId="Heading2">
    <w:name w:val="heading 2"/>
    <w:basedOn w:val="HeadingBase"/>
    <w:next w:val="Normal"/>
    <w:qFormat/>
    <w:rsid w:val="00D3750D"/>
    <w:pPr>
      <w:numPr>
        <w:ilvl w:val="1"/>
        <w:numId w:val="8"/>
      </w:numPr>
      <w:spacing w:before="360" w:after="180"/>
      <w:outlineLvl w:val="1"/>
    </w:pPr>
    <w:rPr>
      <w:rFonts w:cs="Arial"/>
      <w:bCs/>
      <w:iCs/>
      <w:smallCaps/>
      <w:sz w:val="28"/>
      <w:szCs w:val="28"/>
    </w:rPr>
  </w:style>
  <w:style w:type="paragraph" w:styleId="Heading3">
    <w:name w:val="heading 3"/>
    <w:basedOn w:val="HeadingBase"/>
    <w:next w:val="Normal"/>
    <w:qFormat/>
    <w:rsid w:val="0033013B"/>
    <w:pPr>
      <w:numPr>
        <w:ilvl w:val="2"/>
        <w:numId w:val="8"/>
      </w:numPr>
      <w:spacing w:before="240" w:after="120"/>
      <w:outlineLvl w:val="2"/>
    </w:pPr>
    <w:rPr>
      <w:rFonts w:cs="Arial"/>
      <w:bCs/>
      <w:sz w:val="28"/>
      <w:szCs w:val="26"/>
    </w:rPr>
  </w:style>
  <w:style w:type="paragraph" w:styleId="Heading4">
    <w:name w:val="heading 4"/>
    <w:basedOn w:val="HeadingBase"/>
    <w:next w:val="Normal"/>
    <w:link w:val="Heading4Char"/>
    <w:qFormat/>
    <w:rsid w:val="00B347D9"/>
    <w:pPr>
      <w:spacing w:before="120" w:after="240"/>
      <w:outlineLvl w:val="3"/>
    </w:pPr>
    <w:rPr>
      <w:b/>
      <w:bCs/>
      <w:sz w:val="26"/>
      <w:szCs w:val="22"/>
    </w:rPr>
  </w:style>
  <w:style w:type="paragraph" w:styleId="Heading5">
    <w:name w:val="heading 5"/>
    <w:basedOn w:val="HeadingBase"/>
    <w:next w:val="Normal"/>
    <w:link w:val="Heading5Char"/>
    <w:qFormat/>
    <w:rsid w:val="00B347D9"/>
    <w:pPr>
      <w:spacing w:after="120"/>
      <w:outlineLvl w:val="4"/>
    </w:pPr>
    <w:rPr>
      <w:b/>
      <w:bCs/>
      <w:iCs/>
      <w:sz w:val="24"/>
    </w:rPr>
  </w:style>
  <w:style w:type="paragraph" w:styleId="Heading6">
    <w:name w:val="heading 6"/>
    <w:basedOn w:val="HeadingBase"/>
    <w:next w:val="Normal"/>
    <w:qFormat/>
    <w:rsid w:val="00B347D9"/>
    <w:pPr>
      <w:spacing w:after="120"/>
      <w:outlineLvl w:val="5"/>
    </w:pPr>
    <w:rPr>
      <w:bCs/>
      <w:sz w:val="22"/>
      <w:szCs w:val="22"/>
    </w:rPr>
  </w:style>
  <w:style w:type="paragraph" w:styleId="Heading7">
    <w:name w:val="heading 7"/>
    <w:basedOn w:val="HeadingBase"/>
    <w:next w:val="Normal"/>
    <w:qFormat/>
    <w:rsid w:val="00A16C23"/>
    <w:pPr>
      <w:spacing w:after="120"/>
      <w:outlineLvl w:val="6"/>
    </w:pPr>
    <w:rPr>
      <w:szCs w:val="24"/>
    </w:rPr>
  </w:style>
  <w:style w:type="paragraph" w:styleId="Heading8">
    <w:name w:val="heading 8"/>
    <w:basedOn w:val="HeadingBase"/>
    <w:next w:val="Normal"/>
    <w:qFormat/>
    <w:rsid w:val="00942526"/>
    <w:pPr>
      <w:spacing w:before="60" w:after="60"/>
      <w:jc w:val="center"/>
      <w:outlineLvl w:val="7"/>
    </w:pPr>
    <w:rPr>
      <w:iCs/>
      <w:smallCaps/>
      <w:sz w:val="22"/>
      <w:szCs w:val="24"/>
    </w:rPr>
  </w:style>
  <w:style w:type="paragraph" w:styleId="Heading9">
    <w:name w:val="heading 9"/>
    <w:basedOn w:val="HeadingBase"/>
    <w:next w:val="Normal"/>
    <w:qFormat/>
    <w:rsid w:val="00942526"/>
    <w:p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A16C23"/>
    <w:pPr>
      <w:spacing w:after="0"/>
    </w:pPr>
  </w:style>
  <w:style w:type="character" w:styleId="Hyperlink">
    <w:name w:val="Hyperlink"/>
    <w:basedOn w:val="DefaultParagraphFont"/>
    <w:rsid w:val="00A16C23"/>
    <w:rPr>
      <w:color w:val="auto"/>
      <w:u w:val="none"/>
    </w:rPr>
  </w:style>
  <w:style w:type="character" w:customStyle="1" w:styleId="BoldandItalic">
    <w:name w:val="Bold and Italic"/>
    <w:basedOn w:val="DefaultParagraphFont"/>
    <w:rsid w:val="00D3750D"/>
    <w:rPr>
      <w:rFonts w:ascii="Calibri" w:hAnsi="Calibri"/>
      <w:b/>
      <w:i/>
    </w:rPr>
  </w:style>
  <w:style w:type="table" w:styleId="TableGrid">
    <w:name w:val="Table Grid"/>
    <w:basedOn w:val="TableNormal"/>
    <w:rsid w:val="00A16C23"/>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customStyle="1" w:styleId="TableColumnHeadingBase">
    <w:name w:val="Table Column Heading Base"/>
    <w:basedOn w:val="Normal"/>
    <w:rsid w:val="00882640"/>
    <w:pPr>
      <w:spacing w:before="40" w:after="40" w:line="240" w:lineRule="auto"/>
    </w:pPr>
    <w:rPr>
      <w:b/>
      <w:color w:val="342E82"/>
      <w:sz w:val="16"/>
    </w:rPr>
  </w:style>
  <w:style w:type="paragraph" w:styleId="FootnoteText">
    <w:name w:val="footnote text"/>
    <w:basedOn w:val="Normal"/>
    <w:rsid w:val="00A16C23"/>
    <w:pPr>
      <w:tabs>
        <w:tab w:val="left" w:pos="284"/>
      </w:tabs>
      <w:spacing w:after="0" w:line="240" w:lineRule="auto"/>
      <w:ind w:left="284" w:hanging="284"/>
    </w:pPr>
    <w:rPr>
      <w:sz w:val="18"/>
    </w:rPr>
  </w:style>
  <w:style w:type="paragraph" w:customStyle="1" w:styleId="Bullet">
    <w:name w:val="Bullet"/>
    <w:basedOn w:val="Normal"/>
    <w:rsid w:val="00CC40CD"/>
    <w:pPr>
      <w:numPr>
        <w:numId w:val="12"/>
      </w:numPr>
    </w:pPr>
  </w:style>
  <w:style w:type="paragraph" w:customStyle="1" w:styleId="Dash">
    <w:name w:val="Dash"/>
    <w:basedOn w:val="Normal"/>
    <w:rsid w:val="00CC40CD"/>
    <w:pPr>
      <w:numPr>
        <w:ilvl w:val="1"/>
        <w:numId w:val="12"/>
      </w:numPr>
    </w:pPr>
  </w:style>
  <w:style w:type="paragraph" w:customStyle="1" w:styleId="DoubleDot">
    <w:name w:val="Double Dot"/>
    <w:basedOn w:val="Normal"/>
    <w:rsid w:val="00CC40CD"/>
    <w:pPr>
      <w:numPr>
        <w:ilvl w:val="2"/>
        <w:numId w:val="12"/>
      </w:numPr>
    </w:pPr>
  </w:style>
  <w:style w:type="paragraph" w:customStyle="1" w:styleId="OutlineNumbered1">
    <w:name w:val="Outline Numbered 1"/>
    <w:basedOn w:val="Normal"/>
    <w:rsid w:val="00E07913"/>
    <w:pPr>
      <w:numPr>
        <w:numId w:val="1"/>
      </w:numPr>
      <w:tabs>
        <w:tab w:val="clear" w:pos="567"/>
        <w:tab w:val="num" w:pos="360"/>
      </w:tabs>
      <w:ind w:left="0" w:firstLine="0"/>
    </w:pPr>
  </w:style>
  <w:style w:type="paragraph" w:customStyle="1" w:styleId="OutlineNumbered2">
    <w:name w:val="Outline Numbered 2"/>
    <w:basedOn w:val="Normal"/>
    <w:rsid w:val="00E07913"/>
    <w:pPr>
      <w:numPr>
        <w:ilvl w:val="1"/>
        <w:numId w:val="1"/>
      </w:numPr>
      <w:tabs>
        <w:tab w:val="clear" w:pos="1134"/>
        <w:tab w:val="num" w:pos="360"/>
      </w:tabs>
      <w:ind w:left="0" w:firstLine="0"/>
    </w:pPr>
  </w:style>
  <w:style w:type="paragraph" w:customStyle="1" w:styleId="OutlineNumbered3">
    <w:name w:val="Outline Numbered 3"/>
    <w:basedOn w:val="Normal"/>
    <w:rsid w:val="00E07913"/>
    <w:pPr>
      <w:numPr>
        <w:ilvl w:val="2"/>
        <w:numId w:val="1"/>
      </w:numPr>
    </w:pPr>
  </w:style>
  <w:style w:type="paragraph" w:customStyle="1" w:styleId="AlphaParagraph">
    <w:name w:val="Alpha Paragraph"/>
    <w:basedOn w:val="Normal"/>
    <w:rsid w:val="00A16C23"/>
    <w:pPr>
      <w:numPr>
        <w:numId w:val="2"/>
      </w:numPr>
    </w:pPr>
  </w:style>
  <w:style w:type="paragraph" w:customStyle="1" w:styleId="HeadingBase">
    <w:name w:val="Heading Base"/>
    <w:next w:val="Normal"/>
    <w:rsid w:val="00D3750D"/>
    <w:pPr>
      <w:keepNext/>
    </w:pPr>
    <w:rPr>
      <w:rFonts w:ascii="Calibri" w:hAnsi="Calibri"/>
      <w:color w:val="342E82"/>
    </w:rPr>
  </w:style>
  <w:style w:type="paragraph" w:customStyle="1" w:styleId="AppendixHeading">
    <w:name w:val="Appendix Heading"/>
    <w:basedOn w:val="HeadingBase"/>
    <w:next w:val="Normal"/>
    <w:rsid w:val="00D3750D"/>
    <w:pPr>
      <w:spacing w:before="720" w:after="360"/>
      <w:outlineLvl w:val="0"/>
    </w:pPr>
    <w:rPr>
      <w:b/>
      <w:smallCaps/>
      <w:sz w:val="36"/>
      <w:szCs w:val="36"/>
    </w:rPr>
  </w:style>
  <w:style w:type="character" w:customStyle="1" w:styleId="Bold">
    <w:name w:val="Bold"/>
    <w:basedOn w:val="DefaultParagraphFont"/>
    <w:rsid w:val="00A16C23"/>
    <w:rPr>
      <w:b/>
    </w:rPr>
  </w:style>
  <w:style w:type="paragraph" w:customStyle="1" w:styleId="BoxHeading">
    <w:name w:val="Box Heading"/>
    <w:basedOn w:val="HeadingBase"/>
    <w:next w:val="BoxText"/>
    <w:rsid w:val="00A16C23"/>
    <w:pPr>
      <w:spacing w:before="240" w:after="120"/>
    </w:pPr>
    <w:rPr>
      <w:b/>
      <w:sz w:val="22"/>
    </w:rPr>
  </w:style>
  <w:style w:type="paragraph" w:customStyle="1" w:styleId="BoxTextBase">
    <w:name w:val="Box Text Base"/>
    <w:basedOn w:val="Normal"/>
    <w:rsid w:val="00D03180"/>
  </w:style>
  <w:style w:type="paragraph" w:customStyle="1" w:styleId="ChartandTableFootnoteAlpha">
    <w:name w:val="Chart and Table Footnote Alpha"/>
    <w:rsid w:val="00A16C23"/>
    <w:pPr>
      <w:numPr>
        <w:numId w:val="3"/>
      </w:numPr>
      <w:tabs>
        <w:tab w:val="clear" w:pos="283"/>
        <w:tab w:val="num" w:pos="360"/>
      </w:tabs>
      <w:ind w:left="0" w:firstLine="0"/>
      <w:jc w:val="both"/>
    </w:pPr>
    <w:rPr>
      <w:rFonts w:ascii="Arial" w:hAnsi="Arial"/>
      <w:color w:val="000000"/>
      <w:sz w:val="16"/>
      <w:szCs w:val="16"/>
    </w:rPr>
  </w:style>
  <w:style w:type="paragraph" w:customStyle="1" w:styleId="ChartGraphic">
    <w:name w:val="Chart Graphic"/>
    <w:basedOn w:val="HeadingBase"/>
    <w:next w:val="Normal"/>
    <w:rsid w:val="00A16C23"/>
    <w:pPr>
      <w:jc w:val="center"/>
    </w:pPr>
  </w:style>
  <w:style w:type="paragraph" w:customStyle="1" w:styleId="ChartMainHeading">
    <w:name w:val="Chart Main Heading"/>
    <w:basedOn w:val="HeadingBase"/>
    <w:next w:val="ChartGraphic"/>
    <w:rsid w:val="00A16C23"/>
    <w:pPr>
      <w:spacing w:after="20"/>
      <w:jc w:val="center"/>
    </w:pPr>
    <w:rPr>
      <w:b/>
      <w:sz w:val="22"/>
    </w:rPr>
  </w:style>
  <w:style w:type="paragraph" w:customStyle="1" w:styleId="ChartorTableNote">
    <w:name w:val="Chart or Table Note"/>
    <w:next w:val="Normal"/>
    <w:rsid w:val="00A16C23"/>
    <w:pPr>
      <w:jc w:val="both"/>
    </w:pPr>
    <w:rPr>
      <w:rFonts w:ascii="Arial" w:hAnsi="Arial"/>
      <w:color w:val="000000"/>
      <w:sz w:val="16"/>
    </w:rPr>
  </w:style>
  <w:style w:type="paragraph" w:customStyle="1" w:styleId="ChartSecondHeading">
    <w:name w:val="Chart Second Heading"/>
    <w:basedOn w:val="HeadingBase"/>
    <w:next w:val="ChartGraphic"/>
    <w:rsid w:val="00A16C23"/>
    <w:pPr>
      <w:spacing w:after="20"/>
      <w:jc w:val="center"/>
    </w:pPr>
  </w:style>
  <w:style w:type="paragraph" w:customStyle="1" w:styleId="Classification">
    <w:name w:val="Classification"/>
    <w:basedOn w:val="HeadingBase"/>
    <w:next w:val="Footer"/>
    <w:semiHidden/>
    <w:rsid w:val="00A16C23"/>
    <w:pPr>
      <w:spacing w:after="120"/>
      <w:jc w:val="center"/>
    </w:pPr>
    <w:rPr>
      <w:b/>
      <w:smallCaps/>
    </w:rPr>
  </w:style>
  <w:style w:type="paragraph" w:styleId="Footer">
    <w:name w:val="footer"/>
    <w:basedOn w:val="HeadingBase"/>
    <w:link w:val="FooterChar"/>
    <w:uiPriority w:val="99"/>
    <w:rsid w:val="00A16C23"/>
    <w:rPr>
      <w:sz w:val="18"/>
    </w:rPr>
  </w:style>
  <w:style w:type="paragraph" w:customStyle="1" w:styleId="ContentsHeading">
    <w:name w:val="Contents Heading"/>
    <w:basedOn w:val="HeadingBase"/>
    <w:next w:val="Normal"/>
    <w:rsid w:val="00A16C23"/>
    <w:pPr>
      <w:spacing w:after="360"/>
    </w:pPr>
    <w:rPr>
      <w:smallCaps/>
      <w:sz w:val="36"/>
      <w:szCs w:val="36"/>
    </w:rPr>
  </w:style>
  <w:style w:type="paragraph" w:customStyle="1" w:styleId="CoverTitleMain">
    <w:name w:val="Cover Title Main"/>
    <w:basedOn w:val="HeadingBase"/>
    <w:next w:val="Normal"/>
    <w:rsid w:val="008E3B84"/>
    <w:pPr>
      <w:spacing w:after="480"/>
    </w:pPr>
    <w:rPr>
      <w:b/>
      <w:sz w:val="48"/>
    </w:rPr>
  </w:style>
  <w:style w:type="paragraph" w:customStyle="1" w:styleId="CoverTitleSub">
    <w:name w:val="Cover Title Sub"/>
    <w:basedOn w:val="HeadingBase"/>
    <w:rsid w:val="0033013B"/>
    <w:pPr>
      <w:spacing w:after="360"/>
      <w:jc w:val="right"/>
    </w:pPr>
    <w:rPr>
      <w:sz w:val="36"/>
    </w:rPr>
  </w:style>
  <w:style w:type="paragraph" w:customStyle="1" w:styleId="FooterCentered">
    <w:name w:val="Footer Centered"/>
    <w:basedOn w:val="Footer"/>
    <w:rsid w:val="00A16C23"/>
    <w:pPr>
      <w:jc w:val="center"/>
    </w:pPr>
  </w:style>
  <w:style w:type="paragraph" w:customStyle="1" w:styleId="FooterEven">
    <w:name w:val="Footer Even"/>
    <w:basedOn w:val="Footer"/>
    <w:rsid w:val="00A16C23"/>
  </w:style>
  <w:style w:type="paragraph" w:customStyle="1" w:styleId="FooterOdd">
    <w:name w:val="Footer Odd"/>
    <w:basedOn w:val="Footer"/>
    <w:rsid w:val="00A16C23"/>
    <w:pPr>
      <w:jc w:val="right"/>
    </w:pPr>
  </w:style>
  <w:style w:type="character" w:customStyle="1" w:styleId="FramedFooter">
    <w:name w:val="Framed Footer"/>
    <w:rsid w:val="00C466C6"/>
    <w:rPr>
      <w:rFonts w:ascii="Arial" w:hAnsi="Arial"/>
      <w:color w:val="342E82"/>
      <w:sz w:val="18"/>
    </w:rPr>
  </w:style>
  <w:style w:type="character" w:customStyle="1" w:styleId="FramedHeader">
    <w:name w:val="Framed Header"/>
    <w:basedOn w:val="DefaultParagraphFont"/>
    <w:rsid w:val="00C466C6"/>
    <w:rPr>
      <w:rFonts w:ascii="Arial" w:hAnsi="Arial"/>
      <w:dstrike w:val="0"/>
      <w:color w:val="342E82"/>
      <w:sz w:val="18"/>
      <w:vertAlign w:val="baseline"/>
    </w:rPr>
  </w:style>
  <w:style w:type="paragraph" w:styleId="Header">
    <w:name w:val="header"/>
    <w:basedOn w:val="HeadingBase"/>
    <w:link w:val="HeaderChar"/>
    <w:uiPriority w:val="99"/>
    <w:rsid w:val="00A16C23"/>
    <w:rPr>
      <w:sz w:val="18"/>
    </w:rPr>
  </w:style>
  <w:style w:type="paragraph" w:customStyle="1" w:styleId="HeaderEven">
    <w:name w:val="Header Even"/>
    <w:basedOn w:val="Header"/>
    <w:rsid w:val="00A16C23"/>
  </w:style>
  <w:style w:type="paragraph" w:customStyle="1" w:styleId="HeaderOdd">
    <w:name w:val="Header Odd"/>
    <w:basedOn w:val="Header"/>
    <w:rsid w:val="00A16C23"/>
    <w:pPr>
      <w:jc w:val="right"/>
    </w:pPr>
  </w:style>
  <w:style w:type="paragraph" w:styleId="NormalIndent">
    <w:name w:val="Normal Indent"/>
    <w:basedOn w:val="Normal"/>
    <w:rsid w:val="00B2418A"/>
    <w:pPr>
      <w:ind w:left="567"/>
    </w:pPr>
    <w:rPr>
      <w:i/>
    </w:rPr>
  </w:style>
  <w:style w:type="paragraph" w:customStyle="1" w:styleId="RecommendationHeading">
    <w:name w:val="Recommendation Heading"/>
    <w:basedOn w:val="HeadingBase"/>
    <w:next w:val="RecommendationText"/>
    <w:rsid w:val="00A16C23"/>
    <w:pPr>
      <w:spacing w:before="120" w:after="240"/>
    </w:pPr>
    <w:rPr>
      <w:b/>
      <w:sz w:val="22"/>
    </w:rPr>
  </w:style>
  <w:style w:type="paragraph" w:customStyle="1" w:styleId="RecommendationTextBase">
    <w:name w:val="Recommendation Text Base"/>
    <w:basedOn w:val="Normal"/>
    <w:rsid w:val="0045339B"/>
    <w:pPr>
      <w:spacing w:before="120" w:after="120"/>
    </w:pPr>
  </w:style>
  <w:style w:type="paragraph" w:customStyle="1" w:styleId="RecommendationText">
    <w:name w:val="Recommendation Text"/>
    <w:basedOn w:val="RecommendationTextBase"/>
    <w:rsid w:val="00A16C23"/>
  </w:style>
  <w:style w:type="paragraph" w:customStyle="1" w:styleId="TableTextBase">
    <w:name w:val="Table Text Base"/>
    <w:rsid w:val="00D3750D"/>
    <w:pPr>
      <w:spacing w:before="40" w:after="40"/>
    </w:pPr>
    <w:rPr>
      <w:rFonts w:asciiTheme="minorHAnsi" w:hAnsiTheme="minorHAnsi"/>
      <w:color w:val="000000"/>
      <w:sz w:val="16"/>
    </w:rPr>
  </w:style>
  <w:style w:type="paragraph" w:customStyle="1" w:styleId="TableColumnHeadingCentred">
    <w:name w:val="Table Column Heading Centred"/>
    <w:basedOn w:val="TableColumnHeadingBase"/>
    <w:rsid w:val="00EB2A00"/>
    <w:pPr>
      <w:jc w:val="center"/>
    </w:pPr>
  </w:style>
  <w:style w:type="paragraph" w:customStyle="1" w:styleId="TableColumnHeadingLeft">
    <w:name w:val="Table Column Heading Left"/>
    <w:basedOn w:val="TableColumnHeadingBase"/>
    <w:rsid w:val="00EB2A00"/>
  </w:style>
  <w:style w:type="paragraph" w:customStyle="1" w:styleId="TableColumnHeadingRight">
    <w:name w:val="Table Column Heading Right"/>
    <w:basedOn w:val="TableColumnHeadingBase"/>
    <w:rsid w:val="00EB2A00"/>
    <w:pPr>
      <w:jc w:val="right"/>
    </w:pPr>
  </w:style>
  <w:style w:type="paragraph" w:customStyle="1" w:styleId="TableGraphic">
    <w:name w:val="Table Graphic"/>
    <w:basedOn w:val="HeadingBase"/>
    <w:next w:val="Normal"/>
    <w:rsid w:val="00A16C23"/>
  </w:style>
  <w:style w:type="paragraph" w:customStyle="1" w:styleId="TableMainHeading">
    <w:name w:val="Table Main Heading"/>
    <w:basedOn w:val="HeadingBase"/>
    <w:next w:val="TableGraphic"/>
    <w:rsid w:val="00A16C23"/>
    <w:pPr>
      <w:spacing w:after="20"/>
    </w:pPr>
    <w:rPr>
      <w:b/>
      <w:sz w:val="22"/>
    </w:rPr>
  </w:style>
  <w:style w:type="paragraph" w:customStyle="1" w:styleId="TableMainHeadingContd">
    <w:name w:val="Table Main Heading Contd"/>
    <w:basedOn w:val="HeadingBase"/>
    <w:next w:val="TableGraphic"/>
    <w:rsid w:val="00EB2A00"/>
    <w:pPr>
      <w:pageBreakBefore/>
      <w:spacing w:after="20"/>
    </w:pPr>
    <w:rPr>
      <w:b/>
      <w:sz w:val="22"/>
    </w:rPr>
  </w:style>
  <w:style w:type="paragraph" w:customStyle="1" w:styleId="TableSecondHeading">
    <w:name w:val="Table Second Heading"/>
    <w:basedOn w:val="HeadingBase"/>
    <w:next w:val="TableGraphic"/>
    <w:rsid w:val="00A16C23"/>
    <w:pPr>
      <w:spacing w:after="20"/>
    </w:pPr>
  </w:style>
  <w:style w:type="paragraph" w:customStyle="1" w:styleId="TableTextCentered">
    <w:name w:val="Table Text Centered"/>
    <w:basedOn w:val="TableTextBase"/>
    <w:rsid w:val="00A16C23"/>
    <w:pPr>
      <w:jc w:val="center"/>
    </w:pPr>
  </w:style>
  <w:style w:type="paragraph" w:customStyle="1" w:styleId="TableTextIndented">
    <w:name w:val="Table Text Indented"/>
    <w:basedOn w:val="TableTextBase"/>
    <w:rsid w:val="00A16C23"/>
    <w:pPr>
      <w:ind w:left="284"/>
    </w:pPr>
  </w:style>
  <w:style w:type="paragraph" w:customStyle="1" w:styleId="TableTextLeft">
    <w:name w:val="Table Text Left"/>
    <w:basedOn w:val="TableTextBase"/>
    <w:rsid w:val="00A16C23"/>
  </w:style>
  <w:style w:type="paragraph" w:customStyle="1" w:styleId="TableTextRight">
    <w:name w:val="Table Text Right"/>
    <w:basedOn w:val="TableTextBase"/>
    <w:rsid w:val="00A16C23"/>
    <w:pPr>
      <w:jc w:val="right"/>
    </w:pPr>
  </w:style>
  <w:style w:type="paragraph" w:styleId="TOC1">
    <w:name w:val="toc 1"/>
    <w:basedOn w:val="HeadingBase"/>
    <w:next w:val="Normal"/>
    <w:uiPriority w:val="39"/>
    <w:rsid w:val="0028210D"/>
    <w:pPr>
      <w:tabs>
        <w:tab w:val="left" w:pos="284"/>
        <w:tab w:val="left" w:pos="567"/>
        <w:tab w:val="right" w:leader="dot" w:pos="9072"/>
      </w:tabs>
      <w:spacing w:before="180"/>
      <w:ind w:left="284" w:right="851" w:hanging="284"/>
    </w:pPr>
    <w:rPr>
      <w:b/>
      <w:smallCaps/>
      <w:sz w:val="22"/>
      <w:szCs w:val="22"/>
    </w:rPr>
  </w:style>
  <w:style w:type="paragraph" w:styleId="TOC2">
    <w:name w:val="toc 2"/>
    <w:basedOn w:val="HeadingBase"/>
    <w:next w:val="Normal"/>
    <w:uiPriority w:val="39"/>
    <w:rsid w:val="0028210D"/>
    <w:pPr>
      <w:tabs>
        <w:tab w:val="left" w:pos="851"/>
        <w:tab w:val="right" w:leader="dot" w:pos="9072"/>
      </w:tabs>
      <w:spacing w:before="40" w:after="20"/>
      <w:ind w:left="1135" w:right="851" w:hanging="851"/>
    </w:pPr>
  </w:style>
  <w:style w:type="paragraph" w:styleId="TOC3">
    <w:name w:val="toc 3"/>
    <w:basedOn w:val="Normal"/>
    <w:next w:val="Normal"/>
    <w:rsid w:val="00A16C23"/>
    <w:pPr>
      <w:tabs>
        <w:tab w:val="right" w:leader="dot" w:pos="9072"/>
      </w:tabs>
      <w:spacing w:before="20" w:after="0" w:line="240" w:lineRule="auto"/>
      <w:ind w:left="284" w:right="851"/>
    </w:pPr>
  </w:style>
  <w:style w:type="paragraph" w:styleId="TOC4">
    <w:name w:val="toc 4"/>
    <w:basedOn w:val="Normal"/>
    <w:next w:val="Normal"/>
    <w:rsid w:val="00A16C23"/>
    <w:pPr>
      <w:tabs>
        <w:tab w:val="right" w:leader="dot" w:pos="9072"/>
      </w:tabs>
      <w:spacing w:after="0" w:line="240" w:lineRule="auto"/>
      <w:ind w:left="284" w:right="851"/>
    </w:pPr>
  </w:style>
  <w:style w:type="character" w:customStyle="1" w:styleId="italic">
    <w:name w:val="italic"/>
    <w:basedOn w:val="DefaultParagraphFont"/>
    <w:rsid w:val="00A16C23"/>
    <w:rPr>
      <w:i/>
    </w:rPr>
  </w:style>
  <w:style w:type="paragraph" w:customStyle="1" w:styleId="OneLevelNumberedParagraph">
    <w:name w:val="One Level Numbered Paragraph"/>
    <w:basedOn w:val="Normal"/>
    <w:rsid w:val="00A16C23"/>
    <w:pPr>
      <w:numPr>
        <w:numId w:val="5"/>
      </w:numPr>
    </w:pPr>
  </w:style>
  <w:style w:type="paragraph" w:customStyle="1" w:styleId="BoxText">
    <w:name w:val="Box Text"/>
    <w:basedOn w:val="BoxTextBase"/>
    <w:rsid w:val="00A16C23"/>
  </w:style>
  <w:style w:type="paragraph" w:customStyle="1" w:styleId="BoxBullet">
    <w:name w:val="Box Bullet"/>
    <w:basedOn w:val="BoxTextBase"/>
    <w:rsid w:val="00A16C23"/>
    <w:pPr>
      <w:numPr>
        <w:numId w:val="4"/>
      </w:numPr>
    </w:pPr>
  </w:style>
  <w:style w:type="paragraph" w:customStyle="1" w:styleId="BoxDash">
    <w:name w:val="Box Dash"/>
    <w:basedOn w:val="Normal"/>
    <w:rsid w:val="00A16C23"/>
    <w:pPr>
      <w:numPr>
        <w:ilvl w:val="1"/>
        <w:numId w:val="4"/>
      </w:numPr>
    </w:pPr>
  </w:style>
  <w:style w:type="paragraph" w:customStyle="1" w:styleId="BoxDoubleDot">
    <w:name w:val="Box Double Dot"/>
    <w:basedOn w:val="BoxTextBase"/>
    <w:rsid w:val="00A16C23"/>
    <w:pPr>
      <w:numPr>
        <w:ilvl w:val="2"/>
        <w:numId w:val="4"/>
      </w:numPr>
    </w:pPr>
  </w:style>
  <w:style w:type="paragraph" w:customStyle="1" w:styleId="RecommendationBullet">
    <w:name w:val="Recommendation Bullet"/>
    <w:basedOn w:val="RecommendationTextBase"/>
    <w:rsid w:val="00A16C23"/>
    <w:pPr>
      <w:numPr>
        <w:numId w:val="6"/>
      </w:numPr>
    </w:pPr>
  </w:style>
  <w:style w:type="paragraph" w:customStyle="1" w:styleId="RecommendationDash">
    <w:name w:val="Recommendation Dash"/>
    <w:basedOn w:val="RecommendationTextBase"/>
    <w:rsid w:val="00A16C23"/>
    <w:pPr>
      <w:numPr>
        <w:ilvl w:val="1"/>
        <w:numId w:val="6"/>
      </w:numPr>
    </w:pPr>
  </w:style>
  <w:style w:type="paragraph" w:customStyle="1" w:styleId="RecommendationDoubleDot">
    <w:name w:val="Recommendation Double Dot"/>
    <w:basedOn w:val="RecommendationTextBase"/>
    <w:rsid w:val="00A16C23"/>
    <w:pPr>
      <w:numPr>
        <w:ilvl w:val="2"/>
        <w:numId w:val="6"/>
      </w:numPr>
    </w:pPr>
  </w:style>
  <w:style w:type="character" w:styleId="FollowedHyperlink">
    <w:name w:val="FollowedHyperlink"/>
    <w:basedOn w:val="DefaultParagraphFont"/>
    <w:rsid w:val="00A16C23"/>
    <w:rPr>
      <w:color w:val="auto"/>
      <w:u w:val="none"/>
    </w:rPr>
  </w:style>
  <w:style w:type="paragraph" w:customStyle="1" w:styleId="Heading1NotNumbered">
    <w:name w:val="Heading 1 Not Numbered"/>
    <w:basedOn w:val="HeadingBase"/>
    <w:next w:val="Normal"/>
    <w:rsid w:val="00D3750D"/>
    <w:pPr>
      <w:spacing w:before="720" w:after="360"/>
    </w:pPr>
    <w:rPr>
      <w:smallCaps/>
      <w:sz w:val="36"/>
      <w:szCs w:val="36"/>
    </w:rPr>
  </w:style>
  <w:style w:type="paragraph" w:customStyle="1" w:styleId="Heading2NotNumbered">
    <w:name w:val="Heading 2 Not Numbered"/>
    <w:basedOn w:val="HeadingBase"/>
    <w:next w:val="Normal"/>
    <w:rsid w:val="00D3750D"/>
    <w:pPr>
      <w:spacing w:before="360" w:after="180"/>
    </w:pPr>
    <w:rPr>
      <w:smallCaps/>
      <w:sz w:val="28"/>
      <w:szCs w:val="28"/>
    </w:rPr>
  </w:style>
  <w:style w:type="paragraph" w:customStyle="1" w:styleId="Heading3NotNumbered">
    <w:name w:val="Heading 3 Not Numbered"/>
    <w:basedOn w:val="HeadingBase"/>
    <w:next w:val="Normal"/>
    <w:rsid w:val="0033013B"/>
    <w:pPr>
      <w:spacing w:before="240" w:after="120"/>
    </w:pPr>
    <w:rPr>
      <w:sz w:val="28"/>
      <w:szCs w:val="26"/>
    </w:rPr>
  </w:style>
  <w:style w:type="paragraph" w:customStyle="1" w:styleId="Heading4NotNumbered">
    <w:name w:val="Heading 4 Not Numbered"/>
    <w:basedOn w:val="HeadingBase"/>
    <w:rsid w:val="00B347D9"/>
    <w:pPr>
      <w:spacing w:before="120" w:after="120"/>
      <w:outlineLvl w:val="3"/>
    </w:pPr>
    <w:rPr>
      <w:b/>
      <w:sz w:val="26"/>
    </w:rPr>
  </w:style>
  <w:style w:type="paragraph" w:styleId="BalloonText">
    <w:name w:val="Balloon Text"/>
    <w:basedOn w:val="Normal"/>
    <w:semiHidden/>
    <w:rsid w:val="005E76C1"/>
    <w:rPr>
      <w:rFonts w:ascii="Tahoma" w:hAnsi="Tahoma" w:cs="Tahoma"/>
      <w:sz w:val="16"/>
      <w:szCs w:val="16"/>
    </w:rPr>
  </w:style>
  <w:style w:type="paragraph" w:styleId="Caption">
    <w:name w:val="caption"/>
    <w:basedOn w:val="Normal"/>
    <w:next w:val="Normal"/>
    <w:qFormat/>
    <w:rsid w:val="005E76C1"/>
    <w:rPr>
      <w:b/>
      <w:bCs/>
    </w:rPr>
  </w:style>
  <w:style w:type="character" w:styleId="CommentReference">
    <w:name w:val="annotation reference"/>
    <w:basedOn w:val="DefaultParagraphFont"/>
    <w:semiHidden/>
    <w:rsid w:val="005E76C1"/>
    <w:rPr>
      <w:sz w:val="16"/>
      <w:szCs w:val="16"/>
    </w:rPr>
  </w:style>
  <w:style w:type="paragraph" w:styleId="CommentText">
    <w:name w:val="annotation text"/>
    <w:basedOn w:val="Normal"/>
    <w:semiHidden/>
    <w:rsid w:val="005E76C1"/>
  </w:style>
  <w:style w:type="paragraph" w:styleId="CommentSubject">
    <w:name w:val="annotation subject"/>
    <w:basedOn w:val="CommentText"/>
    <w:next w:val="CommentText"/>
    <w:semiHidden/>
    <w:rsid w:val="005E76C1"/>
    <w:rPr>
      <w:b/>
      <w:bCs/>
    </w:rPr>
  </w:style>
  <w:style w:type="paragraph" w:styleId="DocumentMap">
    <w:name w:val="Document Map"/>
    <w:basedOn w:val="Normal"/>
    <w:semiHidden/>
    <w:rsid w:val="005E76C1"/>
    <w:pPr>
      <w:shd w:val="clear" w:color="auto" w:fill="000080"/>
    </w:pPr>
    <w:rPr>
      <w:rFonts w:ascii="Tahoma" w:hAnsi="Tahoma" w:cs="Tahoma"/>
    </w:rPr>
  </w:style>
  <w:style w:type="character" w:styleId="EndnoteReference">
    <w:name w:val="endnote reference"/>
    <w:basedOn w:val="DefaultParagraphFont"/>
    <w:semiHidden/>
    <w:rsid w:val="005E76C1"/>
    <w:rPr>
      <w:vertAlign w:val="superscript"/>
    </w:rPr>
  </w:style>
  <w:style w:type="paragraph" w:styleId="EndnoteText">
    <w:name w:val="endnote text"/>
    <w:basedOn w:val="Normal"/>
    <w:semiHidden/>
    <w:rsid w:val="005E76C1"/>
  </w:style>
  <w:style w:type="character" w:styleId="FootnoteReference">
    <w:name w:val="footnote reference"/>
    <w:basedOn w:val="DefaultParagraphFont"/>
    <w:rsid w:val="005E76C1"/>
    <w:rPr>
      <w:vertAlign w:val="superscript"/>
    </w:rPr>
  </w:style>
  <w:style w:type="paragraph" w:styleId="Index1">
    <w:name w:val="index 1"/>
    <w:basedOn w:val="Normal"/>
    <w:next w:val="Normal"/>
    <w:autoRedefine/>
    <w:semiHidden/>
    <w:rsid w:val="005E76C1"/>
    <w:pPr>
      <w:ind w:left="200" w:hanging="200"/>
    </w:pPr>
  </w:style>
  <w:style w:type="paragraph" w:styleId="Index2">
    <w:name w:val="index 2"/>
    <w:basedOn w:val="Normal"/>
    <w:next w:val="Normal"/>
    <w:autoRedefine/>
    <w:semiHidden/>
    <w:rsid w:val="005E76C1"/>
    <w:pPr>
      <w:ind w:left="400" w:hanging="200"/>
    </w:pPr>
  </w:style>
  <w:style w:type="paragraph" w:styleId="Index3">
    <w:name w:val="index 3"/>
    <w:basedOn w:val="Normal"/>
    <w:next w:val="Normal"/>
    <w:autoRedefine/>
    <w:semiHidden/>
    <w:rsid w:val="005E76C1"/>
    <w:pPr>
      <w:ind w:left="600" w:hanging="200"/>
    </w:pPr>
  </w:style>
  <w:style w:type="paragraph" w:styleId="Index4">
    <w:name w:val="index 4"/>
    <w:basedOn w:val="Normal"/>
    <w:next w:val="Normal"/>
    <w:autoRedefine/>
    <w:semiHidden/>
    <w:rsid w:val="005E76C1"/>
    <w:pPr>
      <w:ind w:left="800" w:hanging="200"/>
    </w:pPr>
  </w:style>
  <w:style w:type="paragraph" w:styleId="Index5">
    <w:name w:val="index 5"/>
    <w:basedOn w:val="Normal"/>
    <w:next w:val="Normal"/>
    <w:autoRedefine/>
    <w:semiHidden/>
    <w:rsid w:val="005E76C1"/>
    <w:pPr>
      <w:ind w:left="1000" w:hanging="200"/>
    </w:pPr>
  </w:style>
  <w:style w:type="paragraph" w:styleId="Index6">
    <w:name w:val="index 6"/>
    <w:basedOn w:val="Normal"/>
    <w:next w:val="Normal"/>
    <w:autoRedefine/>
    <w:semiHidden/>
    <w:rsid w:val="005E76C1"/>
    <w:pPr>
      <w:ind w:left="1200" w:hanging="200"/>
    </w:pPr>
  </w:style>
  <w:style w:type="paragraph" w:styleId="Index7">
    <w:name w:val="index 7"/>
    <w:basedOn w:val="Normal"/>
    <w:next w:val="Normal"/>
    <w:autoRedefine/>
    <w:semiHidden/>
    <w:rsid w:val="005E76C1"/>
    <w:pPr>
      <w:ind w:left="1400" w:hanging="200"/>
    </w:pPr>
  </w:style>
  <w:style w:type="paragraph" w:styleId="Index8">
    <w:name w:val="index 8"/>
    <w:basedOn w:val="Normal"/>
    <w:next w:val="Normal"/>
    <w:autoRedefine/>
    <w:semiHidden/>
    <w:rsid w:val="005E76C1"/>
    <w:pPr>
      <w:ind w:left="1600" w:hanging="200"/>
    </w:pPr>
  </w:style>
  <w:style w:type="paragraph" w:styleId="Index9">
    <w:name w:val="index 9"/>
    <w:basedOn w:val="Normal"/>
    <w:next w:val="Normal"/>
    <w:autoRedefine/>
    <w:semiHidden/>
    <w:rsid w:val="005E76C1"/>
    <w:pPr>
      <w:ind w:left="1800" w:hanging="200"/>
    </w:pPr>
  </w:style>
  <w:style w:type="paragraph" w:styleId="IndexHeading">
    <w:name w:val="index heading"/>
    <w:basedOn w:val="Normal"/>
    <w:next w:val="Index1"/>
    <w:semiHidden/>
    <w:rsid w:val="005E76C1"/>
    <w:rPr>
      <w:rFonts w:cs="Arial"/>
      <w:b/>
      <w:bCs/>
    </w:rPr>
  </w:style>
  <w:style w:type="paragraph" w:styleId="MacroText">
    <w:name w:val="macro"/>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rsid w:val="005E76C1"/>
    <w:pPr>
      <w:ind w:left="200" w:hanging="200"/>
    </w:pPr>
  </w:style>
  <w:style w:type="paragraph" w:styleId="TableofFigures">
    <w:name w:val="table of figures"/>
    <w:basedOn w:val="Normal"/>
    <w:next w:val="Normal"/>
    <w:rsid w:val="005E76C1"/>
  </w:style>
  <w:style w:type="paragraph" w:styleId="TOAHeading">
    <w:name w:val="toa heading"/>
    <w:basedOn w:val="Normal"/>
    <w:next w:val="Normal"/>
    <w:semiHidden/>
    <w:rsid w:val="005E76C1"/>
    <w:pPr>
      <w:spacing w:before="120"/>
    </w:pPr>
    <w:rPr>
      <w:rFonts w:cs="Arial"/>
      <w:b/>
      <w:bCs/>
      <w:sz w:val="24"/>
      <w:szCs w:val="24"/>
    </w:rPr>
  </w:style>
  <w:style w:type="paragraph" w:styleId="TOC5">
    <w:name w:val="toc 5"/>
    <w:basedOn w:val="Normal"/>
    <w:next w:val="Normal"/>
    <w:autoRedefine/>
    <w:semiHidden/>
    <w:rsid w:val="005E76C1"/>
    <w:pPr>
      <w:ind w:left="800"/>
    </w:pPr>
  </w:style>
  <w:style w:type="paragraph" w:styleId="TOC6">
    <w:name w:val="toc 6"/>
    <w:basedOn w:val="Normal"/>
    <w:next w:val="Normal"/>
    <w:autoRedefine/>
    <w:semiHidden/>
    <w:rsid w:val="005E76C1"/>
    <w:pPr>
      <w:ind w:left="1000"/>
    </w:pPr>
  </w:style>
  <w:style w:type="paragraph" w:styleId="TOC7">
    <w:name w:val="toc 7"/>
    <w:basedOn w:val="Normal"/>
    <w:next w:val="Normal"/>
    <w:autoRedefine/>
    <w:semiHidden/>
    <w:rsid w:val="005E76C1"/>
    <w:pPr>
      <w:ind w:left="1200"/>
    </w:pPr>
  </w:style>
  <w:style w:type="paragraph" w:styleId="TOC8">
    <w:name w:val="toc 8"/>
    <w:basedOn w:val="Normal"/>
    <w:next w:val="Normal"/>
    <w:autoRedefine/>
    <w:semiHidden/>
    <w:rsid w:val="005E76C1"/>
    <w:pPr>
      <w:ind w:left="1400"/>
    </w:pPr>
  </w:style>
  <w:style w:type="paragraph" w:styleId="TOC9">
    <w:name w:val="toc 9"/>
    <w:basedOn w:val="Normal"/>
    <w:next w:val="Normal"/>
    <w:autoRedefine/>
    <w:semiHidden/>
    <w:rsid w:val="005E76C1"/>
    <w:pPr>
      <w:ind w:left="1600"/>
    </w:pPr>
  </w:style>
  <w:style w:type="paragraph" w:customStyle="1" w:styleId="Heading5NotNumbered">
    <w:name w:val="Heading 5 Not Numbered"/>
    <w:basedOn w:val="HeadingBase"/>
    <w:rsid w:val="00B347D9"/>
    <w:pPr>
      <w:spacing w:after="120"/>
      <w:outlineLvl w:val="4"/>
    </w:pPr>
    <w:rPr>
      <w:b/>
      <w:sz w:val="24"/>
    </w:rPr>
  </w:style>
  <w:style w:type="table" w:customStyle="1" w:styleId="OptionsTable">
    <w:name w:val="Options Table"/>
    <w:basedOn w:val="TableNormal"/>
    <w:rsid w:val="00981231"/>
    <w:tblPr>
      <w:tblStyleRowBandSize w:val="1"/>
      <w:tblInd w:w="0" w:type="dxa"/>
      <w:tblBorders>
        <w:insideH w:val="single" w:sz="12" w:space="0" w:color="FFFFFF"/>
        <w:insideV w:val="single" w:sz="12" w:space="0" w:color="FFFFFF"/>
      </w:tblBorders>
      <w:tblCellMar>
        <w:top w:w="0" w:type="dxa"/>
        <w:left w:w="108" w:type="dxa"/>
        <w:bottom w:w="0" w:type="dxa"/>
        <w:right w:w="108" w:type="dxa"/>
      </w:tblCellMar>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2A2C88"/>
    <w:pPr>
      <w:numPr>
        <w:numId w:val="7"/>
      </w:numPr>
    </w:pPr>
  </w:style>
  <w:style w:type="paragraph" w:customStyle="1" w:styleId="OutlineNumbered4">
    <w:name w:val="Outline Numbered 4"/>
    <w:basedOn w:val="Normal"/>
    <w:rsid w:val="00E07913"/>
  </w:style>
  <w:style w:type="paragraph" w:customStyle="1" w:styleId="OutlineNumbered5">
    <w:name w:val="Outline Numbered 5"/>
    <w:basedOn w:val="Normal"/>
    <w:rsid w:val="00E07913"/>
    <w:pPr>
      <w:numPr>
        <w:ilvl w:val="4"/>
        <w:numId w:val="1"/>
      </w:numPr>
    </w:pPr>
  </w:style>
  <w:style w:type="paragraph" w:customStyle="1" w:styleId="Crest">
    <w:name w:val="Crest"/>
    <w:basedOn w:val="Header"/>
    <w:rsid w:val="00F23AEE"/>
    <w:pPr>
      <w:spacing w:after="480"/>
      <w:jc w:val="right"/>
    </w:pPr>
  </w:style>
  <w:style w:type="character" w:customStyle="1" w:styleId="SingleParagraphChar">
    <w:name w:val="Single Paragraph Char"/>
    <w:basedOn w:val="DefaultParagraphFont"/>
    <w:link w:val="SingleParagraph"/>
    <w:rsid w:val="00421697"/>
    <w:rPr>
      <w:rFonts w:ascii="Arial" w:hAnsi="Arial"/>
      <w:color w:val="000000"/>
      <w:sz w:val="22"/>
      <w:lang w:val="en-AU" w:eastAsia="en-AU" w:bidi="ar-SA"/>
    </w:rPr>
  </w:style>
  <w:style w:type="character" w:customStyle="1" w:styleId="Heading5Char">
    <w:name w:val="Heading 5 Char"/>
    <w:basedOn w:val="DefaultParagraphFont"/>
    <w:link w:val="Heading5"/>
    <w:rsid w:val="00421697"/>
    <w:rPr>
      <w:rFonts w:ascii="Arial" w:hAnsi="Arial"/>
      <w:b/>
      <w:bCs/>
      <w:iCs/>
      <w:color w:val="342E82"/>
      <w:sz w:val="24"/>
      <w:lang w:val="en-AU" w:eastAsia="en-AU" w:bidi="ar-SA"/>
    </w:rPr>
  </w:style>
  <w:style w:type="character" w:customStyle="1" w:styleId="Heading4Char">
    <w:name w:val="Heading 4 Char"/>
    <w:basedOn w:val="DefaultParagraphFont"/>
    <w:link w:val="Heading4"/>
    <w:rsid w:val="00421697"/>
    <w:rPr>
      <w:rFonts w:ascii="Arial" w:hAnsi="Arial"/>
      <w:b/>
      <w:bCs/>
      <w:color w:val="342E82"/>
      <w:sz w:val="26"/>
      <w:szCs w:val="22"/>
      <w:lang w:val="en-AU" w:eastAsia="en-AU" w:bidi="ar-SA"/>
    </w:rPr>
  </w:style>
  <w:style w:type="character" w:customStyle="1" w:styleId="A5">
    <w:name w:val="A5"/>
    <w:uiPriority w:val="99"/>
    <w:rsid w:val="00240AAC"/>
    <w:rPr>
      <w:rFonts w:cs="Swiss 721 BT"/>
      <w:color w:val="000000"/>
      <w:sz w:val="20"/>
      <w:szCs w:val="20"/>
    </w:rPr>
  </w:style>
  <w:style w:type="paragraph" w:styleId="NormalWeb">
    <w:name w:val="Normal (Web)"/>
    <w:basedOn w:val="Normal"/>
    <w:uiPriority w:val="99"/>
    <w:unhideWhenUsed/>
    <w:rsid w:val="0075263F"/>
    <w:pPr>
      <w:spacing w:line="360" w:lineRule="atLeast"/>
      <w:jc w:val="left"/>
    </w:pPr>
    <w:rPr>
      <w:rFonts w:ascii="Times New Roman" w:hAnsi="Times New Roman"/>
      <w:sz w:val="26"/>
      <w:szCs w:val="26"/>
    </w:rPr>
  </w:style>
  <w:style w:type="paragraph" w:styleId="Revision">
    <w:name w:val="Revision"/>
    <w:hidden/>
    <w:uiPriority w:val="99"/>
    <w:semiHidden/>
    <w:rsid w:val="00C02D85"/>
    <w:rPr>
      <w:rFonts w:asciiTheme="minorHAnsi" w:hAnsiTheme="minorHAnsi"/>
      <w:color w:val="000000"/>
      <w:sz w:val="22"/>
    </w:rPr>
  </w:style>
  <w:style w:type="paragraph" w:customStyle="1" w:styleId="CABBackGround">
    <w:name w:val="CABBackGround"/>
    <w:basedOn w:val="Normal"/>
    <w:link w:val="CABBackGroundChar1"/>
    <w:rsid w:val="005C0294"/>
    <w:pPr>
      <w:spacing w:after="0" w:line="360" w:lineRule="auto"/>
      <w:jc w:val="left"/>
    </w:pPr>
    <w:rPr>
      <w:rFonts w:ascii="Times New Roman" w:hAnsi="Times New Roman"/>
      <w:color w:val="auto"/>
      <w:sz w:val="24"/>
    </w:rPr>
  </w:style>
  <w:style w:type="character" w:customStyle="1" w:styleId="CABBackGroundChar1">
    <w:name w:val="CABBackGround Char1"/>
    <w:link w:val="CABBackGround"/>
    <w:rsid w:val="005C0294"/>
    <w:rPr>
      <w:sz w:val="24"/>
    </w:rPr>
  </w:style>
  <w:style w:type="character" w:customStyle="1" w:styleId="CABNETParagraphChar">
    <w:name w:val="CABNET Paragraph Char"/>
    <w:basedOn w:val="DefaultParagraphFont"/>
    <w:link w:val="CABNETParagraph"/>
    <w:locked/>
    <w:rsid w:val="00554FE4"/>
    <w:rPr>
      <w:rFonts w:ascii="Verdana" w:hAnsi="Verdana"/>
    </w:rPr>
  </w:style>
  <w:style w:type="paragraph" w:customStyle="1" w:styleId="CABNETParagraph">
    <w:name w:val="CABNET Paragraph"/>
    <w:basedOn w:val="Normal"/>
    <w:link w:val="CABNETParagraphChar"/>
    <w:qFormat/>
    <w:rsid w:val="00554FE4"/>
    <w:pPr>
      <w:spacing w:before="120" w:after="120" w:line="240" w:lineRule="auto"/>
      <w:jc w:val="left"/>
    </w:pPr>
    <w:rPr>
      <w:rFonts w:ascii="Verdana" w:hAnsi="Verdana"/>
      <w:color w:val="auto"/>
      <w:sz w:val="20"/>
    </w:rPr>
  </w:style>
  <w:style w:type="numbering" w:customStyle="1" w:styleId="CABNETList">
    <w:name w:val="CABNET List"/>
    <w:rsid w:val="00554FE4"/>
    <w:pPr>
      <w:numPr>
        <w:numId w:val="10"/>
      </w:numPr>
    </w:pPr>
  </w:style>
  <w:style w:type="character" w:customStyle="1" w:styleId="HeaderChar">
    <w:name w:val="Header Char"/>
    <w:basedOn w:val="DefaultParagraphFont"/>
    <w:link w:val="Header"/>
    <w:uiPriority w:val="99"/>
    <w:rsid w:val="00AA738F"/>
    <w:rPr>
      <w:rFonts w:ascii="Calibri" w:hAnsi="Calibri"/>
      <w:color w:val="342E82"/>
      <w:sz w:val="18"/>
    </w:rPr>
  </w:style>
  <w:style w:type="character" w:customStyle="1" w:styleId="FooterChar">
    <w:name w:val="Footer Char"/>
    <w:basedOn w:val="DefaultParagraphFont"/>
    <w:link w:val="Footer"/>
    <w:uiPriority w:val="99"/>
    <w:rsid w:val="00AA738F"/>
    <w:rPr>
      <w:rFonts w:ascii="Calibri" w:hAnsi="Calibri"/>
      <w:color w:val="342E82"/>
      <w:sz w:val="18"/>
    </w:rPr>
  </w:style>
  <w:style w:type="paragraph" w:styleId="ListParagraph">
    <w:name w:val="List Paragraph"/>
    <w:basedOn w:val="Normal"/>
    <w:uiPriority w:val="34"/>
    <w:qFormat/>
    <w:rsid w:val="004A5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50D"/>
    <w:pPr>
      <w:spacing w:after="240" w:line="280" w:lineRule="exact"/>
      <w:jc w:val="both"/>
    </w:pPr>
    <w:rPr>
      <w:rFonts w:asciiTheme="minorHAnsi" w:hAnsiTheme="minorHAnsi"/>
      <w:color w:val="000000"/>
      <w:sz w:val="22"/>
    </w:rPr>
  </w:style>
  <w:style w:type="paragraph" w:styleId="Heading1">
    <w:name w:val="heading 1"/>
    <w:basedOn w:val="HeadingBase"/>
    <w:next w:val="Normal"/>
    <w:qFormat/>
    <w:rsid w:val="00D3750D"/>
    <w:pPr>
      <w:numPr>
        <w:numId w:val="8"/>
      </w:numPr>
      <w:spacing w:before="720" w:after="360"/>
      <w:outlineLvl w:val="0"/>
    </w:pPr>
    <w:rPr>
      <w:rFonts w:cs="Arial"/>
      <w:bCs/>
      <w:smallCaps/>
      <w:kern w:val="32"/>
      <w:sz w:val="36"/>
      <w:szCs w:val="36"/>
    </w:rPr>
  </w:style>
  <w:style w:type="paragraph" w:styleId="Heading2">
    <w:name w:val="heading 2"/>
    <w:basedOn w:val="HeadingBase"/>
    <w:next w:val="Normal"/>
    <w:qFormat/>
    <w:rsid w:val="00D3750D"/>
    <w:pPr>
      <w:numPr>
        <w:ilvl w:val="1"/>
        <w:numId w:val="8"/>
      </w:numPr>
      <w:spacing w:before="360" w:after="180"/>
      <w:outlineLvl w:val="1"/>
    </w:pPr>
    <w:rPr>
      <w:rFonts w:cs="Arial"/>
      <w:bCs/>
      <w:iCs/>
      <w:smallCaps/>
      <w:sz w:val="28"/>
      <w:szCs w:val="28"/>
    </w:rPr>
  </w:style>
  <w:style w:type="paragraph" w:styleId="Heading3">
    <w:name w:val="heading 3"/>
    <w:basedOn w:val="HeadingBase"/>
    <w:next w:val="Normal"/>
    <w:qFormat/>
    <w:rsid w:val="0033013B"/>
    <w:pPr>
      <w:numPr>
        <w:ilvl w:val="2"/>
        <w:numId w:val="8"/>
      </w:numPr>
      <w:spacing w:before="240" w:after="120"/>
      <w:outlineLvl w:val="2"/>
    </w:pPr>
    <w:rPr>
      <w:rFonts w:cs="Arial"/>
      <w:bCs/>
      <w:sz w:val="28"/>
      <w:szCs w:val="26"/>
    </w:rPr>
  </w:style>
  <w:style w:type="paragraph" w:styleId="Heading4">
    <w:name w:val="heading 4"/>
    <w:basedOn w:val="HeadingBase"/>
    <w:next w:val="Normal"/>
    <w:link w:val="Heading4Char"/>
    <w:qFormat/>
    <w:rsid w:val="00B347D9"/>
    <w:pPr>
      <w:spacing w:before="120" w:after="240"/>
      <w:outlineLvl w:val="3"/>
    </w:pPr>
    <w:rPr>
      <w:b/>
      <w:bCs/>
      <w:sz w:val="26"/>
      <w:szCs w:val="22"/>
    </w:rPr>
  </w:style>
  <w:style w:type="paragraph" w:styleId="Heading5">
    <w:name w:val="heading 5"/>
    <w:basedOn w:val="HeadingBase"/>
    <w:next w:val="Normal"/>
    <w:link w:val="Heading5Char"/>
    <w:qFormat/>
    <w:rsid w:val="00B347D9"/>
    <w:pPr>
      <w:spacing w:after="120"/>
      <w:outlineLvl w:val="4"/>
    </w:pPr>
    <w:rPr>
      <w:b/>
      <w:bCs/>
      <w:iCs/>
      <w:sz w:val="24"/>
    </w:rPr>
  </w:style>
  <w:style w:type="paragraph" w:styleId="Heading6">
    <w:name w:val="heading 6"/>
    <w:basedOn w:val="HeadingBase"/>
    <w:next w:val="Normal"/>
    <w:qFormat/>
    <w:rsid w:val="00B347D9"/>
    <w:pPr>
      <w:spacing w:after="120"/>
      <w:outlineLvl w:val="5"/>
    </w:pPr>
    <w:rPr>
      <w:bCs/>
      <w:sz w:val="22"/>
      <w:szCs w:val="22"/>
    </w:rPr>
  </w:style>
  <w:style w:type="paragraph" w:styleId="Heading7">
    <w:name w:val="heading 7"/>
    <w:basedOn w:val="HeadingBase"/>
    <w:next w:val="Normal"/>
    <w:qFormat/>
    <w:rsid w:val="00A16C23"/>
    <w:pPr>
      <w:spacing w:after="120"/>
      <w:outlineLvl w:val="6"/>
    </w:pPr>
    <w:rPr>
      <w:szCs w:val="24"/>
    </w:rPr>
  </w:style>
  <w:style w:type="paragraph" w:styleId="Heading8">
    <w:name w:val="heading 8"/>
    <w:basedOn w:val="HeadingBase"/>
    <w:next w:val="Normal"/>
    <w:qFormat/>
    <w:rsid w:val="00942526"/>
    <w:pPr>
      <w:spacing w:before="60" w:after="60"/>
      <w:jc w:val="center"/>
      <w:outlineLvl w:val="7"/>
    </w:pPr>
    <w:rPr>
      <w:iCs/>
      <w:smallCaps/>
      <w:sz w:val="22"/>
      <w:szCs w:val="24"/>
    </w:rPr>
  </w:style>
  <w:style w:type="paragraph" w:styleId="Heading9">
    <w:name w:val="heading 9"/>
    <w:basedOn w:val="HeadingBase"/>
    <w:next w:val="Normal"/>
    <w:qFormat/>
    <w:rsid w:val="00942526"/>
    <w:p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link w:val="SingleParagraphChar"/>
    <w:rsid w:val="00A16C23"/>
    <w:pPr>
      <w:spacing w:after="0"/>
    </w:pPr>
  </w:style>
  <w:style w:type="character" w:styleId="Hyperlink">
    <w:name w:val="Hyperlink"/>
    <w:basedOn w:val="DefaultParagraphFont"/>
    <w:rsid w:val="00A16C23"/>
    <w:rPr>
      <w:color w:val="auto"/>
      <w:u w:val="none"/>
    </w:rPr>
  </w:style>
  <w:style w:type="character" w:customStyle="1" w:styleId="BoldandItalic">
    <w:name w:val="Bold and Italic"/>
    <w:basedOn w:val="DefaultParagraphFont"/>
    <w:rsid w:val="00D3750D"/>
    <w:rPr>
      <w:rFonts w:ascii="Calibri" w:hAnsi="Calibri"/>
      <w:b/>
      <w:i/>
    </w:rPr>
  </w:style>
  <w:style w:type="table" w:styleId="TableGrid">
    <w:name w:val="Table Grid"/>
    <w:basedOn w:val="TableNormal"/>
    <w:rsid w:val="00A16C23"/>
    <w:pPr>
      <w:spacing w:after="240" w:line="260" w:lineRule="exact"/>
      <w:jc w:val="both"/>
    </w:pPr>
    <w:tblPr>
      <w:tblInd w:w="0" w:type="dxa"/>
      <w:tblCellMar>
        <w:top w:w="0" w:type="dxa"/>
        <w:left w:w="108" w:type="dxa"/>
        <w:bottom w:w="0" w:type="dxa"/>
        <w:right w:w="108" w:type="dxa"/>
      </w:tblCellMar>
    </w:tblPr>
    <w:tcPr>
      <w:shd w:val="clear" w:color="auto" w:fill="E6E6E6"/>
    </w:tcPr>
  </w:style>
  <w:style w:type="paragraph" w:customStyle="1" w:styleId="TableColumnHeadingBase">
    <w:name w:val="Table Column Heading Base"/>
    <w:basedOn w:val="Normal"/>
    <w:rsid w:val="00882640"/>
    <w:pPr>
      <w:spacing w:before="40" w:after="40" w:line="240" w:lineRule="auto"/>
    </w:pPr>
    <w:rPr>
      <w:b/>
      <w:color w:val="342E82"/>
      <w:sz w:val="16"/>
    </w:rPr>
  </w:style>
  <w:style w:type="paragraph" w:styleId="FootnoteText">
    <w:name w:val="footnote text"/>
    <w:basedOn w:val="Normal"/>
    <w:rsid w:val="00A16C23"/>
    <w:pPr>
      <w:tabs>
        <w:tab w:val="left" w:pos="284"/>
      </w:tabs>
      <w:spacing w:after="0" w:line="240" w:lineRule="auto"/>
      <w:ind w:left="284" w:hanging="284"/>
    </w:pPr>
    <w:rPr>
      <w:sz w:val="18"/>
    </w:rPr>
  </w:style>
  <w:style w:type="paragraph" w:customStyle="1" w:styleId="Bullet">
    <w:name w:val="Bullet"/>
    <w:basedOn w:val="Normal"/>
    <w:rsid w:val="00CC40CD"/>
    <w:pPr>
      <w:numPr>
        <w:numId w:val="12"/>
      </w:numPr>
    </w:pPr>
  </w:style>
  <w:style w:type="paragraph" w:customStyle="1" w:styleId="Dash">
    <w:name w:val="Dash"/>
    <w:basedOn w:val="Normal"/>
    <w:rsid w:val="00CC40CD"/>
    <w:pPr>
      <w:numPr>
        <w:ilvl w:val="1"/>
        <w:numId w:val="12"/>
      </w:numPr>
    </w:pPr>
  </w:style>
  <w:style w:type="paragraph" w:customStyle="1" w:styleId="DoubleDot">
    <w:name w:val="Double Dot"/>
    <w:basedOn w:val="Normal"/>
    <w:rsid w:val="00CC40CD"/>
    <w:pPr>
      <w:numPr>
        <w:ilvl w:val="2"/>
        <w:numId w:val="12"/>
      </w:numPr>
    </w:pPr>
  </w:style>
  <w:style w:type="paragraph" w:customStyle="1" w:styleId="OutlineNumbered1">
    <w:name w:val="Outline Numbered 1"/>
    <w:basedOn w:val="Normal"/>
    <w:rsid w:val="00E07913"/>
    <w:pPr>
      <w:numPr>
        <w:numId w:val="1"/>
      </w:numPr>
      <w:tabs>
        <w:tab w:val="clear" w:pos="567"/>
        <w:tab w:val="num" w:pos="360"/>
      </w:tabs>
      <w:ind w:left="0" w:firstLine="0"/>
    </w:pPr>
  </w:style>
  <w:style w:type="paragraph" w:customStyle="1" w:styleId="OutlineNumbered2">
    <w:name w:val="Outline Numbered 2"/>
    <w:basedOn w:val="Normal"/>
    <w:rsid w:val="00E07913"/>
    <w:pPr>
      <w:numPr>
        <w:ilvl w:val="1"/>
        <w:numId w:val="1"/>
      </w:numPr>
      <w:tabs>
        <w:tab w:val="clear" w:pos="1134"/>
        <w:tab w:val="num" w:pos="360"/>
      </w:tabs>
      <w:ind w:left="0" w:firstLine="0"/>
    </w:pPr>
  </w:style>
  <w:style w:type="paragraph" w:customStyle="1" w:styleId="OutlineNumbered3">
    <w:name w:val="Outline Numbered 3"/>
    <w:basedOn w:val="Normal"/>
    <w:rsid w:val="00E07913"/>
    <w:pPr>
      <w:numPr>
        <w:ilvl w:val="2"/>
        <w:numId w:val="1"/>
      </w:numPr>
    </w:pPr>
  </w:style>
  <w:style w:type="paragraph" w:customStyle="1" w:styleId="AlphaParagraph">
    <w:name w:val="Alpha Paragraph"/>
    <w:basedOn w:val="Normal"/>
    <w:rsid w:val="00A16C23"/>
    <w:pPr>
      <w:numPr>
        <w:numId w:val="2"/>
      </w:numPr>
    </w:pPr>
  </w:style>
  <w:style w:type="paragraph" w:customStyle="1" w:styleId="HeadingBase">
    <w:name w:val="Heading Base"/>
    <w:next w:val="Normal"/>
    <w:rsid w:val="00D3750D"/>
    <w:pPr>
      <w:keepNext/>
    </w:pPr>
    <w:rPr>
      <w:rFonts w:ascii="Calibri" w:hAnsi="Calibri"/>
      <w:color w:val="342E82"/>
    </w:rPr>
  </w:style>
  <w:style w:type="paragraph" w:customStyle="1" w:styleId="AppendixHeading">
    <w:name w:val="Appendix Heading"/>
    <w:basedOn w:val="HeadingBase"/>
    <w:next w:val="Normal"/>
    <w:rsid w:val="00D3750D"/>
    <w:pPr>
      <w:spacing w:before="720" w:after="360"/>
      <w:outlineLvl w:val="0"/>
    </w:pPr>
    <w:rPr>
      <w:b/>
      <w:smallCaps/>
      <w:sz w:val="36"/>
      <w:szCs w:val="36"/>
    </w:rPr>
  </w:style>
  <w:style w:type="character" w:customStyle="1" w:styleId="Bold">
    <w:name w:val="Bold"/>
    <w:basedOn w:val="DefaultParagraphFont"/>
    <w:rsid w:val="00A16C23"/>
    <w:rPr>
      <w:b/>
    </w:rPr>
  </w:style>
  <w:style w:type="paragraph" w:customStyle="1" w:styleId="BoxHeading">
    <w:name w:val="Box Heading"/>
    <w:basedOn w:val="HeadingBase"/>
    <w:next w:val="BoxText"/>
    <w:rsid w:val="00A16C23"/>
    <w:pPr>
      <w:spacing w:before="240" w:after="120"/>
    </w:pPr>
    <w:rPr>
      <w:b/>
      <w:sz w:val="22"/>
    </w:rPr>
  </w:style>
  <w:style w:type="paragraph" w:customStyle="1" w:styleId="BoxTextBase">
    <w:name w:val="Box Text Base"/>
    <w:basedOn w:val="Normal"/>
    <w:rsid w:val="00D03180"/>
  </w:style>
  <w:style w:type="paragraph" w:customStyle="1" w:styleId="ChartandTableFootnoteAlpha">
    <w:name w:val="Chart and Table Footnote Alpha"/>
    <w:rsid w:val="00A16C23"/>
    <w:pPr>
      <w:numPr>
        <w:numId w:val="3"/>
      </w:numPr>
      <w:tabs>
        <w:tab w:val="clear" w:pos="283"/>
        <w:tab w:val="num" w:pos="360"/>
      </w:tabs>
      <w:ind w:left="0" w:firstLine="0"/>
      <w:jc w:val="both"/>
    </w:pPr>
    <w:rPr>
      <w:rFonts w:ascii="Arial" w:hAnsi="Arial"/>
      <w:color w:val="000000"/>
      <w:sz w:val="16"/>
      <w:szCs w:val="16"/>
    </w:rPr>
  </w:style>
  <w:style w:type="paragraph" w:customStyle="1" w:styleId="ChartGraphic">
    <w:name w:val="Chart Graphic"/>
    <w:basedOn w:val="HeadingBase"/>
    <w:next w:val="Normal"/>
    <w:rsid w:val="00A16C23"/>
    <w:pPr>
      <w:jc w:val="center"/>
    </w:pPr>
  </w:style>
  <w:style w:type="paragraph" w:customStyle="1" w:styleId="ChartMainHeading">
    <w:name w:val="Chart Main Heading"/>
    <w:basedOn w:val="HeadingBase"/>
    <w:next w:val="ChartGraphic"/>
    <w:rsid w:val="00A16C23"/>
    <w:pPr>
      <w:spacing w:after="20"/>
      <w:jc w:val="center"/>
    </w:pPr>
    <w:rPr>
      <w:b/>
      <w:sz w:val="22"/>
    </w:rPr>
  </w:style>
  <w:style w:type="paragraph" w:customStyle="1" w:styleId="ChartorTableNote">
    <w:name w:val="Chart or Table Note"/>
    <w:next w:val="Normal"/>
    <w:rsid w:val="00A16C23"/>
    <w:pPr>
      <w:jc w:val="both"/>
    </w:pPr>
    <w:rPr>
      <w:rFonts w:ascii="Arial" w:hAnsi="Arial"/>
      <w:color w:val="000000"/>
      <w:sz w:val="16"/>
    </w:rPr>
  </w:style>
  <w:style w:type="paragraph" w:customStyle="1" w:styleId="ChartSecondHeading">
    <w:name w:val="Chart Second Heading"/>
    <w:basedOn w:val="HeadingBase"/>
    <w:next w:val="ChartGraphic"/>
    <w:rsid w:val="00A16C23"/>
    <w:pPr>
      <w:spacing w:after="20"/>
      <w:jc w:val="center"/>
    </w:pPr>
  </w:style>
  <w:style w:type="paragraph" w:customStyle="1" w:styleId="Classification">
    <w:name w:val="Classification"/>
    <w:basedOn w:val="HeadingBase"/>
    <w:next w:val="Footer"/>
    <w:semiHidden/>
    <w:rsid w:val="00A16C23"/>
    <w:pPr>
      <w:spacing w:after="120"/>
      <w:jc w:val="center"/>
    </w:pPr>
    <w:rPr>
      <w:b/>
      <w:smallCaps/>
    </w:rPr>
  </w:style>
  <w:style w:type="paragraph" w:styleId="Footer">
    <w:name w:val="footer"/>
    <w:basedOn w:val="HeadingBase"/>
    <w:link w:val="FooterChar"/>
    <w:uiPriority w:val="99"/>
    <w:rsid w:val="00A16C23"/>
    <w:rPr>
      <w:sz w:val="18"/>
    </w:rPr>
  </w:style>
  <w:style w:type="paragraph" w:customStyle="1" w:styleId="ContentsHeading">
    <w:name w:val="Contents Heading"/>
    <w:basedOn w:val="HeadingBase"/>
    <w:next w:val="Normal"/>
    <w:rsid w:val="00A16C23"/>
    <w:pPr>
      <w:spacing w:after="360"/>
    </w:pPr>
    <w:rPr>
      <w:smallCaps/>
      <w:sz w:val="36"/>
      <w:szCs w:val="36"/>
    </w:rPr>
  </w:style>
  <w:style w:type="paragraph" w:customStyle="1" w:styleId="CoverTitleMain">
    <w:name w:val="Cover Title Main"/>
    <w:basedOn w:val="HeadingBase"/>
    <w:next w:val="Normal"/>
    <w:rsid w:val="008E3B84"/>
    <w:pPr>
      <w:spacing w:after="480"/>
    </w:pPr>
    <w:rPr>
      <w:b/>
      <w:sz w:val="48"/>
    </w:rPr>
  </w:style>
  <w:style w:type="paragraph" w:customStyle="1" w:styleId="CoverTitleSub">
    <w:name w:val="Cover Title Sub"/>
    <w:basedOn w:val="HeadingBase"/>
    <w:rsid w:val="0033013B"/>
    <w:pPr>
      <w:spacing w:after="360"/>
      <w:jc w:val="right"/>
    </w:pPr>
    <w:rPr>
      <w:sz w:val="36"/>
    </w:rPr>
  </w:style>
  <w:style w:type="paragraph" w:customStyle="1" w:styleId="FooterCentered">
    <w:name w:val="Footer Centered"/>
    <w:basedOn w:val="Footer"/>
    <w:rsid w:val="00A16C23"/>
    <w:pPr>
      <w:jc w:val="center"/>
    </w:pPr>
  </w:style>
  <w:style w:type="paragraph" w:customStyle="1" w:styleId="FooterEven">
    <w:name w:val="Footer Even"/>
    <w:basedOn w:val="Footer"/>
    <w:rsid w:val="00A16C23"/>
  </w:style>
  <w:style w:type="paragraph" w:customStyle="1" w:styleId="FooterOdd">
    <w:name w:val="Footer Odd"/>
    <w:basedOn w:val="Footer"/>
    <w:rsid w:val="00A16C23"/>
    <w:pPr>
      <w:jc w:val="right"/>
    </w:pPr>
  </w:style>
  <w:style w:type="character" w:customStyle="1" w:styleId="FramedFooter">
    <w:name w:val="Framed Footer"/>
    <w:rsid w:val="00C466C6"/>
    <w:rPr>
      <w:rFonts w:ascii="Arial" w:hAnsi="Arial"/>
      <w:color w:val="342E82"/>
      <w:sz w:val="18"/>
    </w:rPr>
  </w:style>
  <w:style w:type="character" w:customStyle="1" w:styleId="FramedHeader">
    <w:name w:val="Framed Header"/>
    <w:basedOn w:val="DefaultParagraphFont"/>
    <w:rsid w:val="00C466C6"/>
    <w:rPr>
      <w:rFonts w:ascii="Arial" w:hAnsi="Arial"/>
      <w:dstrike w:val="0"/>
      <w:color w:val="342E82"/>
      <w:sz w:val="18"/>
      <w:vertAlign w:val="baseline"/>
    </w:rPr>
  </w:style>
  <w:style w:type="paragraph" w:styleId="Header">
    <w:name w:val="header"/>
    <w:basedOn w:val="HeadingBase"/>
    <w:link w:val="HeaderChar"/>
    <w:uiPriority w:val="99"/>
    <w:rsid w:val="00A16C23"/>
    <w:rPr>
      <w:sz w:val="18"/>
    </w:rPr>
  </w:style>
  <w:style w:type="paragraph" w:customStyle="1" w:styleId="HeaderEven">
    <w:name w:val="Header Even"/>
    <w:basedOn w:val="Header"/>
    <w:rsid w:val="00A16C23"/>
  </w:style>
  <w:style w:type="paragraph" w:customStyle="1" w:styleId="HeaderOdd">
    <w:name w:val="Header Odd"/>
    <w:basedOn w:val="Header"/>
    <w:rsid w:val="00A16C23"/>
    <w:pPr>
      <w:jc w:val="right"/>
    </w:pPr>
  </w:style>
  <w:style w:type="paragraph" w:styleId="NormalIndent">
    <w:name w:val="Normal Indent"/>
    <w:basedOn w:val="Normal"/>
    <w:rsid w:val="00B2418A"/>
    <w:pPr>
      <w:ind w:left="567"/>
    </w:pPr>
    <w:rPr>
      <w:i/>
    </w:rPr>
  </w:style>
  <w:style w:type="paragraph" w:customStyle="1" w:styleId="RecommendationHeading">
    <w:name w:val="Recommendation Heading"/>
    <w:basedOn w:val="HeadingBase"/>
    <w:next w:val="RecommendationText"/>
    <w:rsid w:val="00A16C23"/>
    <w:pPr>
      <w:spacing w:before="120" w:after="240"/>
    </w:pPr>
    <w:rPr>
      <w:b/>
      <w:sz w:val="22"/>
    </w:rPr>
  </w:style>
  <w:style w:type="paragraph" w:customStyle="1" w:styleId="RecommendationTextBase">
    <w:name w:val="Recommendation Text Base"/>
    <w:basedOn w:val="Normal"/>
    <w:rsid w:val="0045339B"/>
    <w:pPr>
      <w:spacing w:before="120" w:after="120"/>
    </w:pPr>
  </w:style>
  <w:style w:type="paragraph" w:customStyle="1" w:styleId="RecommendationText">
    <w:name w:val="Recommendation Text"/>
    <w:basedOn w:val="RecommendationTextBase"/>
    <w:rsid w:val="00A16C23"/>
  </w:style>
  <w:style w:type="paragraph" w:customStyle="1" w:styleId="TableTextBase">
    <w:name w:val="Table Text Base"/>
    <w:rsid w:val="00D3750D"/>
    <w:pPr>
      <w:spacing w:before="40" w:after="40"/>
    </w:pPr>
    <w:rPr>
      <w:rFonts w:asciiTheme="minorHAnsi" w:hAnsiTheme="minorHAnsi"/>
      <w:color w:val="000000"/>
      <w:sz w:val="16"/>
    </w:rPr>
  </w:style>
  <w:style w:type="paragraph" w:customStyle="1" w:styleId="TableColumnHeadingCentred">
    <w:name w:val="Table Column Heading Centred"/>
    <w:basedOn w:val="TableColumnHeadingBase"/>
    <w:rsid w:val="00EB2A00"/>
    <w:pPr>
      <w:jc w:val="center"/>
    </w:pPr>
  </w:style>
  <w:style w:type="paragraph" w:customStyle="1" w:styleId="TableColumnHeadingLeft">
    <w:name w:val="Table Column Heading Left"/>
    <w:basedOn w:val="TableColumnHeadingBase"/>
    <w:rsid w:val="00EB2A00"/>
  </w:style>
  <w:style w:type="paragraph" w:customStyle="1" w:styleId="TableColumnHeadingRight">
    <w:name w:val="Table Column Heading Right"/>
    <w:basedOn w:val="TableColumnHeadingBase"/>
    <w:rsid w:val="00EB2A00"/>
    <w:pPr>
      <w:jc w:val="right"/>
    </w:pPr>
  </w:style>
  <w:style w:type="paragraph" w:customStyle="1" w:styleId="TableGraphic">
    <w:name w:val="Table Graphic"/>
    <w:basedOn w:val="HeadingBase"/>
    <w:next w:val="Normal"/>
    <w:rsid w:val="00A16C23"/>
  </w:style>
  <w:style w:type="paragraph" w:customStyle="1" w:styleId="TableMainHeading">
    <w:name w:val="Table Main Heading"/>
    <w:basedOn w:val="HeadingBase"/>
    <w:next w:val="TableGraphic"/>
    <w:rsid w:val="00A16C23"/>
    <w:pPr>
      <w:spacing w:after="20"/>
    </w:pPr>
    <w:rPr>
      <w:b/>
      <w:sz w:val="22"/>
    </w:rPr>
  </w:style>
  <w:style w:type="paragraph" w:customStyle="1" w:styleId="TableMainHeadingContd">
    <w:name w:val="Table Main Heading Contd"/>
    <w:basedOn w:val="HeadingBase"/>
    <w:next w:val="TableGraphic"/>
    <w:rsid w:val="00EB2A00"/>
    <w:pPr>
      <w:pageBreakBefore/>
      <w:spacing w:after="20"/>
    </w:pPr>
    <w:rPr>
      <w:b/>
      <w:sz w:val="22"/>
    </w:rPr>
  </w:style>
  <w:style w:type="paragraph" w:customStyle="1" w:styleId="TableSecondHeading">
    <w:name w:val="Table Second Heading"/>
    <w:basedOn w:val="HeadingBase"/>
    <w:next w:val="TableGraphic"/>
    <w:rsid w:val="00A16C23"/>
    <w:pPr>
      <w:spacing w:after="20"/>
    </w:pPr>
  </w:style>
  <w:style w:type="paragraph" w:customStyle="1" w:styleId="TableTextCentered">
    <w:name w:val="Table Text Centered"/>
    <w:basedOn w:val="TableTextBase"/>
    <w:rsid w:val="00A16C23"/>
    <w:pPr>
      <w:jc w:val="center"/>
    </w:pPr>
  </w:style>
  <w:style w:type="paragraph" w:customStyle="1" w:styleId="TableTextIndented">
    <w:name w:val="Table Text Indented"/>
    <w:basedOn w:val="TableTextBase"/>
    <w:rsid w:val="00A16C23"/>
    <w:pPr>
      <w:ind w:left="284"/>
    </w:pPr>
  </w:style>
  <w:style w:type="paragraph" w:customStyle="1" w:styleId="TableTextLeft">
    <w:name w:val="Table Text Left"/>
    <w:basedOn w:val="TableTextBase"/>
    <w:rsid w:val="00A16C23"/>
  </w:style>
  <w:style w:type="paragraph" w:customStyle="1" w:styleId="TableTextRight">
    <w:name w:val="Table Text Right"/>
    <w:basedOn w:val="TableTextBase"/>
    <w:rsid w:val="00A16C23"/>
    <w:pPr>
      <w:jc w:val="right"/>
    </w:pPr>
  </w:style>
  <w:style w:type="paragraph" w:styleId="TOC1">
    <w:name w:val="toc 1"/>
    <w:basedOn w:val="HeadingBase"/>
    <w:next w:val="Normal"/>
    <w:uiPriority w:val="39"/>
    <w:rsid w:val="0028210D"/>
    <w:pPr>
      <w:tabs>
        <w:tab w:val="left" w:pos="284"/>
        <w:tab w:val="left" w:pos="567"/>
        <w:tab w:val="right" w:leader="dot" w:pos="9072"/>
      </w:tabs>
      <w:spacing w:before="180"/>
      <w:ind w:left="284" w:right="851" w:hanging="284"/>
    </w:pPr>
    <w:rPr>
      <w:b/>
      <w:smallCaps/>
      <w:sz w:val="22"/>
      <w:szCs w:val="22"/>
    </w:rPr>
  </w:style>
  <w:style w:type="paragraph" w:styleId="TOC2">
    <w:name w:val="toc 2"/>
    <w:basedOn w:val="HeadingBase"/>
    <w:next w:val="Normal"/>
    <w:uiPriority w:val="39"/>
    <w:rsid w:val="0028210D"/>
    <w:pPr>
      <w:tabs>
        <w:tab w:val="left" w:pos="851"/>
        <w:tab w:val="right" w:leader="dot" w:pos="9072"/>
      </w:tabs>
      <w:spacing w:before="40" w:after="20"/>
      <w:ind w:left="1135" w:right="851" w:hanging="851"/>
    </w:pPr>
  </w:style>
  <w:style w:type="paragraph" w:styleId="TOC3">
    <w:name w:val="toc 3"/>
    <w:basedOn w:val="Normal"/>
    <w:next w:val="Normal"/>
    <w:rsid w:val="00A16C23"/>
    <w:pPr>
      <w:tabs>
        <w:tab w:val="right" w:leader="dot" w:pos="9072"/>
      </w:tabs>
      <w:spacing w:before="20" w:after="0" w:line="240" w:lineRule="auto"/>
      <w:ind w:left="284" w:right="851"/>
    </w:pPr>
  </w:style>
  <w:style w:type="paragraph" w:styleId="TOC4">
    <w:name w:val="toc 4"/>
    <w:basedOn w:val="Normal"/>
    <w:next w:val="Normal"/>
    <w:rsid w:val="00A16C23"/>
    <w:pPr>
      <w:tabs>
        <w:tab w:val="right" w:leader="dot" w:pos="9072"/>
      </w:tabs>
      <w:spacing w:after="0" w:line="240" w:lineRule="auto"/>
      <w:ind w:left="284" w:right="851"/>
    </w:pPr>
  </w:style>
  <w:style w:type="character" w:customStyle="1" w:styleId="italic">
    <w:name w:val="italic"/>
    <w:basedOn w:val="DefaultParagraphFont"/>
    <w:rsid w:val="00A16C23"/>
    <w:rPr>
      <w:i/>
    </w:rPr>
  </w:style>
  <w:style w:type="paragraph" w:customStyle="1" w:styleId="OneLevelNumberedParagraph">
    <w:name w:val="One Level Numbered Paragraph"/>
    <w:basedOn w:val="Normal"/>
    <w:rsid w:val="00A16C23"/>
    <w:pPr>
      <w:numPr>
        <w:numId w:val="5"/>
      </w:numPr>
    </w:pPr>
  </w:style>
  <w:style w:type="paragraph" w:customStyle="1" w:styleId="BoxText">
    <w:name w:val="Box Text"/>
    <w:basedOn w:val="BoxTextBase"/>
    <w:rsid w:val="00A16C23"/>
  </w:style>
  <w:style w:type="paragraph" w:customStyle="1" w:styleId="BoxBullet">
    <w:name w:val="Box Bullet"/>
    <w:basedOn w:val="BoxTextBase"/>
    <w:rsid w:val="00A16C23"/>
    <w:pPr>
      <w:numPr>
        <w:numId w:val="4"/>
      </w:numPr>
    </w:pPr>
  </w:style>
  <w:style w:type="paragraph" w:customStyle="1" w:styleId="BoxDash">
    <w:name w:val="Box Dash"/>
    <w:basedOn w:val="Normal"/>
    <w:rsid w:val="00A16C23"/>
    <w:pPr>
      <w:numPr>
        <w:ilvl w:val="1"/>
        <w:numId w:val="4"/>
      </w:numPr>
    </w:pPr>
  </w:style>
  <w:style w:type="paragraph" w:customStyle="1" w:styleId="BoxDoubleDot">
    <w:name w:val="Box Double Dot"/>
    <w:basedOn w:val="BoxTextBase"/>
    <w:rsid w:val="00A16C23"/>
    <w:pPr>
      <w:numPr>
        <w:ilvl w:val="2"/>
        <w:numId w:val="4"/>
      </w:numPr>
    </w:pPr>
  </w:style>
  <w:style w:type="paragraph" w:customStyle="1" w:styleId="RecommendationBullet">
    <w:name w:val="Recommendation Bullet"/>
    <w:basedOn w:val="RecommendationTextBase"/>
    <w:rsid w:val="00A16C23"/>
    <w:pPr>
      <w:numPr>
        <w:numId w:val="6"/>
      </w:numPr>
    </w:pPr>
  </w:style>
  <w:style w:type="paragraph" w:customStyle="1" w:styleId="RecommendationDash">
    <w:name w:val="Recommendation Dash"/>
    <w:basedOn w:val="RecommendationTextBase"/>
    <w:rsid w:val="00A16C23"/>
    <w:pPr>
      <w:numPr>
        <w:ilvl w:val="1"/>
        <w:numId w:val="6"/>
      </w:numPr>
    </w:pPr>
  </w:style>
  <w:style w:type="paragraph" w:customStyle="1" w:styleId="RecommendationDoubleDot">
    <w:name w:val="Recommendation Double Dot"/>
    <w:basedOn w:val="RecommendationTextBase"/>
    <w:rsid w:val="00A16C23"/>
    <w:pPr>
      <w:numPr>
        <w:ilvl w:val="2"/>
        <w:numId w:val="6"/>
      </w:numPr>
    </w:pPr>
  </w:style>
  <w:style w:type="character" w:styleId="FollowedHyperlink">
    <w:name w:val="FollowedHyperlink"/>
    <w:basedOn w:val="DefaultParagraphFont"/>
    <w:rsid w:val="00A16C23"/>
    <w:rPr>
      <w:color w:val="auto"/>
      <w:u w:val="none"/>
    </w:rPr>
  </w:style>
  <w:style w:type="paragraph" w:customStyle="1" w:styleId="Heading1NotNumbered">
    <w:name w:val="Heading 1 Not Numbered"/>
    <w:basedOn w:val="HeadingBase"/>
    <w:next w:val="Normal"/>
    <w:rsid w:val="00D3750D"/>
    <w:pPr>
      <w:spacing w:before="720" w:after="360"/>
    </w:pPr>
    <w:rPr>
      <w:smallCaps/>
      <w:sz w:val="36"/>
      <w:szCs w:val="36"/>
    </w:rPr>
  </w:style>
  <w:style w:type="paragraph" w:customStyle="1" w:styleId="Heading2NotNumbered">
    <w:name w:val="Heading 2 Not Numbered"/>
    <w:basedOn w:val="HeadingBase"/>
    <w:next w:val="Normal"/>
    <w:rsid w:val="00D3750D"/>
    <w:pPr>
      <w:spacing w:before="360" w:after="180"/>
    </w:pPr>
    <w:rPr>
      <w:smallCaps/>
      <w:sz w:val="28"/>
      <w:szCs w:val="28"/>
    </w:rPr>
  </w:style>
  <w:style w:type="paragraph" w:customStyle="1" w:styleId="Heading3NotNumbered">
    <w:name w:val="Heading 3 Not Numbered"/>
    <w:basedOn w:val="HeadingBase"/>
    <w:next w:val="Normal"/>
    <w:rsid w:val="0033013B"/>
    <w:pPr>
      <w:spacing w:before="240" w:after="120"/>
    </w:pPr>
    <w:rPr>
      <w:sz w:val="28"/>
      <w:szCs w:val="26"/>
    </w:rPr>
  </w:style>
  <w:style w:type="paragraph" w:customStyle="1" w:styleId="Heading4NotNumbered">
    <w:name w:val="Heading 4 Not Numbered"/>
    <w:basedOn w:val="HeadingBase"/>
    <w:rsid w:val="00B347D9"/>
    <w:pPr>
      <w:spacing w:before="120" w:after="120"/>
      <w:outlineLvl w:val="3"/>
    </w:pPr>
    <w:rPr>
      <w:b/>
      <w:sz w:val="26"/>
    </w:rPr>
  </w:style>
  <w:style w:type="paragraph" w:styleId="BalloonText">
    <w:name w:val="Balloon Text"/>
    <w:basedOn w:val="Normal"/>
    <w:semiHidden/>
    <w:rsid w:val="005E76C1"/>
    <w:rPr>
      <w:rFonts w:ascii="Tahoma" w:hAnsi="Tahoma" w:cs="Tahoma"/>
      <w:sz w:val="16"/>
      <w:szCs w:val="16"/>
    </w:rPr>
  </w:style>
  <w:style w:type="paragraph" w:styleId="Caption">
    <w:name w:val="caption"/>
    <w:basedOn w:val="Normal"/>
    <w:next w:val="Normal"/>
    <w:qFormat/>
    <w:rsid w:val="005E76C1"/>
    <w:rPr>
      <w:b/>
      <w:bCs/>
    </w:rPr>
  </w:style>
  <w:style w:type="character" w:styleId="CommentReference">
    <w:name w:val="annotation reference"/>
    <w:basedOn w:val="DefaultParagraphFont"/>
    <w:semiHidden/>
    <w:rsid w:val="005E76C1"/>
    <w:rPr>
      <w:sz w:val="16"/>
      <w:szCs w:val="16"/>
    </w:rPr>
  </w:style>
  <w:style w:type="paragraph" w:styleId="CommentText">
    <w:name w:val="annotation text"/>
    <w:basedOn w:val="Normal"/>
    <w:semiHidden/>
    <w:rsid w:val="005E76C1"/>
  </w:style>
  <w:style w:type="paragraph" w:styleId="CommentSubject">
    <w:name w:val="annotation subject"/>
    <w:basedOn w:val="CommentText"/>
    <w:next w:val="CommentText"/>
    <w:semiHidden/>
    <w:rsid w:val="005E76C1"/>
    <w:rPr>
      <w:b/>
      <w:bCs/>
    </w:rPr>
  </w:style>
  <w:style w:type="paragraph" w:styleId="DocumentMap">
    <w:name w:val="Document Map"/>
    <w:basedOn w:val="Normal"/>
    <w:semiHidden/>
    <w:rsid w:val="005E76C1"/>
    <w:pPr>
      <w:shd w:val="clear" w:color="auto" w:fill="000080"/>
    </w:pPr>
    <w:rPr>
      <w:rFonts w:ascii="Tahoma" w:hAnsi="Tahoma" w:cs="Tahoma"/>
    </w:rPr>
  </w:style>
  <w:style w:type="character" w:styleId="EndnoteReference">
    <w:name w:val="endnote reference"/>
    <w:basedOn w:val="DefaultParagraphFont"/>
    <w:semiHidden/>
    <w:rsid w:val="005E76C1"/>
    <w:rPr>
      <w:vertAlign w:val="superscript"/>
    </w:rPr>
  </w:style>
  <w:style w:type="paragraph" w:styleId="EndnoteText">
    <w:name w:val="endnote text"/>
    <w:basedOn w:val="Normal"/>
    <w:semiHidden/>
    <w:rsid w:val="005E76C1"/>
  </w:style>
  <w:style w:type="character" w:styleId="FootnoteReference">
    <w:name w:val="footnote reference"/>
    <w:basedOn w:val="DefaultParagraphFont"/>
    <w:rsid w:val="005E76C1"/>
    <w:rPr>
      <w:vertAlign w:val="superscript"/>
    </w:rPr>
  </w:style>
  <w:style w:type="paragraph" w:styleId="Index1">
    <w:name w:val="index 1"/>
    <w:basedOn w:val="Normal"/>
    <w:next w:val="Normal"/>
    <w:autoRedefine/>
    <w:semiHidden/>
    <w:rsid w:val="005E76C1"/>
    <w:pPr>
      <w:ind w:left="200" w:hanging="200"/>
    </w:pPr>
  </w:style>
  <w:style w:type="paragraph" w:styleId="Index2">
    <w:name w:val="index 2"/>
    <w:basedOn w:val="Normal"/>
    <w:next w:val="Normal"/>
    <w:autoRedefine/>
    <w:semiHidden/>
    <w:rsid w:val="005E76C1"/>
    <w:pPr>
      <w:ind w:left="400" w:hanging="200"/>
    </w:pPr>
  </w:style>
  <w:style w:type="paragraph" w:styleId="Index3">
    <w:name w:val="index 3"/>
    <w:basedOn w:val="Normal"/>
    <w:next w:val="Normal"/>
    <w:autoRedefine/>
    <w:semiHidden/>
    <w:rsid w:val="005E76C1"/>
    <w:pPr>
      <w:ind w:left="600" w:hanging="200"/>
    </w:pPr>
  </w:style>
  <w:style w:type="paragraph" w:styleId="Index4">
    <w:name w:val="index 4"/>
    <w:basedOn w:val="Normal"/>
    <w:next w:val="Normal"/>
    <w:autoRedefine/>
    <w:semiHidden/>
    <w:rsid w:val="005E76C1"/>
    <w:pPr>
      <w:ind w:left="800" w:hanging="200"/>
    </w:pPr>
  </w:style>
  <w:style w:type="paragraph" w:styleId="Index5">
    <w:name w:val="index 5"/>
    <w:basedOn w:val="Normal"/>
    <w:next w:val="Normal"/>
    <w:autoRedefine/>
    <w:semiHidden/>
    <w:rsid w:val="005E76C1"/>
    <w:pPr>
      <w:ind w:left="1000" w:hanging="200"/>
    </w:pPr>
  </w:style>
  <w:style w:type="paragraph" w:styleId="Index6">
    <w:name w:val="index 6"/>
    <w:basedOn w:val="Normal"/>
    <w:next w:val="Normal"/>
    <w:autoRedefine/>
    <w:semiHidden/>
    <w:rsid w:val="005E76C1"/>
    <w:pPr>
      <w:ind w:left="1200" w:hanging="200"/>
    </w:pPr>
  </w:style>
  <w:style w:type="paragraph" w:styleId="Index7">
    <w:name w:val="index 7"/>
    <w:basedOn w:val="Normal"/>
    <w:next w:val="Normal"/>
    <w:autoRedefine/>
    <w:semiHidden/>
    <w:rsid w:val="005E76C1"/>
    <w:pPr>
      <w:ind w:left="1400" w:hanging="200"/>
    </w:pPr>
  </w:style>
  <w:style w:type="paragraph" w:styleId="Index8">
    <w:name w:val="index 8"/>
    <w:basedOn w:val="Normal"/>
    <w:next w:val="Normal"/>
    <w:autoRedefine/>
    <w:semiHidden/>
    <w:rsid w:val="005E76C1"/>
    <w:pPr>
      <w:ind w:left="1600" w:hanging="200"/>
    </w:pPr>
  </w:style>
  <w:style w:type="paragraph" w:styleId="Index9">
    <w:name w:val="index 9"/>
    <w:basedOn w:val="Normal"/>
    <w:next w:val="Normal"/>
    <w:autoRedefine/>
    <w:semiHidden/>
    <w:rsid w:val="005E76C1"/>
    <w:pPr>
      <w:ind w:left="1800" w:hanging="200"/>
    </w:pPr>
  </w:style>
  <w:style w:type="paragraph" w:styleId="IndexHeading">
    <w:name w:val="index heading"/>
    <w:basedOn w:val="Normal"/>
    <w:next w:val="Index1"/>
    <w:semiHidden/>
    <w:rsid w:val="005E76C1"/>
    <w:rPr>
      <w:rFonts w:cs="Arial"/>
      <w:b/>
      <w:bCs/>
    </w:rPr>
  </w:style>
  <w:style w:type="paragraph" w:styleId="MacroText">
    <w:name w:val="macro"/>
    <w:semiHidden/>
    <w:rsid w:val="005E76C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paragraph" w:styleId="TableofAuthorities">
    <w:name w:val="table of authorities"/>
    <w:basedOn w:val="Normal"/>
    <w:next w:val="Normal"/>
    <w:rsid w:val="005E76C1"/>
    <w:pPr>
      <w:ind w:left="200" w:hanging="200"/>
    </w:pPr>
  </w:style>
  <w:style w:type="paragraph" w:styleId="TableofFigures">
    <w:name w:val="table of figures"/>
    <w:basedOn w:val="Normal"/>
    <w:next w:val="Normal"/>
    <w:rsid w:val="005E76C1"/>
  </w:style>
  <w:style w:type="paragraph" w:styleId="TOAHeading">
    <w:name w:val="toa heading"/>
    <w:basedOn w:val="Normal"/>
    <w:next w:val="Normal"/>
    <w:semiHidden/>
    <w:rsid w:val="005E76C1"/>
    <w:pPr>
      <w:spacing w:before="120"/>
    </w:pPr>
    <w:rPr>
      <w:rFonts w:cs="Arial"/>
      <w:b/>
      <w:bCs/>
      <w:sz w:val="24"/>
      <w:szCs w:val="24"/>
    </w:rPr>
  </w:style>
  <w:style w:type="paragraph" w:styleId="TOC5">
    <w:name w:val="toc 5"/>
    <w:basedOn w:val="Normal"/>
    <w:next w:val="Normal"/>
    <w:autoRedefine/>
    <w:semiHidden/>
    <w:rsid w:val="005E76C1"/>
    <w:pPr>
      <w:ind w:left="800"/>
    </w:pPr>
  </w:style>
  <w:style w:type="paragraph" w:styleId="TOC6">
    <w:name w:val="toc 6"/>
    <w:basedOn w:val="Normal"/>
    <w:next w:val="Normal"/>
    <w:autoRedefine/>
    <w:semiHidden/>
    <w:rsid w:val="005E76C1"/>
    <w:pPr>
      <w:ind w:left="1000"/>
    </w:pPr>
  </w:style>
  <w:style w:type="paragraph" w:styleId="TOC7">
    <w:name w:val="toc 7"/>
    <w:basedOn w:val="Normal"/>
    <w:next w:val="Normal"/>
    <w:autoRedefine/>
    <w:semiHidden/>
    <w:rsid w:val="005E76C1"/>
    <w:pPr>
      <w:ind w:left="1200"/>
    </w:pPr>
  </w:style>
  <w:style w:type="paragraph" w:styleId="TOC8">
    <w:name w:val="toc 8"/>
    <w:basedOn w:val="Normal"/>
    <w:next w:val="Normal"/>
    <w:autoRedefine/>
    <w:semiHidden/>
    <w:rsid w:val="005E76C1"/>
    <w:pPr>
      <w:ind w:left="1400"/>
    </w:pPr>
  </w:style>
  <w:style w:type="paragraph" w:styleId="TOC9">
    <w:name w:val="toc 9"/>
    <w:basedOn w:val="Normal"/>
    <w:next w:val="Normal"/>
    <w:autoRedefine/>
    <w:semiHidden/>
    <w:rsid w:val="005E76C1"/>
    <w:pPr>
      <w:ind w:left="1600"/>
    </w:pPr>
  </w:style>
  <w:style w:type="paragraph" w:customStyle="1" w:styleId="Heading5NotNumbered">
    <w:name w:val="Heading 5 Not Numbered"/>
    <w:basedOn w:val="HeadingBase"/>
    <w:rsid w:val="00B347D9"/>
    <w:pPr>
      <w:spacing w:after="120"/>
      <w:outlineLvl w:val="4"/>
    </w:pPr>
    <w:rPr>
      <w:b/>
      <w:sz w:val="24"/>
    </w:rPr>
  </w:style>
  <w:style w:type="table" w:customStyle="1" w:styleId="OptionsTable">
    <w:name w:val="Options Table"/>
    <w:basedOn w:val="TableNormal"/>
    <w:rsid w:val="00981231"/>
    <w:tblPr>
      <w:tblStyleRowBandSize w:val="1"/>
      <w:tblInd w:w="0" w:type="dxa"/>
      <w:tblBorders>
        <w:insideH w:val="single" w:sz="12" w:space="0" w:color="FFFFFF"/>
        <w:insideV w:val="single" w:sz="12" w:space="0" w:color="FFFFFF"/>
      </w:tblBorders>
      <w:tblCellMar>
        <w:top w:w="0" w:type="dxa"/>
        <w:left w:w="108" w:type="dxa"/>
        <w:bottom w:w="0" w:type="dxa"/>
        <w:right w:w="108" w:type="dxa"/>
      </w:tblCellMar>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2A2C88"/>
    <w:pPr>
      <w:numPr>
        <w:numId w:val="7"/>
      </w:numPr>
    </w:pPr>
  </w:style>
  <w:style w:type="paragraph" w:customStyle="1" w:styleId="OutlineNumbered4">
    <w:name w:val="Outline Numbered 4"/>
    <w:basedOn w:val="Normal"/>
    <w:rsid w:val="00E07913"/>
  </w:style>
  <w:style w:type="paragraph" w:customStyle="1" w:styleId="OutlineNumbered5">
    <w:name w:val="Outline Numbered 5"/>
    <w:basedOn w:val="Normal"/>
    <w:rsid w:val="00E07913"/>
    <w:pPr>
      <w:numPr>
        <w:ilvl w:val="4"/>
        <w:numId w:val="1"/>
      </w:numPr>
    </w:pPr>
  </w:style>
  <w:style w:type="paragraph" w:customStyle="1" w:styleId="Crest">
    <w:name w:val="Crest"/>
    <w:basedOn w:val="Header"/>
    <w:rsid w:val="00F23AEE"/>
    <w:pPr>
      <w:spacing w:after="480"/>
      <w:jc w:val="right"/>
    </w:pPr>
  </w:style>
  <w:style w:type="character" w:customStyle="1" w:styleId="SingleParagraphChar">
    <w:name w:val="Single Paragraph Char"/>
    <w:basedOn w:val="DefaultParagraphFont"/>
    <w:link w:val="SingleParagraph"/>
    <w:rsid w:val="00421697"/>
    <w:rPr>
      <w:rFonts w:ascii="Arial" w:hAnsi="Arial"/>
      <w:color w:val="000000"/>
      <w:sz w:val="22"/>
      <w:lang w:val="en-AU" w:eastAsia="en-AU" w:bidi="ar-SA"/>
    </w:rPr>
  </w:style>
  <w:style w:type="character" w:customStyle="1" w:styleId="Heading5Char">
    <w:name w:val="Heading 5 Char"/>
    <w:basedOn w:val="DefaultParagraphFont"/>
    <w:link w:val="Heading5"/>
    <w:rsid w:val="00421697"/>
    <w:rPr>
      <w:rFonts w:ascii="Arial" w:hAnsi="Arial"/>
      <w:b/>
      <w:bCs/>
      <w:iCs/>
      <w:color w:val="342E82"/>
      <w:sz w:val="24"/>
      <w:lang w:val="en-AU" w:eastAsia="en-AU" w:bidi="ar-SA"/>
    </w:rPr>
  </w:style>
  <w:style w:type="character" w:customStyle="1" w:styleId="Heading4Char">
    <w:name w:val="Heading 4 Char"/>
    <w:basedOn w:val="DefaultParagraphFont"/>
    <w:link w:val="Heading4"/>
    <w:rsid w:val="00421697"/>
    <w:rPr>
      <w:rFonts w:ascii="Arial" w:hAnsi="Arial"/>
      <w:b/>
      <w:bCs/>
      <w:color w:val="342E82"/>
      <w:sz w:val="26"/>
      <w:szCs w:val="22"/>
      <w:lang w:val="en-AU" w:eastAsia="en-AU" w:bidi="ar-SA"/>
    </w:rPr>
  </w:style>
  <w:style w:type="character" w:customStyle="1" w:styleId="A5">
    <w:name w:val="A5"/>
    <w:uiPriority w:val="99"/>
    <w:rsid w:val="00240AAC"/>
    <w:rPr>
      <w:rFonts w:cs="Swiss 721 BT"/>
      <w:color w:val="000000"/>
      <w:sz w:val="20"/>
      <w:szCs w:val="20"/>
    </w:rPr>
  </w:style>
  <w:style w:type="paragraph" w:styleId="NormalWeb">
    <w:name w:val="Normal (Web)"/>
    <w:basedOn w:val="Normal"/>
    <w:uiPriority w:val="99"/>
    <w:unhideWhenUsed/>
    <w:rsid w:val="0075263F"/>
    <w:pPr>
      <w:spacing w:line="360" w:lineRule="atLeast"/>
      <w:jc w:val="left"/>
    </w:pPr>
    <w:rPr>
      <w:rFonts w:ascii="Times New Roman" w:hAnsi="Times New Roman"/>
      <w:sz w:val="26"/>
      <w:szCs w:val="26"/>
    </w:rPr>
  </w:style>
  <w:style w:type="paragraph" w:styleId="Revision">
    <w:name w:val="Revision"/>
    <w:hidden/>
    <w:uiPriority w:val="99"/>
    <w:semiHidden/>
    <w:rsid w:val="00C02D85"/>
    <w:rPr>
      <w:rFonts w:asciiTheme="minorHAnsi" w:hAnsiTheme="minorHAnsi"/>
      <w:color w:val="000000"/>
      <w:sz w:val="22"/>
    </w:rPr>
  </w:style>
  <w:style w:type="paragraph" w:customStyle="1" w:styleId="CABBackGround">
    <w:name w:val="CABBackGround"/>
    <w:basedOn w:val="Normal"/>
    <w:link w:val="CABBackGroundChar1"/>
    <w:rsid w:val="005C0294"/>
    <w:pPr>
      <w:spacing w:after="0" w:line="360" w:lineRule="auto"/>
      <w:jc w:val="left"/>
    </w:pPr>
    <w:rPr>
      <w:rFonts w:ascii="Times New Roman" w:hAnsi="Times New Roman"/>
      <w:color w:val="auto"/>
      <w:sz w:val="24"/>
    </w:rPr>
  </w:style>
  <w:style w:type="character" w:customStyle="1" w:styleId="CABBackGroundChar1">
    <w:name w:val="CABBackGround Char1"/>
    <w:link w:val="CABBackGround"/>
    <w:rsid w:val="005C0294"/>
    <w:rPr>
      <w:sz w:val="24"/>
    </w:rPr>
  </w:style>
  <w:style w:type="character" w:customStyle="1" w:styleId="CABNETParagraphChar">
    <w:name w:val="CABNET Paragraph Char"/>
    <w:basedOn w:val="DefaultParagraphFont"/>
    <w:link w:val="CABNETParagraph"/>
    <w:locked/>
    <w:rsid w:val="00554FE4"/>
    <w:rPr>
      <w:rFonts w:ascii="Verdana" w:hAnsi="Verdana"/>
    </w:rPr>
  </w:style>
  <w:style w:type="paragraph" w:customStyle="1" w:styleId="CABNETParagraph">
    <w:name w:val="CABNET Paragraph"/>
    <w:basedOn w:val="Normal"/>
    <w:link w:val="CABNETParagraphChar"/>
    <w:qFormat/>
    <w:rsid w:val="00554FE4"/>
    <w:pPr>
      <w:spacing w:before="120" w:after="120" w:line="240" w:lineRule="auto"/>
      <w:jc w:val="left"/>
    </w:pPr>
    <w:rPr>
      <w:rFonts w:ascii="Verdana" w:hAnsi="Verdana"/>
      <w:color w:val="auto"/>
      <w:sz w:val="20"/>
    </w:rPr>
  </w:style>
  <w:style w:type="numbering" w:customStyle="1" w:styleId="CABNETList">
    <w:name w:val="CABNET List"/>
    <w:rsid w:val="00554FE4"/>
    <w:pPr>
      <w:numPr>
        <w:numId w:val="10"/>
      </w:numPr>
    </w:pPr>
  </w:style>
  <w:style w:type="character" w:customStyle="1" w:styleId="HeaderChar">
    <w:name w:val="Header Char"/>
    <w:basedOn w:val="DefaultParagraphFont"/>
    <w:link w:val="Header"/>
    <w:uiPriority w:val="99"/>
    <w:rsid w:val="00AA738F"/>
    <w:rPr>
      <w:rFonts w:ascii="Calibri" w:hAnsi="Calibri"/>
      <w:color w:val="342E82"/>
      <w:sz w:val="18"/>
    </w:rPr>
  </w:style>
  <w:style w:type="character" w:customStyle="1" w:styleId="FooterChar">
    <w:name w:val="Footer Char"/>
    <w:basedOn w:val="DefaultParagraphFont"/>
    <w:link w:val="Footer"/>
    <w:uiPriority w:val="99"/>
    <w:rsid w:val="00AA738F"/>
    <w:rPr>
      <w:rFonts w:ascii="Calibri" w:hAnsi="Calibri"/>
      <w:color w:val="342E82"/>
      <w:sz w:val="18"/>
    </w:rPr>
  </w:style>
  <w:style w:type="paragraph" w:styleId="ListParagraph">
    <w:name w:val="List Paragraph"/>
    <w:basedOn w:val="Normal"/>
    <w:uiPriority w:val="34"/>
    <w:qFormat/>
    <w:rsid w:val="004A5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98">
      <w:bodyDiv w:val="1"/>
      <w:marLeft w:val="0"/>
      <w:marRight w:val="0"/>
      <w:marTop w:val="0"/>
      <w:marBottom w:val="0"/>
      <w:divBdr>
        <w:top w:val="none" w:sz="0" w:space="0" w:color="auto"/>
        <w:left w:val="none" w:sz="0" w:space="0" w:color="auto"/>
        <w:bottom w:val="none" w:sz="0" w:space="0" w:color="auto"/>
        <w:right w:val="none" w:sz="0" w:space="0" w:color="auto"/>
      </w:divBdr>
      <w:divsChild>
        <w:div w:id="998459961">
          <w:marLeft w:val="0"/>
          <w:marRight w:val="0"/>
          <w:marTop w:val="0"/>
          <w:marBottom w:val="0"/>
          <w:divBdr>
            <w:top w:val="none" w:sz="0" w:space="0" w:color="auto"/>
            <w:left w:val="none" w:sz="0" w:space="0" w:color="auto"/>
            <w:bottom w:val="none" w:sz="0" w:space="0" w:color="auto"/>
            <w:right w:val="none" w:sz="0" w:space="0" w:color="auto"/>
          </w:divBdr>
          <w:divsChild>
            <w:div w:id="1509756657">
              <w:marLeft w:val="0"/>
              <w:marRight w:val="0"/>
              <w:marTop w:val="0"/>
              <w:marBottom w:val="0"/>
              <w:divBdr>
                <w:top w:val="none" w:sz="0" w:space="0" w:color="auto"/>
                <w:left w:val="none" w:sz="0" w:space="0" w:color="auto"/>
                <w:bottom w:val="none" w:sz="0" w:space="0" w:color="auto"/>
                <w:right w:val="none" w:sz="0" w:space="0" w:color="auto"/>
              </w:divBdr>
              <w:divsChild>
                <w:div w:id="682901521">
                  <w:marLeft w:val="2970"/>
                  <w:marRight w:val="0"/>
                  <w:marTop w:val="0"/>
                  <w:marBottom w:val="0"/>
                  <w:divBdr>
                    <w:top w:val="none" w:sz="0" w:space="0" w:color="auto"/>
                    <w:left w:val="none" w:sz="0" w:space="0" w:color="auto"/>
                    <w:bottom w:val="none" w:sz="0" w:space="0" w:color="auto"/>
                    <w:right w:val="none" w:sz="0" w:space="0" w:color="auto"/>
                  </w:divBdr>
                  <w:divsChild>
                    <w:div w:id="1209494530">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2880">
      <w:bodyDiv w:val="1"/>
      <w:marLeft w:val="0"/>
      <w:marRight w:val="0"/>
      <w:marTop w:val="0"/>
      <w:marBottom w:val="0"/>
      <w:divBdr>
        <w:top w:val="none" w:sz="0" w:space="0" w:color="auto"/>
        <w:left w:val="none" w:sz="0" w:space="0" w:color="auto"/>
        <w:bottom w:val="none" w:sz="0" w:space="0" w:color="auto"/>
        <w:right w:val="none" w:sz="0" w:space="0" w:color="auto"/>
      </w:divBdr>
    </w:div>
    <w:div w:id="584416547">
      <w:bodyDiv w:val="1"/>
      <w:marLeft w:val="0"/>
      <w:marRight w:val="0"/>
      <w:marTop w:val="0"/>
      <w:marBottom w:val="0"/>
      <w:divBdr>
        <w:top w:val="none" w:sz="0" w:space="0" w:color="auto"/>
        <w:left w:val="none" w:sz="0" w:space="0" w:color="auto"/>
        <w:bottom w:val="none" w:sz="0" w:space="0" w:color="auto"/>
        <w:right w:val="none" w:sz="0" w:space="0" w:color="auto"/>
      </w:divBdr>
    </w:div>
    <w:div w:id="1193494485">
      <w:bodyDiv w:val="1"/>
      <w:marLeft w:val="0"/>
      <w:marRight w:val="0"/>
      <w:marTop w:val="0"/>
      <w:marBottom w:val="0"/>
      <w:divBdr>
        <w:top w:val="none" w:sz="0" w:space="0" w:color="auto"/>
        <w:left w:val="none" w:sz="0" w:space="0" w:color="auto"/>
        <w:bottom w:val="none" w:sz="0" w:space="0" w:color="auto"/>
        <w:right w:val="none" w:sz="0" w:space="0" w:color="auto"/>
      </w:divBdr>
    </w:div>
    <w:div w:id="1234974583">
      <w:bodyDiv w:val="1"/>
      <w:marLeft w:val="0"/>
      <w:marRight w:val="0"/>
      <w:marTop w:val="0"/>
      <w:marBottom w:val="0"/>
      <w:divBdr>
        <w:top w:val="none" w:sz="0" w:space="0" w:color="auto"/>
        <w:left w:val="none" w:sz="0" w:space="0" w:color="auto"/>
        <w:bottom w:val="none" w:sz="0" w:space="0" w:color="auto"/>
        <w:right w:val="none" w:sz="0" w:space="0" w:color="auto"/>
      </w:divBdr>
    </w:div>
    <w:div w:id="15216296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itsanhonour.gov.au"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cgt_super_roll-over@treasury.gov.au"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creativecommons.org/licenses/by/3.0/au/legalcode"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mailto:medialiaison@treasu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deed.en" TargetMode="External"/><Relationship Id="rId22" Type="http://schemas.openxmlformats.org/officeDocument/2006/relationships/footer" Target="footer3.xm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AT%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a68b2f8c34644249b9bbcff9507eca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41082-6F61-4F23-8C04-7D62AF7A4DD6}">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F6DEE6B-383C-472C-99C9-EBFD54A79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35BC93-2FBD-4F72-B77E-539A0430A163}">
  <ds:schemaRefs>
    <ds:schemaRef ds:uri="http://schemas.microsoft.com/sharepoint/v3/contenttype/forms"/>
  </ds:schemaRefs>
</ds:datastoreItem>
</file>

<file path=customXml/itemProps4.xml><?xml version="1.0" encoding="utf-8"?>
<ds:datastoreItem xmlns:ds="http://schemas.openxmlformats.org/officeDocument/2006/customXml" ds:itemID="{31E45DBC-87CF-4FED-950D-3777B703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 Report.dotm</Template>
  <TotalTime>5</TotalTime>
  <Pages>15</Pages>
  <Words>4408</Words>
  <Characters>24246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Taxation relief to support the implementation of Stronger Super</vt:lpstr>
    </vt:vector>
  </TitlesOfParts>
  <Company/>
  <LinksUpToDate>false</LinksUpToDate>
  <CharactersWithSpaces>28597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relief to support the implementation of Stronger Super</dc:title>
  <dc:creator>The Treasury</dc:creator>
  <cp:lastModifiedBy>Schumann, Vicky</cp:lastModifiedBy>
  <cp:revision>4</cp:revision>
  <cp:lastPrinted>2012-05-04T02:02:00Z</cp:lastPrinted>
  <dcterms:created xsi:type="dcterms:W3CDTF">2012-05-15T05:55:00Z</dcterms:created>
  <dcterms:modified xsi:type="dcterms:W3CDTF">2012-05-18T00:50:00Z</dcterms:modified>
</cp:coreProperties>
</file>