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0205" w:rsidRPr="000664D7" w:rsidRDefault="006D784E" w:rsidP="000664D7">
      <w:pPr>
        <w:pStyle w:val="AECletterbody"/>
        <w:rPr>
          <w:rFonts w:ascii="Arial" w:hAnsi="Arial" w:cs="Arial"/>
          <w:sz w:val="20"/>
          <w:szCs w:val="20"/>
          <w:lang w:val="en-AU"/>
        </w:rPr>
      </w:pPr>
      <w:r w:rsidRPr="00B55D89">
        <w:rPr>
          <w:rFonts w:ascii="Arial" w:hAnsi="Arial" w:cs="Arial"/>
          <w:sz w:val="20"/>
          <w:szCs w:val="20"/>
          <w:lang w:val="en-AU"/>
        </w:rPr>
        <w:t>2</w:t>
      </w:r>
      <w:r w:rsidR="009B6E37" w:rsidRPr="00B55D89">
        <w:rPr>
          <w:rFonts w:ascii="Arial" w:hAnsi="Arial" w:cs="Arial"/>
          <w:sz w:val="20"/>
          <w:szCs w:val="20"/>
          <w:lang w:val="en-AU"/>
        </w:rPr>
        <w:t>3 March</w:t>
      </w:r>
      <w:r w:rsidR="009434AC" w:rsidRPr="00B55D89">
        <w:rPr>
          <w:rFonts w:ascii="Arial" w:hAnsi="Arial" w:cs="Arial"/>
          <w:sz w:val="20"/>
          <w:szCs w:val="20"/>
          <w:lang w:val="en-AU"/>
        </w:rPr>
        <w:t xml:space="preserve"> 2018</w:t>
      </w:r>
      <w:bookmarkStart w:id="0" w:name="_GoBack"/>
      <w:bookmarkEnd w:id="0"/>
    </w:p>
    <w:p w:rsidR="000F15FE" w:rsidRPr="006D784E" w:rsidRDefault="006D784E" w:rsidP="006D784E">
      <w:pPr>
        <w:pStyle w:val="Default"/>
        <w:rPr>
          <w:sz w:val="20"/>
          <w:szCs w:val="20"/>
          <w:lang w:eastAsia="en-US"/>
        </w:rPr>
      </w:pPr>
      <w:r w:rsidRPr="006D784E">
        <w:rPr>
          <w:sz w:val="20"/>
          <w:szCs w:val="20"/>
          <w:lang w:eastAsia="en-US"/>
        </w:rPr>
        <w:t>Daniel McAuliffe</w:t>
      </w:r>
    </w:p>
    <w:p w:rsidR="006D784E" w:rsidRPr="006D784E" w:rsidRDefault="006D784E" w:rsidP="006D784E">
      <w:pPr>
        <w:pStyle w:val="Default"/>
        <w:rPr>
          <w:sz w:val="20"/>
          <w:szCs w:val="20"/>
          <w:lang w:eastAsia="en-US"/>
        </w:rPr>
      </w:pPr>
      <w:r w:rsidRPr="006D784E">
        <w:rPr>
          <w:sz w:val="20"/>
          <w:szCs w:val="20"/>
          <w:lang w:eastAsia="en-US"/>
        </w:rPr>
        <w:t>Senior Advisor, Structural Reform Group</w:t>
      </w:r>
    </w:p>
    <w:p w:rsidR="00C72CEA" w:rsidRPr="000664D7" w:rsidRDefault="006D784E" w:rsidP="000664D7">
      <w:pPr>
        <w:pStyle w:val="Default"/>
        <w:rPr>
          <w:sz w:val="20"/>
          <w:szCs w:val="20"/>
          <w:lang w:eastAsia="en-US"/>
        </w:rPr>
      </w:pPr>
      <w:r w:rsidRPr="006D784E">
        <w:rPr>
          <w:sz w:val="20"/>
          <w:szCs w:val="20"/>
          <w:lang w:eastAsia="en-US"/>
        </w:rPr>
        <w:t>The Treasury, 1 Langton Cres, Parkes, ACT 2603</w:t>
      </w:r>
    </w:p>
    <w:p w:rsidR="00143AB6" w:rsidRPr="0072480E" w:rsidRDefault="00143AB6" w:rsidP="00426F04">
      <w:pPr>
        <w:pStyle w:val="AECAddresslines"/>
        <w:rPr>
          <w:rFonts w:ascii="Arial" w:hAnsi="Arial" w:cs="Arial"/>
          <w:lang w:val="en-AU"/>
        </w:rPr>
      </w:pPr>
    </w:p>
    <w:p w:rsidR="00CC3820" w:rsidRPr="005D1E35" w:rsidRDefault="009434AC" w:rsidP="006D784E">
      <w:pPr>
        <w:rPr>
          <w:rFonts w:ascii="Calibri" w:eastAsia="Times New Roman" w:hAnsi="Calibri" w:cs="Times New Roman"/>
          <w:sz w:val="20"/>
          <w:szCs w:val="20"/>
          <w:lang w:eastAsia="en-AU"/>
        </w:rPr>
      </w:pPr>
      <w:r w:rsidRPr="005D1E35">
        <w:rPr>
          <w:rFonts w:ascii="Arial" w:hAnsi="Arial" w:cs="Arial"/>
          <w:sz w:val="20"/>
          <w:szCs w:val="20"/>
        </w:rPr>
        <w:t xml:space="preserve">By email: </w:t>
      </w:r>
      <w:r w:rsidR="006D784E" w:rsidRPr="005D1E35">
        <w:rPr>
          <w:rFonts w:ascii="Arial" w:hAnsi="Arial" w:cs="Arial"/>
          <w:sz w:val="20"/>
          <w:szCs w:val="20"/>
        </w:rPr>
        <w:t>Daniel.McAuliffe@TREASURY.GOV.AU</w:t>
      </w:r>
      <w:r w:rsidR="00510205" w:rsidRPr="005D1E35">
        <w:rPr>
          <w:rFonts w:ascii="Arial" w:hAnsi="Arial" w:cs="Arial"/>
          <w:sz w:val="20"/>
          <w:szCs w:val="20"/>
        </w:rPr>
        <w:t xml:space="preserve"> </w:t>
      </w:r>
    </w:p>
    <w:p w:rsidR="001B1F29" w:rsidRPr="0072480E" w:rsidRDefault="006D784E" w:rsidP="001B1F29">
      <w:pPr>
        <w:pStyle w:val="AECletterbody"/>
        <w:jc w:val="center"/>
        <w:rPr>
          <w:rFonts w:ascii="Arial" w:hAnsi="Arial" w:cs="Arial"/>
          <w:b/>
          <w:sz w:val="20"/>
          <w:szCs w:val="20"/>
          <w:lang w:val="en-AU"/>
        </w:rPr>
      </w:pPr>
      <w:r>
        <w:rPr>
          <w:rFonts w:ascii="Arial" w:hAnsi="Arial" w:cs="Arial"/>
          <w:b/>
          <w:sz w:val="20"/>
          <w:szCs w:val="20"/>
          <w:lang w:val="en-AU"/>
        </w:rPr>
        <w:t xml:space="preserve">Open Banking and the implementation of the Consumer Data Right: Implications for energy sector </w:t>
      </w:r>
    </w:p>
    <w:p w:rsidR="00471E9F" w:rsidRPr="0072480E" w:rsidRDefault="00471E9F" w:rsidP="00471E9F">
      <w:pPr>
        <w:pStyle w:val="AECletterbody"/>
        <w:jc w:val="both"/>
        <w:rPr>
          <w:rFonts w:ascii="Arial" w:hAnsi="Arial" w:cs="Arial"/>
          <w:sz w:val="20"/>
          <w:szCs w:val="20"/>
          <w:lang w:val="en-AU"/>
        </w:rPr>
      </w:pPr>
      <w:r w:rsidRPr="0072480E">
        <w:rPr>
          <w:rFonts w:ascii="Arial" w:hAnsi="Arial" w:cs="Arial"/>
          <w:sz w:val="20"/>
          <w:szCs w:val="20"/>
          <w:lang w:val="en-AU"/>
        </w:rPr>
        <w:t>The Australian Energy Council</w:t>
      </w:r>
      <w:r w:rsidR="00652119" w:rsidRPr="0072480E">
        <w:rPr>
          <w:rFonts w:ascii="Arial" w:hAnsi="Arial" w:cs="Arial"/>
          <w:sz w:val="20"/>
          <w:szCs w:val="20"/>
          <w:lang w:val="en-AU"/>
        </w:rPr>
        <w:t xml:space="preserve"> (the Energy Council)</w:t>
      </w:r>
      <w:r w:rsidRPr="0072480E">
        <w:rPr>
          <w:rFonts w:ascii="Arial" w:hAnsi="Arial" w:cs="Arial"/>
          <w:sz w:val="20"/>
          <w:szCs w:val="20"/>
          <w:lang w:val="en-AU"/>
        </w:rPr>
        <w:t xml:space="preserve"> </w:t>
      </w:r>
      <w:r w:rsidR="009434AC">
        <w:rPr>
          <w:rFonts w:ascii="Arial" w:hAnsi="Arial" w:cs="Arial"/>
          <w:sz w:val="20"/>
          <w:szCs w:val="20"/>
          <w:lang w:val="en-AU"/>
        </w:rPr>
        <w:t>w</w:t>
      </w:r>
      <w:r w:rsidR="006D784E">
        <w:rPr>
          <w:rFonts w:ascii="Arial" w:hAnsi="Arial" w:cs="Arial"/>
          <w:sz w:val="20"/>
          <w:szCs w:val="20"/>
          <w:lang w:val="en-AU"/>
        </w:rPr>
        <w:t xml:space="preserve">elcomes the opportunity to comment on the potential application of the framework for implementing the Consumer Data Right set out in the Open Banking report (December 2017). </w:t>
      </w:r>
    </w:p>
    <w:p w:rsidR="001B1F29" w:rsidRDefault="00471E9F" w:rsidP="00471E9F">
      <w:pPr>
        <w:pStyle w:val="AECletterbody"/>
        <w:jc w:val="both"/>
        <w:rPr>
          <w:rFonts w:ascii="Arial" w:hAnsi="Arial" w:cs="Arial"/>
          <w:sz w:val="20"/>
          <w:szCs w:val="20"/>
          <w:lang w:val="en-AU"/>
        </w:rPr>
      </w:pPr>
      <w:r w:rsidRPr="0072480E">
        <w:rPr>
          <w:rFonts w:ascii="Arial" w:hAnsi="Arial" w:cs="Arial"/>
          <w:sz w:val="20"/>
          <w:szCs w:val="20"/>
          <w:lang w:val="en-AU"/>
        </w:rPr>
        <w:t xml:space="preserve">The </w:t>
      </w:r>
      <w:r w:rsidR="00652119" w:rsidRPr="0072480E">
        <w:rPr>
          <w:rFonts w:ascii="Arial" w:hAnsi="Arial" w:cs="Arial"/>
          <w:sz w:val="20"/>
          <w:szCs w:val="20"/>
          <w:lang w:val="en-AU"/>
        </w:rPr>
        <w:t>Energy Council</w:t>
      </w:r>
      <w:r w:rsidRPr="0072480E">
        <w:rPr>
          <w:rFonts w:ascii="Arial" w:hAnsi="Arial" w:cs="Arial"/>
          <w:sz w:val="20"/>
          <w:szCs w:val="20"/>
          <w:lang w:val="en-AU"/>
        </w:rPr>
        <w:t xml:space="preserve"> is the industry body representing 2</w:t>
      </w:r>
      <w:r w:rsidR="00AD3299" w:rsidRPr="0072480E">
        <w:rPr>
          <w:rFonts w:ascii="Arial" w:hAnsi="Arial" w:cs="Arial"/>
          <w:sz w:val="20"/>
          <w:szCs w:val="20"/>
          <w:lang w:val="en-AU"/>
        </w:rPr>
        <w:t>1</w:t>
      </w:r>
      <w:r w:rsidRPr="0072480E">
        <w:rPr>
          <w:rFonts w:ascii="Arial" w:hAnsi="Arial" w:cs="Arial"/>
          <w:sz w:val="20"/>
          <w:szCs w:val="20"/>
          <w:lang w:val="en-AU"/>
        </w:rPr>
        <w:t xml:space="preserve"> electricity and downstream natural gas businesses operating in the competitive wholesale and retail energy markets. These businesses collectively generate the overwhelming majority of electricity in Australia and sell gas and electricity to over 10 million homes and businesses.</w:t>
      </w:r>
      <w:r w:rsidR="000E70FA" w:rsidRPr="000E70FA">
        <w:rPr>
          <w:rFonts w:ascii="Arial" w:hAnsi="Arial" w:cs="Arial"/>
          <w:sz w:val="20"/>
          <w:szCs w:val="20"/>
          <w:lang w:val="en-AU"/>
        </w:rPr>
        <w:t xml:space="preserve"> </w:t>
      </w:r>
    </w:p>
    <w:p w:rsidR="00083C4C" w:rsidRPr="00134842" w:rsidRDefault="00BB5A9A" w:rsidP="00083C4C">
      <w:pPr>
        <w:pStyle w:val="AECletterbody"/>
        <w:jc w:val="both"/>
        <w:rPr>
          <w:rFonts w:ascii="Arial" w:hAnsi="Arial" w:cs="Arial"/>
          <w:sz w:val="20"/>
          <w:szCs w:val="20"/>
          <w:lang w:val="en-AU"/>
        </w:rPr>
      </w:pPr>
      <w:r>
        <w:rPr>
          <w:rFonts w:ascii="Arial" w:hAnsi="Arial" w:cs="Arial"/>
          <w:sz w:val="20"/>
          <w:szCs w:val="20"/>
          <w:lang w:val="en-AU"/>
        </w:rPr>
        <w:t>The Energy Council</w:t>
      </w:r>
      <w:r w:rsidR="006D784E">
        <w:rPr>
          <w:rFonts w:ascii="Arial" w:hAnsi="Arial" w:cs="Arial"/>
          <w:sz w:val="20"/>
          <w:szCs w:val="20"/>
          <w:lang w:val="en-AU"/>
        </w:rPr>
        <w:t xml:space="preserve"> supports the development of a Consumer Data Right in the </w:t>
      </w:r>
      <w:r w:rsidR="006D784E" w:rsidRPr="00134842">
        <w:rPr>
          <w:rFonts w:ascii="Arial" w:hAnsi="Arial" w:cs="Arial"/>
          <w:sz w:val="20"/>
          <w:szCs w:val="20"/>
          <w:lang w:val="en-AU"/>
        </w:rPr>
        <w:t>energy sector</w:t>
      </w:r>
      <w:r w:rsidR="004932AB" w:rsidRPr="00134842">
        <w:rPr>
          <w:rFonts w:ascii="Arial" w:hAnsi="Arial" w:cs="Arial"/>
          <w:sz w:val="20"/>
          <w:szCs w:val="20"/>
          <w:lang w:val="en-AU"/>
        </w:rPr>
        <w:t>.</w:t>
      </w:r>
      <w:r w:rsidR="006D784E" w:rsidRPr="00134842">
        <w:rPr>
          <w:rFonts w:ascii="Arial" w:hAnsi="Arial" w:cs="Arial"/>
          <w:sz w:val="20"/>
          <w:szCs w:val="20"/>
          <w:lang w:val="en-AU"/>
        </w:rPr>
        <w:t xml:space="preserve"> </w:t>
      </w:r>
      <w:r w:rsidR="00DC4627" w:rsidRPr="00134842">
        <w:rPr>
          <w:rFonts w:ascii="Arial" w:hAnsi="Arial" w:cs="Arial"/>
          <w:sz w:val="20"/>
          <w:szCs w:val="20"/>
          <w:lang w:val="en-AU"/>
        </w:rPr>
        <w:t xml:space="preserve">A comprehensive data right, </w:t>
      </w:r>
      <w:r w:rsidR="00083C4C" w:rsidRPr="00134842">
        <w:rPr>
          <w:rFonts w:ascii="Arial" w:hAnsi="Arial" w:cs="Arial"/>
          <w:sz w:val="20"/>
          <w:szCs w:val="20"/>
          <w:lang w:val="en-AU"/>
        </w:rPr>
        <w:t>supported by an</w:t>
      </w:r>
      <w:r w:rsidR="00DC4627" w:rsidRPr="00134842">
        <w:rPr>
          <w:rFonts w:ascii="Arial" w:hAnsi="Arial" w:cs="Arial"/>
          <w:sz w:val="20"/>
          <w:szCs w:val="20"/>
          <w:lang w:val="en-AU"/>
        </w:rPr>
        <w:t xml:space="preserve"> ap</w:t>
      </w:r>
      <w:r w:rsidR="00083C4C" w:rsidRPr="00134842">
        <w:rPr>
          <w:rFonts w:ascii="Arial" w:hAnsi="Arial" w:cs="Arial"/>
          <w:sz w:val="20"/>
          <w:szCs w:val="20"/>
          <w:lang w:val="en-AU"/>
        </w:rPr>
        <w:t>propriate regulatory framework, has the potential to support competition in retail energy markets and ultimately improve outcomes for customers. A</w:t>
      </w:r>
      <w:r w:rsidRPr="00134842">
        <w:rPr>
          <w:rFonts w:ascii="Arial" w:hAnsi="Arial" w:cs="Arial"/>
          <w:sz w:val="20"/>
          <w:szCs w:val="20"/>
          <w:lang w:val="en-AU"/>
        </w:rPr>
        <w:t xml:space="preserve">ccess to energy consumption data, energy export data and fee and pricing information </w:t>
      </w:r>
      <w:r w:rsidR="00083C4C" w:rsidRPr="00134842">
        <w:rPr>
          <w:rFonts w:ascii="Arial" w:hAnsi="Arial" w:cs="Arial"/>
          <w:sz w:val="20"/>
          <w:szCs w:val="20"/>
          <w:lang w:val="en-AU"/>
        </w:rPr>
        <w:t xml:space="preserve">can </w:t>
      </w:r>
      <w:r w:rsidR="00083C4C" w:rsidRPr="00134842">
        <w:rPr>
          <w:sz w:val="20"/>
          <w:szCs w:val="20"/>
        </w:rPr>
        <w:t xml:space="preserve">enable consumers to compare offers in retail energy markets based on actual consumption profiles. </w:t>
      </w:r>
      <w:r w:rsidR="004932AB" w:rsidRPr="00134842">
        <w:rPr>
          <w:rFonts w:ascii="Arial" w:hAnsi="Arial" w:cs="Arial"/>
          <w:sz w:val="20"/>
          <w:szCs w:val="20"/>
          <w:lang w:val="en-AU"/>
        </w:rPr>
        <w:t xml:space="preserve">Improved data access </w:t>
      </w:r>
      <w:r w:rsidR="000664D7">
        <w:rPr>
          <w:rFonts w:ascii="Arial" w:hAnsi="Arial" w:cs="Arial"/>
          <w:sz w:val="20"/>
          <w:szCs w:val="20"/>
          <w:lang w:val="en-AU"/>
        </w:rPr>
        <w:t xml:space="preserve">has the potential to </w:t>
      </w:r>
      <w:r w:rsidR="004932AB" w:rsidRPr="00134842">
        <w:rPr>
          <w:rFonts w:ascii="Arial" w:hAnsi="Arial" w:cs="Arial"/>
          <w:sz w:val="20"/>
          <w:szCs w:val="20"/>
          <w:lang w:val="en-AU"/>
        </w:rPr>
        <w:t xml:space="preserve">aid the </w:t>
      </w:r>
      <w:r w:rsidRPr="00134842">
        <w:rPr>
          <w:rFonts w:ascii="Arial" w:hAnsi="Arial" w:cs="Arial"/>
          <w:sz w:val="20"/>
          <w:szCs w:val="20"/>
          <w:lang w:val="en-AU"/>
        </w:rPr>
        <w:t>development</w:t>
      </w:r>
      <w:r w:rsidR="004932AB" w:rsidRPr="00134842">
        <w:rPr>
          <w:rFonts w:ascii="Arial" w:hAnsi="Arial" w:cs="Arial"/>
          <w:sz w:val="20"/>
          <w:szCs w:val="20"/>
          <w:lang w:val="en-AU"/>
        </w:rPr>
        <w:t xml:space="preserve"> of new </w:t>
      </w:r>
      <w:r w:rsidR="004932AB" w:rsidRPr="00134842">
        <w:rPr>
          <w:rFonts w:ascii="Arial" w:hAnsi="Arial" w:cs="Arial"/>
          <w:sz w:val="20"/>
          <w:szCs w:val="20"/>
          <w:lang w:val="en-AU"/>
        </w:rPr>
        <w:lastRenderedPageBreak/>
        <w:t>products, services and business models, and accelerate the transition towards customer-centric energy markets with a broad range of energy services catering to diverse customer needs.</w:t>
      </w:r>
    </w:p>
    <w:p w:rsidR="002E110B" w:rsidRDefault="004932AB" w:rsidP="004932AB">
      <w:pPr>
        <w:pStyle w:val="AECletterbody"/>
        <w:jc w:val="both"/>
        <w:rPr>
          <w:rFonts w:ascii="Arial" w:hAnsi="Arial" w:cs="Arial"/>
          <w:sz w:val="20"/>
          <w:szCs w:val="20"/>
          <w:lang w:val="en-AU"/>
        </w:rPr>
      </w:pPr>
      <w:r>
        <w:rPr>
          <w:rFonts w:ascii="Arial" w:hAnsi="Arial" w:cs="Arial"/>
          <w:sz w:val="20"/>
          <w:szCs w:val="20"/>
          <w:lang w:val="en-AU"/>
        </w:rPr>
        <w:t xml:space="preserve">The proposed regulatory </w:t>
      </w:r>
      <w:r w:rsidRPr="00D2512A">
        <w:rPr>
          <w:rFonts w:ascii="Arial" w:hAnsi="Arial" w:cs="Arial"/>
          <w:sz w:val="20"/>
          <w:szCs w:val="20"/>
          <w:lang w:val="en-AU"/>
        </w:rPr>
        <w:t xml:space="preserve">framework to implement the Consumer Data Right set out in the Open Banking report appears, broadly speaking, to be capable of delivering on these outcomes in the energy sector, subject to our comments below. We would </w:t>
      </w:r>
      <w:r w:rsidR="002A1FEE" w:rsidRPr="00D2512A">
        <w:rPr>
          <w:rFonts w:ascii="Arial" w:hAnsi="Arial" w:cs="Arial"/>
          <w:sz w:val="20"/>
          <w:szCs w:val="20"/>
          <w:lang w:val="en-AU"/>
        </w:rPr>
        <w:t xml:space="preserve">welcome the Treasury’s continued engagement with the energy sector as it </w:t>
      </w:r>
      <w:r w:rsidR="00134842">
        <w:rPr>
          <w:rFonts w:ascii="Arial" w:hAnsi="Arial" w:cs="Arial"/>
          <w:sz w:val="20"/>
          <w:szCs w:val="20"/>
          <w:lang w:val="en-AU"/>
        </w:rPr>
        <w:t>develops</w:t>
      </w:r>
      <w:r w:rsidR="00A72E09" w:rsidRPr="00D2512A">
        <w:rPr>
          <w:rFonts w:ascii="Arial" w:hAnsi="Arial" w:cs="Arial"/>
          <w:sz w:val="20"/>
          <w:szCs w:val="20"/>
          <w:lang w:val="en-AU"/>
        </w:rPr>
        <w:t xml:space="preserve"> the regulatory framework, and </w:t>
      </w:r>
      <w:r w:rsidRPr="00D2512A">
        <w:rPr>
          <w:rFonts w:ascii="Arial" w:hAnsi="Arial" w:cs="Arial"/>
          <w:sz w:val="20"/>
          <w:szCs w:val="20"/>
          <w:lang w:val="en-AU"/>
        </w:rPr>
        <w:t xml:space="preserve">caution against reform initiatives </w:t>
      </w:r>
      <w:r w:rsidR="002E110B" w:rsidRPr="00D2512A">
        <w:rPr>
          <w:rFonts w:ascii="Arial" w:hAnsi="Arial" w:cs="Arial"/>
          <w:sz w:val="20"/>
          <w:szCs w:val="20"/>
          <w:lang w:val="en-AU"/>
        </w:rPr>
        <w:t xml:space="preserve">in the energy sector which </w:t>
      </w:r>
      <w:r w:rsidR="002A1FEE" w:rsidRPr="00D2512A">
        <w:rPr>
          <w:rFonts w:ascii="Arial" w:hAnsi="Arial" w:cs="Arial"/>
          <w:sz w:val="20"/>
          <w:szCs w:val="20"/>
          <w:lang w:val="en-AU"/>
        </w:rPr>
        <w:t xml:space="preserve">may </w:t>
      </w:r>
      <w:r w:rsidR="002E110B" w:rsidRPr="00D2512A">
        <w:rPr>
          <w:rFonts w:ascii="Arial" w:hAnsi="Arial" w:cs="Arial"/>
          <w:sz w:val="20"/>
          <w:szCs w:val="20"/>
          <w:lang w:val="en-AU"/>
        </w:rPr>
        <w:t xml:space="preserve">diverge from </w:t>
      </w:r>
      <w:r w:rsidR="002A1FEE" w:rsidRPr="00D2512A">
        <w:rPr>
          <w:rFonts w:ascii="Arial" w:hAnsi="Arial" w:cs="Arial"/>
          <w:sz w:val="20"/>
          <w:szCs w:val="20"/>
          <w:lang w:val="en-AU"/>
        </w:rPr>
        <w:t>that</w:t>
      </w:r>
      <w:r w:rsidR="002E110B" w:rsidRPr="00D2512A">
        <w:rPr>
          <w:rFonts w:ascii="Arial" w:hAnsi="Arial" w:cs="Arial"/>
          <w:sz w:val="20"/>
          <w:szCs w:val="20"/>
          <w:lang w:val="en-AU"/>
        </w:rPr>
        <w:t xml:space="preserve"> approach</w:t>
      </w:r>
      <w:r w:rsidR="002A1FEE" w:rsidRPr="00D2512A">
        <w:rPr>
          <w:rFonts w:ascii="Arial" w:hAnsi="Arial" w:cs="Arial"/>
          <w:sz w:val="20"/>
          <w:szCs w:val="20"/>
          <w:lang w:val="en-AU"/>
        </w:rPr>
        <w:t>.</w:t>
      </w:r>
      <w:r w:rsidR="002A1FEE">
        <w:rPr>
          <w:rFonts w:ascii="Arial" w:hAnsi="Arial" w:cs="Arial"/>
          <w:sz w:val="20"/>
          <w:szCs w:val="20"/>
          <w:lang w:val="en-AU"/>
        </w:rPr>
        <w:t xml:space="preserve"> </w:t>
      </w:r>
      <w:r w:rsidR="002E110B">
        <w:rPr>
          <w:rFonts w:ascii="Arial" w:hAnsi="Arial" w:cs="Arial"/>
          <w:sz w:val="20"/>
          <w:szCs w:val="20"/>
          <w:lang w:val="en-AU"/>
        </w:rPr>
        <w:t xml:space="preserve"> </w:t>
      </w:r>
    </w:p>
    <w:p w:rsidR="004932AB" w:rsidRPr="007670AE" w:rsidRDefault="002A1FEE" w:rsidP="00471E9F">
      <w:pPr>
        <w:pStyle w:val="AECletterbody"/>
        <w:jc w:val="both"/>
        <w:rPr>
          <w:rFonts w:ascii="Arial" w:hAnsi="Arial" w:cs="Arial"/>
          <w:b/>
          <w:sz w:val="20"/>
          <w:szCs w:val="20"/>
          <w:lang w:val="en-AU"/>
        </w:rPr>
      </w:pPr>
      <w:r w:rsidRPr="007670AE">
        <w:rPr>
          <w:rFonts w:ascii="Arial" w:hAnsi="Arial" w:cs="Arial"/>
          <w:b/>
          <w:sz w:val="20"/>
          <w:szCs w:val="20"/>
          <w:lang w:val="en-AU"/>
        </w:rPr>
        <w:t xml:space="preserve">Background to </w:t>
      </w:r>
      <w:r w:rsidR="004932AB" w:rsidRPr="007670AE">
        <w:rPr>
          <w:rFonts w:ascii="Arial" w:hAnsi="Arial" w:cs="Arial"/>
          <w:b/>
          <w:sz w:val="20"/>
          <w:szCs w:val="20"/>
          <w:lang w:val="en-AU"/>
        </w:rPr>
        <w:t>data access issues in the energy sector</w:t>
      </w:r>
    </w:p>
    <w:p w:rsidR="002A1FEE" w:rsidRDefault="002E110B" w:rsidP="00471E9F">
      <w:pPr>
        <w:pStyle w:val="AECletterbody"/>
        <w:jc w:val="both"/>
        <w:rPr>
          <w:rFonts w:ascii="Arial" w:hAnsi="Arial" w:cs="Arial"/>
          <w:sz w:val="20"/>
          <w:szCs w:val="20"/>
          <w:lang w:val="en-AU"/>
        </w:rPr>
      </w:pPr>
      <w:r>
        <w:rPr>
          <w:rFonts w:ascii="Arial" w:hAnsi="Arial" w:cs="Arial"/>
          <w:sz w:val="20"/>
          <w:szCs w:val="20"/>
          <w:lang w:val="en-AU"/>
        </w:rPr>
        <w:t xml:space="preserve">The need for improved access to </w:t>
      </w:r>
      <w:r w:rsidR="00BB5A9A">
        <w:rPr>
          <w:rFonts w:ascii="Arial" w:hAnsi="Arial" w:cs="Arial"/>
          <w:sz w:val="20"/>
          <w:szCs w:val="20"/>
          <w:lang w:val="en-AU"/>
        </w:rPr>
        <w:t xml:space="preserve">a </w:t>
      </w:r>
      <w:r w:rsidR="00D712E9">
        <w:rPr>
          <w:rFonts w:ascii="Arial" w:hAnsi="Arial" w:cs="Arial"/>
          <w:sz w:val="20"/>
          <w:szCs w:val="20"/>
          <w:lang w:val="en-AU"/>
        </w:rPr>
        <w:t>customer’</w:t>
      </w:r>
      <w:r w:rsidR="00A2005A">
        <w:rPr>
          <w:rFonts w:ascii="Arial" w:hAnsi="Arial" w:cs="Arial"/>
          <w:sz w:val="20"/>
          <w:szCs w:val="20"/>
          <w:lang w:val="en-AU"/>
        </w:rPr>
        <w:t xml:space="preserve">s </w:t>
      </w:r>
      <w:r>
        <w:rPr>
          <w:rFonts w:ascii="Arial" w:hAnsi="Arial" w:cs="Arial"/>
          <w:sz w:val="20"/>
          <w:szCs w:val="20"/>
          <w:lang w:val="en-AU"/>
        </w:rPr>
        <w:t xml:space="preserve">energy data – </w:t>
      </w:r>
      <w:r w:rsidRPr="00D2512A">
        <w:rPr>
          <w:rFonts w:ascii="Arial" w:hAnsi="Arial" w:cs="Arial"/>
          <w:color w:val="auto"/>
          <w:sz w:val="20"/>
          <w:szCs w:val="20"/>
          <w:lang w:val="en-AU"/>
        </w:rPr>
        <w:t>by the customer, and by third parties – has been considered by</w:t>
      </w:r>
      <w:r w:rsidR="00A2005A" w:rsidRPr="00D2512A">
        <w:rPr>
          <w:rFonts w:ascii="Arial" w:hAnsi="Arial" w:cs="Arial"/>
          <w:color w:val="auto"/>
          <w:sz w:val="20"/>
          <w:szCs w:val="20"/>
          <w:lang w:val="en-AU"/>
        </w:rPr>
        <w:t xml:space="preserve"> state and f</w:t>
      </w:r>
      <w:r w:rsidR="00410A5B" w:rsidRPr="00D2512A">
        <w:rPr>
          <w:rFonts w:ascii="Arial" w:hAnsi="Arial" w:cs="Arial"/>
          <w:color w:val="auto"/>
          <w:sz w:val="20"/>
          <w:szCs w:val="20"/>
          <w:lang w:val="en-AU"/>
        </w:rPr>
        <w:t>ederal governments, rule-makers,</w:t>
      </w:r>
      <w:r w:rsidR="002A1FEE" w:rsidRPr="00D2512A">
        <w:rPr>
          <w:rFonts w:ascii="Arial" w:hAnsi="Arial" w:cs="Arial"/>
          <w:color w:val="auto"/>
          <w:sz w:val="20"/>
          <w:szCs w:val="20"/>
          <w:lang w:val="en-AU"/>
        </w:rPr>
        <w:t xml:space="preserve"> regulators,</w:t>
      </w:r>
      <w:r w:rsidRPr="00D2512A">
        <w:rPr>
          <w:rFonts w:ascii="Arial" w:hAnsi="Arial" w:cs="Arial"/>
          <w:color w:val="auto"/>
          <w:sz w:val="20"/>
          <w:szCs w:val="20"/>
          <w:lang w:val="en-AU"/>
        </w:rPr>
        <w:t xml:space="preserve"> consumer advocates and companies in the energy sector</w:t>
      </w:r>
      <w:r w:rsidR="002A1FEE" w:rsidRPr="00D2512A">
        <w:rPr>
          <w:rFonts w:ascii="Arial" w:hAnsi="Arial" w:cs="Arial"/>
          <w:color w:val="auto"/>
          <w:sz w:val="20"/>
          <w:szCs w:val="20"/>
          <w:lang w:val="en-AU"/>
        </w:rPr>
        <w:t xml:space="preserve"> across a range of projects and a number of years. </w:t>
      </w:r>
      <w:r w:rsidR="00D2512A" w:rsidRPr="00D2512A">
        <w:rPr>
          <w:rFonts w:ascii="Arial" w:hAnsi="Arial" w:cs="Arial"/>
          <w:color w:val="auto"/>
          <w:sz w:val="20"/>
          <w:szCs w:val="20"/>
          <w:lang w:val="en-AU"/>
        </w:rPr>
        <w:t>In 2017, t</w:t>
      </w:r>
      <w:r w:rsidR="00A2005A" w:rsidRPr="00D2512A">
        <w:rPr>
          <w:rFonts w:ascii="Arial" w:hAnsi="Arial" w:cs="Arial"/>
          <w:color w:val="auto"/>
          <w:sz w:val="20"/>
          <w:szCs w:val="20"/>
          <w:lang w:val="en-AU"/>
        </w:rPr>
        <w:t xml:space="preserve">he </w:t>
      </w:r>
      <w:r w:rsidR="00D2512A" w:rsidRPr="00D2512A">
        <w:rPr>
          <w:rFonts w:ascii="Arial" w:hAnsi="Arial" w:cs="Arial"/>
          <w:i/>
          <w:color w:val="auto"/>
          <w:sz w:val="20"/>
          <w:szCs w:val="20"/>
          <w:lang w:val="en-AU"/>
        </w:rPr>
        <w:t>Independent Review into the Future of the National Energy Market</w:t>
      </w:r>
      <w:r w:rsidR="00D2512A" w:rsidRPr="00D2512A">
        <w:rPr>
          <w:rFonts w:ascii="Arial" w:hAnsi="Arial" w:cs="Arial"/>
          <w:color w:val="auto"/>
          <w:sz w:val="20"/>
          <w:szCs w:val="20"/>
          <w:lang w:val="en-AU"/>
        </w:rPr>
        <w:t xml:space="preserve"> recommended that the COAG Energy Council facilitate measures to remove com</w:t>
      </w:r>
      <w:r w:rsidR="00134842">
        <w:rPr>
          <w:rFonts w:ascii="Arial" w:hAnsi="Arial" w:cs="Arial"/>
          <w:color w:val="auto"/>
          <w:sz w:val="20"/>
          <w:szCs w:val="20"/>
          <w:lang w:val="en-AU"/>
        </w:rPr>
        <w:t>plexities and improve consumer</w:t>
      </w:r>
      <w:r w:rsidR="00D2512A" w:rsidRPr="00D2512A">
        <w:rPr>
          <w:rFonts w:ascii="Arial" w:hAnsi="Arial" w:cs="Arial"/>
          <w:color w:val="auto"/>
          <w:sz w:val="20"/>
          <w:szCs w:val="20"/>
          <w:lang w:val="en-AU"/>
        </w:rPr>
        <w:t xml:space="preserve"> access to, and rights to share, their energy data (June 2017, recommendation 6.5).  The ACCC</w:t>
      </w:r>
      <w:r w:rsidR="000664D7">
        <w:rPr>
          <w:rFonts w:ascii="Arial" w:hAnsi="Arial" w:cs="Arial"/>
          <w:color w:val="auto"/>
          <w:sz w:val="20"/>
          <w:szCs w:val="20"/>
          <w:lang w:val="en-AU"/>
        </w:rPr>
        <w:t>’s 2017</w:t>
      </w:r>
      <w:r w:rsidR="00D2512A" w:rsidRPr="00D2512A">
        <w:rPr>
          <w:rFonts w:ascii="Arial" w:hAnsi="Arial" w:cs="Arial"/>
          <w:color w:val="auto"/>
          <w:sz w:val="20"/>
          <w:szCs w:val="20"/>
          <w:lang w:val="en-AU"/>
        </w:rPr>
        <w:t xml:space="preserve"> </w:t>
      </w:r>
      <w:r w:rsidR="000664D7" w:rsidRPr="000664D7">
        <w:rPr>
          <w:rFonts w:ascii="Arial" w:hAnsi="Arial" w:cs="Arial"/>
          <w:i/>
          <w:color w:val="auto"/>
          <w:sz w:val="20"/>
          <w:szCs w:val="20"/>
          <w:lang w:val="en-AU"/>
        </w:rPr>
        <w:t xml:space="preserve">Retail Electricity Pricing Inquiry </w:t>
      </w:r>
      <w:r w:rsidR="000664D7">
        <w:rPr>
          <w:rFonts w:ascii="Arial" w:hAnsi="Arial" w:cs="Arial"/>
          <w:i/>
          <w:color w:val="auto"/>
          <w:sz w:val="20"/>
          <w:szCs w:val="20"/>
          <w:lang w:val="en-AU"/>
        </w:rPr>
        <w:t>Preliminary Report</w:t>
      </w:r>
      <w:r w:rsidR="00D2512A" w:rsidRPr="00D2512A">
        <w:rPr>
          <w:rFonts w:ascii="Arial" w:hAnsi="Arial" w:cs="Arial"/>
          <w:color w:val="auto"/>
          <w:sz w:val="20"/>
          <w:szCs w:val="20"/>
          <w:lang w:val="en-AU"/>
        </w:rPr>
        <w:t xml:space="preserve"> highlighted the difficulties currently facing customers in accessing and </w:t>
      </w:r>
      <w:r w:rsidR="00D2512A">
        <w:rPr>
          <w:rFonts w:ascii="Arial" w:hAnsi="Arial" w:cs="Arial"/>
          <w:sz w:val="20"/>
          <w:szCs w:val="20"/>
          <w:lang w:val="en-AU"/>
        </w:rPr>
        <w:t>sharing their</w:t>
      </w:r>
      <w:r w:rsidR="000664D7">
        <w:rPr>
          <w:rFonts w:ascii="Arial" w:hAnsi="Arial" w:cs="Arial"/>
          <w:sz w:val="20"/>
          <w:szCs w:val="20"/>
          <w:lang w:val="en-AU"/>
        </w:rPr>
        <w:t xml:space="preserve"> energy usage data (</w:t>
      </w:r>
      <w:r w:rsidR="00D2512A">
        <w:rPr>
          <w:rFonts w:ascii="Arial" w:hAnsi="Arial" w:cs="Arial"/>
          <w:sz w:val="20"/>
          <w:szCs w:val="20"/>
          <w:lang w:val="en-AU"/>
        </w:rPr>
        <w:t>p 140).</w:t>
      </w:r>
    </w:p>
    <w:p w:rsidR="002A1FEE" w:rsidRDefault="002A1FEE" w:rsidP="00471E9F">
      <w:pPr>
        <w:pStyle w:val="AECletterbody"/>
        <w:jc w:val="both"/>
        <w:rPr>
          <w:rFonts w:ascii="Arial" w:hAnsi="Arial" w:cs="Arial"/>
          <w:sz w:val="20"/>
          <w:szCs w:val="20"/>
          <w:lang w:val="en-AU"/>
        </w:rPr>
      </w:pPr>
      <w:r>
        <w:rPr>
          <w:rFonts w:ascii="Arial" w:hAnsi="Arial" w:cs="Arial"/>
          <w:sz w:val="20"/>
          <w:szCs w:val="20"/>
          <w:lang w:val="en-AU"/>
        </w:rPr>
        <w:lastRenderedPageBreak/>
        <w:t xml:space="preserve">The AEMC has considered data access issues across two rules changes: </w:t>
      </w:r>
    </w:p>
    <w:p w:rsidR="00D75551" w:rsidRPr="00D75551" w:rsidRDefault="00D75551" w:rsidP="00471E9F">
      <w:pPr>
        <w:pStyle w:val="AECletterbody"/>
        <w:numPr>
          <w:ilvl w:val="0"/>
          <w:numId w:val="7"/>
        </w:numPr>
        <w:jc w:val="both"/>
        <w:rPr>
          <w:rFonts w:ascii="Arial" w:hAnsi="Arial" w:cs="Arial"/>
          <w:sz w:val="20"/>
          <w:szCs w:val="20"/>
          <w:lang w:val="en-AU"/>
        </w:rPr>
      </w:pPr>
      <w:r w:rsidRPr="00D2512A">
        <w:rPr>
          <w:rFonts w:ascii="Arial" w:hAnsi="Arial" w:cs="Arial"/>
          <w:i/>
          <w:sz w:val="20"/>
          <w:szCs w:val="20"/>
          <w:lang w:val="en-AU"/>
        </w:rPr>
        <w:t>Customer access to information</w:t>
      </w:r>
      <w:r w:rsidR="00D2512A">
        <w:rPr>
          <w:rFonts w:ascii="Arial" w:hAnsi="Arial" w:cs="Arial"/>
          <w:i/>
          <w:sz w:val="20"/>
          <w:szCs w:val="20"/>
          <w:lang w:val="en-AU"/>
        </w:rPr>
        <w:t xml:space="preserve"> about their energy consumption </w:t>
      </w:r>
      <w:r w:rsidR="00D2512A">
        <w:rPr>
          <w:rFonts w:ascii="Arial" w:hAnsi="Arial" w:cs="Arial"/>
          <w:sz w:val="20"/>
          <w:szCs w:val="20"/>
          <w:lang w:val="en-AU"/>
        </w:rPr>
        <w:t>rule change (</w:t>
      </w:r>
      <w:r w:rsidR="00A40299">
        <w:rPr>
          <w:rFonts w:ascii="Arial" w:hAnsi="Arial" w:cs="Arial"/>
          <w:sz w:val="20"/>
          <w:szCs w:val="20"/>
          <w:lang w:val="en-AU"/>
        </w:rPr>
        <w:t xml:space="preserve">6 November </w:t>
      </w:r>
      <w:r w:rsidR="00D2512A">
        <w:rPr>
          <w:rFonts w:ascii="Arial" w:hAnsi="Arial" w:cs="Arial"/>
          <w:sz w:val="20"/>
          <w:szCs w:val="20"/>
          <w:lang w:val="en-AU"/>
        </w:rPr>
        <w:t>2014)</w:t>
      </w:r>
      <w:r w:rsidRPr="00CF596E">
        <w:rPr>
          <w:rFonts w:ascii="Arial" w:hAnsi="Arial" w:cs="Arial"/>
          <w:sz w:val="20"/>
          <w:szCs w:val="20"/>
          <w:lang w:val="en-AU"/>
        </w:rPr>
        <w:t xml:space="preserve">, </w:t>
      </w:r>
      <w:r w:rsidR="00D712E9" w:rsidRPr="00CF596E">
        <w:rPr>
          <w:rFonts w:ascii="Arial" w:hAnsi="Arial" w:cs="Arial"/>
          <w:sz w:val="20"/>
          <w:szCs w:val="20"/>
          <w:lang w:val="en-AU"/>
        </w:rPr>
        <w:t>which established a specific (and limited) right for consumers to request up to two years’ historical data from their</w:t>
      </w:r>
      <w:r w:rsidR="00CF596E">
        <w:rPr>
          <w:rFonts w:ascii="Arial" w:hAnsi="Arial" w:cs="Arial"/>
          <w:sz w:val="20"/>
          <w:szCs w:val="20"/>
          <w:lang w:val="en-AU"/>
        </w:rPr>
        <w:t xml:space="preserve"> retailer or distributor</w:t>
      </w:r>
      <w:r w:rsidR="00D712E9" w:rsidRPr="00CF596E">
        <w:rPr>
          <w:rFonts w:ascii="Arial" w:hAnsi="Arial" w:cs="Arial"/>
          <w:sz w:val="20"/>
          <w:szCs w:val="20"/>
          <w:lang w:val="en-AU"/>
        </w:rPr>
        <w:t>; and</w:t>
      </w:r>
    </w:p>
    <w:p w:rsidR="002A1FEE" w:rsidRDefault="00D2512A" w:rsidP="00471E9F">
      <w:pPr>
        <w:pStyle w:val="AECletterbody"/>
        <w:numPr>
          <w:ilvl w:val="0"/>
          <w:numId w:val="7"/>
        </w:numPr>
        <w:jc w:val="both"/>
        <w:rPr>
          <w:rFonts w:ascii="Arial" w:hAnsi="Arial" w:cs="Arial"/>
          <w:sz w:val="20"/>
          <w:szCs w:val="20"/>
          <w:lang w:val="en-AU"/>
        </w:rPr>
      </w:pPr>
      <w:r w:rsidRPr="00BB5A9A">
        <w:rPr>
          <w:rFonts w:ascii="Arial" w:hAnsi="Arial" w:cs="Arial"/>
          <w:i/>
          <w:sz w:val="20"/>
          <w:szCs w:val="20"/>
          <w:lang w:val="en-AU"/>
        </w:rPr>
        <w:t>Expanding competition in metering and related services rule change</w:t>
      </w:r>
      <w:r w:rsidRPr="00A40299">
        <w:rPr>
          <w:rFonts w:ascii="Arial" w:hAnsi="Arial" w:cs="Arial"/>
          <w:sz w:val="20"/>
          <w:szCs w:val="20"/>
          <w:lang w:val="en-AU"/>
        </w:rPr>
        <w:t xml:space="preserve"> (</w:t>
      </w:r>
      <w:r w:rsidR="00A40299" w:rsidRPr="00A40299">
        <w:rPr>
          <w:rFonts w:ascii="Arial" w:hAnsi="Arial" w:cs="Arial"/>
          <w:sz w:val="20"/>
          <w:szCs w:val="20"/>
          <w:lang w:val="en-AU"/>
        </w:rPr>
        <w:t xml:space="preserve">26 November </w:t>
      </w:r>
      <w:r w:rsidR="00A40299">
        <w:rPr>
          <w:rFonts w:ascii="Arial" w:hAnsi="Arial" w:cs="Arial"/>
          <w:sz w:val="20"/>
          <w:szCs w:val="20"/>
          <w:lang w:val="en-AU"/>
        </w:rPr>
        <w:t xml:space="preserve">2015), </w:t>
      </w:r>
      <w:r w:rsidR="002A1FEE">
        <w:rPr>
          <w:rFonts w:ascii="Arial" w:hAnsi="Arial" w:cs="Arial"/>
          <w:sz w:val="20"/>
          <w:szCs w:val="20"/>
          <w:lang w:val="en-AU"/>
        </w:rPr>
        <w:t xml:space="preserve">which clarifies that small customers </w:t>
      </w:r>
      <w:r w:rsidR="00134842">
        <w:rPr>
          <w:rFonts w:ascii="Arial" w:hAnsi="Arial" w:cs="Arial"/>
          <w:sz w:val="20"/>
          <w:szCs w:val="20"/>
          <w:lang w:val="en-AU"/>
        </w:rPr>
        <w:t xml:space="preserve">with a smart meter </w:t>
      </w:r>
      <w:r w:rsidR="00A72E09">
        <w:rPr>
          <w:rFonts w:ascii="Arial" w:hAnsi="Arial" w:cs="Arial"/>
          <w:sz w:val="20"/>
          <w:szCs w:val="20"/>
          <w:lang w:val="en-AU"/>
        </w:rPr>
        <w:t>may consent to third parties accessing their metering data.</w:t>
      </w:r>
    </w:p>
    <w:p w:rsidR="00A72E09" w:rsidRPr="005D1E35" w:rsidRDefault="00A72E09" w:rsidP="005D1E35">
      <w:pPr>
        <w:pStyle w:val="CommentText"/>
      </w:pPr>
      <w:r>
        <w:rPr>
          <w:rFonts w:ascii="Arial" w:hAnsi="Arial" w:cs="Arial"/>
        </w:rPr>
        <w:t>In practice, many customers with smart meters now have ongoing access to their energy data provided by either their retailer, distributor or both. It is increasingly common for retailers to offer smart-phone and tablet-</w:t>
      </w:r>
      <w:r w:rsidR="007670AE">
        <w:rPr>
          <w:rFonts w:ascii="Arial" w:hAnsi="Arial" w:cs="Arial"/>
        </w:rPr>
        <w:t xml:space="preserve">based apps allowing interested customers to </w:t>
      </w:r>
      <w:r>
        <w:rPr>
          <w:rFonts w:ascii="Arial" w:hAnsi="Arial" w:cs="Arial"/>
        </w:rPr>
        <w:t>track</w:t>
      </w:r>
      <w:r w:rsidR="007670AE">
        <w:rPr>
          <w:rFonts w:ascii="Arial" w:hAnsi="Arial" w:cs="Arial"/>
        </w:rPr>
        <w:t xml:space="preserve"> their</w:t>
      </w:r>
      <w:r>
        <w:rPr>
          <w:rFonts w:ascii="Arial" w:hAnsi="Arial" w:cs="Arial"/>
        </w:rPr>
        <w:t xml:space="preserve"> energy consumption and </w:t>
      </w:r>
      <w:r w:rsidR="007670AE">
        <w:rPr>
          <w:rFonts w:ascii="Arial" w:hAnsi="Arial" w:cs="Arial"/>
        </w:rPr>
        <w:t>bills (</w:t>
      </w:r>
      <w:r w:rsidR="00BB5A9A">
        <w:rPr>
          <w:rFonts w:ascii="Arial" w:hAnsi="Arial" w:cs="Arial"/>
        </w:rPr>
        <w:t>for example,</w:t>
      </w:r>
      <w:r w:rsidR="007670AE">
        <w:rPr>
          <w:rFonts w:ascii="Arial" w:hAnsi="Arial" w:cs="Arial"/>
        </w:rPr>
        <w:t xml:space="preserve"> on a day-behind basis). </w:t>
      </w:r>
      <w:r>
        <w:rPr>
          <w:rFonts w:ascii="Arial" w:hAnsi="Arial" w:cs="Arial"/>
        </w:rPr>
        <w:t xml:space="preserve">Many retailers also provide regular email updates to their customers showing energy consumption levels and pricing on a daily, weekly or </w:t>
      </w:r>
      <w:r w:rsidR="007670AE">
        <w:rPr>
          <w:rFonts w:ascii="Arial" w:hAnsi="Arial" w:cs="Arial"/>
        </w:rPr>
        <w:t>monthly</w:t>
      </w:r>
      <w:r>
        <w:rPr>
          <w:rFonts w:ascii="Arial" w:hAnsi="Arial" w:cs="Arial"/>
        </w:rPr>
        <w:t xml:space="preserve"> basis. These services enable customers to better track their energy use, understand its bill impact and avoid ‘bill shock’</w:t>
      </w:r>
      <w:r w:rsidR="00A40299">
        <w:rPr>
          <w:rFonts w:ascii="Arial" w:hAnsi="Arial" w:cs="Arial"/>
        </w:rPr>
        <w:t xml:space="preserve"> at the end of the</w:t>
      </w:r>
      <w:r>
        <w:rPr>
          <w:rFonts w:ascii="Arial" w:hAnsi="Arial" w:cs="Arial"/>
        </w:rPr>
        <w:t xml:space="preserve"> billing period.</w:t>
      </w:r>
      <w:r w:rsidR="00134842">
        <w:rPr>
          <w:rFonts w:ascii="Arial" w:hAnsi="Arial" w:cs="Arial"/>
        </w:rPr>
        <w:t xml:space="preserve"> </w:t>
      </w:r>
      <w:r w:rsidR="005D1E35" w:rsidRPr="005D1E35">
        <w:rPr>
          <w:rFonts w:ascii="Arial" w:hAnsi="Arial" w:cs="Arial"/>
        </w:rPr>
        <w:t>Additionally, retailers and energy service providers are already providing value-added data services to customers such as additional consumption information, smart appliance monitoring, and advanced data analytics.</w:t>
      </w:r>
    </w:p>
    <w:p w:rsidR="00132A39" w:rsidRDefault="00134842" w:rsidP="00A72E09">
      <w:pPr>
        <w:pStyle w:val="AECletterbody"/>
        <w:jc w:val="both"/>
        <w:rPr>
          <w:rFonts w:ascii="Arial" w:hAnsi="Arial" w:cs="Arial"/>
          <w:sz w:val="20"/>
          <w:szCs w:val="20"/>
          <w:lang w:val="en-AU"/>
        </w:rPr>
      </w:pPr>
      <w:r>
        <w:rPr>
          <w:rFonts w:ascii="Arial" w:hAnsi="Arial" w:cs="Arial"/>
          <w:sz w:val="20"/>
          <w:szCs w:val="20"/>
          <w:lang w:val="en-AU"/>
        </w:rPr>
        <w:t>The provision of energy data (including consumption and export data) occurs within a heavily regulated context. Retailers are required to manage compliance risk with confidentiality obligations under the</w:t>
      </w:r>
      <w:r w:rsidR="00392FA3">
        <w:rPr>
          <w:rFonts w:ascii="Arial" w:hAnsi="Arial" w:cs="Arial"/>
          <w:sz w:val="20"/>
          <w:szCs w:val="20"/>
          <w:lang w:val="en-AU"/>
        </w:rPr>
        <w:t xml:space="preserve"> National Electricity Rules</w:t>
      </w:r>
      <w:r>
        <w:rPr>
          <w:rFonts w:ascii="Arial" w:hAnsi="Arial" w:cs="Arial"/>
          <w:sz w:val="20"/>
          <w:szCs w:val="20"/>
          <w:lang w:val="en-AU"/>
        </w:rPr>
        <w:t xml:space="preserve"> </w:t>
      </w:r>
      <w:r w:rsidR="00392FA3">
        <w:rPr>
          <w:rFonts w:ascii="Arial" w:hAnsi="Arial" w:cs="Arial"/>
          <w:sz w:val="20"/>
          <w:szCs w:val="20"/>
          <w:lang w:val="en-AU"/>
        </w:rPr>
        <w:t>(</w:t>
      </w:r>
      <w:r>
        <w:rPr>
          <w:rFonts w:ascii="Arial" w:hAnsi="Arial" w:cs="Arial"/>
          <w:sz w:val="20"/>
          <w:szCs w:val="20"/>
          <w:lang w:val="en-AU"/>
        </w:rPr>
        <w:t>NER</w:t>
      </w:r>
      <w:r w:rsidR="00392FA3">
        <w:rPr>
          <w:rFonts w:ascii="Arial" w:hAnsi="Arial" w:cs="Arial"/>
          <w:sz w:val="20"/>
          <w:szCs w:val="20"/>
          <w:lang w:val="en-AU"/>
        </w:rPr>
        <w:t>)</w:t>
      </w:r>
      <w:r>
        <w:rPr>
          <w:rFonts w:ascii="Arial" w:hAnsi="Arial" w:cs="Arial"/>
          <w:sz w:val="20"/>
          <w:szCs w:val="20"/>
          <w:lang w:val="en-AU"/>
        </w:rPr>
        <w:t xml:space="preserve"> as well as privacy law. </w:t>
      </w:r>
      <w:r w:rsidR="00A72E09">
        <w:rPr>
          <w:rFonts w:ascii="Arial" w:hAnsi="Arial" w:cs="Arial"/>
          <w:sz w:val="20"/>
          <w:szCs w:val="20"/>
          <w:lang w:val="en-AU"/>
        </w:rPr>
        <w:lastRenderedPageBreak/>
        <w:t xml:space="preserve">While </w:t>
      </w:r>
      <w:r w:rsidR="000664D7">
        <w:rPr>
          <w:rFonts w:ascii="Arial" w:hAnsi="Arial" w:cs="Arial"/>
          <w:sz w:val="20"/>
          <w:szCs w:val="20"/>
          <w:lang w:val="en-AU"/>
        </w:rPr>
        <w:t>customers currently have rights to access historical energy data under the NER, an</w:t>
      </w:r>
      <w:r w:rsidR="00392FA3">
        <w:rPr>
          <w:rFonts w:ascii="Arial" w:hAnsi="Arial" w:cs="Arial"/>
          <w:sz w:val="20"/>
          <w:szCs w:val="20"/>
          <w:lang w:val="en-AU"/>
        </w:rPr>
        <w:t>d</w:t>
      </w:r>
      <w:r w:rsidR="000664D7">
        <w:rPr>
          <w:rFonts w:ascii="Arial" w:hAnsi="Arial" w:cs="Arial"/>
          <w:sz w:val="20"/>
          <w:szCs w:val="20"/>
          <w:lang w:val="en-AU"/>
        </w:rPr>
        <w:t xml:space="preserve"> to authorise third party access to that data, regulatory and technical</w:t>
      </w:r>
      <w:r w:rsidR="00132A39">
        <w:rPr>
          <w:rFonts w:ascii="Arial" w:hAnsi="Arial" w:cs="Arial"/>
          <w:sz w:val="20"/>
          <w:szCs w:val="20"/>
          <w:lang w:val="en-AU"/>
        </w:rPr>
        <w:t xml:space="preserve"> challenge</w:t>
      </w:r>
      <w:r w:rsidR="000664D7">
        <w:rPr>
          <w:rFonts w:ascii="Arial" w:hAnsi="Arial" w:cs="Arial"/>
          <w:sz w:val="20"/>
          <w:szCs w:val="20"/>
          <w:lang w:val="en-AU"/>
        </w:rPr>
        <w:t>s in</w:t>
      </w:r>
      <w:r w:rsidR="00132A39">
        <w:rPr>
          <w:rFonts w:ascii="Arial" w:hAnsi="Arial" w:cs="Arial"/>
          <w:sz w:val="20"/>
          <w:szCs w:val="20"/>
          <w:lang w:val="en-AU"/>
        </w:rPr>
        <w:t xml:space="preserve"> sharing </w:t>
      </w:r>
      <w:r w:rsidR="005D1E35">
        <w:rPr>
          <w:rFonts w:ascii="Arial" w:hAnsi="Arial" w:cs="Arial"/>
          <w:sz w:val="20"/>
          <w:szCs w:val="20"/>
          <w:lang w:val="en-AU"/>
        </w:rPr>
        <w:t>consumption</w:t>
      </w:r>
      <w:r w:rsidR="00132A39">
        <w:rPr>
          <w:rFonts w:ascii="Arial" w:hAnsi="Arial" w:cs="Arial"/>
          <w:sz w:val="20"/>
          <w:szCs w:val="20"/>
          <w:lang w:val="en-AU"/>
        </w:rPr>
        <w:t xml:space="preserve"> </w:t>
      </w:r>
      <w:r w:rsidR="00A72E09">
        <w:rPr>
          <w:rFonts w:ascii="Arial" w:hAnsi="Arial" w:cs="Arial"/>
          <w:sz w:val="20"/>
          <w:szCs w:val="20"/>
          <w:lang w:val="en-AU"/>
        </w:rPr>
        <w:t>data with third parties</w:t>
      </w:r>
      <w:r w:rsidR="00132A39">
        <w:rPr>
          <w:rFonts w:ascii="Arial" w:hAnsi="Arial" w:cs="Arial"/>
          <w:sz w:val="20"/>
          <w:szCs w:val="20"/>
          <w:lang w:val="en-AU"/>
        </w:rPr>
        <w:t xml:space="preserve"> re</w:t>
      </w:r>
      <w:r w:rsidR="000664D7">
        <w:rPr>
          <w:rFonts w:ascii="Arial" w:hAnsi="Arial" w:cs="Arial"/>
          <w:sz w:val="20"/>
          <w:szCs w:val="20"/>
          <w:lang w:val="en-AU"/>
        </w:rPr>
        <w:t>main</w:t>
      </w:r>
      <w:r w:rsidR="00A72E09">
        <w:rPr>
          <w:rFonts w:ascii="Arial" w:hAnsi="Arial" w:cs="Arial"/>
          <w:sz w:val="20"/>
          <w:szCs w:val="20"/>
          <w:lang w:val="en-AU"/>
        </w:rPr>
        <w:t xml:space="preserve">. </w:t>
      </w:r>
    </w:p>
    <w:p w:rsidR="00364418" w:rsidRDefault="00A40299" w:rsidP="00364418">
      <w:pPr>
        <w:pStyle w:val="AECletterbody"/>
        <w:jc w:val="both"/>
        <w:rPr>
          <w:rFonts w:ascii="Arial" w:hAnsi="Arial" w:cs="Arial"/>
          <w:sz w:val="20"/>
          <w:szCs w:val="20"/>
          <w:lang w:val="en-AU"/>
        </w:rPr>
      </w:pPr>
      <w:r w:rsidRPr="00A40299">
        <w:rPr>
          <w:rFonts w:ascii="Arial" w:hAnsi="Arial" w:cs="Arial"/>
          <w:sz w:val="20"/>
          <w:szCs w:val="20"/>
          <w:lang w:val="en-AU"/>
        </w:rPr>
        <w:t xml:space="preserve">One </w:t>
      </w:r>
      <w:r w:rsidR="00132A39" w:rsidRPr="00A40299">
        <w:rPr>
          <w:rFonts w:ascii="Arial" w:hAnsi="Arial" w:cs="Arial"/>
          <w:sz w:val="20"/>
          <w:szCs w:val="20"/>
          <w:lang w:val="en-AU"/>
        </w:rPr>
        <w:t xml:space="preserve">of the obstacles to third party access is the difficulty </w:t>
      </w:r>
      <w:r w:rsidR="00A2550F" w:rsidRPr="00A40299">
        <w:rPr>
          <w:rFonts w:ascii="Arial" w:hAnsi="Arial" w:cs="Arial"/>
          <w:sz w:val="20"/>
          <w:szCs w:val="20"/>
          <w:lang w:val="en-AU"/>
        </w:rPr>
        <w:t>of</w:t>
      </w:r>
      <w:r w:rsidR="00132A39" w:rsidRPr="00A40299">
        <w:rPr>
          <w:rFonts w:ascii="Arial" w:hAnsi="Arial" w:cs="Arial"/>
          <w:sz w:val="20"/>
          <w:szCs w:val="20"/>
          <w:lang w:val="en-AU"/>
        </w:rPr>
        <w:t xml:space="preserve"> </w:t>
      </w:r>
      <w:r w:rsidR="00CF596E" w:rsidRPr="00A40299">
        <w:rPr>
          <w:rFonts w:ascii="Arial" w:hAnsi="Arial" w:cs="Arial"/>
          <w:sz w:val="20"/>
          <w:szCs w:val="20"/>
          <w:lang w:val="en-AU"/>
        </w:rPr>
        <w:t>verifying</w:t>
      </w:r>
      <w:r w:rsidR="00392FA3">
        <w:rPr>
          <w:rFonts w:ascii="Arial" w:hAnsi="Arial" w:cs="Arial"/>
          <w:sz w:val="20"/>
          <w:szCs w:val="20"/>
          <w:lang w:val="en-AU"/>
        </w:rPr>
        <w:t xml:space="preserve"> the customer’s identity and their</w:t>
      </w:r>
      <w:r w:rsidR="00132A39" w:rsidRPr="00A40299">
        <w:rPr>
          <w:rFonts w:ascii="Arial" w:hAnsi="Arial" w:cs="Arial"/>
          <w:sz w:val="20"/>
          <w:szCs w:val="20"/>
          <w:lang w:val="en-AU"/>
        </w:rPr>
        <w:t xml:space="preserve"> consent to the disclosure</w:t>
      </w:r>
      <w:r w:rsidRPr="00A40299">
        <w:rPr>
          <w:rFonts w:ascii="Arial" w:hAnsi="Arial" w:cs="Arial"/>
          <w:sz w:val="20"/>
          <w:szCs w:val="20"/>
          <w:lang w:val="en-AU"/>
        </w:rPr>
        <w:t xml:space="preserve">. As Energy Consumers Australia </w:t>
      </w:r>
      <w:r>
        <w:rPr>
          <w:rFonts w:ascii="Arial" w:hAnsi="Arial" w:cs="Arial"/>
          <w:sz w:val="20"/>
          <w:szCs w:val="20"/>
          <w:lang w:val="en-AU"/>
        </w:rPr>
        <w:t xml:space="preserve">(ECA) </w:t>
      </w:r>
      <w:r w:rsidRPr="00A40299">
        <w:rPr>
          <w:rFonts w:ascii="Arial" w:hAnsi="Arial" w:cs="Arial"/>
          <w:sz w:val="20"/>
          <w:szCs w:val="20"/>
          <w:lang w:val="en-AU"/>
        </w:rPr>
        <w:t xml:space="preserve">has pointed out, arrangements for third party access are made more problematic </w:t>
      </w:r>
      <w:r w:rsidR="00132A39" w:rsidRPr="00A40299">
        <w:rPr>
          <w:rFonts w:ascii="Arial" w:hAnsi="Arial" w:cs="Arial"/>
          <w:sz w:val="20"/>
          <w:szCs w:val="20"/>
          <w:lang w:val="en-AU"/>
        </w:rPr>
        <w:t xml:space="preserve">by different market participants adopting different verification and consent requirements. </w:t>
      </w:r>
      <w:r w:rsidR="00364418" w:rsidRPr="00A40299">
        <w:rPr>
          <w:rFonts w:ascii="Arial" w:hAnsi="Arial" w:cs="Arial"/>
          <w:sz w:val="20"/>
          <w:szCs w:val="20"/>
          <w:lang w:val="en-AU"/>
        </w:rPr>
        <w:t>The ECA</w:t>
      </w:r>
      <w:r>
        <w:rPr>
          <w:rFonts w:ascii="Arial" w:hAnsi="Arial" w:cs="Arial"/>
          <w:sz w:val="20"/>
          <w:szCs w:val="20"/>
          <w:lang w:val="en-AU"/>
        </w:rPr>
        <w:t xml:space="preserve">’s </w:t>
      </w:r>
      <w:r w:rsidRPr="00A40299">
        <w:rPr>
          <w:rFonts w:ascii="Arial" w:hAnsi="Arial" w:cs="Arial"/>
          <w:i/>
          <w:sz w:val="20"/>
          <w:szCs w:val="20"/>
          <w:lang w:val="en-AU"/>
        </w:rPr>
        <w:t>Electricity Meter Data Portability Project</w:t>
      </w:r>
      <w:r w:rsidR="00364418" w:rsidRPr="00A40299">
        <w:rPr>
          <w:rFonts w:ascii="Arial" w:hAnsi="Arial" w:cs="Arial"/>
          <w:sz w:val="20"/>
          <w:szCs w:val="20"/>
          <w:lang w:val="en-AU"/>
        </w:rPr>
        <w:t xml:space="preserve"> proposed a market-led solution to this issue, seeki</w:t>
      </w:r>
      <w:r>
        <w:rPr>
          <w:rFonts w:ascii="Arial" w:hAnsi="Arial" w:cs="Arial"/>
          <w:sz w:val="20"/>
          <w:szCs w:val="20"/>
          <w:lang w:val="en-AU"/>
        </w:rPr>
        <w:t xml:space="preserve">ng for distributors to agree </w:t>
      </w:r>
      <w:r w:rsidR="00392FA3">
        <w:rPr>
          <w:rFonts w:ascii="Arial" w:hAnsi="Arial" w:cs="Arial"/>
          <w:sz w:val="20"/>
          <w:szCs w:val="20"/>
          <w:lang w:val="en-AU"/>
        </w:rPr>
        <w:t xml:space="preserve">to </w:t>
      </w:r>
      <w:r>
        <w:rPr>
          <w:rFonts w:ascii="Arial" w:hAnsi="Arial" w:cs="Arial"/>
          <w:sz w:val="20"/>
          <w:szCs w:val="20"/>
          <w:lang w:val="en-AU"/>
        </w:rPr>
        <w:t xml:space="preserve">a process for providing third party access to metering data. </w:t>
      </w:r>
      <w:r w:rsidR="006921D3">
        <w:rPr>
          <w:rFonts w:ascii="Arial" w:hAnsi="Arial" w:cs="Arial"/>
          <w:sz w:val="20"/>
          <w:szCs w:val="20"/>
          <w:lang w:val="en-AU"/>
        </w:rPr>
        <w:t>The Victorian Government’s Department of Environment, Land, Water and Planning data hub project sought</w:t>
      </w:r>
      <w:r w:rsidR="00392FA3">
        <w:rPr>
          <w:rFonts w:ascii="Arial" w:hAnsi="Arial" w:cs="Arial"/>
          <w:sz w:val="20"/>
          <w:szCs w:val="20"/>
          <w:lang w:val="en-AU"/>
        </w:rPr>
        <w:t>,</w:t>
      </w:r>
      <w:r w:rsidR="006921D3">
        <w:rPr>
          <w:rFonts w:ascii="Arial" w:hAnsi="Arial" w:cs="Arial"/>
          <w:sz w:val="20"/>
          <w:szCs w:val="20"/>
          <w:lang w:val="en-AU"/>
        </w:rPr>
        <w:t xml:space="preserve"> as part of its scope</w:t>
      </w:r>
      <w:r w:rsidR="00392FA3">
        <w:rPr>
          <w:rFonts w:ascii="Arial" w:hAnsi="Arial" w:cs="Arial"/>
          <w:sz w:val="20"/>
          <w:szCs w:val="20"/>
          <w:lang w:val="en-AU"/>
        </w:rPr>
        <w:t>,</w:t>
      </w:r>
      <w:r w:rsidR="006921D3">
        <w:rPr>
          <w:rFonts w:ascii="Arial" w:hAnsi="Arial" w:cs="Arial"/>
          <w:sz w:val="20"/>
          <w:szCs w:val="20"/>
          <w:lang w:val="en-AU"/>
        </w:rPr>
        <w:t xml:space="preserve"> a review of the NEM 12 data format file as a </w:t>
      </w:r>
      <w:r w:rsidR="00BB5A9A">
        <w:rPr>
          <w:rFonts w:ascii="Arial" w:hAnsi="Arial" w:cs="Arial"/>
          <w:sz w:val="20"/>
          <w:szCs w:val="20"/>
          <w:lang w:val="en-AU"/>
        </w:rPr>
        <w:t>related</w:t>
      </w:r>
      <w:r w:rsidR="006921D3">
        <w:rPr>
          <w:rFonts w:ascii="Arial" w:hAnsi="Arial" w:cs="Arial"/>
          <w:sz w:val="20"/>
          <w:szCs w:val="20"/>
          <w:lang w:val="en-AU"/>
        </w:rPr>
        <w:t xml:space="preserve"> key issue in creating data usable </w:t>
      </w:r>
      <w:r w:rsidR="00BB5A9A">
        <w:rPr>
          <w:rFonts w:ascii="Arial" w:hAnsi="Arial" w:cs="Arial"/>
          <w:sz w:val="20"/>
          <w:szCs w:val="20"/>
          <w:lang w:val="en-AU"/>
        </w:rPr>
        <w:t>by</w:t>
      </w:r>
      <w:r w:rsidR="006921D3">
        <w:rPr>
          <w:rFonts w:ascii="Arial" w:hAnsi="Arial" w:cs="Arial"/>
          <w:sz w:val="20"/>
          <w:szCs w:val="20"/>
          <w:lang w:val="en-AU"/>
        </w:rPr>
        <w:t xml:space="preserve"> third parties. </w:t>
      </w:r>
      <w:r w:rsidR="00132A39" w:rsidRPr="00A40299">
        <w:rPr>
          <w:rFonts w:ascii="Arial" w:hAnsi="Arial" w:cs="Arial"/>
          <w:sz w:val="20"/>
          <w:szCs w:val="20"/>
          <w:lang w:val="en-AU"/>
        </w:rPr>
        <w:t xml:space="preserve">The </w:t>
      </w:r>
      <w:r w:rsidR="00364418" w:rsidRPr="00A40299">
        <w:rPr>
          <w:rFonts w:ascii="Arial" w:hAnsi="Arial" w:cs="Arial"/>
          <w:sz w:val="20"/>
          <w:szCs w:val="20"/>
          <w:lang w:val="en-AU"/>
        </w:rPr>
        <w:t>Commonwealth</w:t>
      </w:r>
      <w:r w:rsidR="00132A39">
        <w:rPr>
          <w:rFonts w:ascii="Arial" w:hAnsi="Arial" w:cs="Arial"/>
          <w:sz w:val="20"/>
          <w:szCs w:val="20"/>
          <w:lang w:val="en-AU"/>
        </w:rPr>
        <w:t xml:space="preserve"> Department of the Environment and Energy has </w:t>
      </w:r>
      <w:r w:rsidR="00364418">
        <w:rPr>
          <w:rFonts w:ascii="Arial" w:hAnsi="Arial" w:cs="Arial"/>
          <w:sz w:val="20"/>
          <w:szCs w:val="20"/>
          <w:lang w:val="en-AU"/>
        </w:rPr>
        <w:t xml:space="preserve">separately </w:t>
      </w:r>
      <w:r w:rsidR="00132A39">
        <w:rPr>
          <w:rFonts w:ascii="Arial" w:hAnsi="Arial" w:cs="Arial"/>
          <w:sz w:val="20"/>
          <w:szCs w:val="20"/>
          <w:lang w:val="en-AU"/>
        </w:rPr>
        <w:t xml:space="preserve">commissioned work </w:t>
      </w:r>
      <w:r w:rsidR="007670AE">
        <w:rPr>
          <w:rFonts w:ascii="Arial" w:hAnsi="Arial" w:cs="Arial"/>
          <w:sz w:val="20"/>
          <w:szCs w:val="20"/>
          <w:lang w:val="en-AU"/>
        </w:rPr>
        <w:t xml:space="preserve">to address these problems, </w:t>
      </w:r>
      <w:r w:rsidR="00364418">
        <w:rPr>
          <w:rFonts w:ascii="Arial" w:hAnsi="Arial" w:cs="Arial"/>
          <w:sz w:val="20"/>
          <w:szCs w:val="20"/>
          <w:lang w:val="en-AU"/>
        </w:rPr>
        <w:t>which proposes</w:t>
      </w:r>
      <w:r w:rsidR="00132A39">
        <w:rPr>
          <w:rFonts w:ascii="Arial" w:hAnsi="Arial" w:cs="Arial"/>
          <w:sz w:val="20"/>
          <w:szCs w:val="20"/>
          <w:lang w:val="en-AU"/>
        </w:rPr>
        <w:t xml:space="preserve"> establishing a central data hub </w:t>
      </w:r>
      <w:r w:rsidR="007670AE">
        <w:rPr>
          <w:rFonts w:ascii="Arial" w:hAnsi="Arial" w:cs="Arial"/>
          <w:sz w:val="20"/>
          <w:szCs w:val="20"/>
          <w:lang w:val="en-AU"/>
        </w:rPr>
        <w:t>to manage</w:t>
      </w:r>
      <w:r w:rsidR="00132A39">
        <w:rPr>
          <w:rFonts w:ascii="Arial" w:hAnsi="Arial" w:cs="Arial"/>
          <w:sz w:val="20"/>
          <w:szCs w:val="20"/>
          <w:lang w:val="en-AU"/>
        </w:rPr>
        <w:t xml:space="preserve"> access to energy consumption data.</w:t>
      </w:r>
      <w:r w:rsidR="00364418">
        <w:rPr>
          <w:rFonts w:ascii="Arial" w:hAnsi="Arial" w:cs="Arial"/>
          <w:sz w:val="20"/>
          <w:szCs w:val="20"/>
          <w:lang w:val="en-AU"/>
        </w:rPr>
        <w:t xml:space="preserve"> </w:t>
      </w:r>
      <w:r w:rsidR="006921D3">
        <w:rPr>
          <w:rFonts w:ascii="Arial" w:hAnsi="Arial" w:cs="Arial"/>
          <w:sz w:val="20"/>
          <w:szCs w:val="20"/>
          <w:lang w:val="en-AU"/>
        </w:rPr>
        <w:t xml:space="preserve">We understand that other state governments are also considering </w:t>
      </w:r>
      <w:r w:rsidR="00364418">
        <w:rPr>
          <w:rFonts w:ascii="Arial" w:hAnsi="Arial" w:cs="Arial"/>
          <w:sz w:val="20"/>
          <w:szCs w:val="20"/>
          <w:lang w:val="en-AU"/>
        </w:rPr>
        <w:t>reforms which would establish central data hub</w:t>
      </w:r>
      <w:r w:rsidR="00134842">
        <w:rPr>
          <w:rFonts w:ascii="Arial" w:hAnsi="Arial" w:cs="Arial"/>
          <w:sz w:val="20"/>
          <w:szCs w:val="20"/>
          <w:lang w:val="en-AU"/>
        </w:rPr>
        <w:t>s</w:t>
      </w:r>
      <w:r w:rsidR="00364418">
        <w:rPr>
          <w:rFonts w:ascii="Arial" w:hAnsi="Arial" w:cs="Arial"/>
          <w:sz w:val="20"/>
          <w:szCs w:val="20"/>
          <w:lang w:val="en-AU"/>
        </w:rPr>
        <w:t xml:space="preserve"> to facilitate data access. </w:t>
      </w:r>
    </w:p>
    <w:p w:rsidR="005D1E35" w:rsidRPr="005D1E35" w:rsidRDefault="005D1E35" w:rsidP="005D1E35">
      <w:pPr>
        <w:pStyle w:val="CommentText"/>
        <w:rPr>
          <w:rFonts w:ascii="Arial" w:hAnsi="Arial" w:cs="Arial"/>
          <w:color w:val="000000"/>
        </w:rPr>
      </w:pPr>
      <w:r w:rsidRPr="005D1E35">
        <w:rPr>
          <w:rFonts w:ascii="Arial" w:hAnsi="Arial" w:cs="Arial"/>
          <w:color w:val="000000"/>
        </w:rPr>
        <w:t xml:space="preserve">The </w:t>
      </w:r>
      <w:r>
        <w:rPr>
          <w:rFonts w:ascii="Arial" w:hAnsi="Arial" w:cs="Arial"/>
          <w:color w:val="000000"/>
        </w:rPr>
        <w:t>many different</w:t>
      </w:r>
      <w:r w:rsidRPr="005D1E35">
        <w:rPr>
          <w:rFonts w:ascii="Arial" w:hAnsi="Arial" w:cs="Arial"/>
          <w:color w:val="000000"/>
        </w:rPr>
        <w:t xml:space="preserve"> reviews occurring across different jurisdictions create a risk that </w:t>
      </w:r>
      <w:r>
        <w:rPr>
          <w:rFonts w:ascii="Arial" w:hAnsi="Arial" w:cs="Arial"/>
          <w:color w:val="000000"/>
        </w:rPr>
        <w:t>competing</w:t>
      </w:r>
      <w:r w:rsidRPr="005D1E35">
        <w:rPr>
          <w:rFonts w:ascii="Arial" w:hAnsi="Arial" w:cs="Arial"/>
          <w:color w:val="000000"/>
        </w:rPr>
        <w:t xml:space="preserve"> data access schemes will be developed in the energy sector. While these reviews are aimed at delivering principles similar to the Customer Data Right, </w:t>
      </w:r>
      <w:r w:rsidR="000664D7">
        <w:rPr>
          <w:rFonts w:ascii="Arial" w:hAnsi="Arial" w:cs="Arial"/>
          <w:color w:val="000000"/>
        </w:rPr>
        <w:t xml:space="preserve">there is a risk that </w:t>
      </w:r>
      <w:r w:rsidRPr="005D1E35">
        <w:rPr>
          <w:rFonts w:ascii="Arial" w:hAnsi="Arial" w:cs="Arial"/>
          <w:color w:val="000000"/>
        </w:rPr>
        <w:t>the alternative policy approaches proposed would</w:t>
      </w:r>
      <w:r w:rsidR="000664D7">
        <w:rPr>
          <w:rFonts w:ascii="Arial" w:hAnsi="Arial" w:cs="Arial"/>
          <w:color w:val="000000"/>
        </w:rPr>
        <w:t xml:space="preserve"> not</w:t>
      </w:r>
      <w:r w:rsidRPr="005D1E35">
        <w:rPr>
          <w:rFonts w:ascii="Arial" w:hAnsi="Arial" w:cs="Arial"/>
          <w:color w:val="000000"/>
        </w:rPr>
        <w:t>, if implemented, provide a sufficient data right or regula</w:t>
      </w:r>
      <w:r w:rsidRPr="005D1E35">
        <w:rPr>
          <w:rFonts w:ascii="Arial" w:hAnsi="Arial" w:cs="Arial"/>
          <w:color w:val="000000"/>
        </w:rPr>
        <w:lastRenderedPageBreak/>
        <w:t xml:space="preserve">tory framework to meet the Productivity Commission’s recommendations for a Consumer Data Right. </w:t>
      </w:r>
      <w:r>
        <w:rPr>
          <w:rFonts w:ascii="Arial" w:hAnsi="Arial" w:cs="Arial"/>
          <w:color w:val="000000"/>
        </w:rPr>
        <w:t>The multiplicity of</w:t>
      </w:r>
      <w:r w:rsidRPr="005D1E35">
        <w:rPr>
          <w:rFonts w:ascii="Arial" w:hAnsi="Arial" w:cs="Arial"/>
          <w:color w:val="000000"/>
        </w:rPr>
        <w:t xml:space="preserve"> reviews create a risk of divergence in data creation and provision, leading to increased implementation and compliance costs and risking poor customer outcomes with inadequate customer protections. </w:t>
      </w:r>
    </w:p>
    <w:p w:rsidR="007670AE" w:rsidRPr="00E02381" w:rsidRDefault="00E02381" w:rsidP="002145DA">
      <w:pPr>
        <w:pStyle w:val="AECletterbody"/>
        <w:jc w:val="both"/>
        <w:rPr>
          <w:rFonts w:ascii="Arial" w:hAnsi="Arial" w:cs="Arial"/>
          <w:b/>
          <w:sz w:val="20"/>
          <w:szCs w:val="20"/>
          <w:lang w:val="en-AU"/>
        </w:rPr>
      </w:pPr>
      <w:r>
        <w:rPr>
          <w:rFonts w:ascii="Arial" w:hAnsi="Arial" w:cs="Arial"/>
          <w:b/>
          <w:sz w:val="20"/>
          <w:szCs w:val="20"/>
          <w:lang w:val="en-AU"/>
        </w:rPr>
        <w:t>The need for an economy-wide and Commonwealth-led approach</w:t>
      </w:r>
    </w:p>
    <w:p w:rsidR="007670AE" w:rsidRDefault="007670AE" w:rsidP="007670AE">
      <w:pPr>
        <w:pStyle w:val="AECletterbody"/>
        <w:jc w:val="both"/>
        <w:rPr>
          <w:rFonts w:ascii="Arial" w:hAnsi="Arial" w:cs="Arial"/>
          <w:sz w:val="20"/>
          <w:szCs w:val="20"/>
          <w:lang w:val="en-AU"/>
        </w:rPr>
      </w:pPr>
      <w:r>
        <w:rPr>
          <w:rFonts w:ascii="Arial" w:hAnsi="Arial" w:cs="Arial"/>
          <w:sz w:val="20"/>
          <w:szCs w:val="20"/>
          <w:lang w:val="en-AU"/>
        </w:rPr>
        <w:t xml:space="preserve">In the absence of the broader regulatory reforms envisaged in Open Banking, energy-specific reforms are not </w:t>
      </w:r>
      <w:r w:rsidR="00CF596E">
        <w:rPr>
          <w:rFonts w:ascii="Arial" w:hAnsi="Arial" w:cs="Arial"/>
          <w:sz w:val="20"/>
          <w:szCs w:val="20"/>
          <w:lang w:val="en-AU"/>
        </w:rPr>
        <w:t>capable of</w:t>
      </w:r>
      <w:r>
        <w:rPr>
          <w:rFonts w:ascii="Arial" w:hAnsi="Arial" w:cs="Arial"/>
          <w:sz w:val="20"/>
          <w:szCs w:val="20"/>
          <w:lang w:val="en-AU"/>
        </w:rPr>
        <w:t xml:space="preserve"> address</w:t>
      </w:r>
      <w:r w:rsidR="00CF596E">
        <w:rPr>
          <w:rFonts w:ascii="Arial" w:hAnsi="Arial" w:cs="Arial"/>
          <w:sz w:val="20"/>
          <w:szCs w:val="20"/>
          <w:lang w:val="en-AU"/>
        </w:rPr>
        <w:t>ing the</w:t>
      </w:r>
      <w:r>
        <w:rPr>
          <w:rFonts w:ascii="Arial" w:hAnsi="Arial" w:cs="Arial"/>
          <w:sz w:val="20"/>
          <w:szCs w:val="20"/>
          <w:lang w:val="en-AU"/>
        </w:rPr>
        <w:t xml:space="preserve"> key challenge at the heart</w:t>
      </w:r>
      <w:r w:rsidR="00134842">
        <w:rPr>
          <w:rFonts w:ascii="Arial" w:hAnsi="Arial" w:cs="Arial"/>
          <w:sz w:val="20"/>
          <w:szCs w:val="20"/>
          <w:lang w:val="en-AU"/>
        </w:rPr>
        <w:t xml:space="preserve"> of access to data issues: the privacy l</w:t>
      </w:r>
      <w:r>
        <w:rPr>
          <w:rFonts w:ascii="Arial" w:hAnsi="Arial" w:cs="Arial"/>
          <w:sz w:val="20"/>
          <w:szCs w:val="20"/>
          <w:lang w:val="en-AU"/>
        </w:rPr>
        <w:t xml:space="preserve">aw implications of facilitating third party data access. This is a product of the legal and governance framework of the energy sector and the constitutional arrangements which underpin it. The energy rules, the rule maker and the regulator are </w:t>
      </w:r>
      <w:r w:rsidR="00BB5A9A">
        <w:rPr>
          <w:rFonts w:ascii="Arial" w:hAnsi="Arial" w:cs="Arial"/>
          <w:sz w:val="20"/>
          <w:szCs w:val="20"/>
          <w:lang w:val="en-AU"/>
        </w:rPr>
        <w:t>empowered under</w:t>
      </w:r>
      <w:r>
        <w:rPr>
          <w:rFonts w:ascii="Arial" w:hAnsi="Arial" w:cs="Arial"/>
          <w:sz w:val="20"/>
          <w:szCs w:val="20"/>
          <w:lang w:val="en-AU"/>
        </w:rPr>
        <w:t xml:space="preserve"> uniform state laws resulting from </w:t>
      </w:r>
      <w:r w:rsidR="00484241">
        <w:rPr>
          <w:rFonts w:ascii="Arial" w:hAnsi="Arial" w:cs="Arial"/>
          <w:sz w:val="20"/>
          <w:szCs w:val="20"/>
          <w:lang w:val="en-AU"/>
        </w:rPr>
        <w:t>agreement at the COAG Energy Council</w:t>
      </w:r>
      <w:r>
        <w:rPr>
          <w:rFonts w:ascii="Arial" w:hAnsi="Arial" w:cs="Arial"/>
          <w:sz w:val="20"/>
          <w:szCs w:val="20"/>
          <w:lang w:val="en-AU"/>
        </w:rPr>
        <w:t xml:space="preserve">. In contrast, Privacy </w:t>
      </w:r>
      <w:r w:rsidR="00134842">
        <w:rPr>
          <w:rFonts w:ascii="Arial" w:hAnsi="Arial" w:cs="Arial"/>
          <w:sz w:val="20"/>
          <w:szCs w:val="20"/>
          <w:lang w:val="en-AU"/>
        </w:rPr>
        <w:t>Act</w:t>
      </w:r>
      <w:r>
        <w:rPr>
          <w:rFonts w:ascii="Arial" w:hAnsi="Arial" w:cs="Arial"/>
          <w:sz w:val="20"/>
          <w:szCs w:val="20"/>
          <w:lang w:val="en-AU"/>
        </w:rPr>
        <w:t xml:space="preserve"> is </w:t>
      </w:r>
      <w:r w:rsidR="00BB5A9A">
        <w:rPr>
          <w:rFonts w:ascii="Arial" w:hAnsi="Arial" w:cs="Arial"/>
          <w:sz w:val="20"/>
          <w:szCs w:val="20"/>
          <w:lang w:val="en-AU"/>
        </w:rPr>
        <w:t xml:space="preserve">a </w:t>
      </w:r>
      <w:r>
        <w:rPr>
          <w:rFonts w:ascii="Arial" w:hAnsi="Arial" w:cs="Arial"/>
          <w:sz w:val="20"/>
          <w:szCs w:val="20"/>
          <w:lang w:val="en-AU"/>
        </w:rPr>
        <w:t xml:space="preserve">Commonwealth </w:t>
      </w:r>
      <w:r w:rsidR="00134842">
        <w:rPr>
          <w:rFonts w:ascii="Arial" w:hAnsi="Arial" w:cs="Arial"/>
          <w:sz w:val="20"/>
          <w:szCs w:val="20"/>
          <w:lang w:val="en-AU"/>
        </w:rPr>
        <w:t>enactment</w:t>
      </w:r>
      <w:r>
        <w:rPr>
          <w:rFonts w:ascii="Arial" w:hAnsi="Arial" w:cs="Arial"/>
          <w:sz w:val="20"/>
          <w:szCs w:val="20"/>
          <w:lang w:val="en-AU"/>
        </w:rPr>
        <w:t>, and</w:t>
      </w:r>
      <w:r w:rsidR="00BB5A9A">
        <w:rPr>
          <w:rFonts w:ascii="Arial" w:hAnsi="Arial" w:cs="Arial"/>
          <w:sz w:val="20"/>
          <w:szCs w:val="20"/>
          <w:lang w:val="en-AU"/>
        </w:rPr>
        <w:t xml:space="preserve"> it follows that</w:t>
      </w:r>
      <w:r>
        <w:rPr>
          <w:rFonts w:ascii="Arial" w:hAnsi="Arial" w:cs="Arial"/>
          <w:sz w:val="20"/>
          <w:szCs w:val="20"/>
          <w:lang w:val="en-AU"/>
        </w:rPr>
        <w:t xml:space="preserve"> OAIC is empowered under Commonwealth legislation. From a constitutional perspective, a state-based regulatory regime is not capable of addressing compliance risks </w:t>
      </w:r>
      <w:r w:rsidR="00134842">
        <w:rPr>
          <w:rFonts w:ascii="Arial" w:hAnsi="Arial" w:cs="Arial"/>
          <w:sz w:val="20"/>
          <w:szCs w:val="20"/>
          <w:lang w:val="en-AU"/>
        </w:rPr>
        <w:t>that</w:t>
      </w:r>
      <w:r>
        <w:rPr>
          <w:rFonts w:ascii="Arial" w:hAnsi="Arial" w:cs="Arial"/>
          <w:sz w:val="20"/>
          <w:szCs w:val="20"/>
          <w:lang w:val="en-AU"/>
        </w:rPr>
        <w:t xml:space="preserve"> arise under Commonwealth legislation and </w:t>
      </w:r>
      <w:r w:rsidR="00134842">
        <w:rPr>
          <w:rFonts w:ascii="Arial" w:hAnsi="Arial" w:cs="Arial"/>
          <w:sz w:val="20"/>
          <w:szCs w:val="20"/>
          <w:lang w:val="en-AU"/>
        </w:rPr>
        <w:t xml:space="preserve">which </w:t>
      </w:r>
      <w:r>
        <w:rPr>
          <w:rFonts w:ascii="Arial" w:hAnsi="Arial" w:cs="Arial"/>
          <w:sz w:val="20"/>
          <w:szCs w:val="20"/>
          <w:lang w:val="en-AU"/>
        </w:rPr>
        <w:t xml:space="preserve">are enforced by a Commonwealth regulator. </w:t>
      </w:r>
      <w:r w:rsidR="000664D7">
        <w:rPr>
          <w:rFonts w:ascii="Arial" w:hAnsi="Arial" w:cs="Arial"/>
          <w:sz w:val="20"/>
          <w:szCs w:val="20"/>
          <w:lang w:val="en-AU"/>
        </w:rPr>
        <w:t xml:space="preserve">Addressing privacy law issues requires a federal solution. </w:t>
      </w:r>
    </w:p>
    <w:p w:rsidR="00D41DF8" w:rsidRDefault="007670AE" w:rsidP="00D41DF8">
      <w:pPr>
        <w:pStyle w:val="AECletterbody"/>
        <w:jc w:val="both"/>
        <w:rPr>
          <w:rFonts w:ascii="Arial" w:hAnsi="Arial" w:cs="Arial"/>
          <w:sz w:val="20"/>
          <w:szCs w:val="20"/>
          <w:lang w:val="en-AU"/>
        </w:rPr>
      </w:pPr>
      <w:r>
        <w:rPr>
          <w:rFonts w:ascii="Arial" w:hAnsi="Arial" w:cs="Arial"/>
          <w:sz w:val="20"/>
          <w:szCs w:val="20"/>
          <w:lang w:val="en-AU"/>
        </w:rPr>
        <w:t>The Open Banking framework provides an approach which has the potential to address both the practical issues around customer verification, consent and data standards, as well as the l</w:t>
      </w:r>
      <w:r w:rsidR="00E02381">
        <w:rPr>
          <w:rFonts w:ascii="Arial" w:hAnsi="Arial" w:cs="Arial"/>
          <w:sz w:val="20"/>
          <w:szCs w:val="20"/>
          <w:lang w:val="en-AU"/>
        </w:rPr>
        <w:t>egal risks that currently arise</w:t>
      </w:r>
      <w:r>
        <w:rPr>
          <w:rFonts w:ascii="Arial" w:hAnsi="Arial" w:cs="Arial"/>
          <w:sz w:val="20"/>
          <w:szCs w:val="20"/>
          <w:lang w:val="en-AU"/>
        </w:rPr>
        <w:t xml:space="preserve"> </w:t>
      </w:r>
      <w:r w:rsidR="00134842">
        <w:rPr>
          <w:rFonts w:ascii="Arial" w:hAnsi="Arial" w:cs="Arial"/>
          <w:sz w:val="20"/>
          <w:szCs w:val="20"/>
          <w:lang w:val="en-AU"/>
        </w:rPr>
        <w:t>around compliance with privacy l</w:t>
      </w:r>
      <w:r w:rsidR="005F74F4">
        <w:rPr>
          <w:rFonts w:ascii="Arial" w:hAnsi="Arial" w:cs="Arial"/>
          <w:sz w:val="20"/>
          <w:szCs w:val="20"/>
          <w:lang w:val="en-AU"/>
        </w:rPr>
        <w:t xml:space="preserve">aw. </w:t>
      </w:r>
      <w:r w:rsidR="00134842">
        <w:rPr>
          <w:rFonts w:ascii="Arial" w:hAnsi="Arial" w:cs="Arial"/>
          <w:sz w:val="20"/>
          <w:szCs w:val="20"/>
          <w:lang w:val="en-AU"/>
        </w:rPr>
        <w:t xml:space="preserve">The Energy Council sees potential benefits to adopting the same framework and approach in the energy sector as </w:t>
      </w:r>
      <w:r w:rsidR="00134842">
        <w:rPr>
          <w:rFonts w:ascii="Arial" w:hAnsi="Arial" w:cs="Arial"/>
          <w:sz w:val="20"/>
          <w:szCs w:val="20"/>
          <w:lang w:val="en-AU"/>
        </w:rPr>
        <w:lastRenderedPageBreak/>
        <w:t xml:space="preserve">will apply to the banking sector and other sectors, subject to sector-specific requirements (some of which we raise below). </w:t>
      </w:r>
      <w:r w:rsidR="005F74F4">
        <w:rPr>
          <w:rFonts w:ascii="Arial" w:hAnsi="Arial" w:cs="Arial"/>
          <w:sz w:val="20"/>
          <w:szCs w:val="20"/>
          <w:lang w:val="en-AU"/>
        </w:rPr>
        <w:t xml:space="preserve">In particular, we </w:t>
      </w:r>
      <w:r w:rsidR="00D41DF8">
        <w:rPr>
          <w:rFonts w:ascii="Arial" w:hAnsi="Arial" w:cs="Arial"/>
          <w:sz w:val="20"/>
          <w:szCs w:val="20"/>
          <w:lang w:val="en-AU"/>
        </w:rPr>
        <w:t xml:space="preserve">support: </w:t>
      </w:r>
    </w:p>
    <w:p w:rsidR="005F74F4" w:rsidRDefault="005F74F4" w:rsidP="00D41DF8">
      <w:pPr>
        <w:pStyle w:val="AECletterbody"/>
        <w:numPr>
          <w:ilvl w:val="0"/>
          <w:numId w:val="8"/>
        </w:numPr>
        <w:jc w:val="both"/>
        <w:rPr>
          <w:rFonts w:ascii="Arial" w:hAnsi="Arial" w:cs="Arial"/>
          <w:sz w:val="20"/>
          <w:szCs w:val="20"/>
          <w:lang w:val="en-AU"/>
        </w:rPr>
      </w:pPr>
      <w:r>
        <w:rPr>
          <w:rFonts w:ascii="Arial" w:hAnsi="Arial" w:cs="Arial"/>
          <w:sz w:val="20"/>
          <w:szCs w:val="20"/>
          <w:lang w:val="en-AU"/>
        </w:rPr>
        <w:t xml:space="preserve">a decentralised approach to data access, enabling customers and third parties to access data from a data holder; </w:t>
      </w:r>
    </w:p>
    <w:p w:rsidR="005F74F4" w:rsidRDefault="005F74F4" w:rsidP="005F74F4">
      <w:pPr>
        <w:pStyle w:val="AECletterbody"/>
        <w:numPr>
          <w:ilvl w:val="0"/>
          <w:numId w:val="8"/>
        </w:numPr>
        <w:jc w:val="both"/>
        <w:rPr>
          <w:rFonts w:ascii="Arial" w:hAnsi="Arial" w:cs="Arial"/>
          <w:sz w:val="20"/>
          <w:szCs w:val="20"/>
          <w:lang w:val="en-AU"/>
        </w:rPr>
      </w:pPr>
      <w:r>
        <w:rPr>
          <w:rFonts w:ascii="Arial" w:hAnsi="Arial" w:cs="Arial"/>
          <w:sz w:val="20"/>
          <w:szCs w:val="20"/>
          <w:lang w:val="en-AU"/>
        </w:rPr>
        <w:t>promoting consistency between sectors and interoperability of energy data with data</w:t>
      </w:r>
      <w:r w:rsidR="00CF596E">
        <w:rPr>
          <w:rFonts w:ascii="Arial" w:hAnsi="Arial" w:cs="Arial"/>
          <w:sz w:val="20"/>
          <w:szCs w:val="20"/>
          <w:lang w:val="en-AU"/>
        </w:rPr>
        <w:t xml:space="preserve"> </w:t>
      </w:r>
      <w:r w:rsidR="00484241">
        <w:rPr>
          <w:rFonts w:ascii="Arial" w:hAnsi="Arial" w:cs="Arial"/>
          <w:sz w:val="20"/>
          <w:szCs w:val="20"/>
          <w:lang w:val="en-AU"/>
        </w:rPr>
        <w:t>from other sectors</w:t>
      </w:r>
      <w:r w:rsidR="00CF596E">
        <w:rPr>
          <w:rFonts w:ascii="Arial" w:hAnsi="Arial" w:cs="Arial"/>
          <w:sz w:val="20"/>
          <w:szCs w:val="20"/>
          <w:lang w:val="en-AU"/>
        </w:rPr>
        <w:t>;</w:t>
      </w:r>
    </w:p>
    <w:p w:rsidR="005F74F4" w:rsidRDefault="005F74F4" w:rsidP="005F74F4">
      <w:pPr>
        <w:pStyle w:val="AECletterbody"/>
        <w:numPr>
          <w:ilvl w:val="0"/>
          <w:numId w:val="8"/>
        </w:numPr>
        <w:jc w:val="both"/>
        <w:rPr>
          <w:rFonts w:ascii="Arial" w:hAnsi="Arial" w:cs="Arial"/>
          <w:sz w:val="20"/>
          <w:szCs w:val="20"/>
          <w:lang w:val="en-AU"/>
        </w:rPr>
      </w:pPr>
      <w:r>
        <w:rPr>
          <w:rFonts w:ascii="Arial" w:hAnsi="Arial" w:cs="Arial"/>
          <w:sz w:val="20"/>
          <w:szCs w:val="20"/>
          <w:lang w:val="en-AU"/>
        </w:rPr>
        <w:t>the application</w:t>
      </w:r>
      <w:r w:rsidR="00E02381">
        <w:rPr>
          <w:rFonts w:ascii="Arial" w:hAnsi="Arial" w:cs="Arial"/>
          <w:sz w:val="20"/>
          <w:szCs w:val="20"/>
          <w:lang w:val="en-AU"/>
        </w:rPr>
        <w:t xml:space="preserve"> of the Consumer Data Right </w:t>
      </w:r>
      <w:r w:rsidR="000664D7">
        <w:rPr>
          <w:rFonts w:ascii="Arial" w:hAnsi="Arial" w:cs="Arial"/>
          <w:sz w:val="20"/>
          <w:szCs w:val="20"/>
          <w:lang w:val="en-AU"/>
        </w:rPr>
        <w:t xml:space="preserve">to customer data and </w:t>
      </w:r>
      <w:r>
        <w:rPr>
          <w:rFonts w:ascii="Arial" w:hAnsi="Arial" w:cs="Arial"/>
          <w:sz w:val="20"/>
          <w:szCs w:val="20"/>
          <w:lang w:val="en-AU"/>
        </w:rPr>
        <w:t>transaction dat</w:t>
      </w:r>
      <w:r w:rsidR="00CF596E">
        <w:rPr>
          <w:rFonts w:ascii="Arial" w:hAnsi="Arial" w:cs="Arial"/>
          <w:sz w:val="20"/>
          <w:szCs w:val="20"/>
          <w:lang w:val="en-AU"/>
        </w:rPr>
        <w:t>a</w:t>
      </w:r>
      <w:r>
        <w:rPr>
          <w:rFonts w:ascii="Arial" w:hAnsi="Arial" w:cs="Arial"/>
          <w:sz w:val="20"/>
          <w:szCs w:val="20"/>
          <w:lang w:val="en-AU"/>
        </w:rPr>
        <w:t>; and</w:t>
      </w:r>
    </w:p>
    <w:p w:rsidR="00027072" w:rsidRDefault="005F74F4" w:rsidP="002145DA">
      <w:pPr>
        <w:pStyle w:val="AECletterbody"/>
        <w:numPr>
          <w:ilvl w:val="0"/>
          <w:numId w:val="8"/>
        </w:numPr>
        <w:jc w:val="both"/>
        <w:rPr>
          <w:rFonts w:ascii="Arial" w:hAnsi="Arial" w:cs="Arial"/>
          <w:sz w:val="20"/>
          <w:szCs w:val="20"/>
          <w:lang w:val="en-AU"/>
        </w:rPr>
      </w:pPr>
      <w:r>
        <w:rPr>
          <w:rFonts w:ascii="Arial" w:hAnsi="Arial" w:cs="Arial"/>
          <w:sz w:val="20"/>
          <w:szCs w:val="20"/>
          <w:lang w:val="en-AU"/>
        </w:rPr>
        <w:t xml:space="preserve">the role of the ACCC and OAIC in establishing and regulating the data access framework. </w:t>
      </w:r>
    </w:p>
    <w:p w:rsidR="00083C96" w:rsidRDefault="00027072" w:rsidP="00027072">
      <w:pPr>
        <w:pStyle w:val="AECletterbody"/>
        <w:jc w:val="both"/>
        <w:rPr>
          <w:rFonts w:ascii="Arial" w:hAnsi="Arial" w:cs="Arial"/>
          <w:sz w:val="20"/>
          <w:szCs w:val="20"/>
          <w:lang w:val="en-AU"/>
        </w:rPr>
      </w:pPr>
      <w:r>
        <w:rPr>
          <w:rFonts w:ascii="Arial" w:hAnsi="Arial" w:cs="Arial"/>
          <w:sz w:val="20"/>
          <w:szCs w:val="20"/>
          <w:lang w:val="en-AU"/>
        </w:rPr>
        <w:t>Se</w:t>
      </w:r>
      <w:r w:rsidR="00703AD0">
        <w:rPr>
          <w:rFonts w:ascii="Arial" w:hAnsi="Arial" w:cs="Arial"/>
          <w:sz w:val="20"/>
          <w:szCs w:val="20"/>
          <w:lang w:val="en-AU"/>
        </w:rPr>
        <w:t>parate reform initiatives from state and f</w:t>
      </w:r>
      <w:r>
        <w:rPr>
          <w:rFonts w:ascii="Arial" w:hAnsi="Arial" w:cs="Arial"/>
          <w:sz w:val="20"/>
          <w:szCs w:val="20"/>
          <w:lang w:val="en-AU"/>
        </w:rPr>
        <w:t>ederal governments aiming to facil</w:t>
      </w:r>
      <w:r w:rsidR="000664D7">
        <w:rPr>
          <w:rFonts w:ascii="Arial" w:hAnsi="Arial" w:cs="Arial"/>
          <w:sz w:val="20"/>
          <w:szCs w:val="20"/>
          <w:lang w:val="en-AU"/>
        </w:rPr>
        <w:t>itate access to energy data (including</w:t>
      </w:r>
      <w:r>
        <w:rPr>
          <w:rFonts w:ascii="Arial" w:hAnsi="Arial" w:cs="Arial"/>
          <w:sz w:val="20"/>
          <w:szCs w:val="20"/>
          <w:lang w:val="en-AU"/>
        </w:rPr>
        <w:t xml:space="preserve"> through creating any centralised data hub) risk</w:t>
      </w:r>
      <w:r w:rsidR="00083C96">
        <w:rPr>
          <w:rFonts w:ascii="Arial" w:hAnsi="Arial" w:cs="Arial"/>
          <w:sz w:val="20"/>
          <w:szCs w:val="20"/>
          <w:lang w:val="en-AU"/>
        </w:rPr>
        <w:t>:</w:t>
      </w:r>
    </w:p>
    <w:p w:rsidR="00083C96" w:rsidRDefault="00027072" w:rsidP="00484241">
      <w:pPr>
        <w:pStyle w:val="AECletterbody"/>
        <w:numPr>
          <w:ilvl w:val="0"/>
          <w:numId w:val="8"/>
        </w:numPr>
        <w:jc w:val="both"/>
        <w:rPr>
          <w:rFonts w:ascii="Arial" w:hAnsi="Arial" w:cs="Arial"/>
          <w:sz w:val="20"/>
          <w:szCs w:val="20"/>
          <w:lang w:val="en-AU"/>
        </w:rPr>
      </w:pPr>
      <w:r>
        <w:rPr>
          <w:rFonts w:ascii="Arial" w:hAnsi="Arial" w:cs="Arial"/>
          <w:sz w:val="20"/>
          <w:szCs w:val="20"/>
          <w:lang w:val="en-AU"/>
        </w:rPr>
        <w:t xml:space="preserve">delaying </w:t>
      </w:r>
      <w:r w:rsidR="00083C96">
        <w:rPr>
          <w:rFonts w:ascii="Arial" w:hAnsi="Arial" w:cs="Arial"/>
          <w:sz w:val="20"/>
          <w:szCs w:val="20"/>
          <w:lang w:val="en-AU"/>
        </w:rPr>
        <w:t>consideration and application o</w:t>
      </w:r>
      <w:r>
        <w:rPr>
          <w:rFonts w:ascii="Arial" w:hAnsi="Arial" w:cs="Arial"/>
          <w:sz w:val="20"/>
          <w:szCs w:val="20"/>
          <w:lang w:val="en-AU"/>
        </w:rPr>
        <w:t>f the Consumer Data Right</w:t>
      </w:r>
      <w:r w:rsidR="00CF596E">
        <w:rPr>
          <w:rFonts w:ascii="Arial" w:hAnsi="Arial" w:cs="Arial"/>
          <w:sz w:val="20"/>
          <w:szCs w:val="20"/>
          <w:lang w:val="en-AU"/>
        </w:rPr>
        <w:t xml:space="preserve"> framework to the energy sector</w:t>
      </w:r>
      <w:r w:rsidR="00083C96">
        <w:rPr>
          <w:rFonts w:ascii="Arial" w:hAnsi="Arial" w:cs="Arial"/>
          <w:sz w:val="20"/>
          <w:szCs w:val="20"/>
          <w:lang w:val="en-AU"/>
        </w:rPr>
        <w:t>;</w:t>
      </w:r>
    </w:p>
    <w:p w:rsidR="00083C96" w:rsidRDefault="00083C96" w:rsidP="00484241">
      <w:pPr>
        <w:pStyle w:val="AECletterbody"/>
        <w:numPr>
          <w:ilvl w:val="0"/>
          <w:numId w:val="8"/>
        </w:numPr>
        <w:jc w:val="both"/>
        <w:rPr>
          <w:rFonts w:ascii="Arial" w:hAnsi="Arial" w:cs="Arial"/>
          <w:sz w:val="20"/>
          <w:szCs w:val="20"/>
          <w:lang w:val="en-AU"/>
        </w:rPr>
      </w:pPr>
      <w:r>
        <w:rPr>
          <w:rFonts w:ascii="Arial" w:hAnsi="Arial" w:cs="Arial"/>
          <w:sz w:val="20"/>
          <w:szCs w:val="20"/>
          <w:lang w:val="en-AU"/>
        </w:rPr>
        <w:t>i</w:t>
      </w:r>
      <w:r w:rsidR="00027072">
        <w:rPr>
          <w:rFonts w:ascii="Arial" w:hAnsi="Arial" w:cs="Arial"/>
          <w:sz w:val="20"/>
          <w:szCs w:val="20"/>
          <w:lang w:val="en-AU"/>
        </w:rPr>
        <w:t xml:space="preserve">f implemented, </w:t>
      </w:r>
      <w:r>
        <w:rPr>
          <w:rFonts w:ascii="Arial" w:hAnsi="Arial" w:cs="Arial"/>
          <w:sz w:val="20"/>
          <w:szCs w:val="20"/>
          <w:lang w:val="en-AU"/>
        </w:rPr>
        <w:t>imposing cost</w:t>
      </w:r>
      <w:r w:rsidR="008C077C">
        <w:rPr>
          <w:rFonts w:ascii="Arial" w:hAnsi="Arial" w:cs="Arial"/>
          <w:sz w:val="20"/>
          <w:szCs w:val="20"/>
          <w:lang w:val="en-AU"/>
        </w:rPr>
        <w:t>s</w:t>
      </w:r>
      <w:r w:rsidR="00D41DF8">
        <w:rPr>
          <w:rFonts w:ascii="Arial" w:hAnsi="Arial" w:cs="Arial"/>
          <w:sz w:val="20"/>
          <w:szCs w:val="20"/>
          <w:lang w:val="en-AU"/>
        </w:rPr>
        <w:t xml:space="preserve"> on Government and industry, without a commensurate benefit to customers</w:t>
      </w:r>
      <w:r>
        <w:rPr>
          <w:rFonts w:ascii="Arial" w:hAnsi="Arial" w:cs="Arial"/>
          <w:sz w:val="20"/>
          <w:szCs w:val="20"/>
          <w:lang w:val="en-AU"/>
        </w:rPr>
        <w:t>; and</w:t>
      </w:r>
    </w:p>
    <w:p w:rsidR="00083C96" w:rsidRDefault="00083C96" w:rsidP="00484241">
      <w:pPr>
        <w:pStyle w:val="AECletterbody"/>
        <w:numPr>
          <w:ilvl w:val="0"/>
          <w:numId w:val="8"/>
        </w:numPr>
        <w:jc w:val="both"/>
        <w:rPr>
          <w:rFonts w:ascii="Arial" w:hAnsi="Arial" w:cs="Arial"/>
          <w:sz w:val="20"/>
          <w:szCs w:val="20"/>
          <w:lang w:val="en-AU"/>
        </w:rPr>
      </w:pPr>
      <w:r>
        <w:rPr>
          <w:rFonts w:ascii="Arial" w:hAnsi="Arial" w:cs="Arial"/>
          <w:sz w:val="20"/>
          <w:szCs w:val="20"/>
          <w:lang w:val="en-AU"/>
        </w:rPr>
        <w:t xml:space="preserve">being surpassed </w:t>
      </w:r>
      <w:r w:rsidR="00CF596E">
        <w:rPr>
          <w:rFonts w:ascii="Arial" w:hAnsi="Arial" w:cs="Arial"/>
          <w:sz w:val="20"/>
          <w:szCs w:val="20"/>
          <w:lang w:val="en-AU"/>
        </w:rPr>
        <w:t xml:space="preserve">and made redundant </w:t>
      </w:r>
      <w:r>
        <w:rPr>
          <w:rFonts w:ascii="Arial" w:hAnsi="Arial" w:cs="Arial"/>
          <w:sz w:val="20"/>
          <w:szCs w:val="20"/>
          <w:lang w:val="en-AU"/>
        </w:rPr>
        <w:t>by the open data access regime, once the Consumer Data Right is extended to the energy sector</w:t>
      </w:r>
      <w:r w:rsidR="00703AD0">
        <w:rPr>
          <w:rFonts w:ascii="Arial" w:hAnsi="Arial" w:cs="Arial"/>
          <w:sz w:val="20"/>
          <w:szCs w:val="20"/>
          <w:lang w:val="en-AU"/>
        </w:rPr>
        <w:t xml:space="preserve"> under the framework proposed in the Open Banking report</w:t>
      </w:r>
      <w:r w:rsidR="00D41DF8">
        <w:rPr>
          <w:rFonts w:ascii="Arial" w:hAnsi="Arial" w:cs="Arial"/>
          <w:sz w:val="20"/>
          <w:szCs w:val="20"/>
          <w:lang w:val="en-AU"/>
        </w:rPr>
        <w:t xml:space="preserve">. </w:t>
      </w:r>
    </w:p>
    <w:p w:rsidR="00083C96" w:rsidRDefault="00083C96" w:rsidP="00083C96">
      <w:pPr>
        <w:pStyle w:val="AECletterbody"/>
        <w:jc w:val="both"/>
        <w:rPr>
          <w:rFonts w:ascii="Arial" w:hAnsi="Arial" w:cs="Arial"/>
          <w:sz w:val="20"/>
          <w:szCs w:val="20"/>
          <w:lang w:val="en-AU"/>
        </w:rPr>
      </w:pPr>
      <w:r>
        <w:rPr>
          <w:rFonts w:ascii="Arial" w:hAnsi="Arial" w:cs="Arial"/>
          <w:sz w:val="20"/>
          <w:szCs w:val="20"/>
          <w:lang w:val="en-AU"/>
        </w:rPr>
        <w:t xml:space="preserve">It is imperative that any sector-specific reforms which are progressed prior to the application of the Consumer Data Right to energy are </w:t>
      </w:r>
      <w:r>
        <w:rPr>
          <w:rFonts w:ascii="Arial" w:hAnsi="Arial" w:cs="Arial"/>
          <w:sz w:val="20"/>
          <w:szCs w:val="20"/>
          <w:lang w:val="en-AU"/>
        </w:rPr>
        <w:lastRenderedPageBreak/>
        <w:t xml:space="preserve">consistent with the aims and ultimate framework to apply. </w:t>
      </w:r>
    </w:p>
    <w:p w:rsidR="00027072" w:rsidRPr="00027072" w:rsidRDefault="00027072" w:rsidP="00027072">
      <w:pPr>
        <w:pStyle w:val="AECletterbody"/>
        <w:jc w:val="both"/>
        <w:rPr>
          <w:rFonts w:ascii="Arial" w:hAnsi="Arial" w:cs="Arial"/>
          <w:b/>
          <w:sz w:val="20"/>
          <w:szCs w:val="20"/>
          <w:lang w:val="en-AU"/>
        </w:rPr>
      </w:pPr>
      <w:r w:rsidRPr="00027072">
        <w:rPr>
          <w:rFonts w:ascii="Arial" w:hAnsi="Arial" w:cs="Arial"/>
          <w:b/>
          <w:sz w:val="20"/>
          <w:szCs w:val="20"/>
          <w:lang w:val="en-AU"/>
        </w:rPr>
        <w:t xml:space="preserve">General comments on Open Banking regulatory framework </w:t>
      </w:r>
    </w:p>
    <w:p w:rsidR="00134842" w:rsidRDefault="005F74F4" w:rsidP="002145DA">
      <w:pPr>
        <w:pStyle w:val="AECletterbody"/>
        <w:jc w:val="both"/>
        <w:rPr>
          <w:rFonts w:ascii="Arial" w:hAnsi="Arial" w:cs="Arial"/>
          <w:sz w:val="20"/>
          <w:szCs w:val="20"/>
          <w:lang w:val="en-AU"/>
        </w:rPr>
      </w:pPr>
      <w:r>
        <w:rPr>
          <w:rFonts w:ascii="Arial" w:hAnsi="Arial" w:cs="Arial"/>
          <w:sz w:val="20"/>
          <w:szCs w:val="20"/>
          <w:lang w:val="en-AU"/>
        </w:rPr>
        <w:t xml:space="preserve">We hold concerns about whether it is appropriate for parties </w:t>
      </w:r>
      <w:r w:rsidR="00E02381">
        <w:rPr>
          <w:rFonts w:ascii="Arial" w:hAnsi="Arial" w:cs="Arial"/>
          <w:sz w:val="20"/>
          <w:szCs w:val="20"/>
          <w:lang w:val="en-AU"/>
        </w:rPr>
        <w:t xml:space="preserve">who are </w:t>
      </w:r>
      <w:r>
        <w:rPr>
          <w:rFonts w:ascii="Arial" w:hAnsi="Arial" w:cs="Arial"/>
          <w:sz w:val="20"/>
          <w:szCs w:val="20"/>
          <w:lang w:val="en-AU"/>
        </w:rPr>
        <w:t xml:space="preserve">accredited to access data from one sector to be automatically accredited for other sectors. </w:t>
      </w:r>
      <w:r w:rsidR="00134842">
        <w:rPr>
          <w:rFonts w:ascii="Arial" w:hAnsi="Arial" w:cs="Arial"/>
          <w:sz w:val="20"/>
          <w:szCs w:val="20"/>
          <w:lang w:val="en-AU"/>
        </w:rPr>
        <w:t xml:space="preserve">This </w:t>
      </w:r>
      <w:r>
        <w:rPr>
          <w:rFonts w:ascii="Arial" w:hAnsi="Arial" w:cs="Arial"/>
          <w:sz w:val="20"/>
          <w:szCs w:val="20"/>
          <w:lang w:val="en-AU"/>
        </w:rPr>
        <w:t>approach could have significant consumer implications and should be carefully considered.</w:t>
      </w:r>
      <w:r w:rsidR="00134842">
        <w:rPr>
          <w:rFonts w:ascii="Arial" w:hAnsi="Arial" w:cs="Arial"/>
          <w:sz w:val="20"/>
          <w:szCs w:val="20"/>
          <w:lang w:val="en-AU"/>
        </w:rPr>
        <w:t xml:space="preserve"> </w:t>
      </w:r>
    </w:p>
    <w:p w:rsidR="00134842" w:rsidRDefault="00134842" w:rsidP="002145DA">
      <w:pPr>
        <w:pStyle w:val="AECletterbody"/>
        <w:jc w:val="both"/>
        <w:rPr>
          <w:rFonts w:ascii="Arial" w:hAnsi="Arial" w:cs="Arial"/>
          <w:sz w:val="20"/>
          <w:szCs w:val="20"/>
          <w:lang w:val="en-AU"/>
        </w:rPr>
      </w:pPr>
      <w:r>
        <w:rPr>
          <w:rFonts w:ascii="Arial" w:hAnsi="Arial" w:cs="Arial"/>
          <w:sz w:val="20"/>
          <w:szCs w:val="20"/>
          <w:lang w:val="en-AU"/>
        </w:rPr>
        <w:t xml:space="preserve">Similarly, we expect disclosure of energy consumption data to raise different consumer protections issues than banking data (or data from other sectors). Energy consumption data provides insight into when people are in houses, and what activities they are doing. This has clear implications the safety of persons and property, including in family violence contexts. The application of the Open Banking framework to the energy sector should carefully consider how these risks can be managed, to minimize risk to customers (and indirectly, to retailers who face reputational and compliance risks if the consumer protections framework around data access is inadequate). </w:t>
      </w:r>
    </w:p>
    <w:p w:rsidR="005F74F4" w:rsidRDefault="00E02381" w:rsidP="002145DA">
      <w:pPr>
        <w:pStyle w:val="AECletterbody"/>
        <w:jc w:val="both"/>
        <w:rPr>
          <w:rFonts w:ascii="Arial" w:hAnsi="Arial" w:cs="Arial"/>
          <w:sz w:val="20"/>
          <w:szCs w:val="20"/>
          <w:lang w:val="en-AU"/>
        </w:rPr>
      </w:pPr>
      <w:r>
        <w:rPr>
          <w:rFonts w:ascii="Arial" w:hAnsi="Arial" w:cs="Arial"/>
          <w:sz w:val="20"/>
          <w:szCs w:val="20"/>
          <w:lang w:val="en-AU"/>
        </w:rPr>
        <w:t xml:space="preserve">The graduation of risk-based accreditation, and </w:t>
      </w:r>
      <w:r w:rsidR="00703AD0">
        <w:rPr>
          <w:rFonts w:ascii="Arial" w:hAnsi="Arial" w:cs="Arial"/>
          <w:sz w:val="20"/>
          <w:szCs w:val="20"/>
          <w:lang w:val="en-AU"/>
        </w:rPr>
        <w:t xml:space="preserve">related </w:t>
      </w:r>
      <w:r>
        <w:rPr>
          <w:rFonts w:ascii="Arial" w:hAnsi="Arial" w:cs="Arial"/>
          <w:sz w:val="20"/>
          <w:szCs w:val="20"/>
          <w:lang w:val="en-AU"/>
        </w:rPr>
        <w:t xml:space="preserve">graduation of risk-assessed data sets, should </w:t>
      </w:r>
      <w:r w:rsidR="00134842">
        <w:rPr>
          <w:rFonts w:ascii="Arial" w:hAnsi="Arial" w:cs="Arial"/>
          <w:sz w:val="20"/>
          <w:szCs w:val="20"/>
          <w:lang w:val="en-AU"/>
        </w:rPr>
        <w:t xml:space="preserve">be carefully considered, with particular consideration given to different issues that arise with data from different sectors. </w:t>
      </w:r>
      <w:r>
        <w:rPr>
          <w:rFonts w:ascii="Arial" w:hAnsi="Arial" w:cs="Arial"/>
          <w:sz w:val="20"/>
          <w:szCs w:val="20"/>
          <w:lang w:val="en-AU"/>
        </w:rPr>
        <w:t xml:space="preserve">It may be that the implementation of the framework for the banking sector cannot adequately address some of the issues that may arise in these (and other) areas when the framework </w:t>
      </w:r>
      <w:r w:rsidR="00F97CC7">
        <w:rPr>
          <w:rFonts w:ascii="Arial" w:hAnsi="Arial" w:cs="Arial"/>
          <w:sz w:val="20"/>
          <w:szCs w:val="20"/>
          <w:lang w:val="en-AU"/>
        </w:rPr>
        <w:t>is rolled out to other sectors. To address these issues, t</w:t>
      </w:r>
      <w:r>
        <w:rPr>
          <w:rFonts w:ascii="Arial" w:hAnsi="Arial" w:cs="Arial"/>
          <w:sz w:val="20"/>
          <w:szCs w:val="20"/>
          <w:lang w:val="en-AU"/>
        </w:rPr>
        <w:t xml:space="preserve">he legislation </w:t>
      </w:r>
      <w:r w:rsidR="00F97CC7">
        <w:rPr>
          <w:rFonts w:ascii="Arial" w:hAnsi="Arial" w:cs="Arial"/>
          <w:sz w:val="20"/>
          <w:szCs w:val="20"/>
          <w:lang w:val="en-AU"/>
        </w:rPr>
        <w:t>underpinning the Consumer Data Right should</w:t>
      </w:r>
      <w:r>
        <w:rPr>
          <w:rFonts w:ascii="Arial" w:hAnsi="Arial" w:cs="Arial"/>
          <w:sz w:val="20"/>
          <w:szCs w:val="20"/>
          <w:lang w:val="en-AU"/>
        </w:rPr>
        <w:t xml:space="preserve"> establish </w:t>
      </w:r>
      <w:r w:rsidR="00F97CC7">
        <w:rPr>
          <w:rFonts w:ascii="Arial" w:hAnsi="Arial" w:cs="Arial"/>
          <w:sz w:val="20"/>
          <w:szCs w:val="20"/>
          <w:lang w:val="en-AU"/>
        </w:rPr>
        <w:t xml:space="preserve">a framework for the data regime </w:t>
      </w:r>
      <w:r>
        <w:rPr>
          <w:rFonts w:ascii="Arial" w:hAnsi="Arial" w:cs="Arial"/>
          <w:sz w:val="20"/>
          <w:szCs w:val="20"/>
          <w:lang w:val="en-AU"/>
        </w:rPr>
        <w:t xml:space="preserve">while </w:t>
      </w:r>
      <w:r>
        <w:rPr>
          <w:rFonts w:ascii="Arial" w:hAnsi="Arial" w:cs="Arial"/>
          <w:sz w:val="20"/>
          <w:szCs w:val="20"/>
          <w:lang w:val="en-AU"/>
        </w:rPr>
        <w:lastRenderedPageBreak/>
        <w:t xml:space="preserve">details of data-risk assessments, accreditation and access arrangements could be left to more flexible instruments such as the regulations and rules. </w:t>
      </w:r>
    </w:p>
    <w:p w:rsidR="00027072" w:rsidRDefault="004932AB" w:rsidP="00471E9F">
      <w:pPr>
        <w:pStyle w:val="AECletterbody"/>
        <w:jc w:val="both"/>
        <w:rPr>
          <w:rFonts w:ascii="Arial" w:hAnsi="Arial" w:cs="Arial"/>
          <w:b/>
          <w:sz w:val="20"/>
          <w:szCs w:val="20"/>
          <w:lang w:val="en-AU"/>
        </w:rPr>
      </w:pPr>
      <w:r w:rsidRPr="00F97CC7">
        <w:rPr>
          <w:rFonts w:ascii="Arial" w:hAnsi="Arial" w:cs="Arial"/>
          <w:b/>
          <w:sz w:val="20"/>
          <w:szCs w:val="20"/>
          <w:lang w:val="en-AU"/>
        </w:rPr>
        <w:t xml:space="preserve">Sector-specific issues </w:t>
      </w:r>
      <w:r w:rsidR="00F97CC7">
        <w:rPr>
          <w:rFonts w:ascii="Arial" w:hAnsi="Arial" w:cs="Arial"/>
          <w:b/>
          <w:sz w:val="20"/>
          <w:szCs w:val="20"/>
          <w:lang w:val="en-AU"/>
        </w:rPr>
        <w:t xml:space="preserve">for the energy sector </w:t>
      </w:r>
    </w:p>
    <w:p w:rsidR="00C54F73" w:rsidRPr="00C54F73" w:rsidRDefault="00C54F73" w:rsidP="00C54F73">
      <w:pPr>
        <w:pStyle w:val="AECletterbody"/>
        <w:jc w:val="both"/>
        <w:rPr>
          <w:rFonts w:ascii="Arial" w:hAnsi="Arial" w:cs="Arial"/>
          <w:sz w:val="20"/>
          <w:szCs w:val="20"/>
        </w:rPr>
      </w:pPr>
      <w:r w:rsidRPr="00C54F73">
        <w:rPr>
          <w:rFonts w:ascii="Arial" w:hAnsi="Arial" w:cs="Arial"/>
          <w:sz w:val="20"/>
          <w:szCs w:val="20"/>
        </w:rPr>
        <w:t>Some of the features of the energy sector that should be considered in any proposed application of the Open Banking framework to the energy sector are set out below. This is by no means an exhaustive list and we would welcome the opportunity to engage further regarding the particular challenges of data sharing and ensuring consumer protections in the energy sector. We also recommend that the application of the Open Banking framework to the energy sector should be subject to a cost benefit assessment via a Commonwealth Regulatory Impact Statement. This is to identify any unintended consequences. At a time when energy prices are in the spotlight, we must be careful to ensure that costs are demonstrably outweighed by the consumer benefit.</w:t>
      </w:r>
    </w:p>
    <w:tbl>
      <w:tblPr>
        <w:tblStyle w:val="TableGrid"/>
        <w:tblW w:w="0" w:type="auto"/>
        <w:tblBorders>
          <w:top w:val="none" w:sz="0" w:space="0" w:color="auto"/>
          <w:left w:val="none" w:sz="0" w:space="0" w:color="auto"/>
          <w:bottom w:val="none" w:sz="0" w:space="0" w:color="auto"/>
          <w:right w:val="none" w:sz="0" w:space="0" w:color="auto"/>
        </w:tblBorders>
        <w:shd w:val="clear" w:color="auto" w:fill="DEEAF6" w:themeFill="accent1" w:themeFillTint="33"/>
        <w:tblLook w:val="04A0" w:firstRow="1" w:lastRow="0" w:firstColumn="1" w:lastColumn="0" w:noHBand="0" w:noVBand="1"/>
      </w:tblPr>
      <w:tblGrid>
        <w:gridCol w:w="2835"/>
        <w:gridCol w:w="6793"/>
      </w:tblGrid>
      <w:tr w:rsidR="00083C96" w:rsidTr="00B41BDE">
        <w:tc>
          <w:tcPr>
            <w:tcW w:w="2835" w:type="dxa"/>
            <w:shd w:val="clear" w:color="auto" w:fill="DEEAF6" w:themeFill="accent1" w:themeFillTint="33"/>
          </w:tcPr>
          <w:p w:rsidR="00083C96" w:rsidRPr="00B41BDE" w:rsidRDefault="00083C96" w:rsidP="00083C96">
            <w:pPr>
              <w:pStyle w:val="AECletterbody"/>
              <w:jc w:val="both"/>
              <w:rPr>
                <w:rFonts w:ascii="Arial" w:hAnsi="Arial" w:cs="Arial"/>
                <w:b/>
                <w:sz w:val="20"/>
                <w:szCs w:val="20"/>
                <w:lang w:val="en-AU"/>
              </w:rPr>
            </w:pPr>
            <w:r w:rsidRPr="00B41BDE">
              <w:rPr>
                <w:rFonts w:ascii="Arial" w:hAnsi="Arial" w:cs="Arial"/>
                <w:b/>
                <w:sz w:val="20"/>
                <w:szCs w:val="20"/>
                <w:lang w:val="en-AU"/>
              </w:rPr>
              <w:t>What data would the Consumer Data Right apply to?</w:t>
            </w:r>
          </w:p>
        </w:tc>
        <w:tc>
          <w:tcPr>
            <w:tcW w:w="6793" w:type="dxa"/>
            <w:shd w:val="clear" w:color="auto" w:fill="DEEAF6" w:themeFill="accent1" w:themeFillTint="33"/>
          </w:tcPr>
          <w:p w:rsidR="00FD3D7E" w:rsidRDefault="00FD3D7E" w:rsidP="00471E9F">
            <w:pPr>
              <w:pStyle w:val="AECletterbody"/>
              <w:jc w:val="both"/>
              <w:rPr>
                <w:rFonts w:ascii="Arial" w:hAnsi="Arial" w:cs="Arial"/>
                <w:sz w:val="20"/>
                <w:szCs w:val="20"/>
                <w:lang w:val="en-AU"/>
              </w:rPr>
            </w:pPr>
            <w:r>
              <w:rPr>
                <w:rFonts w:ascii="Arial" w:hAnsi="Arial" w:cs="Arial"/>
                <w:sz w:val="20"/>
                <w:szCs w:val="20"/>
                <w:lang w:val="en-AU"/>
              </w:rPr>
              <w:t xml:space="preserve">Extrapolating from the principles set out in the Open Banking report, the Consumer Data Right </w:t>
            </w:r>
            <w:r w:rsidR="00B04BE6">
              <w:rPr>
                <w:rFonts w:ascii="Arial" w:hAnsi="Arial" w:cs="Arial"/>
                <w:sz w:val="20"/>
                <w:szCs w:val="20"/>
                <w:lang w:val="en-AU"/>
              </w:rPr>
              <w:t xml:space="preserve">would apply to ‘customer data’ and ‘transaction data’. In the energy sector, this </w:t>
            </w:r>
            <w:r w:rsidR="000664D7">
              <w:rPr>
                <w:rFonts w:ascii="Arial" w:hAnsi="Arial" w:cs="Arial"/>
                <w:sz w:val="20"/>
                <w:szCs w:val="20"/>
                <w:lang w:val="en-AU"/>
              </w:rPr>
              <w:t xml:space="preserve">could possibly </w:t>
            </w:r>
            <w:r w:rsidR="00B04BE6">
              <w:rPr>
                <w:rFonts w:ascii="Arial" w:hAnsi="Arial" w:cs="Arial"/>
                <w:sz w:val="20"/>
                <w:szCs w:val="20"/>
                <w:lang w:val="en-AU"/>
              </w:rPr>
              <w:t xml:space="preserve">include: </w:t>
            </w:r>
          </w:p>
          <w:p w:rsidR="00632FDF" w:rsidRDefault="00FD3D7E" w:rsidP="00E64E35">
            <w:pPr>
              <w:pStyle w:val="AECletterbody"/>
              <w:numPr>
                <w:ilvl w:val="0"/>
                <w:numId w:val="15"/>
              </w:numPr>
              <w:jc w:val="both"/>
              <w:rPr>
                <w:rFonts w:ascii="Arial" w:hAnsi="Arial" w:cs="Arial"/>
                <w:sz w:val="20"/>
                <w:szCs w:val="20"/>
                <w:lang w:val="en-AU"/>
              </w:rPr>
            </w:pPr>
            <w:r>
              <w:rPr>
                <w:rFonts w:ascii="Arial" w:hAnsi="Arial" w:cs="Arial"/>
                <w:sz w:val="20"/>
                <w:szCs w:val="20"/>
                <w:lang w:val="en-AU"/>
              </w:rPr>
              <w:t>energy consumption data</w:t>
            </w:r>
            <w:r w:rsidR="00281699">
              <w:rPr>
                <w:rFonts w:ascii="Arial" w:hAnsi="Arial" w:cs="Arial"/>
                <w:sz w:val="20"/>
                <w:szCs w:val="20"/>
                <w:lang w:val="en-AU"/>
              </w:rPr>
              <w:t xml:space="preserve"> at the customer’s connection point</w:t>
            </w:r>
            <w:r w:rsidR="00632FDF">
              <w:rPr>
                <w:rFonts w:ascii="Arial" w:hAnsi="Arial" w:cs="Arial"/>
                <w:sz w:val="20"/>
                <w:szCs w:val="20"/>
                <w:lang w:val="en-AU"/>
              </w:rPr>
              <w:t>;</w:t>
            </w:r>
          </w:p>
          <w:p w:rsidR="00FD3D7E" w:rsidRDefault="00632FDF" w:rsidP="00E64E35">
            <w:pPr>
              <w:pStyle w:val="AECletterbody"/>
              <w:numPr>
                <w:ilvl w:val="0"/>
                <w:numId w:val="15"/>
              </w:numPr>
              <w:jc w:val="both"/>
              <w:rPr>
                <w:rFonts w:ascii="Arial" w:hAnsi="Arial" w:cs="Arial"/>
                <w:sz w:val="20"/>
                <w:szCs w:val="20"/>
                <w:lang w:val="en-AU"/>
              </w:rPr>
            </w:pPr>
            <w:r>
              <w:rPr>
                <w:rFonts w:ascii="Arial" w:hAnsi="Arial" w:cs="Arial"/>
                <w:sz w:val="20"/>
                <w:szCs w:val="20"/>
                <w:lang w:val="en-AU"/>
              </w:rPr>
              <w:t xml:space="preserve">energy export data </w:t>
            </w:r>
            <w:r w:rsidR="00281699">
              <w:rPr>
                <w:rFonts w:ascii="Arial" w:hAnsi="Arial" w:cs="Arial"/>
                <w:sz w:val="20"/>
                <w:szCs w:val="20"/>
                <w:lang w:val="en-AU"/>
              </w:rPr>
              <w:t xml:space="preserve">at the customer’s connection point; </w:t>
            </w:r>
            <w:r w:rsidR="00FD3D7E">
              <w:rPr>
                <w:rFonts w:ascii="Arial" w:hAnsi="Arial" w:cs="Arial"/>
                <w:sz w:val="20"/>
                <w:szCs w:val="20"/>
                <w:lang w:val="en-AU"/>
              </w:rPr>
              <w:t xml:space="preserve">and </w:t>
            </w:r>
          </w:p>
          <w:p w:rsidR="00281699" w:rsidRDefault="00281699" w:rsidP="00E64E35">
            <w:pPr>
              <w:pStyle w:val="AECletterbody"/>
              <w:numPr>
                <w:ilvl w:val="0"/>
                <w:numId w:val="15"/>
              </w:numPr>
              <w:jc w:val="both"/>
              <w:rPr>
                <w:rFonts w:ascii="Arial" w:hAnsi="Arial" w:cs="Arial"/>
                <w:sz w:val="20"/>
                <w:szCs w:val="20"/>
                <w:lang w:val="en-AU"/>
              </w:rPr>
            </w:pPr>
            <w:r>
              <w:rPr>
                <w:rFonts w:ascii="Arial" w:hAnsi="Arial" w:cs="Arial"/>
                <w:sz w:val="20"/>
                <w:szCs w:val="20"/>
                <w:lang w:val="en-AU"/>
              </w:rPr>
              <w:t>fees and charges under the customer’s cont</w:t>
            </w:r>
            <w:r w:rsidR="00084ADE">
              <w:rPr>
                <w:rFonts w:ascii="Arial" w:hAnsi="Arial" w:cs="Arial"/>
                <w:sz w:val="20"/>
                <w:szCs w:val="20"/>
                <w:lang w:val="en-AU"/>
              </w:rPr>
              <w:t>r</w:t>
            </w:r>
            <w:r>
              <w:rPr>
                <w:rFonts w:ascii="Arial" w:hAnsi="Arial" w:cs="Arial"/>
                <w:sz w:val="20"/>
                <w:szCs w:val="20"/>
                <w:lang w:val="en-AU"/>
              </w:rPr>
              <w:t>act.</w:t>
            </w:r>
          </w:p>
          <w:p w:rsidR="00E64E35" w:rsidRDefault="00E64E35" w:rsidP="00281699">
            <w:pPr>
              <w:pStyle w:val="AECletterbody"/>
              <w:jc w:val="both"/>
              <w:rPr>
                <w:rFonts w:ascii="Arial" w:hAnsi="Arial" w:cs="Arial"/>
                <w:sz w:val="20"/>
                <w:szCs w:val="20"/>
                <w:lang w:val="en-AU"/>
              </w:rPr>
            </w:pPr>
            <w:r>
              <w:rPr>
                <w:rFonts w:ascii="Arial" w:hAnsi="Arial" w:cs="Arial"/>
                <w:sz w:val="20"/>
                <w:szCs w:val="20"/>
                <w:lang w:val="en-AU"/>
              </w:rPr>
              <w:t xml:space="preserve">In relation to (a) and (b), the relevant data is considered metering data (which is data collected from the meter and processed by the metering data provider, for transfer to participants). </w:t>
            </w:r>
          </w:p>
          <w:p w:rsidR="00FD3D7E" w:rsidRPr="00FD3D7E" w:rsidRDefault="00B04BE6" w:rsidP="00B04BE6">
            <w:pPr>
              <w:pStyle w:val="AECletterbody"/>
              <w:jc w:val="both"/>
              <w:rPr>
                <w:rFonts w:ascii="Arial" w:hAnsi="Arial" w:cs="Arial"/>
                <w:sz w:val="20"/>
                <w:szCs w:val="20"/>
                <w:lang w:val="en-AU"/>
              </w:rPr>
            </w:pPr>
            <w:r>
              <w:rPr>
                <w:rFonts w:ascii="Arial" w:hAnsi="Arial" w:cs="Arial"/>
                <w:sz w:val="20"/>
                <w:szCs w:val="20"/>
                <w:lang w:val="en-AU"/>
              </w:rPr>
              <w:t xml:space="preserve">Other data types – such as battery storage data or data from individual monitors – should not need to be provided. From a regulatory standpoint, </w:t>
            </w:r>
            <w:r w:rsidR="00FD3D7E">
              <w:rPr>
                <w:rFonts w:ascii="Arial" w:hAnsi="Arial" w:cs="Arial"/>
                <w:sz w:val="20"/>
                <w:szCs w:val="20"/>
                <w:lang w:val="en-AU"/>
              </w:rPr>
              <w:t xml:space="preserve">if a customer has a device that records energy consumption </w:t>
            </w:r>
            <w:r w:rsidR="00264491">
              <w:rPr>
                <w:rFonts w:ascii="Arial" w:hAnsi="Arial" w:cs="Arial"/>
                <w:sz w:val="20"/>
                <w:szCs w:val="20"/>
                <w:lang w:val="en-AU"/>
              </w:rPr>
              <w:t>which</w:t>
            </w:r>
            <w:r w:rsidR="00FD3D7E">
              <w:rPr>
                <w:rFonts w:ascii="Arial" w:hAnsi="Arial" w:cs="Arial"/>
                <w:sz w:val="20"/>
                <w:szCs w:val="20"/>
                <w:lang w:val="en-AU"/>
              </w:rPr>
              <w:t xml:space="preserve"> is </w:t>
            </w:r>
            <w:r w:rsidR="00FD3D7E" w:rsidRPr="00264491">
              <w:rPr>
                <w:rFonts w:ascii="Arial" w:hAnsi="Arial" w:cs="Arial"/>
                <w:i/>
                <w:sz w:val="20"/>
                <w:szCs w:val="20"/>
                <w:lang w:val="en-AU"/>
              </w:rPr>
              <w:t>not</w:t>
            </w:r>
            <w:r w:rsidR="00FD3D7E">
              <w:rPr>
                <w:rFonts w:ascii="Arial" w:hAnsi="Arial" w:cs="Arial"/>
                <w:sz w:val="20"/>
                <w:szCs w:val="20"/>
                <w:lang w:val="en-AU"/>
              </w:rPr>
              <w:t xml:space="preserve"> a meter, that device (and often the party who installed it) is not part of the energy regulatory framework.  It would mark a significant shift if the Consumer Data Right was extended to apply to these parties and </w:t>
            </w:r>
            <w:r w:rsidR="00264491">
              <w:rPr>
                <w:rFonts w:ascii="Arial" w:hAnsi="Arial" w:cs="Arial"/>
                <w:sz w:val="20"/>
                <w:szCs w:val="20"/>
                <w:lang w:val="en-AU"/>
              </w:rPr>
              <w:t>sources</w:t>
            </w:r>
            <w:r w:rsidR="00FD3D7E">
              <w:rPr>
                <w:rFonts w:ascii="Arial" w:hAnsi="Arial" w:cs="Arial"/>
                <w:sz w:val="20"/>
                <w:szCs w:val="20"/>
                <w:lang w:val="en-AU"/>
              </w:rPr>
              <w:t xml:space="preserve"> of data (analogous in the banking context to applying the Consumer Data Right to information on a personal finance app that is not run by an Authorised </w:t>
            </w:r>
            <w:r w:rsidR="00FD3D7E">
              <w:rPr>
                <w:rFonts w:ascii="Arial" w:hAnsi="Arial" w:cs="Arial"/>
                <w:sz w:val="20"/>
                <w:szCs w:val="20"/>
                <w:lang w:val="en-AU"/>
              </w:rPr>
              <w:lastRenderedPageBreak/>
              <w:t xml:space="preserve">Deposit-taking Institution).  </w:t>
            </w:r>
            <w:r w:rsidR="00703AD0">
              <w:rPr>
                <w:rFonts w:ascii="Arial" w:hAnsi="Arial" w:cs="Arial"/>
                <w:sz w:val="20"/>
                <w:szCs w:val="20"/>
                <w:lang w:val="en-AU"/>
              </w:rPr>
              <w:t xml:space="preserve">Our preliminary view is such an extension of the data right would not be appropriate. </w:t>
            </w:r>
          </w:p>
        </w:tc>
      </w:tr>
      <w:tr w:rsidR="00083C96" w:rsidTr="00B41BDE">
        <w:tc>
          <w:tcPr>
            <w:tcW w:w="2835" w:type="dxa"/>
            <w:shd w:val="clear" w:color="auto" w:fill="DEEAF6" w:themeFill="accent1" w:themeFillTint="33"/>
          </w:tcPr>
          <w:p w:rsidR="00083C96" w:rsidRPr="00B41BDE" w:rsidRDefault="00083C96" w:rsidP="00083C96">
            <w:pPr>
              <w:pStyle w:val="AECletterbody"/>
              <w:jc w:val="both"/>
              <w:rPr>
                <w:rFonts w:ascii="Arial" w:hAnsi="Arial" w:cs="Arial"/>
                <w:b/>
                <w:sz w:val="20"/>
                <w:szCs w:val="20"/>
                <w:lang w:val="en-AU"/>
              </w:rPr>
            </w:pPr>
            <w:r w:rsidRPr="00B41BDE">
              <w:rPr>
                <w:rFonts w:ascii="Arial" w:hAnsi="Arial" w:cs="Arial"/>
                <w:b/>
                <w:sz w:val="20"/>
                <w:szCs w:val="20"/>
                <w:lang w:val="en-AU"/>
              </w:rPr>
              <w:lastRenderedPageBreak/>
              <w:t xml:space="preserve">Who is the consumer? </w:t>
            </w:r>
          </w:p>
        </w:tc>
        <w:tc>
          <w:tcPr>
            <w:tcW w:w="6793" w:type="dxa"/>
            <w:shd w:val="clear" w:color="auto" w:fill="DEEAF6" w:themeFill="accent1" w:themeFillTint="33"/>
          </w:tcPr>
          <w:p w:rsidR="00083C96" w:rsidRDefault="00FD3D7E" w:rsidP="00471E9F">
            <w:pPr>
              <w:pStyle w:val="AECletterbody"/>
              <w:jc w:val="both"/>
              <w:rPr>
                <w:rFonts w:ascii="Arial" w:hAnsi="Arial" w:cs="Arial"/>
                <w:sz w:val="20"/>
                <w:szCs w:val="20"/>
                <w:lang w:val="en-AU"/>
              </w:rPr>
            </w:pPr>
            <w:r>
              <w:rPr>
                <w:rFonts w:ascii="Arial" w:hAnsi="Arial" w:cs="Arial"/>
                <w:sz w:val="20"/>
                <w:szCs w:val="20"/>
                <w:lang w:val="en-AU"/>
              </w:rPr>
              <w:t xml:space="preserve">It </w:t>
            </w:r>
            <w:r w:rsidR="00083C96">
              <w:rPr>
                <w:rFonts w:ascii="Arial" w:hAnsi="Arial" w:cs="Arial"/>
                <w:sz w:val="20"/>
                <w:szCs w:val="20"/>
                <w:lang w:val="en-AU"/>
              </w:rPr>
              <w:t>is not always clear who the customer is for a given residence. This issue arises as:</w:t>
            </w:r>
          </w:p>
          <w:p w:rsidR="00A2005A" w:rsidRDefault="00083C96" w:rsidP="00A2005A">
            <w:pPr>
              <w:pStyle w:val="AECletterbody"/>
              <w:numPr>
                <w:ilvl w:val="0"/>
                <w:numId w:val="18"/>
              </w:numPr>
              <w:jc w:val="both"/>
              <w:rPr>
                <w:rFonts w:ascii="Arial" w:hAnsi="Arial" w:cs="Arial"/>
                <w:sz w:val="20"/>
                <w:szCs w:val="20"/>
                <w:lang w:val="en-AU"/>
              </w:rPr>
            </w:pPr>
            <w:r>
              <w:rPr>
                <w:rFonts w:ascii="Arial" w:hAnsi="Arial" w:cs="Arial"/>
                <w:sz w:val="20"/>
                <w:szCs w:val="20"/>
                <w:lang w:val="en-AU"/>
              </w:rPr>
              <w:t>sometimes a retailer will not know the identity of anyone at a residence – there are obligations to supply which mean that a retailer will continue to supply energy even without knowing who the customer is;</w:t>
            </w:r>
          </w:p>
          <w:p w:rsidR="00A2005A" w:rsidRDefault="00083C96" w:rsidP="00A2005A">
            <w:pPr>
              <w:pStyle w:val="AECletterbody"/>
              <w:numPr>
                <w:ilvl w:val="0"/>
                <w:numId w:val="18"/>
              </w:numPr>
              <w:jc w:val="both"/>
              <w:rPr>
                <w:rFonts w:ascii="Arial" w:hAnsi="Arial" w:cs="Arial"/>
                <w:sz w:val="20"/>
                <w:szCs w:val="20"/>
                <w:lang w:val="en-AU"/>
              </w:rPr>
            </w:pPr>
            <w:r w:rsidRPr="00A2005A">
              <w:rPr>
                <w:rFonts w:ascii="Arial" w:hAnsi="Arial" w:cs="Arial"/>
                <w:sz w:val="20"/>
                <w:szCs w:val="20"/>
                <w:lang w:val="en-AU"/>
              </w:rPr>
              <w:t>there may be several people living at a house, but only one of whom is on the bill and known to the retailer</w:t>
            </w:r>
            <w:r w:rsidR="00703AD0">
              <w:rPr>
                <w:rFonts w:ascii="Arial" w:hAnsi="Arial" w:cs="Arial"/>
                <w:sz w:val="20"/>
                <w:szCs w:val="20"/>
                <w:lang w:val="en-AU"/>
              </w:rPr>
              <w:t>; or</w:t>
            </w:r>
          </w:p>
          <w:p w:rsidR="00083C96" w:rsidRPr="00A2005A" w:rsidRDefault="00083C96" w:rsidP="00A2005A">
            <w:pPr>
              <w:pStyle w:val="AECletterbody"/>
              <w:numPr>
                <w:ilvl w:val="0"/>
                <w:numId w:val="18"/>
              </w:numPr>
              <w:jc w:val="both"/>
              <w:rPr>
                <w:rFonts w:ascii="Arial" w:hAnsi="Arial" w:cs="Arial"/>
                <w:sz w:val="20"/>
                <w:szCs w:val="20"/>
                <w:lang w:val="en-AU"/>
              </w:rPr>
            </w:pPr>
            <w:r w:rsidRPr="00A2005A">
              <w:rPr>
                <w:rFonts w:ascii="Arial" w:hAnsi="Arial" w:cs="Arial"/>
                <w:sz w:val="20"/>
                <w:szCs w:val="20"/>
                <w:lang w:val="en-AU"/>
              </w:rPr>
              <w:t xml:space="preserve">the person who is on the bill may no longer live at the </w:t>
            </w:r>
            <w:r w:rsidR="00703AD0">
              <w:rPr>
                <w:rFonts w:ascii="Arial" w:hAnsi="Arial" w:cs="Arial"/>
                <w:sz w:val="20"/>
                <w:szCs w:val="20"/>
                <w:lang w:val="en-AU"/>
              </w:rPr>
              <w:t>residence</w:t>
            </w:r>
            <w:r w:rsidRPr="00A2005A">
              <w:rPr>
                <w:rFonts w:ascii="Arial" w:hAnsi="Arial" w:cs="Arial"/>
                <w:sz w:val="20"/>
                <w:szCs w:val="20"/>
                <w:lang w:val="en-AU"/>
              </w:rPr>
              <w:t>,</w:t>
            </w:r>
            <w:r w:rsidR="00703AD0">
              <w:rPr>
                <w:rFonts w:ascii="Arial" w:hAnsi="Arial" w:cs="Arial"/>
                <w:sz w:val="20"/>
                <w:szCs w:val="20"/>
                <w:lang w:val="en-AU"/>
              </w:rPr>
              <w:t xml:space="preserve"> unbeknown to </w:t>
            </w:r>
            <w:r w:rsidR="00FD3D7E" w:rsidRPr="00A2005A">
              <w:rPr>
                <w:rFonts w:ascii="Arial" w:hAnsi="Arial" w:cs="Arial"/>
                <w:sz w:val="20"/>
                <w:szCs w:val="20"/>
                <w:lang w:val="en-AU"/>
              </w:rPr>
              <w:t xml:space="preserve">the retailer. </w:t>
            </w:r>
          </w:p>
          <w:p w:rsidR="00FD3D7E" w:rsidRDefault="00FD3D7E" w:rsidP="00B04BE6">
            <w:pPr>
              <w:pStyle w:val="AECletterbody"/>
              <w:jc w:val="both"/>
              <w:rPr>
                <w:rFonts w:ascii="Arial" w:hAnsi="Arial" w:cs="Arial"/>
                <w:sz w:val="20"/>
                <w:szCs w:val="20"/>
                <w:lang w:val="en-AU"/>
              </w:rPr>
            </w:pPr>
            <w:r>
              <w:rPr>
                <w:rFonts w:ascii="Arial" w:hAnsi="Arial" w:cs="Arial"/>
                <w:sz w:val="20"/>
                <w:szCs w:val="20"/>
                <w:lang w:val="en-AU"/>
              </w:rPr>
              <w:t xml:space="preserve">These issues differentiate energy from banking and must be considered in the context of who could authorise data access, and who has a right to prevent access. </w:t>
            </w:r>
            <w:r w:rsidR="00B04BE6">
              <w:rPr>
                <w:rFonts w:ascii="Arial" w:hAnsi="Arial" w:cs="Arial"/>
                <w:sz w:val="20"/>
                <w:szCs w:val="20"/>
                <w:lang w:val="en-AU"/>
              </w:rPr>
              <w:t xml:space="preserve">We note the question of ‘who is the customer’ has also been considered in other regulatory contexts in the energy sector, which could provide a useful starting point to considering the issues in a data access context. </w:t>
            </w:r>
          </w:p>
        </w:tc>
      </w:tr>
      <w:tr w:rsidR="00632FDF" w:rsidTr="00B41BDE">
        <w:tc>
          <w:tcPr>
            <w:tcW w:w="2835" w:type="dxa"/>
            <w:shd w:val="clear" w:color="auto" w:fill="DEEAF6" w:themeFill="accent1" w:themeFillTint="33"/>
          </w:tcPr>
          <w:p w:rsidR="00632FDF" w:rsidRPr="00B41BDE" w:rsidRDefault="00E64E35" w:rsidP="00632FDF">
            <w:pPr>
              <w:pStyle w:val="AECletterbody"/>
              <w:jc w:val="both"/>
              <w:rPr>
                <w:rFonts w:ascii="Arial" w:hAnsi="Arial" w:cs="Arial"/>
                <w:b/>
                <w:sz w:val="20"/>
                <w:szCs w:val="20"/>
                <w:lang w:val="en-AU"/>
              </w:rPr>
            </w:pPr>
            <w:r w:rsidRPr="00B41BDE">
              <w:rPr>
                <w:rFonts w:ascii="Arial" w:hAnsi="Arial" w:cs="Arial"/>
                <w:b/>
                <w:sz w:val="20"/>
                <w:szCs w:val="20"/>
                <w:lang w:val="en-AU"/>
              </w:rPr>
              <w:t>Who is the relevant data holder?</w:t>
            </w:r>
          </w:p>
        </w:tc>
        <w:tc>
          <w:tcPr>
            <w:tcW w:w="6793" w:type="dxa"/>
            <w:shd w:val="clear" w:color="auto" w:fill="DEEAF6" w:themeFill="accent1" w:themeFillTint="33"/>
          </w:tcPr>
          <w:p w:rsidR="00E64E35" w:rsidRDefault="00632FDF" w:rsidP="00632FDF">
            <w:pPr>
              <w:pStyle w:val="AECletterbody"/>
              <w:jc w:val="both"/>
              <w:rPr>
                <w:rFonts w:ascii="Arial" w:hAnsi="Arial" w:cs="Arial"/>
                <w:sz w:val="20"/>
                <w:szCs w:val="20"/>
                <w:lang w:val="en-AU"/>
              </w:rPr>
            </w:pPr>
            <w:r>
              <w:rPr>
                <w:rFonts w:ascii="Arial" w:hAnsi="Arial" w:cs="Arial"/>
                <w:sz w:val="20"/>
                <w:szCs w:val="20"/>
                <w:lang w:val="en-AU"/>
              </w:rPr>
              <w:t>The National Energy Market relies on different parties using different data for different reasons, consistent with their respective regulatory roles.</w:t>
            </w:r>
            <w:r w:rsidR="00703AD0">
              <w:rPr>
                <w:rFonts w:ascii="Arial" w:hAnsi="Arial" w:cs="Arial"/>
                <w:sz w:val="20"/>
                <w:szCs w:val="20"/>
                <w:lang w:val="en-AU"/>
              </w:rPr>
              <w:t xml:space="preserve"> This includes</w:t>
            </w:r>
            <w:r w:rsidR="00E64E35">
              <w:rPr>
                <w:rFonts w:ascii="Arial" w:hAnsi="Arial" w:cs="Arial"/>
                <w:sz w:val="20"/>
                <w:szCs w:val="20"/>
                <w:lang w:val="en-AU"/>
              </w:rPr>
              <w:t xml:space="preserve"> retailer</w:t>
            </w:r>
            <w:r w:rsidR="00703AD0">
              <w:rPr>
                <w:rFonts w:ascii="Arial" w:hAnsi="Arial" w:cs="Arial"/>
                <w:sz w:val="20"/>
                <w:szCs w:val="20"/>
                <w:lang w:val="en-AU"/>
              </w:rPr>
              <w:t>s</w:t>
            </w:r>
            <w:r w:rsidR="00E64E35">
              <w:rPr>
                <w:rFonts w:ascii="Arial" w:hAnsi="Arial" w:cs="Arial"/>
                <w:sz w:val="20"/>
                <w:szCs w:val="20"/>
                <w:lang w:val="en-AU"/>
              </w:rPr>
              <w:t>, metering data provider</w:t>
            </w:r>
            <w:r w:rsidR="00703AD0">
              <w:rPr>
                <w:rFonts w:ascii="Arial" w:hAnsi="Arial" w:cs="Arial"/>
                <w:sz w:val="20"/>
                <w:szCs w:val="20"/>
                <w:lang w:val="en-AU"/>
              </w:rPr>
              <w:t>s</w:t>
            </w:r>
            <w:r w:rsidR="00E64E35">
              <w:rPr>
                <w:rFonts w:ascii="Arial" w:hAnsi="Arial" w:cs="Arial"/>
                <w:sz w:val="20"/>
                <w:szCs w:val="20"/>
                <w:lang w:val="en-AU"/>
              </w:rPr>
              <w:t>, distributor</w:t>
            </w:r>
            <w:r w:rsidR="00703AD0">
              <w:rPr>
                <w:rFonts w:ascii="Arial" w:hAnsi="Arial" w:cs="Arial"/>
                <w:sz w:val="20"/>
                <w:szCs w:val="20"/>
                <w:lang w:val="en-AU"/>
              </w:rPr>
              <w:t>s</w:t>
            </w:r>
            <w:r w:rsidR="00E64E35">
              <w:rPr>
                <w:rFonts w:ascii="Arial" w:hAnsi="Arial" w:cs="Arial"/>
                <w:sz w:val="20"/>
                <w:szCs w:val="20"/>
                <w:lang w:val="en-AU"/>
              </w:rPr>
              <w:t xml:space="preserve"> and AEMO. The precise data held by each party depends on their requirements. </w:t>
            </w:r>
          </w:p>
          <w:p w:rsidR="00E64E35" w:rsidRDefault="00632FDF" w:rsidP="00E64E35">
            <w:pPr>
              <w:pStyle w:val="AECletterbody"/>
              <w:jc w:val="both"/>
              <w:rPr>
                <w:rFonts w:ascii="Arial" w:hAnsi="Arial" w:cs="Arial"/>
                <w:sz w:val="20"/>
                <w:szCs w:val="20"/>
                <w:lang w:val="en-AU"/>
              </w:rPr>
            </w:pPr>
            <w:r>
              <w:rPr>
                <w:rFonts w:ascii="Arial" w:hAnsi="Arial" w:cs="Arial"/>
                <w:sz w:val="20"/>
                <w:szCs w:val="20"/>
                <w:lang w:val="en-AU"/>
              </w:rPr>
              <w:t>The retailer at a connection point holds a customer’s energy consumption data</w:t>
            </w:r>
            <w:r w:rsidR="00E64E35">
              <w:rPr>
                <w:rFonts w:ascii="Arial" w:hAnsi="Arial" w:cs="Arial"/>
                <w:sz w:val="20"/>
                <w:szCs w:val="20"/>
                <w:lang w:val="en-AU"/>
              </w:rPr>
              <w:t>, energy export data</w:t>
            </w:r>
            <w:r>
              <w:rPr>
                <w:rFonts w:ascii="Arial" w:hAnsi="Arial" w:cs="Arial"/>
                <w:sz w:val="20"/>
                <w:szCs w:val="20"/>
                <w:lang w:val="en-AU"/>
              </w:rPr>
              <w:t xml:space="preserve"> and also information about the fees and prices applicable to the customer at a given point in time.</w:t>
            </w:r>
            <w:r w:rsidR="00E64E35">
              <w:rPr>
                <w:rFonts w:ascii="Arial" w:hAnsi="Arial" w:cs="Arial"/>
                <w:sz w:val="20"/>
                <w:szCs w:val="20"/>
                <w:lang w:val="en-AU"/>
              </w:rPr>
              <w:t xml:space="preserve"> It would appear appropriate therefore that retailer would be considered ‘data holder</w:t>
            </w:r>
            <w:r w:rsidR="00134842">
              <w:rPr>
                <w:rFonts w:ascii="Arial" w:hAnsi="Arial" w:cs="Arial"/>
                <w:sz w:val="20"/>
                <w:szCs w:val="20"/>
                <w:lang w:val="en-AU"/>
              </w:rPr>
              <w:t>s</w:t>
            </w:r>
            <w:r w:rsidR="00E64E35">
              <w:rPr>
                <w:rFonts w:ascii="Arial" w:hAnsi="Arial" w:cs="Arial"/>
                <w:sz w:val="20"/>
                <w:szCs w:val="20"/>
                <w:lang w:val="en-AU"/>
              </w:rPr>
              <w:t xml:space="preserve">’ under the framework in the energy context. </w:t>
            </w:r>
          </w:p>
          <w:p w:rsidR="00632FDF" w:rsidRDefault="00E64E35" w:rsidP="00997EA0">
            <w:pPr>
              <w:pStyle w:val="AECletterbody"/>
              <w:jc w:val="both"/>
              <w:rPr>
                <w:rFonts w:ascii="Arial" w:hAnsi="Arial" w:cs="Arial"/>
                <w:sz w:val="20"/>
                <w:szCs w:val="20"/>
                <w:lang w:val="en-AU"/>
              </w:rPr>
            </w:pPr>
            <w:r>
              <w:rPr>
                <w:rFonts w:ascii="Arial" w:hAnsi="Arial" w:cs="Arial"/>
                <w:sz w:val="20"/>
                <w:szCs w:val="20"/>
                <w:lang w:val="en-AU"/>
              </w:rPr>
              <w:t>While there may be a role for other parties (</w:t>
            </w:r>
            <w:proofErr w:type="spellStart"/>
            <w:r>
              <w:rPr>
                <w:rFonts w:ascii="Arial" w:hAnsi="Arial" w:cs="Arial"/>
                <w:sz w:val="20"/>
                <w:szCs w:val="20"/>
                <w:lang w:val="en-AU"/>
              </w:rPr>
              <w:t>eg</w:t>
            </w:r>
            <w:proofErr w:type="spellEnd"/>
            <w:r>
              <w:rPr>
                <w:rFonts w:ascii="Arial" w:hAnsi="Arial" w:cs="Arial"/>
                <w:sz w:val="20"/>
                <w:szCs w:val="20"/>
                <w:lang w:val="en-AU"/>
              </w:rPr>
              <w:t xml:space="preserve"> AEMO) to also be considered ‘data holders’ under the framework, it is important to consider whether such parties would ordinarily hold the relevant data for their operational purposes. Our preliminary view is that the framework should not require any party to provide new datasets to another party in order to facilitate data access under the framework. Rather, </w:t>
            </w:r>
            <w:r w:rsidR="00997EA0">
              <w:rPr>
                <w:rFonts w:ascii="Arial" w:hAnsi="Arial" w:cs="Arial"/>
                <w:sz w:val="20"/>
                <w:szCs w:val="20"/>
                <w:lang w:val="en-AU"/>
              </w:rPr>
              <w:t>a</w:t>
            </w:r>
            <w:r>
              <w:rPr>
                <w:rFonts w:ascii="Arial" w:hAnsi="Arial" w:cs="Arial"/>
                <w:sz w:val="20"/>
                <w:szCs w:val="20"/>
                <w:lang w:val="en-AU"/>
              </w:rPr>
              <w:t xml:space="preserve"> decentralised </w:t>
            </w:r>
            <w:r w:rsidR="00997EA0">
              <w:rPr>
                <w:rFonts w:ascii="Arial" w:hAnsi="Arial" w:cs="Arial"/>
                <w:sz w:val="20"/>
                <w:szCs w:val="20"/>
                <w:lang w:val="en-AU"/>
              </w:rPr>
              <w:t xml:space="preserve">approach should be adopted to facilitate customers accessing data where it is held. </w:t>
            </w:r>
          </w:p>
        </w:tc>
      </w:tr>
      <w:tr w:rsidR="00632FDF" w:rsidTr="00B41BDE">
        <w:tc>
          <w:tcPr>
            <w:tcW w:w="2835" w:type="dxa"/>
            <w:shd w:val="clear" w:color="auto" w:fill="DEEAF6" w:themeFill="accent1" w:themeFillTint="33"/>
          </w:tcPr>
          <w:p w:rsidR="00632FDF" w:rsidRPr="00B41BDE" w:rsidRDefault="00632FDF" w:rsidP="00632FDF">
            <w:pPr>
              <w:pStyle w:val="AECletterbody"/>
              <w:jc w:val="both"/>
              <w:rPr>
                <w:rFonts w:ascii="Arial" w:hAnsi="Arial" w:cs="Arial"/>
                <w:b/>
                <w:sz w:val="20"/>
                <w:szCs w:val="20"/>
                <w:lang w:val="en-AU"/>
              </w:rPr>
            </w:pPr>
            <w:r w:rsidRPr="00B41BDE">
              <w:rPr>
                <w:rFonts w:ascii="Arial" w:hAnsi="Arial" w:cs="Arial"/>
                <w:b/>
                <w:sz w:val="20"/>
                <w:szCs w:val="20"/>
                <w:lang w:val="en-AU"/>
              </w:rPr>
              <w:t>How is energy data transferred?</w:t>
            </w:r>
          </w:p>
        </w:tc>
        <w:tc>
          <w:tcPr>
            <w:tcW w:w="6793" w:type="dxa"/>
            <w:shd w:val="clear" w:color="auto" w:fill="DEEAF6" w:themeFill="accent1" w:themeFillTint="33"/>
          </w:tcPr>
          <w:p w:rsidR="00632FDF" w:rsidRDefault="00632FDF" w:rsidP="00632FDF">
            <w:pPr>
              <w:pStyle w:val="AECletterbody"/>
              <w:jc w:val="both"/>
              <w:rPr>
                <w:rFonts w:ascii="Arial" w:hAnsi="Arial" w:cs="Arial"/>
                <w:sz w:val="20"/>
                <w:szCs w:val="20"/>
                <w:lang w:val="en-AU"/>
              </w:rPr>
            </w:pPr>
            <w:r>
              <w:rPr>
                <w:rFonts w:ascii="Arial" w:hAnsi="Arial" w:cs="Arial"/>
                <w:sz w:val="20"/>
                <w:szCs w:val="20"/>
                <w:lang w:val="en-AU"/>
              </w:rPr>
              <w:t xml:space="preserve">There are existing energy data transfer arrangements that could be taken into account in applying the Consumer Data Right to the energy sector. </w:t>
            </w:r>
          </w:p>
          <w:p w:rsidR="00632FDF" w:rsidRDefault="00A2005A" w:rsidP="00A2005A">
            <w:pPr>
              <w:pStyle w:val="AECletterbody"/>
              <w:jc w:val="both"/>
              <w:rPr>
                <w:rFonts w:ascii="Arial" w:hAnsi="Arial" w:cs="Arial"/>
                <w:sz w:val="20"/>
                <w:szCs w:val="20"/>
                <w:lang w:val="en-AU"/>
              </w:rPr>
            </w:pPr>
            <w:r>
              <w:rPr>
                <w:rFonts w:ascii="Arial" w:hAnsi="Arial" w:cs="Arial"/>
                <w:sz w:val="20"/>
                <w:szCs w:val="20"/>
                <w:lang w:val="en-AU"/>
              </w:rPr>
              <w:t xml:space="preserve">In particular, whether </w:t>
            </w:r>
            <w:r w:rsidR="00134842">
              <w:rPr>
                <w:rFonts w:ascii="Arial" w:hAnsi="Arial" w:cs="Arial"/>
                <w:sz w:val="20"/>
                <w:szCs w:val="20"/>
                <w:lang w:val="en-AU"/>
              </w:rPr>
              <w:t>the B2B hub and SM</w:t>
            </w:r>
            <w:r w:rsidR="00632FDF">
              <w:rPr>
                <w:rFonts w:ascii="Arial" w:hAnsi="Arial" w:cs="Arial"/>
                <w:sz w:val="20"/>
                <w:szCs w:val="20"/>
                <w:lang w:val="en-AU"/>
              </w:rPr>
              <w:t>P data transfer processes could be utilised to provide access to data from different sources</w:t>
            </w:r>
            <w:r>
              <w:rPr>
                <w:rFonts w:ascii="Arial" w:hAnsi="Arial" w:cs="Arial"/>
                <w:sz w:val="20"/>
                <w:szCs w:val="20"/>
                <w:lang w:val="en-AU"/>
              </w:rPr>
              <w:t xml:space="preserve"> should be considered. These are processes that have been developed by industry to facilitate the complex data flows necessary in the National Energy Market. We would be happy to further discuss their potential application </w:t>
            </w:r>
            <w:r w:rsidR="00703AD0">
              <w:rPr>
                <w:rFonts w:ascii="Arial" w:hAnsi="Arial" w:cs="Arial"/>
                <w:sz w:val="20"/>
                <w:szCs w:val="20"/>
                <w:lang w:val="en-AU"/>
              </w:rPr>
              <w:t xml:space="preserve">of existing data arrangements </w:t>
            </w:r>
            <w:r>
              <w:rPr>
                <w:rFonts w:ascii="Arial" w:hAnsi="Arial" w:cs="Arial"/>
                <w:sz w:val="20"/>
                <w:szCs w:val="20"/>
                <w:lang w:val="en-AU"/>
              </w:rPr>
              <w:t>with Treasury.</w:t>
            </w:r>
          </w:p>
        </w:tc>
      </w:tr>
      <w:tr w:rsidR="00632FDF" w:rsidTr="00B41BDE">
        <w:tc>
          <w:tcPr>
            <w:tcW w:w="2835" w:type="dxa"/>
            <w:shd w:val="clear" w:color="auto" w:fill="DEEAF6" w:themeFill="accent1" w:themeFillTint="33"/>
          </w:tcPr>
          <w:p w:rsidR="00632FDF" w:rsidRPr="00B41BDE" w:rsidRDefault="00632FDF" w:rsidP="00632FDF">
            <w:pPr>
              <w:pStyle w:val="AECletterbody"/>
              <w:jc w:val="both"/>
              <w:rPr>
                <w:rFonts w:ascii="Arial" w:hAnsi="Arial" w:cs="Arial"/>
                <w:b/>
                <w:sz w:val="20"/>
                <w:szCs w:val="20"/>
                <w:lang w:val="en-AU"/>
              </w:rPr>
            </w:pPr>
            <w:r w:rsidRPr="00B41BDE">
              <w:rPr>
                <w:rFonts w:ascii="Arial" w:hAnsi="Arial" w:cs="Arial"/>
                <w:b/>
                <w:sz w:val="20"/>
                <w:szCs w:val="20"/>
                <w:lang w:val="en-AU"/>
              </w:rPr>
              <w:t>How would the framework interact with the energy sector regulatory regime?</w:t>
            </w:r>
          </w:p>
        </w:tc>
        <w:tc>
          <w:tcPr>
            <w:tcW w:w="6793" w:type="dxa"/>
            <w:shd w:val="clear" w:color="auto" w:fill="DEEAF6" w:themeFill="accent1" w:themeFillTint="33"/>
          </w:tcPr>
          <w:p w:rsidR="00632FDF" w:rsidRDefault="00632FDF" w:rsidP="00134842">
            <w:pPr>
              <w:pStyle w:val="AECletterbody"/>
              <w:keepNext/>
              <w:jc w:val="both"/>
              <w:rPr>
                <w:rFonts w:ascii="Arial" w:hAnsi="Arial" w:cs="Arial"/>
                <w:sz w:val="20"/>
                <w:szCs w:val="20"/>
                <w:lang w:val="en-AU"/>
              </w:rPr>
            </w:pPr>
            <w:r>
              <w:rPr>
                <w:rFonts w:ascii="Arial" w:hAnsi="Arial" w:cs="Arial"/>
                <w:sz w:val="20"/>
                <w:szCs w:val="20"/>
                <w:lang w:val="en-AU"/>
              </w:rPr>
              <w:t xml:space="preserve">Sector-specific regulations relating to consumer energy consumption data are primarily set out in the </w:t>
            </w:r>
            <w:r w:rsidR="00392FA3">
              <w:rPr>
                <w:rFonts w:ascii="Arial" w:hAnsi="Arial" w:cs="Arial"/>
                <w:sz w:val="20"/>
                <w:szCs w:val="20"/>
                <w:lang w:val="en-AU"/>
              </w:rPr>
              <w:t xml:space="preserve">NER, </w:t>
            </w:r>
            <w:r>
              <w:rPr>
                <w:rFonts w:ascii="Arial" w:hAnsi="Arial" w:cs="Arial"/>
                <w:sz w:val="20"/>
                <w:szCs w:val="20"/>
                <w:lang w:val="en-AU"/>
              </w:rPr>
              <w:t>although the National Energy Retail Rules</w:t>
            </w:r>
            <w:r w:rsidR="00392FA3">
              <w:rPr>
                <w:rFonts w:ascii="Arial" w:hAnsi="Arial" w:cs="Arial"/>
                <w:sz w:val="20"/>
                <w:szCs w:val="20"/>
                <w:lang w:val="en-AU"/>
              </w:rPr>
              <w:t xml:space="preserve"> (NERR)</w:t>
            </w:r>
            <w:r>
              <w:rPr>
                <w:rFonts w:ascii="Arial" w:hAnsi="Arial" w:cs="Arial"/>
                <w:sz w:val="20"/>
                <w:szCs w:val="20"/>
                <w:lang w:val="en-AU"/>
              </w:rPr>
              <w:t xml:space="preserve"> and jurisdictional e</w:t>
            </w:r>
            <w:r w:rsidR="00392FA3">
              <w:rPr>
                <w:rFonts w:ascii="Arial" w:hAnsi="Arial" w:cs="Arial"/>
                <w:sz w:val="20"/>
                <w:szCs w:val="20"/>
                <w:lang w:val="en-AU"/>
              </w:rPr>
              <w:t>quivalents may also be relevant</w:t>
            </w:r>
            <w:r>
              <w:rPr>
                <w:rFonts w:ascii="Arial" w:hAnsi="Arial" w:cs="Arial"/>
                <w:sz w:val="20"/>
                <w:szCs w:val="20"/>
                <w:lang w:val="en-AU"/>
              </w:rPr>
              <w:t xml:space="preserve">. </w:t>
            </w:r>
          </w:p>
          <w:p w:rsidR="00632FDF" w:rsidRDefault="00A2005A" w:rsidP="00134842">
            <w:pPr>
              <w:pStyle w:val="AECletterbody"/>
              <w:keepNext/>
              <w:jc w:val="both"/>
              <w:rPr>
                <w:rFonts w:ascii="Arial" w:hAnsi="Arial" w:cs="Arial"/>
                <w:sz w:val="20"/>
                <w:szCs w:val="20"/>
                <w:lang w:val="en-AU"/>
              </w:rPr>
            </w:pPr>
            <w:r>
              <w:rPr>
                <w:rFonts w:ascii="Arial" w:hAnsi="Arial" w:cs="Arial"/>
                <w:sz w:val="20"/>
                <w:szCs w:val="20"/>
                <w:lang w:val="en-AU"/>
              </w:rPr>
              <w:t>A customer’s metering data</w:t>
            </w:r>
            <w:r w:rsidR="00632FDF">
              <w:rPr>
                <w:rFonts w:ascii="Arial" w:hAnsi="Arial" w:cs="Arial"/>
                <w:sz w:val="20"/>
                <w:szCs w:val="20"/>
                <w:lang w:val="en-AU"/>
              </w:rPr>
              <w:t xml:space="preserve"> is confidential information under the NER. Retailers, distributors, metering </w:t>
            </w:r>
            <w:r>
              <w:rPr>
                <w:rFonts w:ascii="Arial" w:hAnsi="Arial" w:cs="Arial"/>
                <w:sz w:val="20"/>
                <w:szCs w:val="20"/>
                <w:lang w:val="en-AU"/>
              </w:rPr>
              <w:t>coordinators</w:t>
            </w:r>
            <w:r w:rsidR="00632FDF">
              <w:rPr>
                <w:rFonts w:ascii="Arial" w:hAnsi="Arial" w:cs="Arial"/>
                <w:sz w:val="20"/>
                <w:szCs w:val="20"/>
                <w:lang w:val="en-AU"/>
              </w:rPr>
              <w:t>, metering data providers and other market participants have confidentiality obligations as set out in NER 8.6. Importantly, the NER includes carve-out to the confidentiality provisions including where:</w:t>
            </w:r>
          </w:p>
          <w:p w:rsidR="00A2005A" w:rsidRDefault="00A2005A" w:rsidP="00632FDF">
            <w:pPr>
              <w:pStyle w:val="AECletterbody"/>
              <w:numPr>
                <w:ilvl w:val="0"/>
                <w:numId w:val="19"/>
              </w:numPr>
              <w:jc w:val="both"/>
              <w:rPr>
                <w:rFonts w:ascii="Arial" w:hAnsi="Arial" w:cs="Arial"/>
                <w:sz w:val="20"/>
                <w:szCs w:val="20"/>
                <w:lang w:val="en-AU"/>
              </w:rPr>
            </w:pPr>
            <w:r>
              <w:rPr>
                <w:rFonts w:ascii="Arial" w:hAnsi="Arial" w:cs="Arial"/>
                <w:sz w:val="20"/>
                <w:szCs w:val="20"/>
                <w:lang w:val="en-AU"/>
              </w:rPr>
              <w:t>t</w:t>
            </w:r>
            <w:r w:rsidR="00632FDF">
              <w:rPr>
                <w:rFonts w:ascii="Arial" w:hAnsi="Arial" w:cs="Arial"/>
                <w:sz w:val="20"/>
                <w:szCs w:val="20"/>
                <w:lang w:val="en-AU"/>
              </w:rPr>
              <w:t>he disclosure is required by law; or</w:t>
            </w:r>
          </w:p>
          <w:p w:rsidR="00632FDF" w:rsidRPr="00A2005A" w:rsidRDefault="00632FDF" w:rsidP="00632FDF">
            <w:pPr>
              <w:pStyle w:val="AECletterbody"/>
              <w:numPr>
                <w:ilvl w:val="0"/>
                <w:numId w:val="19"/>
              </w:numPr>
              <w:jc w:val="both"/>
              <w:rPr>
                <w:rFonts w:ascii="Arial" w:hAnsi="Arial" w:cs="Arial"/>
                <w:sz w:val="20"/>
                <w:szCs w:val="20"/>
                <w:lang w:val="en-AU"/>
              </w:rPr>
            </w:pPr>
            <w:r w:rsidRPr="00A2005A">
              <w:rPr>
                <w:rFonts w:ascii="Arial" w:hAnsi="Arial" w:cs="Arial"/>
                <w:sz w:val="20"/>
                <w:szCs w:val="20"/>
                <w:lang w:val="en-AU"/>
              </w:rPr>
              <w:t xml:space="preserve">where a customer has consented to </w:t>
            </w:r>
            <w:r w:rsidR="00025F9F">
              <w:rPr>
                <w:rFonts w:ascii="Arial" w:hAnsi="Arial" w:cs="Arial"/>
                <w:sz w:val="20"/>
                <w:szCs w:val="20"/>
                <w:lang w:val="en-AU"/>
              </w:rPr>
              <w:t>the disclosure</w:t>
            </w:r>
            <w:r w:rsidRPr="00A2005A">
              <w:rPr>
                <w:rFonts w:ascii="Arial" w:hAnsi="Arial" w:cs="Arial"/>
                <w:sz w:val="20"/>
                <w:szCs w:val="20"/>
                <w:lang w:val="en-AU"/>
              </w:rPr>
              <w:t xml:space="preserve">. </w:t>
            </w:r>
          </w:p>
          <w:p w:rsidR="00632FDF" w:rsidRDefault="00632FDF" w:rsidP="00025F9F">
            <w:pPr>
              <w:pStyle w:val="AECletterbody"/>
              <w:jc w:val="both"/>
              <w:rPr>
                <w:rFonts w:ascii="Arial" w:hAnsi="Arial" w:cs="Arial"/>
                <w:sz w:val="20"/>
                <w:szCs w:val="20"/>
                <w:lang w:val="en-AU"/>
              </w:rPr>
            </w:pPr>
            <w:r>
              <w:rPr>
                <w:rFonts w:ascii="Arial" w:hAnsi="Arial" w:cs="Arial"/>
                <w:sz w:val="20"/>
                <w:szCs w:val="20"/>
                <w:lang w:val="en-AU"/>
              </w:rPr>
              <w:lastRenderedPageBreak/>
              <w:t>If appropriately framed, the Consumer Data Right could satisfy each of these requirements</w:t>
            </w:r>
            <w:r w:rsidR="00A2005A">
              <w:rPr>
                <w:rFonts w:ascii="Arial" w:hAnsi="Arial" w:cs="Arial"/>
                <w:sz w:val="20"/>
                <w:szCs w:val="20"/>
                <w:lang w:val="en-AU"/>
              </w:rPr>
              <w:t xml:space="preserve"> to </w:t>
            </w:r>
            <w:r w:rsidR="00025F9F">
              <w:rPr>
                <w:rFonts w:ascii="Arial" w:hAnsi="Arial" w:cs="Arial"/>
                <w:sz w:val="20"/>
                <w:szCs w:val="20"/>
                <w:lang w:val="en-AU"/>
              </w:rPr>
              <w:t>minimise</w:t>
            </w:r>
            <w:r w:rsidR="00A2005A">
              <w:rPr>
                <w:rFonts w:ascii="Arial" w:hAnsi="Arial" w:cs="Arial"/>
                <w:sz w:val="20"/>
                <w:szCs w:val="20"/>
                <w:lang w:val="en-AU"/>
              </w:rPr>
              <w:t xml:space="preserve"> compliance risk under the NER. It may also be appropriate for the AER to issue guidance on its intended approach to NER compliance in the context of the Consumer Data Right, to provide industry with confidence that the regimes interact appropriately.  </w:t>
            </w:r>
          </w:p>
          <w:p w:rsidR="00703AD0" w:rsidRDefault="00703AD0" w:rsidP="00703AD0">
            <w:pPr>
              <w:pStyle w:val="AECletterbody"/>
              <w:jc w:val="both"/>
              <w:rPr>
                <w:rFonts w:ascii="Arial" w:hAnsi="Arial" w:cs="Arial"/>
                <w:sz w:val="20"/>
                <w:szCs w:val="20"/>
                <w:lang w:val="en-AU"/>
              </w:rPr>
            </w:pPr>
            <w:r>
              <w:rPr>
                <w:rFonts w:ascii="Arial" w:hAnsi="Arial" w:cs="Arial"/>
                <w:sz w:val="20"/>
                <w:szCs w:val="20"/>
                <w:lang w:val="en-AU"/>
              </w:rPr>
              <w:t xml:space="preserve">We note also that the Open Banking report includes a concept of explicit informed consent as the acceptable level of consent required for grant third party access. ‘Explicit informed consent’ is a regulated concept in the National Energy Retail Law and the NERR and has a very particular meaning associated with particular processes. It is not clear to us that the Open Banking report has this energy-specific consent threshold in mind – and we would consider it problematic for the same terminology to be adopted to develop a new consent requirement. We would welcome further discussion about appropriate consent threshold and terminology to be used in the data context. </w:t>
            </w:r>
          </w:p>
        </w:tc>
      </w:tr>
      <w:tr w:rsidR="00632FDF" w:rsidTr="00B41BDE">
        <w:tc>
          <w:tcPr>
            <w:tcW w:w="2835" w:type="dxa"/>
            <w:shd w:val="clear" w:color="auto" w:fill="DEEAF6" w:themeFill="accent1" w:themeFillTint="33"/>
          </w:tcPr>
          <w:p w:rsidR="00632FDF" w:rsidRPr="00B41BDE" w:rsidRDefault="00A2005A" w:rsidP="00632FDF">
            <w:pPr>
              <w:pStyle w:val="AECletterbody"/>
              <w:jc w:val="both"/>
              <w:rPr>
                <w:rFonts w:ascii="Arial" w:hAnsi="Arial" w:cs="Arial"/>
                <w:b/>
                <w:sz w:val="20"/>
                <w:szCs w:val="20"/>
                <w:lang w:val="en-AU"/>
              </w:rPr>
            </w:pPr>
            <w:r w:rsidRPr="00B41BDE">
              <w:rPr>
                <w:rFonts w:ascii="Arial" w:hAnsi="Arial" w:cs="Arial"/>
                <w:b/>
                <w:sz w:val="20"/>
                <w:szCs w:val="20"/>
                <w:lang w:val="en-AU"/>
              </w:rPr>
              <w:lastRenderedPageBreak/>
              <w:t>What would be the role of energy market bodies?</w:t>
            </w:r>
          </w:p>
        </w:tc>
        <w:tc>
          <w:tcPr>
            <w:tcW w:w="6793" w:type="dxa"/>
            <w:shd w:val="clear" w:color="auto" w:fill="DEEAF6" w:themeFill="accent1" w:themeFillTint="33"/>
          </w:tcPr>
          <w:p w:rsidR="00CF596E" w:rsidRDefault="00A2005A" w:rsidP="00CF596E">
            <w:pPr>
              <w:pStyle w:val="AECletterbody"/>
              <w:jc w:val="both"/>
              <w:rPr>
                <w:rFonts w:ascii="Arial" w:hAnsi="Arial" w:cs="Arial"/>
                <w:sz w:val="20"/>
                <w:szCs w:val="20"/>
                <w:lang w:val="en-AU"/>
              </w:rPr>
            </w:pPr>
            <w:r>
              <w:rPr>
                <w:rFonts w:ascii="Arial" w:hAnsi="Arial" w:cs="Arial"/>
                <w:sz w:val="20"/>
                <w:szCs w:val="20"/>
                <w:lang w:val="en-AU"/>
              </w:rPr>
              <w:t xml:space="preserve">The framework should consider the appropriate role for AEMO and energy regulators, including the AER and other jurisdictional regulators. Consistent with a nationally-consistent and economy wide approach to data regulation, we </w:t>
            </w:r>
            <w:r w:rsidR="00CF596E">
              <w:rPr>
                <w:rFonts w:ascii="Arial" w:hAnsi="Arial" w:cs="Arial"/>
                <w:sz w:val="20"/>
                <w:szCs w:val="20"/>
                <w:lang w:val="en-AU"/>
              </w:rPr>
              <w:t>support the ACCC playing the primary role in regulating the data access framework, including through:</w:t>
            </w:r>
          </w:p>
          <w:p w:rsidR="00CF596E" w:rsidRDefault="00CF596E" w:rsidP="00CF596E">
            <w:pPr>
              <w:pStyle w:val="AECletterbody"/>
              <w:numPr>
                <w:ilvl w:val="0"/>
                <w:numId w:val="22"/>
              </w:numPr>
              <w:jc w:val="both"/>
              <w:rPr>
                <w:rFonts w:ascii="Arial" w:hAnsi="Arial" w:cs="Arial"/>
                <w:sz w:val="20"/>
                <w:szCs w:val="20"/>
                <w:lang w:val="en-AU"/>
              </w:rPr>
            </w:pPr>
            <w:r>
              <w:rPr>
                <w:rFonts w:ascii="Arial" w:hAnsi="Arial" w:cs="Arial"/>
                <w:sz w:val="20"/>
                <w:szCs w:val="20"/>
                <w:lang w:val="en-AU"/>
              </w:rPr>
              <w:t>writing rules and standards</w:t>
            </w:r>
            <w:r w:rsidR="00134842">
              <w:rPr>
                <w:rFonts w:ascii="Arial" w:hAnsi="Arial" w:cs="Arial"/>
                <w:sz w:val="20"/>
                <w:szCs w:val="20"/>
                <w:lang w:val="en-AU"/>
              </w:rPr>
              <w:t>; and</w:t>
            </w:r>
          </w:p>
          <w:p w:rsidR="00CF596E" w:rsidRDefault="00CF596E" w:rsidP="00CF596E">
            <w:pPr>
              <w:pStyle w:val="AECletterbody"/>
              <w:numPr>
                <w:ilvl w:val="0"/>
                <w:numId w:val="22"/>
              </w:numPr>
              <w:jc w:val="both"/>
              <w:rPr>
                <w:rFonts w:ascii="Arial" w:hAnsi="Arial" w:cs="Arial"/>
                <w:sz w:val="20"/>
                <w:szCs w:val="20"/>
                <w:lang w:val="en-AU"/>
              </w:rPr>
            </w:pPr>
            <w:r>
              <w:rPr>
                <w:rFonts w:ascii="Arial" w:hAnsi="Arial" w:cs="Arial"/>
                <w:sz w:val="20"/>
                <w:szCs w:val="20"/>
                <w:lang w:val="en-AU"/>
              </w:rPr>
              <w:t>accrediting companies to access data</w:t>
            </w:r>
            <w:r w:rsidR="00134842">
              <w:rPr>
                <w:rFonts w:ascii="Arial" w:hAnsi="Arial" w:cs="Arial"/>
                <w:sz w:val="20"/>
                <w:szCs w:val="20"/>
                <w:lang w:val="en-AU"/>
              </w:rPr>
              <w:t>.</w:t>
            </w:r>
          </w:p>
          <w:p w:rsidR="00134842" w:rsidRDefault="00134842" w:rsidP="00A2005A">
            <w:pPr>
              <w:pStyle w:val="AECletterbody"/>
              <w:jc w:val="both"/>
              <w:rPr>
                <w:rFonts w:ascii="Arial" w:hAnsi="Arial" w:cs="Arial"/>
                <w:sz w:val="20"/>
                <w:szCs w:val="20"/>
                <w:lang w:val="en-AU"/>
              </w:rPr>
            </w:pPr>
            <w:r>
              <w:rPr>
                <w:rFonts w:ascii="Arial" w:hAnsi="Arial" w:cs="Arial"/>
                <w:sz w:val="20"/>
                <w:szCs w:val="20"/>
                <w:lang w:val="en-AU"/>
              </w:rPr>
              <w:t xml:space="preserve">OIAC would also clearly play an integral role. </w:t>
            </w:r>
          </w:p>
          <w:p w:rsidR="00A2005A" w:rsidRDefault="00A2005A" w:rsidP="00A2005A">
            <w:pPr>
              <w:pStyle w:val="AECletterbody"/>
              <w:jc w:val="both"/>
              <w:rPr>
                <w:rFonts w:ascii="Arial" w:hAnsi="Arial" w:cs="Arial"/>
                <w:sz w:val="20"/>
                <w:szCs w:val="20"/>
                <w:lang w:val="en-AU"/>
              </w:rPr>
            </w:pPr>
            <w:r>
              <w:rPr>
                <w:rFonts w:ascii="Arial" w:hAnsi="Arial" w:cs="Arial"/>
                <w:sz w:val="20"/>
                <w:szCs w:val="20"/>
                <w:lang w:val="en-AU"/>
              </w:rPr>
              <w:t>Our preliminary view is that:</w:t>
            </w:r>
          </w:p>
          <w:p w:rsidR="00A2005A" w:rsidRDefault="00A2005A" w:rsidP="00CF596E">
            <w:pPr>
              <w:pStyle w:val="AECletterbody"/>
              <w:numPr>
                <w:ilvl w:val="0"/>
                <w:numId w:val="21"/>
              </w:numPr>
              <w:jc w:val="both"/>
              <w:rPr>
                <w:rFonts w:ascii="Arial" w:hAnsi="Arial" w:cs="Arial"/>
                <w:sz w:val="20"/>
                <w:szCs w:val="20"/>
                <w:lang w:val="en-AU"/>
              </w:rPr>
            </w:pPr>
            <w:r>
              <w:rPr>
                <w:rFonts w:ascii="Arial" w:hAnsi="Arial" w:cs="Arial"/>
                <w:sz w:val="20"/>
                <w:szCs w:val="20"/>
                <w:lang w:val="en-AU"/>
              </w:rPr>
              <w:t xml:space="preserve">AEMO, as market operator, </w:t>
            </w:r>
            <w:r w:rsidR="00CF596E">
              <w:rPr>
                <w:rFonts w:ascii="Arial" w:hAnsi="Arial" w:cs="Arial"/>
                <w:sz w:val="20"/>
                <w:szCs w:val="20"/>
                <w:lang w:val="en-AU"/>
              </w:rPr>
              <w:t>has technical expertise which could be usefully utilised in establishing data standards</w:t>
            </w:r>
            <w:r w:rsidR="00484241">
              <w:rPr>
                <w:rFonts w:ascii="Arial" w:hAnsi="Arial" w:cs="Arial"/>
                <w:sz w:val="20"/>
                <w:szCs w:val="20"/>
                <w:lang w:val="en-AU"/>
              </w:rPr>
              <w:t xml:space="preserve"> and potentially also in accreditation (in respect of any technical requirements for accreditation);</w:t>
            </w:r>
          </w:p>
          <w:p w:rsidR="00484241" w:rsidRDefault="008C077C" w:rsidP="00484241">
            <w:pPr>
              <w:pStyle w:val="AECletterbody"/>
              <w:numPr>
                <w:ilvl w:val="0"/>
                <w:numId w:val="21"/>
              </w:numPr>
              <w:jc w:val="both"/>
              <w:rPr>
                <w:rFonts w:ascii="Arial" w:hAnsi="Arial" w:cs="Arial"/>
                <w:sz w:val="20"/>
                <w:szCs w:val="20"/>
                <w:lang w:val="en-AU"/>
              </w:rPr>
            </w:pPr>
            <w:r>
              <w:rPr>
                <w:rFonts w:ascii="Arial" w:hAnsi="Arial" w:cs="Arial"/>
                <w:sz w:val="20"/>
                <w:szCs w:val="20"/>
                <w:lang w:val="en-AU"/>
              </w:rPr>
              <w:t xml:space="preserve">The </w:t>
            </w:r>
            <w:r w:rsidR="00484241">
              <w:rPr>
                <w:rFonts w:ascii="Arial" w:hAnsi="Arial" w:cs="Arial"/>
                <w:sz w:val="20"/>
                <w:szCs w:val="20"/>
                <w:lang w:val="en-AU"/>
              </w:rPr>
              <w:t>AER would play a role in ensuring compliance with existing confidentiality obli</w:t>
            </w:r>
            <w:r w:rsidR="00134842">
              <w:rPr>
                <w:rFonts w:ascii="Arial" w:hAnsi="Arial" w:cs="Arial"/>
                <w:sz w:val="20"/>
                <w:szCs w:val="20"/>
                <w:lang w:val="en-AU"/>
              </w:rPr>
              <w:t>gations and customer protections under the NER and NERR</w:t>
            </w:r>
            <w:r w:rsidR="00484241">
              <w:rPr>
                <w:rFonts w:ascii="Arial" w:hAnsi="Arial" w:cs="Arial"/>
                <w:sz w:val="20"/>
                <w:szCs w:val="20"/>
                <w:lang w:val="en-AU"/>
              </w:rPr>
              <w:t>; and</w:t>
            </w:r>
          </w:p>
          <w:p w:rsidR="00484241" w:rsidRDefault="00484241" w:rsidP="00484241">
            <w:pPr>
              <w:pStyle w:val="AECletterbody"/>
              <w:numPr>
                <w:ilvl w:val="0"/>
                <w:numId w:val="21"/>
              </w:numPr>
              <w:jc w:val="both"/>
              <w:rPr>
                <w:rFonts w:ascii="Arial" w:hAnsi="Arial" w:cs="Arial"/>
                <w:sz w:val="20"/>
                <w:szCs w:val="20"/>
                <w:lang w:val="en-AU"/>
              </w:rPr>
            </w:pPr>
            <w:r>
              <w:rPr>
                <w:rFonts w:ascii="Arial" w:hAnsi="Arial" w:cs="Arial"/>
                <w:sz w:val="20"/>
                <w:szCs w:val="20"/>
                <w:lang w:val="en-AU"/>
              </w:rPr>
              <w:t xml:space="preserve"> </w:t>
            </w:r>
            <w:r w:rsidR="00025F9F">
              <w:rPr>
                <w:rFonts w:ascii="Arial" w:hAnsi="Arial" w:cs="Arial"/>
                <w:sz w:val="20"/>
                <w:szCs w:val="20"/>
                <w:lang w:val="en-AU"/>
              </w:rPr>
              <w:t>o</w:t>
            </w:r>
            <w:r>
              <w:rPr>
                <w:rFonts w:ascii="Arial" w:hAnsi="Arial" w:cs="Arial"/>
                <w:sz w:val="20"/>
                <w:szCs w:val="20"/>
                <w:lang w:val="en-AU"/>
              </w:rPr>
              <w:t>ther jurisdictional regulators (</w:t>
            </w:r>
            <w:proofErr w:type="spellStart"/>
            <w:r>
              <w:rPr>
                <w:rFonts w:ascii="Arial" w:hAnsi="Arial" w:cs="Arial"/>
                <w:sz w:val="20"/>
                <w:szCs w:val="20"/>
                <w:lang w:val="en-AU"/>
              </w:rPr>
              <w:t>eg</w:t>
            </w:r>
            <w:proofErr w:type="spellEnd"/>
            <w:r>
              <w:rPr>
                <w:rFonts w:ascii="Arial" w:hAnsi="Arial" w:cs="Arial"/>
                <w:sz w:val="20"/>
                <w:szCs w:val="20"/>
                <w:lang w:val="en-AU"/>
              </w:rPr>
              <w:t xml:space="preserve"> ESC) may also play a compliance role</w:t>
            </w:r>
            <w:r w:rsidR="00025F9F">
              <w:rPr>
                <w:rFonts w:ascii="Arial" w:hAnsi="Arial" w:cs="Arial"/>
                <w:sz w:val="20"/>
                <w:szCs w:val="20"/>
                <w:lang w:val="en-AU"/>
              </w:rPr>
              <w:t xml:space="preserve"> in respect of energy-specific regulations</w:t>
            </w:r>
            <w:r>
              <w:rPr>
                <w:rFonts w:ascii="Arial" w:hAnsi="Arial" w:cs="Arial"/>
                <w:sz w:val="20"/>
                <w:szCs w:val="20"/>
                <w:lang w:val="en-AU"/>
              </w:rPr>
              <w:t xml:space="preserve">, where </w:t>
            </w:r>
            <w:r w:rsidR="008C077C">
              <w:rPr>
                <w:rFonts w:ascii="Arial" w:hAnsi="Arial" w:cs="Arial"/>
                <w:sz w:val="20"/>
                <w:szCs w:val="20"/>
                <w:lang w:val="en-AU"/>
              </w:rPr>
              <w:t xml:space="preserve">the </w:t>
            </w:r>
            <w:r>
              <w:rPr>
                <w:rFonts w:ascii="Arial" w:hAnsi="Arial" w:cs="Arial"/>
                <w:sz w:val="20"/>
                <w:szCs w:val="20"/>
                <w:lang w:val="en-AU"/>
              </w:rPr>
              <w:t xml:space="preserve">AER has not been adopted </w:t>
            </w:r>
            <w:r w:rsidR="008C077C">
              <w:rPr>
                <w:rFonts w:ascii="Arial" w:hAnsi="Arial" w:cs="Arial"/>
                <w:sz w:val="20"/>
                <w:szCs w:val="20"/>
                <w:lang w:val="en-AU"/>
              </w:rPr>
              <w:t xml:space="preserve">as </w:t>
            </w:r>
            <w:r>
              <w:rPr>
                <w:rFonts w:ascii="Arial" w:hAnsi="Arial" w:cs="Arial"/>
                <w:sz w:val="20"/>
                <w:szCs w:val="20"/>
                <w:lang w:val="en-AU"/>
              </w:rPr>
              <w:t>the regulator in a jurisdiction</w:t>
            </w:r>
            <w:r w:rsidRPr="00484241">
              <w:rPr>
                <w:rFonts w:ascii="Arial" w:hAnsi="Arial" w:cs="Arial"/>
                <w:sz w:val="20"/>
                <w:szCs w:val="20"/>
                <w:lang w:val="en-AU"/>
              </w:rPr>
              <w:t xml:space="preserve">. </w:t>
            </w:r>
          </w:p>
          <w:p w:rsidR="000664D7" w:rsidRDefault="000664D7" w:rsidP="00B04BE6">
            <w:pPr>
              <w:pStyle w:val="AECletterbody"/>
              <w:jc w:val="both"/>
              <w:rPr>
                <w:rFonts w:ascii="Arial" w:hAnsi="Arial" w:cs="Arial"/>
                <w:sz w:val="20"/>
                <w:szCs w:val="20"/>
                <w:lang w:val="en-AU"/>
              </w:rPr>
            </w:pPr>
            <w:r>
              <w:rPr>
                <w:rFonts w:ascii="Arial" w:hAnsi="Arial" w:cs="Arial"/>
                <w:sz w:val="20"/>
                <w:szCs w:val="20"/>
                <w:lang w:val="en-AU"/>
              </w:rPr>
              <w:t xml:space="preserve">The AEMC may play a role if any rules changes are required under the NERR or NER to complement the regulatory framework. </w:t>
            </w:r>
          </w:p>
          <w:p w:rsidR="00B04BE6" w:rsidRPr="00484241" w:rsidRDefault="00B04BE6" w:rsidP="00B04BE6">
            <w:pPr>
              <w:pStyle w:val="AECletterbody"/>
              <w:jc w:val="both"/>
              <w:rPr>
                <w:rFonts w:ascii="Arial" w:hAnsi="Arial" w:cs="Arial"/>
                <w:sz w:val="20"/>
                <w:szCs w:val="20"/>
                <w:lang w:val="en-AU"/>
              </w:rPr>
            </w:pPr>
            <w:r>
              <w:rPr>
                <w:rFonts w:ascii="Arial" w:hAnsi="Arial" w:cs="Arial"/>
                <w:sz w:val="20"/>
                <w:szCs w:val="20"/>
                <w:lang w:val="en-AU"/>
              </w:rPr>
              <w:t xml:space="preserve">AEMO may also play a role in establishing and chairing industry working groups that can consult on these matters. AEMO has a track-record of industry engagement in technical issues and considerable expertise that may be drawn on.  </w:t>
            </w:r>
          </w:p>
        </w:tc>
      </w:tr>
      <w:tr w:rsidR="006921D3" w:rsidTr="00B41BDE">
        <w:tc>
          <w:tcPr>
            <w:tcW w:w="2835" w:type="dxa"/>
            <w:tcBorders>
              <w:bottom w:val="single" w:sz="4" w:space="0" w:color="auto"/>
            </w:tcBorders>
            <w:shd w:val="clear" w:color="auto" w:fill="DEEAF6" w:themeFill="accent1" w:themeFillTint="33"/>
          </w:tcPr>
          <w:p w:rsidR="006921D3" w:rsidRPr="00B41BDE" w:rsidRDefault="006921D3" w:rsidP="00134842">
            <w:pPr>
              <w:pStyle w:val="AECletterbody"/>
              <w:keepNext/>
              <w:jc w:val="both"/>
              <w:rPr>
                <w:rFonts w:ascii="Arial" w:hAnsi="Arial" w:cs="Arial"/>
                <w:b/>
                <w:sz w:val="20"/>
                <w:szCs w:val="20"/>
                <w:lang w:val="en-AU"/>
              </w:rPr>
            </w:pPr>
            <w:r w:rsidRPr="00B41BDE">
              <w:rPr>
                <w:rFonts w:ascii="Arial" w:hAnsi="Arial" w:cs="Arial"/>
                <w:b/>
                <w:sz w:val="20"/>
                <w:szCs w:val="20"/>
                <w:lang w:val="en-AU"/>
              </w:rPr>
              <w:t>Implementation issues</w:t>
            </w:r>
          </w:p>
        </w:tc>
        <w:tc>
          <w:tcPr>
            <w:tcW w:w="6793" w:type="dxa"/>
            <w:shd w:val="clear" w:color="auto" w:fill="DEEAF6" w:themeFill="accent1" w:themeFillTint="33"/>
          </w:tcPr>
          <w:p w:rsidR="00025F9F" w:rsidRDefault="006921D3" w:rsidP="00134842">
            <w:pPr>
              <w:pStyle w:val="AECletterbody"/>
              <w:keepNext/>
              <w:jc w:val="both"/>
              <w:rPr>
                <w:rFonts w:ascii="Arial" w:hAnsi="Arial" w:cs="Arial"/>
                <w:sz w:val="20"/>
                <w:szCs w:val="20"/>
                <w:lang w:val="en-AU"/>
              </w:rPr>
            </w:pPr>
            <w:r>
              <w:rPr>
                <w:rFonts w:ascii="Arial" w:hAnsi="Arial" w:cs="Arial"/>
                <w:sz w:val="20"/>
                <w:szCs w:val="20"/>
                <w:lang w:val="en-AU"/>
              </w:rPr>
              <w:t xml:space="preserve">Given the complexity of energy data systems within retailers and other market participants, any new data obligations and related systems architecture pose particular challenges for market participants. Retailers have recent experience in this regard when implementing the competition in metering rule change, which required </w:t>
            </w:r>
            <w:r w:rsidR="00025F9F">
              <w:rPr>
                <w:rFonts w:ascii="Arial" w:hAnsi="Arial" w:cs="Arial"/>
                <w:sz w:val="20"/>
                <w:szCs w:val="20"/>
                <w:lang w:val="en-AU"/>
              </w:rPr>
              <w:t xml:space="preserve">a </w:t>
            </w:r>
            <w:r>
              <w:rPr>
                <w:rFonts w:ascii="Arial" w:hAnsi="Arial" w:cs="Arial"/>
                <w:sz w:val="20"/>
                <w:szCs w:val="20"/>
                <w:lang w:val="en-AU"/>
              </w:rPr>
              <w:t>major systems overhaul. We note at the outset that from retailer’s perspectives, implementation commences when the final requirements including data standards and access requirements are established. Sufficient time should be allowed from that date to build an</w:t>
            </w:r>
            <w:r w:rsidR="00025F9F">
              <w:rPr>
                <w:rFonts w:ascii="Arial" w:hAnsi="Arial" w:cs="Arial"/>
                <w:sz w:val="20"/>
                <w:szCs w:val="20"/>
                <w:lang w:val="en-AU"/>
              </w:rPr>
              <w:t>d</w:t>
            </w:r>
            <w:r>
              <w:rPr>
                <w:rFonts w:ascii="Arial" w:hAnsi="Arial" w:cs="Arial"/>
                <w:sz w:val="20"/>
                <w:szCs w:val="20"/>
                <w:lang w:val="en-AU"/>
              </w:rPr>
              <w:t xml:space="preserve"> test any data systems.</w:t>
            </w:r>
            <w:r w:rsidR="00025F9F">
              <w:rPr>
                <w:rFonts w:ascii="Arial" w:hAnsi="Arial" w:cs="Arial"/>
                <w:sz w:val="20"/>
                <w:szCs w:val="20"/>
                <w:lang w:val="en-AU"/>
              </w:rPr>
              <w:t xml:space="preserve"> </w:t>
            </w:r>
          </w:p>
          <w:p w:rsidR="006921D3" w:rsidRDefault="00025F9F" w:rsidP="00134842">
            <w:pPr>
              <w:pStyle w:val="AECletterbody"/>
              <w:keepNext/>
              <w:jc w:val="both"/>
              <w:rPr>
                <w:rFonts w:ascii="Arial" w:hAnsi="Arial" w:cs="Arial"/>
                <w:sz w:val="20"/>
                <w:szCs w:val="20"/>
                <w:lang w:val="en-AU"/>
              </w:rPr>
            </w:pPr>
            <w:r>
              <w:rPr>
                <w:rFonts w:ascii="Arial" w:hAnsi="Arial" w:cs="Arial"/>
                <w:sz w:val="20"/>
                <w:szCs w:val="20"/>
                <w:lang w:val="en-AU"/>
              </w:rPr>
              <w:t xml:space="preserve">Customer outcomes can be better achieved where adequate time is afforded for retailers to adopt and test the appropriate systems. </w:t>
            </w:r>
            <w:r w:rsidR="006921D3">
              <w:rPr>
                <w:rFonts w:ascii="Arial" w:hAnsi="Arial" w:cs="Arial"/>
                <w:sz w:val="20"/>
                <w:szCs w:val="20"/>
                <w:lang w:val="en-AU"/>
              </w:rPr>
              <w:t xml:space="preserve">We would urge close consultation </w:t>
            </w:r>
            <w:r w:rsidR="006921D3">
              <w:rPr>
                <w:rFonts w:ascii="Arial" w:hAnsi="Arial" w:cs="Arial"/>
                <w:sz w:val="20"/>
                <w:szCs w:val="20"/>
                <w:lang w:val="en-AU"/>
              </w:rPr>
              <w:lastRenderedPageBreak/>
              <w:t xml:space="preserve">with retailers when developing implementation timelines for the application of the data right to the energy sector. </w:t>
            </w:r>
          </w:p>
        </w:tc>
      </w:tr>
    </w:tbl>
    <w:p w:rsidR="006921D3" w:rsidRPr="00025F9F" w:rsidRDefault="006921D3" w:rsidP="00471E9F">
      <w:pPr>
        <w:pStyle w:val="AECletterbody"/>
        <w:jc w:val="both"/>
        <w:rPr>
          <w:rFonts w:ascii="Arial" w:hAnsi="Arial" w:cs="Arial"/>
          <w:sz w:val="20"/>
          <w:szCs w:val="20"/>
          <w:lang w:val="en-AU"/>
        </w:rPr>
      </w:pPr>
      <w:r w:rsidRPr="006921D3">
        <w:rPr>
          <w:rFonts w:ascii="Arial" w:hAnsi="Arial" w:cs="Arial"/>
          <w:b/>
          <w:sz w:val="20"/>
          <w:szCs w:val="20"/>
          <w:lang w:val="en-AU"/>
        </w:rPr>
        <w:lastRenderedPageBreak/>
        <w:t>Conclusion</w:t>
      </w:r>
    </w:p>
    <w:p w:rsidR="00703AD0" w:rsidRDefault="00703AD0" w:rsidP="008C077C">
      <w:pPr>
        <w:pStyle w:val="AECletterbody"/>
        <w:spacing w:after="120"/>
        <w:jc w:val="both"/>
        <w:rPr>
          <w:rFonts w:ascii="Arial" w:hAnsi="Arial" w:cs="Arial"/>
          <w:sz w:val="20"/>
          <w:szCs w:val="20"/>
          <w:lang w:val="en-AU"/>
        </w:rPr>
      </w:pPr>
      <w:r>
        <w:rPr>
          <w:rFonts w:ascii="Arial" w:hAnsi="Arial" w:cs="Arial"/>
          <w:sz w:val="20"/>
          <w:szCs w:val="20"/>
          <w:lang w:val="en-AU"/>
        </w:rPr>
        <w:t>The matters raised in this paper focus on the issues that rise in the national electricity market. They do not consider in detail any issues that arise in other energy markets, including:</w:t>
      </w:r>
    </w:p>
    <w:p w:rsidR="00703AD0" w:rsidRDefault="00703AD0" w:rsidP="008C077C">
      <w:pPr>
        <w:pStyle w:val="AECletterbody"/>
        <w:numPr>
          <w:ilvl w:val="0"/>
          <w:numId w:val="21"/>
        </w:numPr>
        <w:spacing w:after="120"/>
        <w:jc w:val="both"/>
        <w:rPr>
          <w:rFonts w:ascii="Arial" w:hAnsi="Arial" w:cs="Arial"/>
          <w:sz w:val="20"/>
          <w:szCs w:val="20"/>
          <w:lang w:val="en-AU"/>
        </w:rPr>
      </w:pPr>
      <w:r>
        <w:rPr>
          <w:rFonts w:ascii="Arial" w:hAnsi="Arial" w:cs="Arial"/>
          <w:sz w:val="20"/>
          <w:szCs w:val="20"/>
          <w:lang w:val="en-AU"/>
        </w:rPr>
        <w:t>gas markets;</w:t>
      </w:r>
    </w:p>
    <w:p w:rsidR="00703AD0" w:rsidRDefault="00703AD0" w:rsidP="008C077C">
      <w:pPr>
        <w:pStyle w:val="AECletterbody"/>
        <w:numPr>
          <w:ilvl w:val="0"/>
          <w:numId w:val="21"/>
        </w:numPr>
        <w:spacing w:after="120"/>
        <w:jc w:val="both"/>
        <w:rPr>
          <w:rFonts w:ascii="Arial" w:hAnsi="Arial" w:cs="Arial"/>
          <w:sz w:val="20"/>
          <w:szCs w:val="20"/>
          <w:lang w:val="en-AU"/>
        </w:rPr>
      </w:pPr>
      <w:r>
        <w:rPr>
          <w:rFonts w:ascii="Arial" w:hAnsi="Arial" w:cs="Arial"/>
          <w:sz w:val="20"/>
          <w:szCs w:val="20"/>
          <w:lang w:val="en-AU"/>
        </w:rPr>
        <w:t>Western Australian electricity market;</w:t>
      </w:r>
    </w:p>
    <w:p w:rsidR="00703AD0" w:rsidRDefault="00703AD0" w:rsidP="008C077C">
      <w:pPr>
        <w:pStyle w:val="AECletterbody"/>
        <w:numPr>
          <w:ilvl w:val="0"/>
          <w:numId w:val="21"/>
        </w:numPr>
        <w:spacing w:after="120"/>
        <w:jc w:val="both"/>
        <w:rPr>
          <w:rFonts w:ascii="Arial" w:hAnsi="Arial" w:cs="Arial"/>
          <w:sz w:val="20"/>
          <w:szCs w:val="20"/>
          <w:lang w:val="en-AU"/>
        </w:rPr>
      </w:pPr>
      <w:r>
        <w:rPr>
          <w:rFonts w:ascii="Arial" w:hAnsi="Arial" w:cs="Arial"/>
          <w:sz w:val="20"/>
          <w:szCs w:val="20"/>
          <w:lang w:val="en-AU"/>
        </w:rPr>
        <w:t>Northern Territory electricity markets; and</w:t>
      </w:r>
    </w:p>
    <w:p w:rsidR="00703AD0" w:rsidRPr="00703AD0" w:rsidRDefault="00703AD0" w:rsidP="008C077C">
      <w:pPr>
        <w:pStyle w:val="AECletterbody"/>
        <w:numPr>
          <w:ilvl w:val="0"/>
          <w:numId w:val="21"/>
        </w:numPr>
        <w:spacing w:after="120"/>
        <w:jc w:val="both"/>
        <w:rPr>
          <w:rFonts w:ascii="Arial" w:hAnsi="Arial" w:cs="Arial"/>
          <w:sz w:val="20"/>
          <w:szCs w:val="20"/>
          <w:lang w:val="en-AU"/>
        </w:rPr>
      </w:pPr>
      <w:r w:rsidRPr="00703AD0">
        <w:rPr>
          <w:rFonts w:ascii="Arial" w:hAnsi="Arial" w:cs="Arial"/>
          <w:sz w:val="20"/>
          <w:szCs w:val="20"/>
          <w:lang w:val="en-AU"/>
        </w:rPr>
        <w:t xml:space="preserve">other large grids and </w:t>
      </w:r>
      <w:proofErr w:type="spellStart"/>
      <w:r w:rsidRPr="00703AD0">
        <w:rPr>
          <w:rFonts w:ascii="Arial" w:hAnsi="Arial" w:cs="Arial"/>
          <w:sz w:val="20"/>
          <w:szCs w:val="20"/>
          <w:lang w:val="en-AU"/>
        </w:rPr>
        <w:t>microgrids</w:t>
      </w:r>
      <w:proofErr w:type="spellEnd"/>
      <w:r w:rsidRPr="00703AD0">
        <w:rPr>
          <w:rFonts w:ascii="Arial" w:hAnsi="Arial" w:cs="Arial"/>
          <w:sz w:val="20"/>
          <w:szCs w:val="20"/>
          <w:lang w:val="en-AU"/>
        </w:rPr>
        <w:t xml:space="preserve"> which are not connected to the national electricity market.</w:t>
      </w:r>
    </w:p>
    <w:p w:rsidR="00703AD0" w:rsidRDefault="00703AD0" w:rsidP="008C077C">
      <w:pPr>
        <w:pStyle w:val="AECletterbody"/>
        <w:spacing w:after="120"/>
        <w:jc w:val="both"/>
        <w:rPr>
          <w:rFonts w:ascii="Arial" w:hAnsi="Arial" w:cs="Arial"/>
          <w:sz w:val="20"/>
          <w:szCs w:val="20"/>
          <w:lang w:val="en-AU"/>
        </w:rPr>
      </w:pPr>
      <w:r>
        <w:rPr>
          <w:rFonts w:ascii="Arial" w:hAnsi="Arial" w:cs="Arial"/>
          <w:sz w:val="20"/>
          <w:szCs w:val="20"/>
          <w:lang w:val="en-AU"/>
        </w:rPr>
        <w:t>Particular issues in these contexts would also need to be considered during the application of the Consumer Data Right to the energy sector.</w:t>
      </w:r>
    </w:p>
    <w:p w:rsidR="001410D0" w:rsidRPr="0072480E" w:rsidRDefault="00025F9F" w:rsidP="001410D0">
      <w:pPr>
        <w:pStyle w:val="AECletterbody"/>
        <w:jc w:val="both"/>
        <w:rPr>
          <w:rFonts w:ascii="Arial" w:hAnsi="Arial" w:cs="Arial"/>
          <w:sz w:val="20"/>
          <w:szCs w:val="20"/>
          <w:lang w:val="en-AU"/>
        </w:rPr>
      </w:pPr>
      <w:r>
        <w:rPr>
          <w:rFonts w:ascii="Arial" w:hAnsi="Arial" w:cs="Arial"/>
          <w:sz w:val="20"/>
          <w:szCs w:val="20"/>
          <w:lang w:val="en-AU"/>
        </w:rPr>
        <w:t>We would welcome further engagement with Treasury as the Open Banking framework is further refined</w:t>
      </w:r>
      <w:r w:rsidRPr="00025F9F">
        <w:rPr>
          <w:rFonts w:ascii="Arial" w:hAnsi="Arial" w:cs="Arial"/>
          <w:sz w:val="20"/>
          <w:szCs w:val="20"/>
          <w:lang w:val="en-AU"/>
        </w:rPr>
        <w:t xml:space="preserve">. </w:t>
      </w:r>
      <w:r w:rsidR="001410D0" w:rsidRPr="0072480E">
        <w:rPr>
          <w:rFonts w:ascii="Arial" w:hAnsi="Arial" w:cs="Arial"/>
          <w:sz w:val="20"/>
          <w:szCs w:val="20"/>
          <w:lang w:val="en-AU"/>
        </w:rPr>
        <w:t xml:space="preserve">Any questions about our submission should be addressed to </w:t>
      </w:r>
      <w:r w:rsidR="006D784E">
        <w:rPr>
          <w:rFonts w:ascii="Arial" w:hAnsi="Arial" w:cs="Arial"/>
          <w:sz w:val="20"/>
          <w:szCs w:val="20"/>
          <w:lang w:val="en-AU"/>
        </w:rPr>
        <w:t xml:space="preserve">Tess Fitzgerald at </w:t>
      </w:r>
      <w:hyperlink r:id="rId8" w:history="1">
        <w:r w:rsidR="006D784E" w:rsidRPr="00A52922">
          <w:rPr>
            <w:rStyle w:val="Hyperlink"/>
            <w:rFonts w:ascii="Arial" w:hAnsi="Arial" w:cs="Arial"/>
            <w:sz w:val="20"/>
            <w:szCs w:val="20"/>
            <w:lang w:val="en-AU"/>
          </w:rPr>
          <w:t>Tess.Fitzgerald@energycouncil.com.au</w:t>
        </w:r>
      </w:hyperlink>
      <w:r w:rsidR="006D784E">
        <w:rPr>
          <w:rFonts w:ascii="Arial" w:hAnsi="Arial" w:cs="Arial"/>
          <w:sz w:val="20"/>
          <w:szCs w:val="20"/>
          <w:lang w:val="en-AU"/>
        </w:rPr>
        <w:t xml:space="preserve"> </w:t>
      </w:r>
      <w:r w:rsidR="00CE578E">
        <w:rPr>
          <w:rFonts w:ascii="Arial" w:hAnsi="Arial" w:cs="Arial"/>
          <w:sz w:val="20"/>
          <w:szCs w:val="20"/>
          <w:lang w:val="en-AU"/>
        </w:rPr>
        <w:t xml:space="preserve">or </w:t>
      </w:r>
      <w:r w:rsidR="007D1F3F" w:rsidRPr="0072480E">
        <w:rPr>
          <w:rFonts w:ascii="Arial" w:hAnsi="Arial" w:cs="Arial"/>
          <w:sz w:val="20"/>
          <w:szCs w:val="20"/>
          <w:lang w:val="en-AU"/>
        </w:rPr>
        <w:t xml:space="preserve">by telephone on (03) 9205 </w:t>
      </w:r>
      <w:r w:rsidR="005F75A2">
        <w:rPr>
          <w:rFonts w:ascii="Arial" w:hAnsi="Arial" w:cs="Arial"/>
          <w:sz w:val="20"/>
          <w:szCs w:val="20"/>
          <w:lang w:val="en-AU"/>
        </w:rPr>
        <w:t>31</w:t>
      </w:r>
      <w:r w:rsidR="006D784E">
        <w:rPr>
          <w:rFonts w:ascii="Arial" w:hAnsi="Arial" w:cs="Arial"/>
          <w:sz w:val="20"/>
          <w:szCs w:val="20"/>
          <w:lang w:val="en-AU"/>
        </w:rPr>
        <w:t>15</w:t>
      </w:r>
      <w:r w:rsidR="001410D0" w:rsidRPr="0072480E">
        <w:rPr>
          <w:rFonts w:ascii="Arial" w:hAnsi="Arial" w:cs="Arial"/>
          <w:sz w:val="20"/>
          <w:szCs w:val="20"/>
          <w:lang w:val="en-AU"/>
        </w:rPr>
        <w:t xml:space="preserve">. </w:t>
      </w:r>
    </w:p>
    <w:p w:rsidR="001410D0" w:rsidRPr="0072480E" w:rsidRDefault="001410D0" w:rsidP="001410D0">
      <w:pPr>
        <w:pStyle w:val="AECletterbody"/>
        <w:spacing w:after="0"/>
        <w:jc w:val="both"/>
        <w:rPr>
          <w:rFonts w:ascii="Arial" w:hAnsi="Arial" w:cs="Arial"/>
          <w:sz w:val="20"/>
          <w:szCs w:val="20"/>
          <w:lang w:val="en-AU"/>
        </w:rPr>
      </w:pPr>
      <w:r w:rsidRPr="0072480E">
        <w:rPr>
          <w:rFonts w:ascii="Arial" w:hAnsi="Arial" w:cs="Arial"/>
          <w:sz w:val="20"/>
          <w:szCs w:val="20"/>
          <w:lang w:val="en-AU"/>
        </w:rPr>
        <w:t>Yours sincerely,</w:t>
      </w:r>
    </w:p>
    <w:p w:rsidR="001410D0" w:rsidRDefault="001410D0" w:rsidP="001410D0">
      <w:pPr>
        <w:pStyle w:val="AECletterbody"/>
        <w:spacing w:after="0"/>
        <w:jc w:val="both"/>
        <w:rPr>
          <w:rFonts w:ascii="Arial" w:hAnsi="Arial" w:cs="Arial"/>
          <w:sz w:val="20"/>
          <w:szCs w:val="20"/>
          <w:lang w:val="en-AU"/>
        </w:rPr>
      </w:pPr>
    </w:p>
    <w:p w:rsidR="00AE609F" w:rsidRDefault="00134842" w:rsidP="001410D0">
      <w:pPr>
        <w:pStyle w:val="AECletterbody"/>
        <w:spacing w:after="0"/>
        <w:jc w:val="both"/>
        <w:rPr>
          <w:rFonts w:ascii="Arial" w:hAnsi="Arial" w:cs="Arial"/>
          <w:sz w:val="20"/>
          <w:szCs w:val="20"/>
          <w:lang w:val="en-AU"/>
        </w:rPr>
      </w:pPr>
      <w:r>
        <w:rPr>
          <w:rFonts w:ascii="Arial" w:hAnsi="Arial" w:cs="Arial"/>
          <w:sz w:val="20"/>
          <w:szCs w:val="20"/>
          <w:lang w:val="en-AU"/>
        </w:rPr>
        <w:t>Tess Fitzgerald</w:t>
      </w:r>
    </w:p>
    <w:p w:rsidR="000664D7" w:rsidRDefault="000664D7" w:rsidP="005149B7">
      <w:pPr>
        <w:pStyle w:val="AECletterbody"/>
        <w:spacing w:after="0"/>
        <w:rPr>
          <w:rFonts w:ascii="Arial" w:hAnsi="Arial" w:cs="Arial"/>
          <w:sz w:val="20"/>
          <w:szCs w:val="20"/>
          <w:lang w:val="en-AU"/>
        </w:rPr>
      </w:pPr>
      <w:r>
        <w:rPr>
          <w:rFonts w:ascii="Arial" w:hAnsi="Arial" w:cs="Arial"/>
          <w:sz w:val="20"/>
          <w:szCs w:val="20"/>
          <w:lang w:val="en-AU"/>
        </w:rPr>
        <w:t>Retail Policy Manager</w:t>
      </w:r>
    </w:p>
    <w:p w:rsidR="001410D0" w:rsidRPr="0072480E" w:rsidRDefault="001410D0" w:rsidP="005149B7">
      <w:pPr>
        <w:pStyle w:val="AECletterbody"/>
        <w:spacing w:after="0"/>
        <w:rPr>
          <w:rFonts w:ascii="Arial" w:hAnsi="Arial" w:cs="Arial"/>
          <w:b/>
          <w:sz w:val="20"/>
          <w:szCs w:val="20"/>
          <w:lang w:val="en-AU"/>
        </w:rPr>
      </w:pPr>
      <w:r w:rsidRPr="0072480E">
        <w:rPr>
          <w:rFonts w:ascii="Arial" w:hAnsi="Arial" w:cs="Arial"/>
          <w:sz w:val="20"/>
          <w:szCs w:val="20"/>
          <w:lang w:val="en-AU"/>
        </w:rPr>
        <w:t>Australian Energy Council</w:t>
      </w:r>
    </w:p>
    <w:p w:rsidR="00814FEC" w:rsidRPr="0072480E" w:rsidRDefault="00814FEC" w:rsidP="00A3749E">
      <w:pPr>
        <w:pStyle w:val="AECletterbody"/>
        <w:rPr>
          <w:rFonts w:ascii="Arial" w:hAnsi="Arial" w:cs="Arial"/>
          <w:bCs/>
          <w:sz w:val="20"/>
          <w:szCs w:val="20"/>
          <w:lang w:val="en-AU"/>
        </w:rPr>
      </w:pPr>
    </w:p>
    <w:sectPr w:rsidR="00814FEC" w:rsidRPr="0072480E" w:rsidSect="00C72CEA">
      <w:footerReference w:type="default" r:id="rId9"/>
      <w:headerReference w:type="first" r:id="rId10"/>
      <w:footerReference w:type="first" r:id="rId11"/>
      <w:pgSz w:w="11906" w:h="16838"/>
      <w:pgMar w:top="1418" w:right="1134" w:bottom="1440" w:left="1134" w:header="278" w:footer="62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5523" w:rsidRDefault="00A25523" w:rsidP="00FE756B">
      <w:r>
        <w:separator/>
      </w:r>
    </w:p>
  </w:endnote>
  <w:endnote w:type="continuationSeparator" w:id="0">
    <w:p w:rsidR="00A25523" w:rsidRDefault="00A25523" w:rsidP="00FE7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DINOT-Light">
    <w:altName w:val="Calibri"/>
    <w:panose1 w:val="00000000000000000000"/>
    <w:charset w:val="00"/>
    <w:family w:val="modern"/>
    <w:notTrueType/>
    <w:pitch w:val="variable"/>
    <w:sig w:usb0="800000AF" w:usb1="4000206A" w:usb2="00000000" w:usb3="00000000" w:csb0="00000001" w:csb1="00000000"/>
  </w:font>
  <w:font w:name="Open Sans">
    <w:altName w:val="Verdana"/>
    <w:charset w:val="00"/>
    <w:family w:val="swiss"/>
    <w:pitch w:val="variable"/>
    <w:sig w:usb0="00000001" w:usb1="4000205B" w:usb2="00000028" w:usb3="00000000" w:csb0="0000019F" w:csb1="00000000"/>
  </w:font>
  <w:font w:name="Verdana">
    <w:panose1 w:val="020B0604030504040204"/>
    <w:charset w:val="00"/>
    <w:family w:val="swiss"/>
    <w:pitch w:val="variable"/>
    <w:sig w:usb0="A10006FF" w:usb1="4000205B" w:usb2="00000010" w:usb3="00000000" w:csb0="0000019F" w:csb1="00000000"/>
  </w:font>
  <w:font w:name="DINOT-Medium">
    <w:panose1 w:val="00000000000000000000"/>
    <w:charset w:val="00"/>
    <w:family w:val="modern"/>
    <w:notTrueType/>
    <w:pitch w:val="variable"/>
    <w:sig w:usb0="800000AF" w:usb1="4000206A" w:usb2="00000000" w:usb3="00000000" w:csb0="00000001" w:csb1="00000000"/>
  </w:font>
  <w:font w:name="DINPro-Light">
    <w:altName w:val="Arial"/>
    <w:panose1 w:val="00000000000000000000"/>
    <w:charset w:val="00"/>
    <w:family w:val="swiss"/>
    <w:notTrueType/>
    <w:pitch w:val="variable"/>
    <w:sig w:usb0="A00002BF" w:usb1="4000207B" w:usb2="00000008" w:usb3="00000000" w:csb0="0000009F" w:csb1="00000000"/>
  </w:font>
  <w:font w:name="MinionPro-Regular">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noProof w:val="0"/>
        <w:color w:val="auto"/>
      </w:rPr>
      <w:id w:val="1367881358"/>
      <w:docPartObj>
        <w:docPartGallery w:val="Page Numbers (Bottom of Page)"/>
        <w:docPartUnique/>
      </w:docPartObj>
    </w:sdtPr>
    <w:sdtEndPr>
      <w:rPr>
        <w:noProof/>
      </w:rPr>
    </w:sdtEndPr>
    <w:sdtContent>
      <w:p w:rsidR="00134842" w:rsidRPr="00134842" w:rsidRDefault="00134842">
        <w:pPr>
          <w:pStyle w:val="Footer"/>
          <w:rPr>
            <w:color w:val="auto"/>
          </w:rPr>
        </w:pPr>
        <w:r w:rsidRPr="00134842">
          <w:rPr>
            <w:noProof w:val="0"/>
            <w:color w:val="auto"/>
          </w:rPr>
          <w:fldChar w:fldCharType="begin"/>
        </w:r>
        <w:r w:rsidRPr="00134842">
          <w:rPr>
            <w:color w:val="auto"/>
          </w:rPr>
          <w:instrText xml:space="preserve"> PAGE   \* MERGEFORMAT </w:instrText>
        </w:r>
        <w:r w:rsidRPr="00134842">
          <w:rPr>
            <w:noProof w:val="0"/>
            <w:color w:val="auto"/>
          </w:rPr>
          <w:fldChar w:fldCharType="separate"/>
        </w:r>
        <w:r w:rsidR="00B55D89">
          <w:rPr>
            <w:color w:val="auto"/>
          </w:rPr>
          <w:t>6</w:t>
        </w:r>
        <w:r w:rsidRPr="00134842">
          <w:rPr>
            <w:color w:val="auto"/>
          </w:rPr>
          <w:fldChar w:fldCharType="end"/>
        </w:r>
      </w:p>
    </w:sdtContent>
  </w:sdt>
  <w:p w:rsidR="00703AD0" w:rsidRDefault="00703AD0" w:rsidP="002B321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3AD0" w:rsidRDefault="00703AD0" w:rsidP="002B321B">
    <w:pPr>
      <w:pStyle w:val="Footer"/>
    </w:pPr>
    <w:r>
      <mc:AlternateContent>
        <mc:Choice Requires="wps">
          <w:drawing>
            <wp:anchor distT="0" distB="0" distL="114300" distR="114300" simplePos="0" relativeHeight="251656704" behindDoc="0" locked="0" layoutInCell="1" allowOverlap="1" wp14:anchorId="45CE257C" wp14:editId="1080E762">
              <wp:simplePos x="0" y="0"/>
              <wp:positionH relativeFrom="column">
                <wp:posOffset>2392680</wp:posOffset>
              </wp:positionH>
              <wp:positionV relativeFrom="paragraph">
                <wp:posOffset>-189865</wp:posOffset>
              </wp:positionV>
              <wp:extent cx="1623060" cy="4953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3060" cy="495300"/>
                      </a:xfrm>
                      <a:prstGeom prst="rect">
                        <a:avLst/>
                      </a:prstGeom>
                      <a:noFill/>
                      <a:ln w="9525">
                        <a:noFill/>
                        <a:miter lim="800000"/>
                        <a:headEnd/>
                        <a:tailEnd/>
                      </a:ln>
                    </wps:spPr>
                    <wps:txbx>
                      <w:txbxContent>
                        <w:p w:rsidR="00703AD0" w:rsidRPr="005A27D1" w:rsidRDefault="00703AD0" w:rsidP="00DC789B">
                          <w:pPr>
                            <w:pStyle w:val="AECFooter"/>
                            <w:ind w:left="720" w:hanging="720"/>
                            <w:rPr>
                              <w:rFonts w:cs="Arial"/>
                            </w:rPr>
                          </w:pPr>
                          <w:r w:rsidRPr="005A27D1">
                            <w:rPr>
                              <w:rFonts w:cs="Arial"/>
                            </w:rPr>
                            <w:t>P +61 3 9205 3100</w:t>
                          </w:r>
                        </w:p>
                        <w:p w:rsidR="00703AD0" w:rsidRPr="005A27D1" w:rsidRDefault="00703AD0" w:rsidP="00DC789B">
                          <w:pPr>
                            <w:pStyle w:val="AECFooter"/>
                            <w:ind w:left="720" w:hanging="720"/>
                            <w:rPr>
                              <w:rFonts w:cs="Arial"/>
                            </w:rPr>
                          </w:pPr>
                          <w:r w:rsidRPr="005A27D1">
                            <w:rPr>
                              <w:rFonts w:cs="Arial"/>
                            </w:rPr>
                            <w:t>E info@energycouncil.com.au</w:t>
                          </w:r>
                        </w:p>
                        <w:p w:rsidR="00703AD0" w:rsidRPr="005A27D1" w:rsidRDefault="00703AD0" w:rsidP="00DC789B">
                          <w:pPr>
                            <w:pStyle w:val="AECFooter"/>
                            <w:ind w:left="720" w:hanging="720"/>
                            <w:rPr>
                              <w:rFonts w:cs="Arial"/>
                            </w:rPr>
                          </w:pPr>
                          <w:r w:rsidRPr="005A27D1">
                            <w:rPr>
                              <w:rFonts w:cs="Arial"/>
                            </w:rPr>
                            <w:t>W energycouncil.com.au</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CE257C" id="_x0000_t202" coordsize="21600,21600" o:spt="202" path="m,l,21600r21600,l21600,xe">
              <v:stroke joinstyle="miter"/>
              <v:path gradientshapeok="t" o:connecttype="rect"/>
            </v:shapetype>
            <v:shape id="Text Box 2" o:spid="_x0000_s1026" type="#_x0000_t202" style="position:absolute;left:0;text-align:left;margin-left:188.4pt;margin-top:-14.95pt;width:127.8pt;height:3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" filled="f" stroked="f">
              <v:textbox inset="0,0,0,0">
                <w:txbxContent>
                  <w:p w:rsidR="00703AD0" w:rsidRPr="005A27D1" w:rsidRDefault="00703AD0" w:rsidP="00DC789B">
                    <w:pPr>
                      <w:pStyle w:val="AECFooter"/>
                      <w:ind w:left="720" w:hanging="720"/>
                      <w:rPr>
                        <w:rFonts w:cs="Arial"/>
                      </w:rPr>
                    </w:pPr>
                    <w:r w:rsidRPr="005A27D1">
                      <w:rPr>
                        <w:rFonts w:cs="Arial"/>
                      </w:rPr>
                      <w:t>P +61 3 9205 3100</w:t>
                    </w:r>
                  </w:p>
                  <w:p w:rsidR="00703AD0" w:rsidRPr="005A27D1" w:rsidRDefault="00703AD0" w:rsidP="00DC789B">
                    <w:pPr>
                      <w:pStyle w:val="AECFooter"/>
                      <w:ind w:left="720" w:hanging="720"/>
                      <w:rPr>
                        <w:rFonts w:cs="Arial"/>
                      </w:rPr>
                    </w:pPr>
                    <w:r w:rsidRPr="005A27D1">
                      <w:rPr>
                        <w:rFonts w:cs="Arial"/>
                      </w:rPr>
                      <w:t>E info@energycouncil.com.au</w:t>
                    </w:r>
                  </w:p>
                  <w:p w:rsidR="00703AD0" w:rsidRPr="005A27D1" w:rsidRDefault="00703AD0" w:rsidP="00DC789B">
                    <w:pPr>
                      <w:pStyle w:val="AECFooter"/>
                      <w:ind w:left="720" w:hanging="720"/>
                      <w:rPr>
                        <w:rFonts w:cs="Arial"/>
                      </w:rPr>
                    </w:pPr>
                    <w:r w:rsidRPr="005A27D1">
                      <w:rPr>
                        <w:rFonts w:cs="Arial"/>
                      </w:rPr>
                      <w:t>W energycouncil.com.au</w:t>
                    </w:r>
                  </w:p>
                </w:txbxContent>
              </v:textbox>
            </v:shape>
          </w:pict>
        </mc:Fallback>
      </mc:AlternateContent>
    </w:r>
    <w:r>
      <mc:AlternateContent>
        <mc:Choice Requires="wps">
          <w:drawing>
            <wp:anchor distT="0" distB="0" distL="114300" distR="114300" simplePos="0" relativeHeight="251655680" behindDoc="0" locked="0" layoutInCell="1" allowOverlap="1" wp14:anchorId="3C394C34" wp14:editId="7D2D4A2B">
              <wp:simplePos x="0" y="0"/>
              <wp:positionH relativeFrom="column">
                <wp:posOffset>-34290</wp:posOffset>
              </wp:positionH>
              <wp:positionV relativeFrom="paragraph">
                <wp:posOffset>-193675</wp:posOffset>
              </wp:positionV>
              <wp:extent cx="2162175" cy="495300"/>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495300"/>
                      </a:xfrm>
                      <a:prstGeom prst="rect">
                        <a:avLst/>
                      </a:prstGeom>
                      <a:noFill/>
                      <a:ln w="9525">
                        <a:noFill/>
                        <a:miter lim="800000"/>
                        <a:headEnd/>
                        <a:tailEnd/>
                      </a:ln>
                    </wps:spPr>
                    <wps:txbx>
                      <w:txbxContent>
                        <w:p w:rsidR="00703AD0" w:rsidRPr="005A27D1" w:rsidRDefault="00703AD0" w:rsidP="00426F04">
                          <w:pPr>
                            <w:pStyle w:val="AECFooter"/>
                            <w:rPr>
                              <w:rFonts w:cs="Arial"/>
                            </w:rPr>
                          </w:pPr>
                          <w:r w:rsidRPr="005A27D1">
                            <w:rPr>
                              <w:rFonts w:cs="Arial"/>
                            </w:rPr>
                            <w:t>Level 14, 50 Market Street</w:t>
                          </w:r>
                        </w:p>
                        <w:p w:rsidR="00703AD0" w:rsidRPr="005A27D1" w:rsidRDefault="00703AD0" w:rsidP="00426F04">
                          <w:pPr>
                            <w:pStyle w:val="AECFooter"/>
                            <w:rPr>
                              <w:rFonts w:cs="Arial"/>
                            </w:rPr>
                          </w:pPr>
                          <w:r w:rsidRPr="005A27D1">
                            <w:rPr>
                              <w:rFonts w:cs="Arial"/>
                            </w:rPr>
                            <w:t>Melbourne 3000</w:t>
                          </w:r>
                        </w:p>
                        <w:p w:rsidR="00703AD0" w:rsidRPr="005A27D1" w:rsidRDefault="00703AD0" w:rsidP="00426F04">
                          <w:pPr>
                            <w:pStyle w:val="AECFooter"/>
                            <w:rPr>
                              <w:rFonts w:cs="Arial"/>
                            </w:rPr>
                          </w:pPr>
                          <w:r w:rsidRPr="005A27D1">
                            <w:rPr>
                              <w:rFonts w:cs="Arial"/>
                            </w:rPr>
                            <w:t>GPO Box 1823 Melbourne Victoria 3001</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C394C34" id="_x0000_s1027" type="#_x0000_t202" style="position:absolute;left:0;text-align:left;margin-left:-2.7pt;margin-top:-15.25pt;width:170.25pt;height:3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" filled="f" stroked="f">
              <v:textbox inset="0,0,0,0">
                <w:txbxContent>
                  <w:p w:rsidR="00703AD0" w:rsidRPr="005A27D1" w:rsidRDefault="00703AD0" w:rsidP="00426F04">
                    <w:pPr>
                      <w:pStyle w:val="AECFooter"/>
                      <w:rPr>
                        <w:rFonts w:cs="Arial"/>
                      </w:rPr>
                    </w:pPr>
                    <w:r w:rsidRPr="005A27D1">
                      <w:rPr>
                        <w:rFonts w:cs="Arial"/>
                      </w:rPr>
                      <w:t>Level 14, 50 Market Street</w:t>
                    </w:r>
                  </w:p>
                  <w:p w:rsidR="00703AD0" w:rsidRPr="005A27D1" w:rsidRDefault="00703AD0" w:rsidP="00426F04">
                    <w:pPr>
                      <w:pStyle w:val="AECFooter"/>
                      <w:rPr>
                        <w:rFonts w:cs="Arial"/>
                      </w:rPr>
                    </w:pPr>
                    <w:r w:rsidRPr="005A27D1">
                      <w:rPr>
                        <w:rFonts w:cs="Arial"/>
                      </w:rPr>
                      <w:t>Melbourne 3000</w:t>
                    </w:r>
                  </w:p>
                  <w:p w:rsidR="00703AD0" w:rsidRPr="005A27D1" w:rsidRDefault="00703AD0" w:rsidP="00426F04">
                    <w:pPr>
                      <w:pStyle w:val="AECFooter"/>
                      <w:rPr>
                        <w:rFonts w:cs="Arial"/>
                      </w:rPr>
                    </w:pPr>
                    <w:r w:rsidRPr="005A27D1">
                      <w:rPr>
                        <w:rFonts w:cs="Arial"/>
                      </w:rPr>
                      <w:t>GPO Box 1823 Melbourne Victoria 3001</w:t>
                    </w:r>
                  </w:p>
                </w:txbxContent>
              </v:textbox>
            </v:shape>
          </w:pict>
        </mc:Fallback>
      </mc:AlternateContent>
    </w:r>
    <w:r>
      <mc:AlternateContent>
        <mc:Choice Requires="wps">
          <w:drawing>
            <wp:anchor distT="0" distB="0" distL="114300" distR="114300" simplePos="0" relativeHeight="251657728" behindDoc="0" locked="0" layoutInCell="1" allowOverlap="1" wp14:anchorId="4D83474F" wp14:editId="40538CEC">
              <wp:simplePos x="0" y="0"/>
              <wp:positionH relativeFrom="column">
                <wp:posOffset>4339590</wp:posOffset>
              </wp:positionH>
              <wp:positionV relativeFrom="paragraph">
                <wp:posOffset>-196215</wp:posOffset>
              </wp:positionV>
              <wp:extent cx="2038350" cy="4953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495300"/>
                      </a:xfrm>
                      <a:prstGeom prst="rect">
                        <a:avLst/>
                      </a:prstGeom>
                      <a:noFill/>
                      <a:ln w="9525">
                        <a:noFill/>
                        <a:miter lim="800000"/>
                        <a:headEnd/>
                        <a:tailEnd/>
                      </a:ln>
                    </wps:spPr>
                    <wps:txbx>
                      <w:txbxContent>
                        <w:p w:rsidR="00703AD0" w:rsidRPr="005A27D1" w:rsidRDefault="00703AD0" w:rsidP="00426F04">
                          <w:pPr>
                            <w:pStyle w:val="AECFooter"/>
                            <w:rPr>
                              <w:rFonts w:cs="Arial"/>
                            </w:rPr>
                          </w:pPr>
                          <w:r w:rsidRPr="005A27D1">
                            <w:rPr>
                              <w:rFonts w:cs="Arial"/>
                            </w:rPr>
                            <w:t>ABN 98 052 416 083</w:t>
                          </w:r>
                        </w:p>
                        <w:p w:rsidR="00703AD0" w:rsidRPr="005A27D1" w:rsidRDefault="00703AD0" w:rsidP="00426F04">
                          <w:pPr>
                            <w:pStyle w:val="AECFooter"/>
                            <w:rPr>
                              <w:rFonts w:cs="Arial"/>
                            </w:rPr>
                          </w:pPr>
                          <w:r w:rsidRPr="005A27D1">
                            <w:rPr>
                              <w:rFonts w:cs="Arial"/>
                            </w:rPr>
                            <w:t>©Australian Energy Council 201</w:t>
                          </w:r>
                          <w:r>
                            <w:rPr>
                              <w:rFonts w:cs="Arial"/>
                            </w:rPr>
                            <w:t>8</w:t>
                          </w:r>
                        </w:p>
                        <w:p w:rsidR="00703AD0" w:rsidRPr="005A27D1" w:rsidRDefault="00703AD0" w:rsidP="00426F04">
                          <w:pPr>
                            <w:pStyle w:val="AECFooter"/>
                            <w:rPr>
                              <w:rFonts w:cs="Arial"/>
                            </w:rPr>
                          </w:pPr>
                          <w:r w:rsidRPr="005A27D1">
                            <w:rPr>
                              <w:rFonts w:cs="Arial"/>
                            </w:rPr>
                            <w:t>All rights reserved.</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D83474F" id="Text Box 5" o:spid="_x0000_s1028" type="#_x0000_t202" style="position:absolute;left:0;text-align:left;margin-left:341.7pt;margin-top:-15.45pt;width:160.5pt;height:3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" filled="f" stroked="f">
              <v:textbox inset="0,0,0,0">
                <w:txbxContent>
                  <w:p w:rsidR="00703AD0" w:rsidRPr="005A27D1" w:rsidRDefault="00703AD0" w:rsidP="00426F04">
                    <w:pPr>
                      <w:pStyle w:val="AECFooter"/>
                      <w:rPr>
                        <w:rFonts w:cs="Arial"/>
                      </w:rPr>
                    </w:pPr>
                    <w:r w:rsidRPr="005A27D1">
                      <w:rPr>
                        <w:rFonts w:cs="Arial"/>
                      </w:rPr>
                      <w:t>ABN 98 052 416 083</w:t>
                    </w:r>
                  </w:p>
                  <w:p w:rsidR="00703AD0" w:rsidRPr="005A27D1" w:rsidRDefault="00703AD0" w:rsidP="00426F04">
                    <w:pPr>
                      <w:pStyle w:val="AECFooter"/>
                      <w:rPr>
                        <w:rFonts w:cs="Arial"/>
                      </w:rPr>
                    </w:pPr>
                    <w:r w:rsidRPr="005A27D1">
                      <w:rPr>
                        <w:rFonts w:cs="Arial"/>
                      </w:rPr>
                      <w:t>©Australian Energy Council 201</w:t>
                    </w:r>
                    <w:r>
                      <w:rPr>
                        <w:rFonts w:cs="Arial"/>
                      </w:rPr>
                      <w:t>8</w:t>
                    </w:r>
                  </w:p>
                  <w:p w:rsidR="00703AD0" w:rsidRPr="005A27D1" w:rsidRDefault="00703AD0" w:rsidP="00426F04">
                    <w:pPr>
                      <w:pStyle w:val="AECFooter"/>
                      <w:rPr>
                        <w:rFonts w:cs="Arial"/>
                      </w:rPr>
                    </w:pPr>
                    <w:r w:rsidRPr="005A27D1">
                      <w:rPr>
                        <w:rFonts w:cs="Arial"/>
                      </w:rPr>
                      <w:t>All rights reserved.</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5523" w:rsidRDefault="00A25523" w:rsidP="00FE756B">
      <w:r>
        <w:separator/>
      </w:r>
    </w:p>
  </w:footnote>
  <w:footnote w:type="continuationSeparator" w:id="0">
    <w:p w:rsidR="00A25523" w:rsidRDefault="00A25523" w:rsidP="00FE75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3AD0" w:rsidRPr="00381A73" w:rsidRDefault="00703AD0" w:rsidP="00FE756B">
    <w:pPr>
      <w:pStyle w:val="Header"/>
      <w:rPr>
        <w:rFonts w:ascii="Arial" w:hAnsi="Arial" w:cs="Arial"/>
      </w:rPr>
    </w:pPr>
  </w:p>
  <w:p w:rsidR="00703AD0" w:rsidRPr="00381A73" w:rsidRDefault="00703AD0" w:rsidP="00FE756B">
    <w:pPr>
      <w:pStyle w:val="Header"/>
      <w:rPr>
        <w:rFonts w:ascii="Arial" w:hAnsi="Arial" w:cs="Arial"/>
      </w:rPr>
    </w:pPr>
  </w:p>
  <w:p w:rsidR="00703AD0" w:rsidRPr="00381A73" w:rsidRDefault="00703AD0" w:rsidP="00FE756B">
    <w:pPr>
      <w:pStyle w:val="Header"/>
      <w:rPr>
        <w:rFonts w:ascii="Arial" w:hAnsi="Arial" w:cs="Arial"/>
      </w:rPr>
    </w:pPr>
    <w:r w:rsidRPr="00381A73">
      <w:rPr>
        <w:rFonts w:ascii="Arial" w:hAnsi="Arial" w:cs="Arial"/>
        <w:noProof/>
        <w:lang w:eastAsia="en-AU"/>
      </w:rPr>
      <w:drawing>
        <wp:anchor distT="0" distB="0" distL="114300" distR="114300" simplePos="0" relativeHeight="251658752" behindDoc="1" locked="0" layoutInCell="1" allowOverlap="1" wp14:anchorId="14AADA83" wp14:editId="798D8903">
          <wp:simplePos x="0" y="0"/>
          <wp:positionH relativeFrom="margin">
            <wp:posOffset>3827145</wp:posOffset>
          </wp:positionH>
          <wp:positionV relativeFrom="paragraph">
            <wp:posOffset>80010</wp:posOffset>
          </wp:positionV>
          <wp:extent cx="2292985" cy="842010"/>
          <wp:effectExtent l="0" t="0" r="0" b="0"/>
          <wp:wrapNone/>
          <wp:docPr id="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2985" cy="84201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03AD0" w:rsidRPr="00381A73" w:rsidRDefault="00703AD0" w:rsidP="00FE756B">
    <w:pPr>
      <w:pStyle w:val="Header"/>
      <w:rPr>
        <w:rFonts w:ascii="Arial" w:hAnsi="Arial" w:cs="Arial"/>
      </w:rPr>
    </w:pPr>
  </w:p>
  <w:p w:rsidR="00703AD0" w:rsidRPr="00381A73" w:rsidRDefault="00703AD0" w:rsidP="00FE756B">
    <w:pPr>
      <w:pStyle w:val="Header"/>
      <w:rPr>
        <w:rFonts w:ascii="Arial" w:hAnsi="Arial" w:cs="Arial"/>
      </w:rPr>
    </w:pPr>
  </w:p>
  <w:p w:rsidR="00703AD0" w:rsidRPr="00381A73" w:rsidRDefault="00703AD0" w:rsidP="00FE756B">
    <w:pPr>
      <w:pStyle w:val="Header"/>
      <w:rPr>
        <w:rFonts w:ascii="Arial" w:hAnsi="Arial" w:cs="Arial"/>
      </w:rPr>
    </w:pPr>
  </w:p>
  <w:p w:rsidR="00703AD0" w:rsidRPr="00381A73" w:rsidRDefault="00703AD0" w:rsidP="00FE756B">
    <w:pPr>
      <w:pStyle w:val="Header"/>
      <w:rPr>
        <w:rFonts w:ascii="Arial" w:hAnsi="Arial" w:cs="Arial"/>
      </w:rPr>
    </w:pPr>
  </w:p>
  <w:p w:rsidR="00703AD0" w:rsidRDefault="00703AD0" w:rsidP="00FE756B">
    <w:pPr>
      <w:pStyle w:val="Header"/>
    </w:pPr>
  </w:p>
  <w:p w:rsidR="00703AD0" w:rsidRDefault="00703AD0" w:rsidP="00FE756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40612"/>
    <w:multiLevelType w:val="hybridMultilevel"/>
    <w:tmpl w:val="942CD4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B77E1E"/>
    <w:multiLevelType w:val="hybridMultilevel"/>
    <w:tmpl w:val="1B80524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 w15:restartNumberingAfterBreak="0">
    <w:nsid w:val="0A89602B"/>
    <w:multiLevelType w:val="hybridMultilevel"/>
    <w:tmpl w:val="2D8819E2"/>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0646E2F"/>
    <w:multiLevelType w:val="hybridMultilevel"/>
    <w:tmpl w:val="B7FE38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Times New Roman"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Times New Roman"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14361B16"/>
    <w:multiLevelType w:val="hybridMultilevel"/>
    <w:tmpl w:val="B9743A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E3B635D"/>
    <w:multiLevelType w:val="hybridMultilevel"/>
    <w:tmpl w:val="5CA2295E"/>
    <w:lvl w:ilvl="0" w:tplc="FAFA0E80">
      <w:numFmt w:val="bullet"/>
      <w:lvlText w:val=""/>
      <w:lvlJc w:val="left"/>
      <w:pPr>
        <w:ind w:left="1440" w:hanging="720"/>
      </w:pPr>
      <w:rPr>
        <w:rFonts w:ascii="Symbol" w:eastAsia="Times New Roman" w:hAnsi="Symbol"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2FC37F76"/>
    <w:multiLevelType w:val="hybridMultilevel"/>
    <w:tmpl w:val="495CD8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Times New Roman"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Times New Roman"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32EF448F"/>
    <w:multiLevelType w:val="hybridMultilevel"/>
    <w:tmpl w:val="C2A27BF6"/>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8" w15:restartNumberingAfterBreak="0">
    <w:nsid w:val="3435188A"/>
    <w:multiLevelType w:val="hybridMultilevel"/>
    <w:tmpl w:val="4B0ED90C"/>
    <w:lvl w:ilvl="0" w:tplc="ABA219DE">
      <w:numFmt w:val="bullet"/>
      <w:lvlText w:val="-"/>
      <w:lvlJc w:val="left"/>
      <w:pPr>
        <w:ind w:left="72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EA92CFF"/>
    <w:multiLevelType w:val="hybridMultilevel"/>
    <w:tmpl w:val="EA2881EA"/>
    <w:lvl w:ilvl="0" w:tplc="0C090017">
      <w:start w:val="1"/>
      <w:numFmt w:val="lowerLetter"/>
      <w:lvlText w:val="%1)"/>
      <w:lvlJc w:val="left"/>
      <w:pPr>
        <w:ind w:left="927" w:hanging="360"/>
      </w:pPr>
      <w:rPr>
        <w:rFonts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0" w15:restartNumberingAfterBreak="0">
    <w:nsid w:val="43DE6D08"/>
    <w:multiLevelType w:val="hybridMultilevel"/>
    <w:tmpl w:val="30DEFF4E"/>
    <w:lvl w:ilvl="0" w:tplc="ABA219DE">
      <w:numFmt w:val="bullet"/>
      <w:lvlText w:val="-"/>
      <w:lvlJc w:val="left"/>
      <w:pPr>
        <w:ind w:left="780" w:hanging="360"/>
      </w:pPr>
      <w:rPr>
        <w:rFonts w:ascii="Arial" w:eastAsia="Calibri" w:hAnsi="Arial" w:cs="Aria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1" w15:restartNumberingAfterBreak="0">
    <w:nsid w:val="4CBA43E7"/>
    <w:multiLevelType w:val="hybridMultilevel"/>
    <w:tmpl w:val="8BBC20B4"/>
    <w:lvl w:ilvl="0" w:tplc="ABA219DE">
      <w:numFmt w:val="bullet"/>
      <w:lvlText w:val="-"/>
      <w:lvlJc w:val="left"/>
      <w:pPr>
        <w:ind w:left="72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E0A2A83"/>
    <w:multiLevelType w:val="hybridMultilevel"/>
    <w:tmpl w:val="41D26346"/>
    <w:lvl w:ilvl="0" w:tplc="ABA219DE">
      <w:numFmt w:val="bullet"/>
      <w:lvlText w:val="-"/>
      <w:lvlJc w:val="left"/>
      <w:pPr>
        <w:ind w:left="72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12A079D"/>
    <w:multiLevelType w:val="hybridMultilevel"/>
    <w:tmpl w:val="8160BB4C"/>
    <w:lvl w:ilvl="0" w:tplc="ABA219DE">
      <w:numFmt w:val="bullet"/>
      <w:lvlText w:val="-"/>
      <w:lvlJc w:val="left"/>
      <w:pPr>
        <w:ind w:left="72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A1938FC"/>
    <w:multiLevelType w:val="hybridMultilevel"/>
    <w:tmpl w:val="2D8819E2"/>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AA52EDD"/>
    <w:multiLevelType w:val="hybridMultilevel"/>
    <w:tmpl w:val="040823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E257824"/>
    <w:multiLevelType w:val="hybridMultilevel"/>
    <w:tmpl w:val="B9C2BB0C"/>
    <w:lvl w:ilvl="0" w:tplc="ABA219DE">
      <w:numFmt w:val="bullet"/>
      <w:lvlText w:val="-"/>
      <w:lvlJc w:val="left"/>
      <w:pPr>
        <w:ind w:left="72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A1B5D7C"/>
    <w:multiLevelType w:val="hybridMultilevel"/>
    <w:tmpl w:val="3DFA13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FD50F10"/>
    <w:multiLevelType w:val="hybridMultilevel"/>
    <w:tmpl w:val="38685D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4FB1F67"/>
    <w:multiLevelType w:val="hybridMultilevel"/>
    <w:tmpl w:val="ED848B5A"/>
    <w:lvl w:ilvl="0" w:tplc="ABA219DE">
      <w:numFmt w:val="bullet"/>
      <w:lvlText w:val="-"/>
      <w:lvlJc w:val="left"/>
      <w:pPr>
        <w:ind w:left="780" w:hanging="360"/>
      </w:pPr>
      <w:rPr>
        <w:rFonts w:ascii="Arial" w:eastAsia="Calibri" w:hAnsi="Arial" w:cs="Aria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0" w15:restartNumberingAfterBreak="0">
    <w:nsid w:val="7633440A"/>
    <w:multiLevelType w:val="hybridMultilevel"/>
    <w:tmpl w:val="C95E9B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803611E"/>
    <w:multiLevelType w:val="hybridMultilevel"/>
    <w:tmpl w:val="2D8819E2"/>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8"/>
  </w:num>
  <w:num w:numId="4">
    <w:abstractNumId w:val="3"/>
  </w:num>
  <w:num w:numId="5">
    <w:abstractNumId w:val="6"/>
  </w:num>
  <w:num w:numId="6">
    <w:abstractNumId w:val="7"/>
  </w:num>
  <w:num w:numId="7">
    <w:abstractNumId w:val="17"/>
  </w:num>
  <w:num w:numId="8">
    <w:abstractNumId w:val="15"/>
  </w:num>
  <w:num w:numId="9">
    <w:abstractNumId w:val="16"/>
  </w:num>
  <w:num w:numId="10">
    <w:abstractNumId w:val="11"/>
  </w:num>
  <w:num w:numId="11">
    <w:abstractNumId w:val="10"/>
  </w:num>
  <w:num w:numId="12">
    <w:abstractNumId w:val="8"/>
  </w:num>
  <w:num w:numId="13">
    <w:abstractNumId w:val="13"/>
  </w:num>
  <w:num w:numId="14">
    <w:abstractNumId w:val="19"/>
  </w:num>
  <w:num w:numId="15">
    <w:abstractNumId w:val="21"/>
  </w:num>
  <w:num w:numId="16">
    <w:abstractNumId w:val="9"/>
  </w:num>
  <w:num w:numId="17">
    <w:abstractNumId w:val="12"/>
  </w:num>
  <w:num w:numId="18">
    <w:abstractNumId w:val="14"/>
  </w:num>
  <w:num w:numId="19">
    <w:abstractNumId w:val="2"/>
  </w:num>
  <w:num w:numId="20">
    <w:abstractNumId w:val="20"/>
  </w:num>
  <w:num w:numId="21">
    <w:abstractNumId w:val="0"/>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FC6"/>
    <w:rsid w:val="000008AC"/>
    <w:rsid w:val="00025F9F"/>
    <w:rsid w:val="00027072"/>
    <w:rsid w:val="000664D7"/>
    <w:rsid w:val="000829AB"/>
    <w:rsid w:val="00083C4C"/>
    <w:rsid w:val="00083C96"/>
    <w:rsid w:val="00084ADE"/>
    <w:rsid w:val="000E70FA"/>
    <w:rsid w:val="000E7472"/>
    <w:rsid w:val="000F15FE"/>
    <w:rsid w:val="001027B0"/>
    <w:rsid w:val="00111521"/>
    <w:rsid w:val="00115FA8"/>
    <w:rsid w:val="00131080"/>
    <w:rsid w:val="00132A39"/>
    <w:rsid w:val="00134842"/>
    <w:rsid w:val="001410D0"/>
    <w:rsid w:val="00143AB6"/>
    <w:rsid w:val="001B1F29"/>
    <w:rsid w:val="001D5646"/>
    <w:rsid w:val="001E3AF4"/>
    <w:rsid w:val="001E5D0E"/>
    <w:rsid w:val="002145DA"/>
    <w:rsid w:val="00214B9D"/>
    <w:rsid w:val="0021693B"/>
    <w:rsid w:val="00222B26"/>
    <w:rsid w:val="0022521D"/>
    <w:rsid w:val="002532CB"/>
    <w:rsid w:val="00260B84"/>
    <w:rsid w:val="00264491"/>
    <w:rsid w:val="002716FE"/>
    <w:rsid w:val="00273B08"/>
    <w:rsid w:val="00281699"/>
    <w:rsid w:val="002A1FEE"/>
    <w:rsid w:val="002A409B"/>
    <w:rsid w:val="002B321B"/>
    <w:rsid w:val="002C35C4"/>
    <w:rsid w:val="002D3D52"/>
    <w:rsid w:val="002E110B"/>
    <w:rsid w:val="00330457"/>
    <w:rsid w:val="00340E9B"/>
    <w:rsid w:val="00355E4F"/>
    <w:rsid w:val="00360792"/>
    <w:rsid w:val="00364418"/>
    <w:rsid w:val="00381A73"/>
    <w:rsid w:val="00384E88"/>
    <w:rsid w:val="0039121E"/>
    <w:rsid w:val="00392FA3"/>
    <w:rsid w:val="003A0879"/>
    <w:rsid w:val="003E6730"/>
    <w:rsid w:val="00410A5B"/>
    <w:rsid w:val="00421700"/>
    <w:rsid w:val="00426F04"/>
    <w:rsid w:val="0043295C"/>
    <w:rsid w:val="0043773E"/>
    <w:rsid w:val="00447ABB"/>
    <w:rsid w:val="00460B96"/>
    <w:rsid w:val="00471E9F"/>
    <w:rsid w:val="00484241"/>
    <w:rsid w:val="004932AB"/>
    <w:rsid w:val="004C5515"/>
    <w:rsid w:val="004C6F30"/>
    <w:rsid w:val="004C7F9C"/>
    <w:rsid w:val="005034CE"/>
    <w:rsid w:val="00510205"/>
    <w:rsid w:val="00510B86"/>
    <w:rsid w:val="005149B7"/>
    <w:rsid w:val="00520481"/>
    <w:rsid w:val="00555D2A"/>
    <w:rsid w:val="00574C49"/>
    <w:rsid w:val="005955CB"/>
    <w:rsid w:val="005A27D1"/>
    <w:rsid w:val="005A390B"/>
    <w:rsid w:val="005C5569"/>
    <w:rsid w:val="005D1E35"/>
    <w:rsid w:val="005F74F4"/>
    <w:rsid w:val="005F75A2"/>
    <w:rsid w:val="005F7A2A"/>
    <w:rsid w:val="006058D5"/>
    <w:rsid w:val="006067E6"/>
    <w:rsid w:val="006112EC"/>
    <w:rsid w:val="006148F1"/>
    <w:rsid w:val="00616523"/>
    <w:rsid w:val="00626EF0"/>
    <w:rsid w:val="00632FDF"/>
    <w:rsid w:val="006361B4"/>
    <w:rsid w:val="00652119"/>
    <w:rsid w:val="0065757D"/>
    <w:rsid w:val="00663413"/>
    <w:rsid w:val="0067705C"/>
    <w:rsid w:val="006872E9"/>
    <w:rsid w:val="006921D3"/>
    <w:rsid w:val="006C3C21"/>
    <w:rsid w:val="006C762F"/>
    <w:rsid w:val="006D784E"/>
    <w:rsid w:val="006E7C5F"/>
    <w:rsid w:val="00703AD0"/>
    <w:rsid w:val="00711992"/>
    <w:rsid w:val="00720810"/>
    <w:rsid w:val="00720C61"/>
    <w:rsid w:val="0072480E"/>
    <w:rsid w:val="007670AE"/>
    <w:rsid w:val="00791B18"/>
    <w:rsid w:val="00795C46"/>
    <w:rsid w:val="007D1F3F"/>
    <w:rsid w:val="007D70C4"/>
    <w:rsid w:val="007E05CF"/>
    <w:rsid w:val="007F46AF"/>
    <w:rsid w:val="007F6DE2"/>
    <w:rsid w:val="00814FEC"/>
    <w:rsid w:val="00830CBF"/>
    <w:rsid w:val="00830EAF"/>
    <w:rsid w:val="008474CC"/>
    <w:rsid w:val="00876BF9"/>
    <w:rsid w:val="00892F09"/>
    <w:rsid w:val="00896E8D"/>
    <w:rsid w:val="008A69C9"/>
    <w:rsid w:val="008C077C"/>
    <w:rsid w:val="008D292A"/>
    <w:rsid w:val="00915E01"/>
    <w:rsid w:val="0094193C"/>
    <w:rsid w:val="009434AC"/>
    <w:rsid w:val="00947926"/>
    <w:rsid w:val="00957613"/>
    <w:rsid w:val="00983B31"/>
    <w:rsid w:val="00997EA0"/>
    <w:rsid w:val="009A13BB"/>
    <w:rsid w:val="009B6E37"/>
    <w:rsid w:val="009C6A8E"/>
    <w:rsid w:val="009D6F5E"/>
    <w:rsid w:val="009E343E"/>
    <w:rsid w:val="009F54A5"/>
    <w:rsid w:val="00A15D25"/>
    <w:rsid w:val="00A2005A"/>
    <w:rsid w:val="00A20DDC"/>
    <w:rsid w:val="00A2550F"/>
    <w:rsid w:val="00A25523"/>
    <w:rsid w:val="00A3749E"/>
    <w:rsid w:val="00A40299"/>
    <w:rsid w:val="00A4333D"/>
    <w:rsid w:val="00A46981"/>
    <w:rsid w:val="00A6008B"/>
    <w:rsid w:val="00A60488"/>
    <w:rsid w:val="00A72E09"/>
    <w:rsid w:val="00A95E72"/>
    <w:rsid w:val="00AA2161"/>
    <w:rsid w:val="00AB253D"/>
    <w:rsid w:val="00AD0BB2"/>
    <w:rsid w:val="00AD3299"/>
    <w:rsid w:val="00AE1822"/>
    <w:rsid w:val="00AE3EBD"/>
    <w:rsid w:val="00AE609F"/>
    <w:rsid w:val="00B04BE6"/>
    <w:rsid w:val="00B41BDE"/>
    <w:rsid w:val="00B55D89"/>
    <w:rsid w:val="00B560EF"/>
    <w:rsid w:val="00B70DAF"/>
    <w:rsid w:val="00B73164"/>
    <w:rsid w:val="00BA1626"/>
    <w:rsid w:val="00BB5A9A"/>
    <w:rsid w:val="00BC48E7"/>
    <w:rsid w:val="00BF54C8"/>
    <w:rsid w:val="00C04571"/>
    <w:rsid w:val="00C2126E"/>
    <w:rsid w:val="00C54F73"/>
    <w:rsid w:val="00C64005"/>
    <w:rsid w:val="00C67CAE"/>
    <w:rsid w:val="00C72AE8"/>
    <w:rsid w:val="00C72AF8"/>
    <w:rsid w:val="00C72CEA"/>
    <w:rsid w:val="00C813E4"/>
    <w:rsid w:val="00C81B8D"/>
    <w:rsid w:val="00C87F21"/>
    <w:rsid w:val="00C922A5"/>
    <w:rsid w:val="00C948F5"/>
    <w:rsid w:val="00C95282"/>
    <w:rsid w:val="00C97502"/>
    <w:rsid w:val="00CC3820"/>
    <w:rsid w:val="00CE578E"/>
    <w:rsid w:val="00CF1F26"/>
    <w:rsid w:val="00CF5304"/>
    <w:rsid w:val="00CF5539"/>
    <w:rsid w:val="00CF596E"/>
    <w:rsid w:val="00CF7DD1"/>
    <w:rsid w:val="00D0021F"/>
    <w:rsid w:val="00D01F44"/>
    <w:rsid w:val="00D070A8"/>
    <w:rsid w:val="00D2456F"/>
    <w:rsid w:val="00D2512A"/>
    <w:rsid w:val="00D26BC0"/>
    <w:rsid w:val="00D36662"/>
    <w:rsid w:val="00D41DF8"/>
    <w:rsid w:val="00D54668"/>
    <w:rsid w:val="00D712E9"/>
    <w:rsid w:val="00D743AB"/>
    <w:rsid w:val="00D75551"/>
    <w:rsid w:val="00D8551D"/>
    <w:rsid w:val="00D94B3B"/>
    <w:rsid w:val="00DC38BB"/>
    <w:rsid w:val="00DC4627"/>
    <w:rsid w:val="00DC789B"/>
    <w:rsid w:val="00E00B9D"/>
    <w:rsid w:val="00E02381"/>
    <w:rsid w:val="00E12FB3"/>
    <w:rsid w:val="00E14725"/>
    <w:rsid w:val="00E2426D"/>
    <w:rsid w:val="00E64E35"/>
    <w:rsid w:val="00E74211"/>
    <w:rsid w:val="00E74A85"/>
    <w:rsid w:val="00E80E1D"/>
    <w:rsid w:val="00E9151C"/>
    <w:rsid w:val="00E977A2"/>
    <w:rsid w:val="00EC3FC6"/>
    <w:rsid w:val="00EC74EA"/>
    <w:rsid w:val="00EE50A9"/>
    <w:rsid w:val="00EF3BEB"/>
    <w:rsid w:val="00F0444B"/>
    <w:rsid w:val="00F06F32"/>
    <w:rsid w:val="00F10F56"/>
    <w:rsid w:val="00F2382A"/>
    <w:rsid w:val="00F25637"/>
    <w:rsid w:val="00F30159"/>
    <w:rsid w:val="00F82D4F"/>
    <w:rsid w:val="00F97CC7"/>
    <w:rsid w:val="00FB1763"/>
    <w:rsid w:val="00FB2CD5"/>
    <w:rsid w:val="00FC1793"/>
    <w:rsid w:val="00FC6C17"/>
    <w:rsid w:val="00FD3973"/>
    <w:rsid w:val="00FD3D7E"/>
    <w:rsid w:val="00FE756B"/>
    <w:rsid w:val="00FF63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F30159"/>
    <w:pPr>
      <w:spacing w:after="120"/>
    </w:pPr>
    <w:rPr>
      <w:rFonts w:ascii="DINOT-Light" w:hAnsi="DINOT-Light" w:cs="Open Sans"/>
      <w:sz w:val="18"/>
      <w:szCs w:val="18"/>
      <w:lang w:eastAsia="en-US"/>
    </w:rPr>
  </w:style>
  <w:style w:type="paragraph" w:styleId="Heading1">
    <w:name w:val="heading 1"/>
    <w:basedOn w:val="Normal"/>
    <w:link w:val="Heading1Char"/>
    <w:uiPriority w:val="9"/>
    <w:qFormat/>
    <w:rsid w:val="00E12FB3"/>
    <w:pPr>
      <w:spacing w:before="100" w:beforeAutospacing="1" w:after="100" w:afterAutospacing="1"/>
      <w:outlineLvl w:val="0"/>
    </w:pPr>
    <w:rPr>
      <w:rFonts w:ascii="Times New Roman" w:eastAsia="Times New Roman" w:hAnsi="Times New Roman" w:cs="Times New Roman"/>
      <w:b/>
      <w:bCs/>
      <w:kern w:val="36"/>
      <w:sz w:val="48"/>
      <w:szCs w:val="48"/>
      <w:lang w:eastAsia="en-A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EAtableno1">
    <w:name w:val="EA table no1"/>
    <w:basedOn w:val="MediumShading2"/>
    <w:uiPriority w:val="99"/>
    <w:rsid w:val="00E2426D"/>
    <w:rPr>
      <w:rFonts w:ascii="Verdana" w:hAnsi="Verdana"/>
      <w:sz w:val="16"/>
    </w:rPr>
    <w:tblPr>
      <w:tblInd w:w="227" w:type="dxa"/>
      <w:tblBorders>
        <w:top w:val="none" w:sz="0" w:space="0" w:color="auto"/>
        <w:bottom w:val="none" w:sz="0" w:space="0" w:color="auto"/>
        <w:insideV w:val="single" w:sz="12" w:space="0" w:color="FFFFFF"/>
      </w:tblBorders>
      <w:tblCellMar>
        <w:left w:w="227" w:type="dxa"/>
        <w:right w:w="227" w:type="dxa"/>
      </w:tblCellMar>
    </w:tblPr>
    <w:tcPr>
      <w:shd w:val="clear" w:color="auto" w:fill="D9D9D9"/>
      <w:tcMar>
        <w:top w:w="113" w:type="dxa"/>
        <w:bottom w:w="113" w:type="dxa"/>
      </w:tcMar>
    </w:tcPr>
    <w:tblStylePr w:type="firstRow">
      <w:pPr>
        <w:spacing w:before="0" w:after="0" w:line="240" w:lineRule="auto"/>
        <w:jc w:val="left"/>
      </w:pPr>
      <w:rPr>
        <w:rFonts w:ascii="DINOT-Medium" w:hAnsi="DINOT-Medium"/>
        <w:b/>
        <w:bCs/>
        <w:color w:val="92D050"/>
        <w:sz w:val="16"/>
      </w:rPr>
      <w:tblPr/>
      <w:tcPr>
        <w:tcBorders>
          <w:top w:val="nil"/>
          <w:left w:val="nil"/>
          <w:bottom w:val="nil"/>
          <w:right w:val="nil"/>
          <w:insideH w:val="nil"/>
          <w:insideV w:val="single" w:sz="12" w:space="0" w:color="FFFFFF"/>
        </w:tcBorders>
        <w:shd w:val="clear" w:color="auto" w:fill="000000"/>
        <w:vAlign w:val="center"/>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pPr>
        <w:wordWrap/>
        <w:jc w:val="left"/>
      </w:pPr>
      <w:rPr>
        <w:rFonts w:ascii="DINOT-Medium" w:hAnsi="DINOT-Medium"/>
        <w:b/>
        <w:bCs/>
        <w:color w:val="auto"/>
        <w:sz w:val="16"/>
      </w:rPr>
      <w:tblPr/>
      <w:tcPr>
        <w:tcBorders>
          <w:top w:val="nil"/>
          <w:left w:val="nil"/>
          <w:bottom w:val="nil"/>
          <w:right w:val="nil"/>
          <w:insideH w:val="nil"/>
          <w:insideV w:val="nil"/>
          <w:tl2br w:val="nil"/>
          <w:tr2bl w:val="nil"/>
        </w:tcBorders>
        <w:shd w:val="clear" w:color="auto" w:fill="D9D9D9"/>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
    <w:name w:val="Medium Shading 2"/>
    <w:basedOn w:val="TableNormal"/>
    <w:uiPriority w:val="64"/>
    <w:rsid w:val="00E2426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est2">
    <w:name w:val="test2"/>
    <w:basedOn w:val="MediumShading1-Accent3"/>
    <w:uiPriority w:val="99"/>
    <w:rsid w:val="00E00B9D"/>
    <w:pPr>
      <w:jc w:val="right"/>
    </w:pPr>
    <w:rPr>
      <w:rFonts w:ascii="Arial" w:hAnsi="Arial"/>
    </w:rP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pPr>
        <w:jc w:val="left"/>
      </w:pPr>
      <w:rPr>
        <w:b/>
        <w:bCs/>
      </w:rPr>
    </w:tblStylePr>
    <w:tblStylePr w:type="lastCol">
      <w:rPr>
        <w:b/>
        <w:bCs/>
      </w:rPr>
    </w:tblStylePr>
    <w:tblStylePr w:type="band1Vert">
      <w:tblPr/>
      <w:tcPr>
        <w:shd w:val="clear" w:color="auto" w:fill="E6EED5"/>
      </w:tcPr>
    </w:tblStylePr>
    <w:tblStylePr w:type="band2Vert">
      <w:pPr>
        <w:jc w:val="left"/>
      </w:pPr>
      <w:rPr>
        <w:color w:val="auto"/>
      </w:r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E00B9D"/>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paragraph" w:styleId="Header">
    <w:name w:val="header"/>
    <w:basedOn w:val="Normal"/>
    <w:link w:val="HeaderChar"/>
    <w:uiPriority w:val="99"/>
    <w:semiHidden/>
    <w:rsid w:val="00830EAF"/>
    <w:pPr>
      <w:tabs>
        <w:tab w:val="center" w:pos="4513"/>
        <w:tab w:val="right" w:pos="9026"/>
      </w:tabs>
      <w:spacing w:after="0"/>
    </w:pPr>
  </w:style>
  <w:style w:type="character" w:customStyle="1" w:styleId="HeaderChar">
    <w:name w:val="Header Char"/>
    <w:link w:val="Header"/>
    <w:uiPriority w:val="99"/>
    <w:semiHidden/>
    <w:rsid w:val="00F30159"/>
    <w:rPr>
      <w:rFonts w:ascii="DINOT-Light" w:hAnsi="DINOT-Light" w:cs="Open Sans"/>
      <w:sz w:val="18"/>
      <w:szCs w:val="18"/>
    </w:rPr>
  </w:style>
  <w:style w:type="paragraph" w:styleId="Footer">
    <w:name w:val="footer"/>
    <w:basedOn w:val="Normal"/>
    <w:link w:val="FooterChar"/>
    <w:uiPriority w:val="99"/>
    <w:rsid w:val="002B321B"/>
    <w:pPr>
      <w:tabs>
        <w:tab w:val="center" w:pos="4513"/>
        <w:tab w:val="right" w:pos="9026"/>
      </w:tabs>
      <w:spacing w:after="0"/>
      <w:jc w:val="right"/>
    </w:pPr>
    <w:rPr>
      <w:noProof/>
      <w:color w:val="08A4E0"/>
      <w:lang w:eastAsia="en-AU"/>
    </w:rPr>
  </w:style>
  <w:style w:type="character" w:customStyle="1" w:styleId="FooterChar">
    <w:name w:val="Footer Char"/>
    <w:link w:val="Footer"/>
    <w:uiPriority w:val="99"/>
    <w:rsid w:val="00F30159"/>
    <w:rPr>
      <w:rFonts w:ascii="DINOT-Light" w:hAnsi="DINOT-Light" w:cs="Open Sans"/>
      <w:noProof/>
      <w:color w:val="08A4E0"/>
      <w:sz w:val="18"/>
      <w:szCs w:val="18"/>
      <w:lang w:eastAsia="en-AU"/>
    </w:rPr>
  </w:style>
  <w:style w:type="paragraph" w:customStyle="1" w:styleId="AECletterbody">
    <w:name w:val="AEC letter body"/>
    <w:basedOn w:val="Normal"/>
    <w:uiPriority w:val="99"/>
    <w:rsid w:val="00421700"/>
    <w:pPr>
      <w:suppressAutoHyphens/>
      <w:autoSpaceDE w:val="0"/>
      <w:autoSpaceDN w:val="0"/>
      <w:adjustRightInd w:val="0"/>
      <w:spacing w:after="240" w:line="240" w:lineRule="atLeast"/>
      <w:textAlignment w:val="center"/>
    </w:pPr>
    <w:rPr>
      <w:rFonts w:ascii="DINPro-Light" w:hAnsi="DINPro-Light"/>
      <w:color w:val="000000"/>
      <w:lang w:val="en-US"/>
    </w:rPr>
  </w:style>
  <w:style w:type="paragraph" w:customStyle="1" w:styleId="letterbody">
    <w:name w:val="letter body"/>
    <w:basedOn w:val="Normal"/>
    <w:uiPriority w:val="99"/>
    <w:semiHidden/>
    <w:rsid w:val="00555D2A"/>
    <w:pPr>
      <w:suppressAutoHyphens/>
      <w:autoSpaceDE w:val="0"/>
      <w:autoSpaceDN w:val="0"/>
      <w:adjustRightInd w:val="0"/>
      <w:spacing w:after="220" w:line="240" w:lineRule="atLeast"/>
      <w:textAlignment w:val="center"/>
    </w:pPr>
    <w:rPr>
      <w:color w:val="000000"/>
      <w:lang w:val="en-US"/>
    </w:rPr>
  </w:style>
  <w:style w:type="paragraph" w:customStyle="1" w:styleId="BasicParagraph">
    <w:name w:val="[Basic Paragraph]"/>
    <w:basedOn w:val="Normal"/>
    <w:uiPriority w:val="99"/>
    <w:semiHidden/>
    <w:rsid w:val="00143AB6"/>
    <w:pPr>
      <w:autoSpaceDE w:val="0"/>
      <w:autoSpaceDN w:val="0"/>
      <w:adjustRightInd w:val="0"/>
      <w:spacing w:after="0" w:line="288" w:lineRule="auto"/>
      <w:textAlignment w:val="center"/>
    </w:pPr>
    <w:rPr>
      <w:rFonts w:ascii="MinionPro-Regular" w:hAnsi="MinionPro-Regular" w:cs="MinionPro-Regular"/>
      <w:color w:val="000000"/>
      <w:sz w:val="24"/>
      <w:szCs w:val="24"/>
      <w:lang w:val="en-US"/>
    </w:rPr>
  </w:style>
  <w:style w:type="paragraph" w:customStyle="1" w:styleId="AECAddresslines">
    <w:name w:val="AEC Address lines"/>
    <w:basedOn w:val="BasicParagraph"/>
    <w:qFormat/>
    <w:rsid w:val="00421700"/>
    <w:pPr>
      <w:spacing w:line="240" w:lineRule="auto"/>
    </w:pPr>
    <w:rPr>
      <w:rFonts w:ascii="DINPro-Light" w:hAnsi="DINPro-Light" w:cs="DINOT-Light"/>
      <w:sz w:val="20"/>
      <w:szCs w:val="20"/>
    </w:rPr>
  </w:style>
  <w:style w:type="paragraph" w:customStyle="1" w:styleId="AECFooter">
    <w:name w:val="AEC Footer"/>
    <w:basedOn w:val="AECAddresslines"/>
    <w:qFormat/>
    <w:rsid w:val="00330457"/>
    <w:rPr>
      <w:rFonts w:ascii="Arial" w:hAnsi="Arial" w:cs="DINOT-Medium"/>
      <w:sz w:val="18"/>
      <w:szCs w:val="18"/>
    </w:rPr>
  </w:style>
  <w:style w:type="character" w:styleId="Hyperlink">
    <w:name w:val="Hyperlink"/>
    <w:unhideWhenUsed/>
    <w:rsid w:val="00471E9F"/>
    <w:rPr>
      <w:color w:val="00A3D6"/>
      <w:u w:val="single"/>
    </w:rPr>
  </w:style>
  <w:style w:type="paragraph" w:styleId="FootnoteText">
    <w:name w:val="footnote text"/>
    <w:basedOn w:val="Normal"/>
    <w:link w:val="FootnoteTextChar"/>
    <w:semiHidden/>
    <w:rsid w:val="00C72CEA"/>
    <w:pPr>
      <w:spacing w:after="0"/>
    </w:pPr>
    <w:rPr>
      <w:rFonts w:ascii="Times New Roman" w:eastAsia="Times New Roman" w:hAnsi="Times New Roman" w:cs="Times New Roman"/>
      <w:sz w:val="20"/>
      <w:szCs w:val="20"/>
      <w:lang w:eastAsia="en-AU"/>
    </w:rPr>
  </w:style>
  <w:style w:type="character" w:customStyle="1" w:styleId="FootnoteTextChar">
    <w:name w:val="Footnote Text Char"/>
    <w:basedOn w:val="DefaultParagraphFont"/>
    <w:link w:val="FootnoteText"/>
    <w:semiHidden/>
    <w:rsid w:val="00C72CEA"/>
    <w:rPr>
      <w:rFonts w:ascii="Times New Roman" w:eastAsia="Times New Roman" w:hAnsi="Times New Roman"/>
    </w:rPr>
  </w:style>
  <w:style w:type="character" w:styleId="FootnoteReference">
    <w:name w:val="footnote reference"/>
    <w:basedOn w:val="DefaultParagraphFont"/>
    <w:semiHidden/>
    <w:rsid w:val="00C72CEA"/>
    <w:rPr>
      <w:vertAlign w:val="superscript"/>
    </w:rPr>
  </w:style>
  <w:style w:type="paragraph" w:customStyle="1" w:styleId="Default">
    <w:name w:val="Default"/>
    <w:rsid w:val="00510205"/>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semiHidden/>
    <w:unhideWhenUsed/>
    <w:rsid w:val="00A6008B"/>
    <w:rPr>
      <w:sz w:val="16"/>
      <w:szCs w:val="16"/>
    </w:rPr>
  </w:style>
  <w:style w:type="paragraph" w:styleId="CommentText">
    <w:name w:val="annotation text"/>
    <w:basedOn w:val="Normal"/>
    <w:link w:val="CommentTextChar"/>
    <w:uiPriority w:val="99"/>
    <w:unhideWhenUsed/>
    <w:rsid w:val="00A6008B"/>
    <w:rPr>
      <w:sz w:val="20"/>
      <w:szCs w:val="20"/>
    </w:rPr>
  </w:style>
  <w:style w:type="character" w:customStyle="1" w:styleId="CommentTextChar">
    <w:name w:val="Comment Text Char"/>
    <w:basedOn w:val="DefaultParagraphFont"/>
    <w:link w:val="CommentText"/>
    <w:uiPriority w:val="99"/>
    <w:rsid w:val="00A6008B"/>
    <w:rPr>
      <w:rFonts w:ascii="DINOT-Light" w:hAnsi="DINOT-Light" w:cs="Open Sans"/>
      <w:lang w:eastAsia="en-US"/>
    </w:rPr>
  </w:style>
  <w:style w:type="paragraph" w:styleId="CommentSubject">
    <w:name w:val="annotation subject"/>
    <w:basedOn w:val="CommentText"/>
    <w:next w:val="CommentText"/>
    <w:link w:val="CommentSubjectChar"/>
    <w:uiPriority w:val="99"/>
    <w:semiHidden/>
    <w:unhideWhenUsed/>
    <w:rsid w:val="00A6008B"/>
    <w:rPr>
      <w:b/>
      <w:bCs/>
    </w:rPr>
  </w:style>
  <w:style w:type="character" w:customStyle="1" w:styleId="CommentSubjectChar">
    <w:name w:val="Comment Subject Char"/>
    <w:basedOn w:val="CommentTextChar"/>
    <w:link w:val="CommentSubject"/>
    <w:uiPriority w:val="99"/>
    <w:semiHidden/>
    <w:rsid w:val="00A6008B"/>
    <w:rPr>
      <w:rFonts w:ascii="DINOT-Light" w:hAnsi="DINOT-Light" w:cs="Open Sans"/>
      <w:b/>
      <w:bCs/>
      <w:lang w:eastAsia="en-US"/>
    </w:rPr>
  </w:style>
  <w:style w:type="paragraph" w:styleId="BalloonText">
    <w:name w:val="Balloon Text"/>
    <w:basedOn w:val="Normal"/>
    <w:link w:val="BalloonTextChar"/>
    <w:uiPriority w:val="99"/>
    <w:semiHidden/>
    <w:unhideWhenUsed/>
    <w:rsid w:val="00A6008B"/>
    <w:pPr>
      <w:spacing w:after="0"/>
    </w:pPr>
    <w:rPr>
      <w:rFonts w:ascii="Segoe UI" w:hAnsi="Segoe UI" w:cs="Segoe UI"/>
    </w:rPr>
  </w:style>
  <w:style w:type="character" w:customStyle="1" w:styleId="BalloonTextChar">
    <w:name w:val="Balloon Text Char"/>
    <w:basedOn w:val="DefaultParagraphFont"/>
    <w:link w:val="BalloonText"/>
    <w:uiPriority w:val="99"/>
    <w:semiHidden/>
    <w:rsid w:val="00A6008B"/>
    <w:rPr>
      <w:rFonts w:ascii="Segoe UI" w:hAnsi="Segoe UI" w:cs="Segoe UI"/>
      <w:sz w:val="18"/>
      <w:szCs w:val="18"/>
      <w:lang w:eastAsia="en-US"/>
    </w:rPr>
  </w:style>
  <w:style w:type="paragraph" w:styleId="ListParagraph">
    <w:name w:val="List Paragraph"/>
    <w:basedOn w:val="Normal"/>
    <w:uiPriority w:val="34"/>
    <w:qFormat/>
    <w:rsid w:val="001027B0"/>
    <w:pPr>
      <w:spacing w:after="0"/>
      <w:ind w:left="720"/>
      <w:contextualSpacing/>
    </w:pPr>
    <w:rPr>
      <w:rFonts w:ascii="Calibri" w:eastAsia="Times New Roman" w:hAnsi="Calibri" w:cs="Times New Roman"/>
      <w:sz w:val="22"/>
      <w:szCs w:val="22"/>
    </w:rPr>
  </w:style>
  <w:style w:type="character" w:customStyle="1" w:styleId="Heading1Char">
    <w:name w:val="Heading 1 Char"/>
    <w:basedOn w:val="DefaultParagraphFont"/>
    <w:link w:val="Heading1"/>
    <w:uiPriority w:val="9"/>
    <w:rsid w:val="00E12FB3"/>
    <w:rPr>
      <w:rFonts w:ascii="Times New Roman" w:eastAsia="Times New Roman" w:hAnsi="Times New Roman"/>
      <w:b/>
      <w:bCs/>
      <w:kern w:val="36"/>
      <w:sz w:val="48"/>
      <w:szCs w:val="48"/>
    </w:rPr>
  </w:style>
  <w:style w:type="table" w:styleId="TableGrid">
    <w:name w:val="Table Grid"/>
    <w:basedOn w:val="TableNormal"/>
    <w:uiPriority w:val="59"/>
    <w:rsid w:val="00083C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396947">
      <w:bodyDiv w:val="1"/>
      <w:marLeft w:val="0"/>
      <w:marRight w:val="0"/>
      <w:marTop w:val="0"/>
      <w:marBottom w:val="0"/>
      <w:divBdr>
        <w:top w:val="none" w:sz="0" w:space="0" w:color="auto"/>
        <w:left w:val="none" w:sz="0" w:space="0" w:color="auto"/>
        <w:bottom w:val="none" w:sz="0" w:space="0" w:color="auto"/>
        <w:right w:val="none" w:sz="0" w:space="0" w:color="auto"/>
      </w:divBdr>
    </w:div>
    <w:div w:id="405960963">
      <w:bodyDiv w:val="1"/>
      <w:marLeft w:val="0"/>
      <w:marRight w:val="0"/>
      <w:marTop w:val="0"/>
      <w:marBottom w:val="0"/>
      <w:divBdr>
        <w:top w:val="none" w:sz="0" w:space="0" w:color="auto"/>
        <w:left w:val="none" w:sz="0" w:space="0" w:color="auto"/>
        <w:bottom w:val="none" w:sz="0" w:space="0" w:color="auto"/>
        <w:right w:val="none" w:sz="0" w:space="0" w:color="auto"/>
      </w:divBdr>
    </w:div>
    <w:div w:id="483012628">
      <w:bodyDiv w:val="1"/>
      <w:marLeft w:val="0"/>
      <w:marRight w:val="0"/>
      <w:marTop w:val="0"/>
      <w:marBottom w:val="0"/>
      <w:divBdr>
        <w:top w:val="none" w:sz="0" w:space="0" w:color="auto"/>
        <w:left w:val="none" w:sz="0" w:space="0" w:color="auto"/>
        <w:bottom w:val="none" w:sz="0" w:space="0" w:color="auto"/>
        <w:right w:val="none" w:sz="0" w:space="0" w:color="auto"/>
      </w:divBdr>
    </w:div>
    <w:div w:id="1197040921">
      <w:bodyDiv w:val="1"/>
      <w:marLeft w:val="0"/>
      <w:marRight w:val="0"/>
      <w:marTop w:val="0"/>
      <w:marBottom w:val="0"/>
      <w:divBdr>
        <w:top w:val="none" w:sz="0" w:space="0" w:color="auto"/>
        <w:left w:val="none" w:sz="0" w:space="0" w:color="auto"/>
        <w:bottom w:val="none" w:sz="0" w:space="0" w:color="auto"/>
        <w:right w:val="none" w:sz="0" w:space="0" w:color="auto"/>
      </w:divBdr>
    </w:div>
    <w:div w:id="1373461571">
      <w:bodyDiv w:val="1"/>
      <w:marLeft w:val="0"/>
      <w:marRight w:val="0"/>
      <w:marTop w:val="0"/>
      <w:marBottom w:val="0"/>
      <w:divBdr>
        <w:top w:val="none" w:sz="0" w:space="0" w:color="auto"/>
        <w:left w:val="none" w:sz="0" w:space="0" w:color="auto"/>
        <w:bottom w:val="none" w:sz="0" w:space="0" w:color="auto"/>
        <w:right w:val="none" w:sz="0" w:space="0" w:color="auto"/>
      </w:divBdr>
    </w:div>
    <w:div w:id="1617787445">
      <w:bodyDiv w:val="1"/>
      <w:marLeft w:val="0"/>
      <w:marRight w:val="0"/>
      <w:marTop w:val="0"/>
      <w:marBottom w:val="0"/>
      <w:divBdr>
        <w:top w:val="none" w:sz="0" w:space="0" w:color="auto"/>
        <w:left w:val="none" w:sz="0" w:space="0" w:color="auto"/>
        <w:bottom w:val="none" w:sz="0" w:space="0" w:color="auto"/>
        <w:right w:val="none" w:sz="0" w:space="0" w:color="auto"/>
      </w:divBdr>
    </w:div>
    <w:div w:id="2006084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ss.Fitzgerald@energycouncil.com.au" TargetMode="External"/><Relationship Id="rId13" Type="http://schemas.openxmlformats.org/officeDocument/2006/relationships/theme" Target="theme/theme1.xml"/><Relationship Id="rId18" Type="http://schemas.openxmlformats.org/officeDocument/2006/relationships/customXml" Target="../customXml/item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Treasury Document" ma:contentTypeID="0x010100E95D40E5DFEA714B90E88DB5CE07A6B500DDAFF7E1A29DE64F981B4EA50562BA75" ma:contentTypeVersion="10242" ma:contentTypeDescription="" ma:contentTypeScope="" ma:versionID="0e9555cabf1853588feb412effccf1f4">
  <xsd:schema xmlns:xsd="http://www.w3.org/2001/XMLSchema" xmlns:xs="http://www.w3.org/2001/XMLSchema" xmlns:p="http://schemas.microsoft.com/office/2006/metadata/properties" xmlns:ns1="http://schemas.microsoft.com/sharepoint/v3" xmlns:ns2="d4dd4adf-ddb3-46a3-8d7c-fab3fb2a6bc7" xmlns:ns4="http://schemas.microsoft.com/sharepoint/v4" targetNamespace="http://schemas.microsoft.com/office/2006/metadata/properties" ma:root="true" ma:fieldsID="6bfac8e52420368ce6ac7c74f2e5abab" ns1:_="" ns2:_="" ns4:_="">
    <xsd:import namespace="http://schemas.microsoft.com/sharepoint/v3"/>
    <xsd:import namespace="d4dd4adf-ddb3-46a3-8d7c-fab3fb2a6bc7"/>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lb508a4dc5e84436a0fe496b536466aa" minOccurs="0"/>
                <xsd:element ref="ns2:TaxCatchAll" minOccurs="0"/>
                <xsd:element ref="ns2:TaxCatchAllLabel" minOccurs="0"/>
                <xsd:element ref="ns4:IconOverlay"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7"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4dd4adf-ddb3-46a3-8d7c-fab3fb2a6bc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b508a4dc5e84436a0fe496b536466aa" ma:index="11" nillable="true" ma:taxonomy="true" ma:internalName="lb508a4dc5e84436a0fe496b536466aa" ma:taxonomyFieldName="TSYRecordClass" ma:displayName="Record Class" ma:readOnly="false" ma:default="2;#TSY RA-9081 - Retain as national archives|bbf0bcde-1687-4ff2-bc57-f31b5d545d4b"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ab865bba-d958-40fe-b21d-a68aa7a39431}" ma:internalName="TaxCatchAll" ma:showField="CatchAllData" ma:web="d4dd4adf-ddb3-46a3-8d7c-fab3fb2a6bc7">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b865bba-d958-40fe-b21d-a68aa7a39431}" ma:internalName="TaxCatchAllLabel" ma:readOnly="true" ma:showField="CatchAllDataLabel" ma:web="d4dd4adf-ddb3-46a3-8d7c-fab3fb2a6bc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spe:Receivers>
</file>

<file path=customXml/item4.xml><?xml version="1.0" encoding="utf-8"?>
<?mso-contentType ?>
<p:Policy xmlns:p="office.server.policy" id="" local="true">
  <p:Name>Treasury Document</p:Name>
  <p:Description/>
  <p:Statement/>
  <p:PolicyItems>
    <p:PolicyItem featureId="Microsoft.Office.RecordsManagement.PolicyFeatures.PolicyAudit" staticId="0x010100E95D40E5DFEA714B90E88DB5CE07A6B5|-421390505" UniqueId="72a3b914-5376-4e08-a93a-e02e58e6045f">
      <p:Name>Auditing</p:Name>
      <p:Description>Audits user actions on documents and list items to the Audit Log.</p:Description>
      <p:CustomData>
        <Audit>
          <Update/>
          <DeleteRestore/>
        </Audit>
      </p:CustomData>
    </p:PolicyItem>
  </p:PolicyItems>
</p:Policy>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lb508a4dc5e84436a0fe496b536466aa xmlns="d4dd4adf-ddb3-46a3-8d7c-fab3fb2a6bc7">
      <Terms xmlns="http://schemas.microsoft.com/office/infopath/2007/PartnerControls">
        <TermInfo xmlns="http://schemas.microsoft.com/office/infopath/2007/PartnerControls">
          <TermName xmlns="http://schemas.microsoft.com/office/infopath/2007/PartnerControls">TSY RA-9081 - Retain as national archives</TermName>
          <TermId xmlns="http://schemas.microsoft.com/office/infopath/2007/PartnerControls">bbf0bcde-1687-4ff2-bc57-f31b5d545d4b</TermId>
        </TermInfo>
      </Terms>
    </lb508a4dc5e84436a0fe496b536466aa>
    <_dlc_DocId xmlns="d4dd4adf-ddb3-46a3-8d7c-fab3fb2a6bc7">2018MG-133-31893</_dlc_DocId>
    <TaxCatchAll xmlns="d4dd4adf-ddb3-46a3-8d7c-fab3fb2a6bc7">
      <Value>2</Value>
    </TaxCatchAll>
    <_dlc_DocIdUrl xmlns="d4dd4adf-ddb3-46a3-8d7c-fab3fb2a6bc7">
      <Url>http://tweb/sites/mg/sbccpd/_layouts/15/DocIdRedir.aspx?ID=2018MG-133-31893</Url>
      <Description>2018MG-133-31893</Description>
    </_dlc_DocIdUrl>
    <IconOverlay xmlns="http://schemas.microsoft.com/sharepoint/v4" xsi:nil="true"/>
  </documentManagement>
</p:properties>
</file>

<file path=customXml/itemProps1.xml><?xml version="1.0" encoding="utf-8"?>
<ds:datastoreItem xmlns:ds="http://schemas.openxmlformats.org/officeDocument/2006/customXml" ds:itemID="{2DED3456-9477-417A-BEC6-FEC01FEE64AC}">
  <ds:schemaRefs>
    <ds:schemaRef ds:uri="http://schemas.openxmlformats.org/officeDocument/2006/bibliography"/>
  </ds:schemaRefs>
</ds:datastoreItem>
</file>

<file path=customXml/itemProps2.xml><?xml version="1.0" encoding="utf-8"?>
<ds:datastoreItem xmlns:ds="http://schemas.openxmlformats.org/officeDocument/2006/customXml" ds:itemID="{6AC95FCC-4CA4-4B85-8767-A880E310C9C1}"/>
</file>

<file path=customXml/itemProps3.xml><?xml version="1.0" encoding="utf-8"?>
<ds:datastoreItem xmlns:ds="http://schemas.openxmlformats.org/officeDocument/2006/customXml" ds:itemID="{5847C092-ED30-453B-B6B1-61F7AD4FC66C}"/>
</file>

<file path=customXml/itemProps4.xml><?xml version="1.0" encoding="utf-8"?>
<ds:datastoreItem xmlns:ds="http://schemas.openxmlformats.org/officeDocument/2006/customXml" ds:itemID="{C67449C4-E90F-446D-9F6D-DFD8B89B9894}"/>
</file>

<file path=customXml/itemProps5.xml><?xml version="1.0" encoding="utf-8"?>
<ds:datastoreItem xmlns:ds="http://schemas.openxmlformats.org/officeDocument/2006/customXml" ds:itemID="{114FD071-3650-4227-9C3A-AD1697E2E3E0}"/>
</file>

<file path=customXml/itemProps6.xml><?xml version="1.0" encoding="utf-8"?>
<ds:datastoreItem xmlns:ds="http://schemas.openxmlformats.org/officeDocument/2006/customXml" ds:itemID="{2E710468-F3D4-4FAE-878D-A41049ACA2AB}"/>
</file>

<file path=docProps/app.xml><?xml version="1.0" encoding="utf-8"?>
<Properties xmlns="http://schemas.openxmlformats.org/officeDocument/2006/extended-properties" xmlns:vt="http://schemas.openxmlformats.org/officeDocument/2006/docPropsVTypes">
  <Template>Normal</Template>
  <TotalTime>0</TotalTime>
  <Pages>6</Pages>
  <Words>3067</Words>
  <Characters>17483</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20509</CharactersWithSpaces>
  <SharedDoc>false</SharedDoc>
  <HLinks>
    <vt:vector size="6" baseType="variant">
      <vt:variant>
        <vt:i4>6553675</vt:i4>
      </vt:variant>
      <vt:variant>
        <vt:i4>0</vt:i4>
      </vt:variant>
      <vt:variant>
        <vt:i4>0</vt:i4>
      </vt:variant>
      <vt:variant>
        <vt:i4>5</vt:i4>
      </vt:variant>
      <vt:variant>
        <vt:lpwstr>mailto:panos.priftakis@esaa.com.au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2018-03-23T00:25:00Z</dcterms:created>
  <dcterms:modified xsi:type="dcterms:W3CDTF">2018-03-23T00:53:00Z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b5ba9956-6aba-4234-9ae9-4964c1965cf1</vt:lpwstr>
  </property>
  <property fmtid="{D5CDD505-2E9C-101B-9397-08002B2CF9AE}" pid="3" name="ContentTypeId">
    <vt:lpwstr>0x010100E95D40E5DFEA714B90E88DB5CE07A6B500DDAFF7E1A29DE64F981B4EA50562BA75</vt:lpwstr>
  </property>
  <property fmtid="{D5CDD505-2E9C-101B-9397-08002B2CF9AE}" pid="4" name="TSYRecordClass">
    <vt:lpwstr>2;#TSY RA-9081 - Retain as national archives|bbf0bcde-1687-4ff2-bc57-f31b5d545d4b</vt:lpwstr>
  </property>
  <property fmtid="{D5CDD505-2E9C-101B-9397-08002B2CF9AE}" pid="5" name="RecordPoint_WorkflowType">
    <vt:lpwstr>ActiveSubmitStub</vt:lpwstr>
  </property>
  <property fmtid="{D5CDD505-2E9C-101B-9397-08002B2CF9AE}" pid="6" name="RecordPoint_ActiveItemSiteId">
    <vt:lpwstr>{08cedf7d-7ad2-4b81-a81f-47e3ec332c41}</vt:lpwstr>
  </property>
  <property fmtid="{D5CDD505-2E9C-101B-9397-08002B2CF9AE}" pid="7" name="RecordPoint_ActiveItemListId">
    <vt:lpwstr>{020b99f8-d659-456c-88bf-b1c791ab809a}</vt:lpwstr>
  </property>
  <property fmtid="{D5CDD505-2E9C-101B-9397-08002B2CF9AE}" pid="8" name="RecordPoint_ActiveItemUniqueId">
    <vt:lpwstr>{b5ba9956-6aba-4234-9ae9-4964c1965cf1}</vt:lpwstr>
  </property>
  <property fmtid="{D5CDD505-2E9C-101B-9397-08002B2CF9AE}" pid="9" name="RecordPoint_ActiveItemWebId">
    <vt:lpwstr>{682871c2-4073-4158-957a-6d924b9ba0a6}</vt:lpwstr>
  </property>
  <property fmtid="{D5CDD505-2E9C-101B-9397-08002B2CF9AE}" pid="10" name="RecordPoint_RecordNumberSubmitted">
    <vt:lpwstr>R0001629234</vt:lpwstr>
  </property>
  <property fmtid="{D5CDD505-2E9C-101B-9397-08002B2CF9AE}" pid="11" name="RecordPoint_SubmissionCompleted">
    <vt:lpwstr>2018-03-28T12:37:54.5470073+11:00</vt:lpwstr>
  </property>
</Properties>
</file>