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AA5E4" w14:textId="02D90D00" w:rsidR="00794CAA" w:rsidRPr="00CC0D6C" w:rsidRDefault="008D5A6D" w:rsidP="00BA2246">
      <w:pPr>
        <w:spacing w:after="240"/>
        <w:jc w:val="both"/>
        <w:rPr>
          <w:rFonts w:asciiTheme="minorHAnsi" w:hAnsiTheme="minorHAnsi" w:cstheme="minorHAnsi"/>
          <w:b/>
          <w:sz w:val="22"/>
          <w:szCs w:val="22"/>
        </w:rPr>
      </w:pPr>
      <w:r w:rsidRPr="00CC0D6C">
        <w:rPr>
          <w:rFonts w:asciiTheme="minorHAnsi" w:hAnsiTheme="minorHAnsi" w:cstheme="minorHAnsi"/>
          <w:b/>
          <w:sz w:val="22"/>
          <w:szCs w:val="22"/>
        </w:rPr>
        <w:t>Open Banking Report Consultation</w:t>
      </w:r>
    </w:p>
    <w:p w14:paraId="08D2ABE8" w14:textId="166271D3" w:rsidR="008D5A6D" w:rsidRPr="00CC0D6C" w:rsidRDefault="008D5A6D" w:rsidP="00BA2246">
      <w:pPr>
        <w:spacing w:after="240"/>
        <w:rPr>
          <w:rFonts w:asciiTheme="minorHAnsi" w:hAnsiTheme="minorHAnsi" w:cstheme="minorHAnsi"/>
          <w:bCs/>
          <w:sz w:val="22"/>
          <w:szCs w:val="22"/>
        </w:rPr>
      </w:pPr>
      <w:r w:rsidRPr="00CC0D6C">
        <w:rPr>
          <w:rFonts w:asciiTheme="minorHAnsi" w:hAnsiTheme="minorHAnsi" w:cstheme="minorHAnsi"/>
          <w:bCs/>
          <w:sz w:val="22"/>
          <w:szCs w:val="22"/>
        </w:rPr>
        <w:t>Thank you for the opportunity to respond to the proposals in the</w:t>
      </w:r>
      <w:r w:rsidR="00BA2246" w:rsidRPr="00CC0D6C">
        <w:rPr>
          <w:rFonts w:asciiTheme="minorHAnsi" w:hAnsiTheme="minorHAnsi" w:cstheme="minorHAnsi"/>
          <w:bCs/>
          <w:sz w:val="22"/>
          <w:szCs w:val="22"/>
        </w:rPr>
        <w:t xml:space="preserve"> </w:t>
      </w:r>
      <w:r w:rsidRPr="00CC0D6C">
        <w:rPr>
          <w:rFonts w:asciiTheme="minorHAnsi" w:hAnsiTheme="minorHAnsi" w:cstheme="minorHAnsi"/>
          <w:bCs/>
          <w:sz w:val="22"/>
          <w:szCs w:val="22"/>
        </w:rPr>
        <w:t>Open Banking report dated December 2017.</w:t>
      </w:r>
    </w:p>
    <w:p w14:paraId="05F83C73" w14:textId="77777777" w:rsidR="008D5A6D" w:rsidRPr="00CC0D6C" w:rsidRDefault="008D5A6D" w:rsidP="00BA2246">
      <w:pPr>
        <w:spacing w:after="240"/>
        <w:jc w:val="both"/>
        <w:rPr>
          <w:rFonts w:asciiTheme="minorHAnsi" w:hAnsiTheme="minorHAnsi" w:cstheme="minorHAnsi"/>
          <w:b/>
          <w:bCs/>
          <w:sz w:val="22"/>
          <w:szCs w:val="22"/>
          <w:u w:val="single"/>
        </w:rPr>
      </w:pPr>
      <w:r w:rsidRPr="00CC0D6C">
        <w:rPr>
          <w:rFonts w:asciiTheme="minorHAnsi" w:hAnsiTheme="minorHAnsi" w:cstheme="minorHAnsi"/>
          <w:b/>
          <w:bCs/>
          <w:sz w:val="22"/>
          <w:szCs w:val="22"/>
          <w:u w:val="single"/>
        </w:rPr>
        <w:t>About Data Action</w:t>
      </w:r>
    </w:p>
    <w:p w14:paraId="1F33CD9D" w14:textId="77777777" w:rsidR="008D5A6D" w:rsidRPr="00CC0D6C" w:rsidRDefault="008D5A6D" w:rsidP="00BA2246">
      <w:pPr>
        <w:spacing w:after="240"/>
        <w:jc w:val="both"/>
        <w:rPr>
          <w:rFonts w:asciiTheme="minorHAnsi" w:hAnsiTheme="minorHAnsi" w:cstheme="minorHAnsi"/>
          <w:bCs/>
          <w:sz w:val="22"/>
          <w:szCs w:val="22"/>
        </w:rPr>
      </w:pPr>
      <w:r w:rsidRPr="00CC0D6C">
        <w:rPr>
          <w:rFonts w:asciiTheme="minorHAnsi" w:hAnsiTheme="minorHAnsi" w:cstheme="minorHAnsi"/>
          <w:bCs/>
          <w:sz w:val="22"/>
          <w:szCs w:val="22"/>
        </w:rPr>
        <w:t>Data Action (DA) is a provider of software and services primarily to the customer owned banking sector. We strongly support competition in banking believing that a competitive banking sector delivers customers more choice, greater access and fairer prices.</w:t>
      </w:r>
    </w:p>
    <w:p w14:paraId="0A93E720" w14:textId="77777777" w:rsidR="008D5A6D" w:rsidRPr="00CC0D6C" w:rsidRDefault="008D5A6D" w:rsidP="00BA2246">
      <w:pPr>
        <w:spacing w:before="240" w:after="240"/>
        <w:jc w:val="both"/>
        <w:rPr>
          <w:rFonts w:asciiTheme="minorHAnsi" w:hAnsiTheme="minorHAnsi" w:cstheme="minorHAnsi"/>
          <w:b/>
          <w:bCs/>
          <w:caps/>
          <w:sz w:val="22"/>
          <w:szCs w:val="22"/>
          <w:u w:val="single"/>
        </w:rPr>
      </w:pPr>
      <w:r w:rsidRPr="00CC0D6C">
        <w:rPr>
          <w:rFonts w:asciiTheme="minorHAnsi" w:hAnsiTheme="minorHAnsi" w:cstheme="minorHAnsi"/>
          <w:b/>
          <w:bCs/>
          <w:caps/>
          <w:sz w:val="22"/>
          <w:szCs w:val="22"/>
          <w:u w:val="single"/>
        </w:rPr>
        <w:t>Response to Proposal</w:t>
      </w:r>
    </w:p>
    <w:p w14:paraId="6275732B" w14:textId="77777777" w:rsidR="008D5A6D" w:rsidRPr="00CC0D6C" w:rsidRDefault="008D5A6D" w:rsidP="00D52236">
      <w:pPr>
        <w:pStyle w:val="ListParagraph"/>
        <w:numPr>
          <w:ilvl w:val="0"/>
          <w:numId w:val="33"/>
        </w:numPr>
        <w:spacing w:before="240" w:after="120"/>
        <w:ind w:left="567" w:hanging="567"/>
        <w:contextualSpacing w:val="0"/>
        <w:jc w:val="both"/>
        <w:rPr>
          <w:rFonts w:asciiTheme="minorHAnsi" w:hAnsiTheme="minorHAnsi" w:cstheme="minorHAnsi"/>
          <w:b/>
          <w:bCs/>
          <w:u w:val="single"/>
        </w:rPr>
      </w:pPr>
      <w:r w:rsidRPr="00CC0D6C">
        <w:rPr>
          <w:rFonts w:asciiTheme="minorHAnsi" w:hAnsiTheme="minorHAnsi" w:cstheme="minorHAnsi"/>
          <w:b/>
          <w:bCs/>
          <w:u w:val="single"/>
        </w:rPr>
        <w:t>Read-only API access</w:t>
      </w:r>
    </w:p>
    <w:p w14:paraId="4ED01442" w14:textId="77777777" w:rsidR="008D5A6D" w:rsidRPr="00CC0D6C" w:rsidRDefault="008D5A6D" w:rsidP="00BA2246">
      <w:pPr>
        <w:jc w:val="both"/>
        <w:rPr>
          <w:rFonts w:asciiTheme="minorHAnsi" w:hAnsiTheme="minorHAnsi" w:cstheme="minorHAnsi"/>
          <w:sz w:val="22"/>
          <w:szCs w:val="22"/>
        </w:rPr>
      </w:pPr>
      <w:r w:rsidRPr="00CC0D6C">
        <w:rPr>
          <w:rFonts w:asciiTheme="minorHAnsi" w:hAnsiTheme="minorHAnsi" w:cstheme="minorHAnsi"/>
          <w:sz w:val="22"/>
          <w:szCs w:val="22"/>
        </w:rPr>
        <w:t>It is our opinion that the recommendation [ref. Recommendation 5.3 and Ch 6 pp 109] to implement Open Banking as read-only in the first instance, could severely limit its utility. It is our view that the use of read-only data would be limited to:</w:t>
      </w:r>
    </w:p>
    <w:p w14:paraId="1FA60770" w14:textId="77777777" w:rsidR="008D5A6D" w:rsidRPr="00CC0D6C" w:rsidRDefault="008D5A6D" w:rsidP="00BA2246">
      <w:pPr>
        <w:pStyle w:val="ListParagraph"/>
        <w:numPr>
          <w:ilvl w:val="0"/>
          <w:numId w:val="32"/>
        </w:numPr>
        <w:spacing w:before="60" w:after="60"/>
        <w:ind w:left="567" w:hanging="567"/>
        <w:contextualSpacing w:val="0"/>
        <w:jc w:val="both"/>
        <w:rPr>
          <w:rFonts w:asciiTheme="minorHAnsi" w:hAnsiTheme="minorHAnsi" w:cstheme="minorHAnsi"/>
        </w:rPr>
      </w:pPr>
      <w:r w:rsidRPr="00CC0D6C">
        <w:rPr>
          <w:rFonts w:asciiTheme="minorHAnsi" w:hAnsiTheme="minorHAnsi" w:cstheme="minorHAnsi"/>
        </w:rPr>
        <w:t>product comparisons</w:t>
      </w:r>
    </w:p>
    <w:p w14:paraId="3F7816E6" w14:textId="77777777" w:rsidR="008D5A6D" w:rsidRPr="00CC0D6C" w:rsidRDefault="008D5A6D" w:rsidP="00BA2246">
      <w:pPr>
        <w:pStyle w:val="ListParagraph"/>
        <w:numPr>
          <w:ilvl w:val="0"/>
          <w:numId w:val="32"/>
        </w:numPr>
        <w:spacing w:before="60" w:after="60"/>
        <w:ind w:left="567" w:hanging="567"/>
        <w:contextualSpacing w:val="0"/>
        <w:jc w:val="both"/>
        <w:rPr>
          <w:rFonts w:asciiTheme="minorHAnsi" w:hAnsiTheme="minorHAnsi" w:cstheme="minorHAnsi"/>
        </w:rPr>
      </w:pPr>
      <w:r w:rsidRPr="00CC0D6C">
        <w:rPr>
          <w:rFonts w:asciiTheme="minorHAnsi" w:hAnsiTheme="minorHAnsi" w:cstheme="minorHAnsi"/>
        </w:rPr>
        <w:t>personal financial management apps</w:t>
      </w:r>
    </w:p>
    <w:p w14:paraId="7D134CC5" w14:textId="77777777" w:rsidR="008D5A6D" w:rsidRPr="00CC0D6C" w:rsidRDefault="008D5A6D" w:rsidP="00BA2246">
      <w:pPr>
        <w:pStyle w:val="ListParagraph"/>
        <w:numPr>
          <w:ilvl w:val="0"/>
          <w:numId w:val="32"/>
        </w:numPr>
        <w:spacing w:before="60" w:after="60"/>
        <w:ind w:left="567" w:hanging="567"/>
        <w:contextualSpacing w:val="0"/>
        <w:jc w:val="both"/>
        <w:rPr>
          <w:rFonts w:asciiTheme="minorHAnsi" w:hAnsiTheme="minorHAnsi" w:cstheme="minorHAnsi"/>
        </w:rPr>
      </w:pPr>
      <w:r w:rsidRPr="00CC0D6C">
        <w:rPr>
          <w:rFonts w:asciiTheme="minorHAnsi" w:hAnsiTheme="minorHAnsi" w:cstheme="minorHAnsi"/>
        </w:rPr>
        <w:t xml:space="preserve">spend-tracking with account aggregators </w:t>
      </w:r>
    </w:p>
    <w:p w14:paraId="6D55FA13" w14:textId="77777777" w:rsidR="008D5A6D" w:rsidRPr="00CC0D6C" w:rsidRDefault="008D5A6D" w:rsidP="00BA2246">
      <w:pPr>
        <w:spacing w:after="240"/>
        <w:jc w:val="both"/>
        <w:rPr>
          <w:rFonts w:asciiTheme="minorHAnsi" w:hAnsiTheme="minorHAnsi" w:cstheme="minorHAnsi"/>
          <w:sz w:val="22"/>
          <w:szCs w:val="22"/>
        </w:rPr>
      </w:pPr>
      <w:r w:rsidRPr="00CC0D6C">
        <w:rPr>
          <w:rFonts w:asciiTheme="minorHAnsi" w:hAnsiTheme="minorHAnsi" w:cstheme="minorHAnsi"/>
          <w:sz w:val="22"/>
          <w:szCs w:val="22"/>
        </w:rPr>
        <w:t>Without the ability to perform financial transfers, the potential for economic interactions and product development is severely restricted.   In addition, we also believe that read-only access to APIs is unlikely to deliver increases in competition and will in fact, help maintain the status quo.</w:t>
      </w:r>
    </w:p>
    <w:p w14:paraId="1F72BB48" w14:textId="77777777" w:rsidR="008D5A6D" w:rsidRPr="00CC0D6C" w:rsidRDefault="008D5A6D" w:rsidP="00BA2246">
      <w:pPr>
        <w:spacing w:after="240"/>
        <w:jc w:val="both"/>
        <w:rPr>
          <w:rFonts w:asciiTheme="minorHAnsi" w:hAnsiTheme="minorHAnsi" w:cstheme="minorHAnsi"/>
          <w:sz w:val="22"/>
          <w:szCs w:val="22"/>
        </w:rPr>
      </w:pPr>
      <w:r w:rsidRPr="00CC0D6C">
        <w:rPr>
          <w:rFonts w:asciiTheme="minorHAnsi" w:hAnsiTheme="minorHAnsi" w:cstheme="minorHAnsi"/>
          <w:sz w:val="22"/>
          <w:szCs w:val="22"/>
        </w:rPr>
        <w:t xml:space="preserve">DA acknowledges the working group’s view that a staged approach may mitigate perceived risk around security breaches.  However, a model has already been proposed [ref. Recommendations 2.7, 2.8 and 3.10] to allow for tiers of accreditation.  We recommend that consideration is given to an option whereby those who achieve the top tier of accreditation would also gain read-write access to APIs. </w:t>
      </w:r>
    </w:p>
    <w:p w14:paraId="5E083EDA" w14:textId="77777777" w:rsidR="008D5A6D" w:rsidRPr="00CC0D6C" w:rsidRDefault="008D5A6D" w:rsidP="00BA2246">
      <w:pPr>
        <w:spacing w:after="240"/>
        <w:jc w:val="both"/>
        <w:rPr>
          <w:rFonts w:asciiTheme="minorHAnsi" w:hAnsiTheme="minorHAnsi" w:cstheme="minorHAnsi"/>
          <w:sz w:val="22"/>
          <w:szCs w:val="22"/>
        </w:rPr>
      </w:pPr>
      <w:r w:rsidRPr="00CC0D6C">
        <w:rPr>
          <w:rFonts w:asciiTheme="minorHAnsi" w:hAnsiTheme="minorHAnsi" w:cstheme="minorHAnsi"/>
          <w:sz w:val="22"/>
          <w:szCs w:val="22"/>
        </w:rPr>
        <w:t xml:space="preserve">Similarly, the working group has acknowledged [ref. Ch 1 pp3] that ADIs already have bilateral integration arrangements with trusted partners, so the need for, and solution to, supporting financial transfers securely already exists. Indeed, many ADIs have successfully completed NPP integration at this time providing for real-time settlement and clearing of payments securely between financial institutions. </w:t>
      </w:r>
    </w:p>
    <w:p w14:paraId="11B505E6" w14:textId="77777777" w:rsidR="00D52236" w:rsidRPr="00CC0D6C" w:rsidRDefault="008D5A6D" w:rsidP="00BA2246">
      <w:pPr>
        <w:spacing w:after="240"/>
        <w:jc w:val="both"/>
        <w:rPr>
          <w:rFonts w:asciiTheme="minorHAnsi" w:hAnsiTheme="minorHAnsi" w:cstheme="minorHAnsi"/>
          <w:sz w:val="22"/>
          <w:szCs w:val="22"/>
        </w:rPr>
        <w:sectPr w:rsidR="00D52236" w:rsidRPr="00CC0D6C" w:rsidSect="00D52236">
          <w:headerReference w:type="even" r:id="rId8"/>
          <w:headerReference w:type="default" r:id="rId9"/>
          <w:footerReference w:type="even" r:id="rId10"/>
          <w:footerReference w:type="default" r:id="rId11"/>
          <w:headerReference w:type="first" r:id="rId12"/>
          <w:footerReference w:type="first" r:id="rId13"/>
          <w:pgSz w:w="11906" w:h="16838" w:code="9"/>
          <w:pgMar w:top="4537" w:right="709" w:bottom="709" w:left="709" w:header="567" w:footer="348" w:gutter="0"/>
          <w:cols w:space="720"/>
          <w:titlePg/>
        </w:sectPr>
      </w:pPr>
      <w:r w:rsidRPr="00CC0D6C">
        <w:rPr>
          <w:rFonts w:asciiTheme="minorHAnsi" w:hAnsiTheme="minorHAnsi" w:cstheme="minorHAnsi"/>
          <w:sz w:val="22"/>
          <w:szCs w:val="22"/>
        </w:rPr>
        <w:t xml:space="preserve">Therefore, DA maintains that the challenges of supporting financial transfers securely via an “open” integration can be demonstrably overcome, and in the process will provide consumers with the much richer functionality that read-write access can bring. </w:t>
      </w:r>
    </w:p>
    <w:p w14:paraId="0767D51A" w14:textId="77777777" w:rsidR="008D5A6D" w:rsidRPr="00CC0D6C" w:rsidRDefault="008D5A6D" w:rsidP="00D52236">
      <w:pPr>
        <w:pStyle w:val="ListParagraph"/>
        <w:numPr>
          <w:ilvl w:val="0"/>
          <w:numId w:val="33"/>
        </w:numPr>
        <w:spacing w:before="240" w:after="120"/>
        <w:ind w:left="567" w:hanging="567"/>
        <w:contextualSpacing w:val="0"/>
        <w:jc w:val="both"/>
        <w:rPr>
          <w:rFonts w:asciiTheme="minorHAnsi" w:hAnsiTheme="minorHAnsi" w:cstheme="minorHAnsi"/>
          <w:b/>
          <w:bCs/>
          <w:u w:val="single"/>
        </w:rPr>
      </w:pPr>
      <w:r w:rsidRPr="00CC0D6C">
        <w:rPr>
          <w:rFonts w:asciiTheme="minorHAnsi" w:hAnsiTheme="minorHAnsi" w:cstheme="minorHAnsi"/>
          <w:b/>
          <w:bCs/>
          <w:u w:val="single"/>
        </w:rPr>
        <w:lastRenderedPageBreak/>
        <w:t>No minimum uptime SLA proposed</w:t>
      </w:r>
    </w:p>
    <w:p w14:paraId="35670DEE" w14:textId="5207B198" w:rsidR="00BA2246" w:rsidRPr="00CC0D6C" w:rsidRDefault="008D5A6D" w:rsidP="00D52236">
      <w:pPr>
        <w:spacing w:after="240"/>
        <w:jc w:val="both"/>
        <w:rPr>
          <w:rFonts w:asciiTheme="minorHAnsi" w:hAnsiTheme="minorHAnsi" w:cstheme="minorHAnsi"/>
          <w:sz w:val="22"/>
          <w:szCs w:val="22"/>
        </w:rPr>
      </w:pPr>
      <w:r w:rsidRPr="00CC0D6C">
        <w:rPr>
          <w:rFonts w:asciiTheme="minorHAnsi" w:hAnsiTheme="minorHAnsi" w:cstheme="minorHAnsi"/>
          <w:sz w:val="22"/>
          <w:szCs w:val="22"/>
        </w:rPr>
        <w:t>It is our belief that for Open Banking to succeed, it is imperative that a suitably high SLA be included to govern the expected uptime of the APIs. This view is premised on the likelihood of degraded customer experience if products, no matter how innovative, are compromised by data providers who are offline for scheduled maintenance or overnight batch processing (as is commonly the case).</w:t>
      </w:r>
    </w:p>
    <w:p w14:paraId="4CA5D8F4" w14:textId="66585EB6" w:rsidR="00BA2246" w:rsidRPr="00CC0D6C" w:rsidRDefault="008D5A6D" w:rsidP="00D52236">
      <w:pPr>
        <w:spacing w:after="240"/>
        <w:jc w:val="both"/>
        <w:rPr>
          <w:rFonts w:asciiTheme="minorHAnsi" w:hAnsiTheme="minorHAnsi" w:cstheme="minorHAnsi"/>
          <w:sz w:val="22"/>
          <w:szCs w:val="22"/>
        </w:rPr>
      </w:pPr>
      <w:r w:rsidRPr="00CC0D6C">
        <w:rPr>
          <w:rFonts w:asciiTheme="minorHAnsi" w:hAnsiTheme="minorHAnsi" w:cstheme="minorHAnsi"/>
          <w:sz w:val="22"/>
          <w:szCs w:val="22"/>
        </w:rPr>
        <w:t>The recommendations consider draft PSD2 RTS that “</w:t>
      </w:r>
      <w:r w:rsidRPr="00CC0D6C">
        <w:rPr>
          <w:rFonts w:asciiTheme="minorHAnsi" w:hAnsiTheme="minorHAnsi" w:cstheme="minorHAnsi"/>
          <w:i/>
          <w:sz w:val="22"/>
          <w:szCs w:val="22"/>
        </w:rPr>
        <w:t>the level of availability and performance, including support and contingency measures, be the same as the interface made available by the account provider to the user directly</w:t>
      </w:r>
      <w:r w:rsidRPr="00CC0D6C">
        <w:rPr>
          <w:rFonts w:asciiTheme="minorHAnsi" w:hAnsiTheme="minorHAnsi" w:cstheme="minorHAnsi"/>
          <w:sz w:val="22"/>
          <w:szCs w:val="22"/>
        </w:rPr>
        <w:t>” [ref. Ch 5 pp 79]. Our concern is that this would enable data providers to constrain the business models, and stifle innovation, of new entrants to the market.</w:t>
      </w:r>
    </w:p>
    <w:p w14:paraId="6534EBE4" w14:textId="77777777" w:rsidR="008D5A6D" w:rsidRPr="00CC0D6C" w:rsidRDefault="008D5A6D" w:rsidP="00BA2246">
      <w:pPr>
        <w:spacing w:after="240"/>
        <w:jc w:val="both"/>
        <w:rPr>
          <w:rFonts w:asciiTheme="minorHAnsi" w:hAnsiTheme="minorHAnsi" w:cstheme="minorHAnsi"/>
          <w:sz w:val="22"/>
          <w:szCs w:val="22"/>
          <w:highlight w:val="yellow"/>
        </w:rPr>
      </w:pPr>
      <w:r w:rsidRPr="00CC0D6C">
        <w:rPr>
          <w:rFonts w:asciiTheme="minorHAnsi" w:hAnsiTheme="minorHAnsi" w:cstheme="minorHAnsi"/>
          <w:sz w:val="22"/>
          <w:szCs w:val="22"/>
        </w:rPr>
        <w:t xml:space="preserve">It is DA’s view that for Open Banking to be a driver for innovation in Australia, data consumers need to have </w:t>
      </w:r>
      <w:r w:rsidRPr="00CC0D6C">
        <w:rPr>
          <w:rFonts w:asciiTheme="minorHAnsi" w:hAnsiTheme="minorHAnsi" w:cstheme="minorHAnsi"/>
          <w:b/>
          <w:sz w:val="22"/>
          <w:szCs w:val="22"/>
        </w:rPr>
        <w:t>predictable</w:t>
      </w:r>
      <w:r w:rsidRPr="00CC0D6C">
        <w:rPr>
          <w:rFonts w:asciiTheme="minorHAnsi" w:hAnsiTheme="minorHAnsi" w:cstheme="minorHAnsi"/>
          <w:sz w:val="22"/>
          <w:szCs w:val="22"/>
        </w:rPr>
        <w:t xml:space="preserve"> access to data, and as such Open Banking should come with a clear minimum SLA on availability that is subject to audit, e.g. by the ACCC, rather than accepting the lowest common denominator.</w:t>
      </w:r>
    </w:p>
    <w:p w14:paraId="54319988" w14:textId="77777777" w:rsidR="008D5A6D" w:rsidRPr="00CC0D6C" w:rsidRDefault="008D5A6D" w:rsidP="00D52236">
      <w:pPr>
        <w:pStyle w:val="ListParagraph"/>
        <w:numPr>
          <w:ilvl w:val="0"/>
          <w:numId w:val="33"/>
        </w:numPr>
        <w:spacing w:before="240" w:after="120"/>
        <w:ind w:left="567" w:hanging="567"/>
        <w:contextualSpacing w:val="0"/>
        <w:jc w:val="both"/>
        <w:rPr>
          <w:rFonts w:asciiTheme="minorHAnsi" w:hAnsiTheme="minorHAnsi" w:cstheme="minorHAnsi"/>
          <w:b/>
          <w:bCs/>
          <w:u w:val="single"/>
        </w:rPr>
      </w:pPr>
      <w:r w:rsidRPr="00CC0D6C">
        <w:rPr>
          <w:rFonts w:asciiTheme="minorHAnsi" w:hAnsiTheme="minorHAnsi" w:cstheme="minorHAnsi"/>
          <w:b/>
          <w:bCs/>
          <w:u w:val="single"/>
        </w:rPr>
        <w:t>Screen scraping will not be diminished by Open Banking proposals</w:t>
      </w:r>
    </w:p>
    <w:p w14:paraId="0DDBDC3D" w14:textId="48191DE0" w:rsidR="008D5A6D" w:rsidRPr="00CC0D6C" w:rsidRDefault="008D5A6D" w:rsidP="00BA2246">
      <w:pPr>
        <w:spacing w:after="240"/>
        <w:jc w:val="both"/>
        <w:rPr>
          <w:rFonts w:asciiTheme="minorHAnsi" w:hAnsiTheme="minorHAnsi" w:cstheme="minorHAnsi"/>
          <w:sz w:val="22"/>
          <w:szCs w:val="22"/>
        </w:rPr>
      </w:pPr>
      <w:r w:rsidRPr="00CC0D6C">
        <w:rPr>
          <w:rFonts w:asciiTheme="minorHAnsi" w:hAnsiTheme="minorHAnsi" w:cstheme="minorHAnsi"/>
          <w:i/>
          <w:iCs/>
          <w:sz w:val="22"/>
          <w:szCs w:val="22"/>
        </w:rPr>
        <w:t>It is asserted that “Open Banking should not prohibit or endorse ‘screen</w:t>
      </w:r>
      <w:r w:rsidR="00D22997" w:rsidRPr="00CC0D6C">
        <w:rPr>
          <w:rFonts w:asciiTheme="minorHAnsi" w:hAnsiTheme="minorHAnsi" w:cstheme="minorHAnsi"/>
          <w:i/>
          <w:iCs/>
          <w:sz w:val="22"/>
          <w:szCs w:val="22"/>
        </w:rPr>
        <w:t xml:space="preserve"> </w:t>
      </w:r>
      <w:r w:rsidRPr="00CC0D6C">
        <w:rPr>
          <w:rFonts w:asciiTheme="minorHAnsi" w:hAnsiTheme="minorHAnsi" w:cstheme="minorHAnsi"/>
          <w:i/>
          <w:iCs/>
          <w:sz w:val="22"/>
          <w:szCs w:val="22"/>
        </w:rPr>
        <w:t xml:space="preserve">scraping’ but should aim to make this practice redundant by facilitating a more efficient data transfer mechanism.” </w:t>
      </w:r>
      <w:r w:rsidRPr="00CC0D6C">
        <w:rPr>
          <w:rFonts w:asciiTheme="minorHAnsi" w:hAnsiTheme="minorHAnsi" w:cstheme="minorHAnsi"/>
          <w:sz w:val="22"/>
          <w:szCs w:val="22"/>
        </w:rPr>
        <w:t>[Ref Executive Summary Ch 5 pp 10.]</w:t>
      </w:r>
    </w:p>
    <w:p w14:paraId="062CBFD9" w14:textId="77777777" w:rsidR="008D5A6D" w:rsidRPr="00CC0D6C" w:rsidRDefault="008D5A6D" w:rsidP="00BA2246">
      <w:pPr>
        <w:spacing w:after="240"/>
        <w:jc w:val="both"/>
        <w:rPr>
          <w:rFonts w:asciiTheme="minorHAnsi" w:hAnsiTheme="minorHAnsi" w:cstheme="minorHAnsi"/>
          <w:iCs/>
          <w:sz w:val="22"/>
          <w:szCs w:val="22"/>
        </w:rPr>
      </w:pPr>
      <w:r w:rsidRPr="00CC0D6C">
        <w:rPr>
          <w:rFonts w:asciiTheme="minorHAnsi" w:hAnsiTheme="minorHAnsi" w:cstheme="minorHAnsi"/>
          <w:iCs/>
          <w:sz w:val="22"/>
          <w:szCs w:val="22"/>
        </w:rPr>
        <w:t xml:space="preserve">DA agrees with this approach for screen scraping services that aggregate branch, ATM, and product data and acknowledge that a standard for accessing this data would be naturally adopted over time. </w:t>
      </w:r>
    </w:p>
    <w:p w14:paraId="7DC8A545" w14:textId="77777777" w:rsidR="008D5A6D" w:rsidRPr="00CC0D6C" w:rsidRDefault="008D5A6D" w:rsidP="00BA2246">
      <w:pPr>
        <w:spacing w:after="240"/>
        <w:jc w:val="both"/>
        <w:rPr>
          <w:rFonts w:asciiTheme="minorHAnsi" w:hAnsiTheme="minorHAnsi" w:cstheme="minorHAnsi"/>
          <w:sz w:val="22"/>
          <w:szCs w:val="22"/>
          <w:highlight w:val="yellow"/>
        </w:rPr>
      </w:pPr>
      <w:r w:rsidRPr="00CC0D6C">
        <w:rPr>
          <w:rFonts w:asciiTheme="minorHAnsi" w:hAnsiTheme="minorHAnsi" w:cstheme="minorHAnsi"/>
          <w:iCs/>
          <w:sz w:val="22"/>
          <w:szCs w:val="22"/>
        </w:rPr>
        <w:t>However, it is worth highlighting our area of most concern with screen scraping relates to access to a customer’s personal financial data.</w:t>
      </w:r>
    </w:p>
    <w:p w14:paraId="6885D46F" w14:textId="77777777" w:rsidR="008D5A6D" w:rsidRPr="00CC0D6C" w:rsidRDefault="008D5A6D" w:rsidP="00BA2246">
      <w:pPr>
        <w:spacing w:after="240"/>
        <w:jc w:val="both"/>
        <w:rPr>
          <w:rFonts w:asciiTheme="minorHAnsi" w:hAnsiTheme="minorHAnsi" w:cstheme="minorHAnsi"/>
          <w:sz w:val="22"/>
          <w:szCs w:val="22"/>
        </w:rPr>
      </w:pPr>
      <w:r w:rsidRPr="00CC0D6C">
        <w:rPr>
          <w:rFonts w:asciiTheme="minorHAnsi" w:hAnsiTheme="minorHAnsi" w:cstheme="minorHAnsi"/>
          <w:sz w:val="22"/>
          <w:szCs w:val="22"/>
        </w:rPr>
        <w:t xml:space="preserve">We have pro-actively worked on our Internet Banking product with third-party companies that operate screen scraping technology, to determine the API access they would require to fully transition to a secure and managed interface. Based on this experience, it is our view that the API offerings presently outlined under Open Banking will only form a subset of the data currently accessed via screen scraping, thereby reducing the likelihood of optimal adoption of the APIs. </w:t>
      </w:r>
    </w:p>
    <w:p w14:paraId="60CE3129" w14:textId="77777777" w:rsidR="008D5A6D" w:rsidRPr="00CC0D6C" w:rsidRDefault="008D5A6D" w:rsidP="00BA2246">
      <w:pPr>
        <w:spacing w:after="240"/>
        <w:jc w:val="both"/>
        <w:rPr>
          <w:rFonts w:asciiTheme="minorHAnsi" w:hAnsiTheme="minorHAnsi" w:cstheme="minorHAnsi"/>
          <w:sz w:val="22"/>
          <w:szCs w:val="22"/>
        </w:rPr>
      </w:pPr>
      <w:r w:rsidRPr="00CC0D6C">
        <w:rPr>
          <w:rFonts w:asciiTheme="minorHAnsi" w:hAnsiTheme="minorHAnsi" w:cstheme="minorHAnsi"/>
          <w:sz w:val="22"/>
          <w:szCs w:val="22"/>
        </w:rPr>
        <w:t xml:space="preserve">It is our opinion that Open Banking can, and will, alter the landscape of financial services in Australia. In the process, expectations of consumers will be that their financial service providers can deliver better integrated and relevant services. This “new normal” will increase the value of data to all participants in the marketplace, including screen scrapers. By failing to include screen scrapers within the scope of Open Banking, the recommendations could establish a cost-avoidance incentive that will encourage growth in screen scraping. </w:t>
      </w:r>
    </w:p>
    <w:p w14:paraId="0F10EEBF" w14:textId="77777777" w:rsidR="008D5A6D" w:rsidRPr="00CC0D6C" w:rsidRDefault="008D5A6D" w:rsidP="00BA2246">
      <w:pPr>
        <w:spacing w:after="240"/>
        <w:jc w:val="both"/>
        <w:rPr>
          <w:rFonts w:asciiTheme="minorHAnsi" w:hAnsiTheme="minorHAnsi" w:cstheme="minorHAnsi"/>
          <w:sz w:val="22"/>
          <w:szCs w:val="22"/>
        </w:rPr>
      </w:pPr>
      <w:r w:rsidRPr="00CC0D6C">
        <w:rPr>
          <w:rFonts w:asciiTheme="minorHAnsi" w:hAnsiTheme="minorHAnsi" w:cstheme="minorHAnsi"/>
          <w:sz w:val="22"/>
          <w:szCs w:val="22"/>
        </w:rPr>
        <w:t>DA envisages that under a data rich environment facilitated by the Open Banking regime, that consumer needs (highlighted by screen scraper) could continue to be fulfilled, but with better controls and clearer governance. This could be achieved if screen scrapers face the same obligations as other providers and consumers of the same data. Specifically, we suggest that the following recommendations should be extended to screen scraping services that deal with financial data:</w:t>
      </w:r>
    </w:p>
    <w:p w14:paraId="17A3CF75" w14:textId="77777777" w:rsidR="008D5A6D" w:rsidRPr="00CC0D6C" w:rsidRDefault="008D5A6D" w:rsidP="00BA2246">
      <w:pPr>
        <w:pStyle w:val="ListParagraph"/>
        <w:numPr>
          <w:ilvl w:val="0"/>
          <w:numId w:val="34"/>
        </w:numPr>
        <w:spacing w:before="60" w:after="60"/>
        <w:ind w:left="567" w:hanging="567"/>
        <w:contextualSpacing w:val="0"/>
        <w:jc w:val="both"/>
        <w:rPr>
          <w:rFonts w:asciiTheme="minorHAnsi" w:hAnsiTheme="minorHAnsi" w:cstheme="minorHAnsi"/>
        </w:rPr>
      </w:pPr>
      <w:r w:rsidRPr="00CC0D6C">
        <w:rPr>
          <w:rFonts w:asciiTheme="minorHAnsi" w:hAnsiTheme="minorHAnsi" w:cstheme="minorHAnsi"/>
        </w:rPr>
        <w:t>Recommendation 2.7 – accreditation</w:t>
      </w:r>
    </w:p>
    <w:p w14:paraId="025A8C95" w14:textId="77777777" w:rsidR="008D5A6D" w:rsidRPr="00CC0D6C" w:rsidRDefault="008D5A6D" w:rsidP="00BA2246">
      <w:pPr>
        <w:pStyle w:val="ListParagraph"/>
        <w:numPr>
          <w:ilvl w:val="0"/>
          <w:numId w:val="34"/>
        </w:numPr>
        <w:spacing w:before="60" w:after="60"/>
        <w:ind w:left="567" w:hanging="567"/>
        <w:contextualSpacing w:val="0"/>
        <w:jc w:val="both"/>
        <w:rPr>
          <w:rFonts w:asciiTheme="minorHAnsi" w:hAnsiTheme="minorHAnsi" w:cstheme="minorHAnsi"/>
        </w:rPr>
      </w:pPr>
      <w:r w:rsidRPr="00CC0D6C">
        <w:rPr>
          <w:rFonts w:asciiTheme="minorHAnsi" w:hAnsiTheme="minorHAnsi" w:cstheme="minorHAnsi"/>
        </w:rPr>
        <w:t>Recommendation 3.9 – reciprocal obligations in Open Banking</w:t>
      </w:r>
    </w:p>
    <w:p w14:paraId="66CFD1C5" w14:textId="77777777" w:rsidR="008D5A6D" w:rsidRPr="00CC0D6C" w:rsidRDefault="008D5A6D" w:rsidP="00BA2246">
      <w:pPr>
        <w:pStyle w:val="ListParagraph"/>
        <w:numPr>
          <w:ilvl w:val="0"/>
          <w:numId w:val="34"/>
        </w:numPr>
        <w:spacing w:before="60" w:after="60"/>
        <w:ind w:left="567" w:hanging="567"/>
        <w:contextualSpacing w:val="0"/>
        <w:jc w:val="both"/>
        <w:rPr>
          <w:rFonts w:asciiTheme="minorHAnsi" w:hAnsiTheme="minorHAnsi" w:cstheme="minorHAnsi"/>
        </w:rPr>
      </w:pPr>
      <w:r w:rsidRPr="00CC0D6C">
        <w:rPr>
          <w:rFonts w:asciiTheme="minorHAnsi" w:hAnsiTheme="minorHAnsi" w:cstheme="minorHAnsi"/>
        </w:rPr>
        <w:t>Recommendation 3.10 – eligibility to receive data</w:t>
      </w:r>
    </w:p>
    <w:p w14:paraId="4DAF61C3" w14:textId="77777777" w:rsidR="008D5A6D" w:rsidRPr="00CC0D6C" w:rsidRDefault="008D5A6D" w:rsidP="00BA2246">
      <w:pPr>
        <w:pStyle w:val="ListParagraph"/>
        <w:numPr>
          <w:ilvl w:val="0"/>
          <w:numId w:val="34"/>
        </w:numPr>
        <w:spacing w:before="60" w:after="60"/>
        <w:ind w:left="567" w:hanging="567"/>
        <w:contextualSpacing w:val="0"/>
        <w:jc w:val="both"/>
        <w:rPr>
          <w:rFonts w:asciiTheme="minorHAnsi" w:hAnsiTheme="minorHAnsi" w:cstheme="minorHAnsi"/>
        </w:rPr>
      </w:pPr>
      <w:r w:rsidRPr="00CC0D6C">
        <w:rPr>
          <w:rFonts w:asciiTheme="minorHAnsi" w:hAnsiTheme="minorHAnsi" w:cstheme="minorHAnsi"/>
        </w:rPr>
        <w:t>Recommendation 4.1 – application of the Privacy Act</w:t>
      </w:r>
    </w:p>
    <w:p w14:paraId="5C465599" w14:textId="77777777" w:rsidR="008D5A6D" w:rsidRPr="00CC0D6C" w:rsidRDefault="008D5A6D" w:rsidP="00BA2246">
      <w:pPr>
        <w:pStyle w:val="ListParagraph"/>
        <w:numPr>
          <w:ilvl w:val="0"/>
          <w:numId w:val="34"/>
        </w:numPr>
        <w:spacing w:before="60" w:after="60"/>
        <w:ind w:left="567" w:hanging="567"/>
        <w:contextualSpacing w:val="0"/>
        <w:jc w:val="both"/>
        <w:rPr>
          <w:rFonts w:asciiTheme="minorHAnsi" w:hAnsiTheme="minorHAnsi" w:cstheme="minorHAnsi"/>
        </w:rPr>
      </w:pPr>
      <w:r w:rsidRPr="00CC0D6C">
        <w:rPr>
          <w:rFonts w:asciiTheme="minorHAnsi" w:hAnsiTheme="minorHAnsi" w:cstheme="minorHAnsi"/>
        </w:rPr>
        <w:t>Recommendation 4.9 – allocation of liability</w:t>
      </w:r>
    </w:p>
    <w:p w14:paraId="12693FDB" w14:textId="7E41CCFC" w:rsidR="008D5A6D" w:rsidRPr="00CC0D6C" w:rsidRDefault="008D5A6D" w:rsidP="00D52236">
      <w:pPr>
        <w:pStyle w:val="ListParagraph"/>
        <w:numPr>
          <w:ilvl w:val="0"/>
          <w:numId w:val="33"/>
        </w:numPr>
        <w:spacing w:before="240" w:after="120"/>
        <w:ind w:left="567" w:hanging="567"/>
        <w:contextualSpacing w:val="0"/>
        <w:jc w:val="both"/>
        <w:rPr>
          <w:rFonts w:asciiTheme="minorHAnsi" w:hAnsiTheme="minorHAnsi" w:cstheme="minorHAnsi"/>
          <w:b/>
          <w:bCs/>
          <w:u w:val="single"/>
        </w:rPr>
      </w:pPr>
      <w:r w:rsidRPr="00CC0D6C">
        <w:rPr>
          <w:rFonts w:asciiTheme="minorHAnsi" w:hAnsiTheme="minorHAnsi" w:cstheme="minorHAnsi"/>
          <w:b/>
          <w:bCs/>
          <w:u w:val="single"/>
        </w:rPr>
        <w:t xml:space="preserve">UK API limitations – </w:t>
      </w:r>
      <w:r w:rsidR="00D22997" w:rsidRPr="00CC0D6C">
        <w:rPr>
          <w:rFonts w:asciiTheme="minorHAnsi" w:hAnsiTheme="minorHAnsi" w:cstheme="minorHAnsi"/>
          <w:b/>
          <w:bCs/>
          <w:u w:val="single"/>
        </w:rPr>
        <w:t>a</w:t>
      </w:r>
      <w:r w:rsidRPr="00CC0D6C">
        <w:rPr>
          <w:rFonts w:asciiTheme="minorHAnsi" w:hAnsiTheme="minorHAnsi" w:cstheme="minorHAnsi"/>
          <w:b/>
          <w:bCs/>
          <w:u w:val="single"/>
        </w:rPr>
        <w:t xml:space="preserve">ccount </w:t>
      </w:r>
      <w:r w:rsidR="00D22997" w:rsidRPr="00CC0D6C">
        <w:rPr>
          <w:rFonts w:asciiTheme="minorHAnsi" w:hAnsiTheme="minorHAnsi" w:cstheme="minorHAnsi"/>
          <w:b/>
          <w:bCs/>
          <w:u w:val="single"/>
        </w:rPr>
        <w:t>c</w:t>
      </w:r>
      <w:r w:rsidRPr="00CC0D6C">
        <w:rPr>
          <w:rFonts w:asciiTheme="minorHAnsi" w:hAnsiTheme="minorHAnsi" w:cstheme="minorHAnsi"/>
          <w:b/>
          <w:bCs/>
          <w:u w:val="single"/>
        </w:rPr>
        <w:t>apabilities</w:t>
      </w:r>
    </w:p>
    <w:p w14:paraId="6AC37A04" w14:textId="77777777" w:rsidR="008D5A6D" w:rsidRPr="00CC0D6C" w:rsidRDefault="008D5A6D" w:rsidP="00BA2246">
      <w:pPr>
        <w:spacing w:after="240"/>
        <w:jc w:val="both"/>
        <w:rPr>
          <w:rFonts w:asciiTheme="minorHAnsi" w:hAnsiTheme="minorHAnsi" w:cstheme="minorHAnsi"/>
          <w:sz w:val="22"/>
          <w:szCs w:val="22"/>
        </w:rPr>
      </w:pPr>
      <w:r w:rsidRPr="00CC0D6C">
        <w:rPr>
          <w:rFonts w:asciiTheme="minorHAnsi" w:hAnsiTheme="minorHAnsi" w:cstheme="minorHAnsi"/>
          <w:sz w:val="22"/>
          <w:szCs w:val="22"/>
        </w:rPr>
        <w:lastRenderedPageBreak/>
        <w:t xml:space="preserve">Our analysis of the UK APIs reveals some opportunity for improvement. When retrieving accounts on behalf of a customer, the data consumer can be restricted from performing the customer instruction (e.g. a transfer) if it is not allowed in the source account. While Open Banking is read-only, this is of limited concern, however when write-access is permitted, the consumers of a ‘transfer’ API will need to know what features a specific account type supports. </w:t>
      </w:r>
    </w:p>
    <w:p w14:paraId="1ACA26B4" w14:textId="098B9C52" w:rsidR="00BA2246" w:rsidRPr="00CC0D6C" w:rsidRDefault="008D5A6D" w:rsidP="00BA2246">
      <w:pPr>
        <w:spacing w:after="240"/>
        <w:jc w:val="both"/>
        <w:rPr>
          <w:rFonts w:asciiTheme="minorHAnsi" w:hAnsiTheme="minorHAnsi" w:cstheme="minorHAnsi"/>
          <w:sz w:val="22"/>
          <w:szCs w:val="22"/>
        </w:rPr>
      </w:pPr>
      <w:r w:rsidRPr="00CC0D6C">
        <w:rPr>
          <w:rFonts w:asciiTheme="minorHAnsi" w:hAnsiTheme="minorHAnsi" w:cstheme="minorHAnsi"/>
          <w:sz w:val="22"/>
          <w:szCs w:val="22"/>
        </w:rPr>
        <w:t xml:space="preserve">By way of illustration, a term-deposit account may not support debit transactions and a loan account may have limits on the amount of credit transactions. Although the transfer API calls themselves must return an error in these cases, it would result in a much better user experience if this metadata were available when reading the account data itself. </w:t>
      </w:r>
    </w:p>
    <w:p w14:paraId="7D21C59A" w14:textId="77777777" w:rsidR="008D5A6D" w:rsidRPr="00CC0D6C" w:rsidRDefault="008D5A6D" w:rsidP="00BA2246">
      <w:pPr>
        <w:spacing w:after="240"/>
        <w:jc w:val="both"/>
        <w:rPr>
          <w:rFonts w:asciiTheme="minorHAnsi" w:hAnsiTheme="minorHAnsi" w:cstheme="minorHAnsi"/>
          <w:sz w:val="22"/>
          <w:szCs w:val="22"/>
        </w:rPr>
      </w:pPr>
      <w:r w:rsidRPr="00CC0D6C">
        <w:rPr>
          <w:rFonts w:asciiTheme="minorHAnsi" w:hAnsiTheme="minorHAnsi" w:cstheme="minorHAnsi"/>
          <w:sz w:val="22"/>
          <w:szCs w:val="22"/>
        </w:rPr>
        <w:t>The additional properties feature within the JSON Schema specifications, is compatible with the UK standards, and permits a data provider to unilaterally provide this additional information. However, this is something that would be far more effective if standardised across all data providers.</w:t>
      </w:r>
    </w:p>
    <w:p w14:paraId="14711451" w14:textId="77777777" w:rsidR="008D5A6D" w:rsidRPr="00CC0D6C" w:rsidRDefault="008D5A6D" w:rsidP="00BA2246">
      <w:pPr>
        <w:jc w:val="both"/>
        <w:rPr>
          <w:rFonts w:asciiTheme="minorHAnsi" w:hAnsiTheme="minorHAnsi" w:cstheme="minorHAnsi"/>
          <w:sz w:val="22"/>
          <w:szCs w:val="22"/>
        </w:rPr>
      </w:pPr>
    </w:p>
    <w:p w14:paraId="1A6B803A" w14:textId="77777777" w:rsidR="008D5A6D" w:rsidRPr="00CC0D6C" w:rsidRDefault="008D5A6D" w:rsidP="00BA2246">
      <w:pPr>
        <w:jc w:val="both"/>
        <w:rPr>
          <w:rFonts w:asciiTheme="minorHAnsi" w:hAnsiTheme="minorHAnsi" w:cstheme="minorHAnsi"/>
          <w:sz w:val="22"/>
          <w:szCs w:val="22"/>
        </w:rPr>
      </w:pPr>
    </w:p>
    <w:p w14:paraId="73C6BC1D" w14:textId="51252E3B" w:rsidR="00794CAA" w:rsidRPr="00CC0D6C" w:rsidRDefault="00794CAA" w:rsidP="00794CAA">
      <w:pPr>
        <w:jc w:val="both"/>
        <w:rPr>
          <w:rFonts w:asciiTheme="minorHAnsi" w:hAnsiTheme="minorHAnsi" w:cstheme="minorHAnsi"/>
          <w:sz w:val="22"/>
          <w:szCs w:val="22"/>
        </w:rPr>
      </w:pPr>
      <w:r w:rsidRPr="00CC0D6C">
        <w:rPr>
          <w:rFonts w:asciiTheme="minorHAnsi" w:hAnsiTheme="minorHAnsi" w:cstheme="minorHAnsi"/>
          <w:sz w:val="22"/>
          <w:szCs w:val="22"/>
        </w:rPr>
        <w:t>Yours sincerely</w:t>
      </w:r>
    </w:p>
    <w:p w14:paraId="2A2BA005" w14:textId="19450A2E" w:rsidR="00794CAA" w:rsidRPr="00CC0D6C" w:rsidRDefault="00794CAA" w:rsidP="00794CAA">
      <w:pPr>
        <w:rPr>
          <w:rFonts w:asciiTheme="minorHAnsi" w:hAnsiTheme="minorHAnsi" w:cstheme="minorHAnsi"/>
          <w:sz w:val="22"/>
          <w:szCs w:val="22"/>
        </w:rPr>
      </w:pPr>
    </w:p>
    <w:p w14:paraId="08A4432F" w14:textId="77777777" w:rsidR="00BA2246" w:rsidRPr="00CC0D6C" w:rsidRDefault="00BA2246" w:rsidP="00794CAA">
      <w:pPr>
        <w:rPr>
          <w:rFonts w:asciiTheme="minorHAnsi" w:hAnsiTheme="minorHAnsi" w:cstheme="minorHAnsi"/>
          <w:sz w:val="22"/>
          <w:szCs w:val="22"/>
        </w:rPr>
      </w:pPr>
    </w:p>
    <w:p w14:paraId="66A6A07A" w14:textId="683513E3" w:rsidR="00794CAA" w:rsidRPr="00CC0D6C" w:rsidRDefault="008D5A6D" w:rsidP="00794CAA">
      <w:pPr>
        <w:rPr>
          <w:rFonts w:asciiTheme="minorHAnsi" w:hAnsiTheme="minorHAnsi" w:cstheme="minorHAnsi"/>
          <w:sz w:val="22"/>
          <w:szCs w:val="22"/>
        </w:rPr>
      </w:pPr>
      <w:r w:rsidRPr="00CC0D6C">
        <w:rPr>
          <w:rFonts w:asciiTheme="minorHAnsi" w:hAnsiTheme="minorHAnsi" w:cstheme="minorHAnsi"/>
          <w:sz w:val="22"/>
          <w:szCs w:val="22"/>
        </w:rPr>
        <w:t>Karl Grant</w:t>
      </w:r>
    </w:p>
    <w:p w14:paraId="21675F29" w14:textId="59DEC9E7" w:rsidR="00794CAA" w:rsidRPr="00CC0D6C" w:rsidRDefault="008D5A6D" w:rsidP="00794CAA">
      <w:pPr>
        <w:rPr>
          <w:rFonts w:asciiTheme="minorHAnsi" w:hAnsiTheme="minorHAnsi" w:cstheme="minorHAnsi"/>
          <w:b/>
          <w:sz w:val="22"/>
          <w:szCs w:val="22"/>
        </w:rPr>
      </w:pPr>
      <w:r w:rsidRPr="00CC0D6C">
        <w:rPr>
          <w:rFonts w:asciiTheme="minorHAnsi" w:hAnsiTheme="minorHAnsi" w:cstheme="minorHAnsi"/>
          <w:b/>
          <w:sz w:val="22"/>
          <w:szCs w:val="22"/>
        </w:rPr>
        <w:t>Chief Executive Officer</w:t>
      </w:r>
    </w:p>
    <w:p w14:paraId="11F4D2A4" w14:textId="725B5B29" w:rsidR="00D72FF8" w:rsidRPr="00CC0D6C" w:rsidRDefault="008D5A6D" w:rsidP="00D72FF8">
      <w:pPr>
        <w:rPr>
          <w:rFonts w:asciiTheme="minorHAnsi" w:hAnsiTheme="minorHAnsi" w:cstheme="minorHAnsi"/>
          <w:szCs w:val="22"/>
        </w:rPr>
      </w:pPr>
      <w:r w:rsidRPr="00CC0D6C">
        <w:rPr>
          <w:rFonts w:asciiTheme="minorHAnsi" w:hAnsiTheme="minorHAnsi" w:cstheme="minorHAnsi"/>
          <w:b/>
          <w:szCs w:val="22"/>
        </w:rPr>
        <w:t>Data Action Pty Ltd</w:t>
      </w:r>
    </w:p>
    <w:sectPr w:rsidR="00D72FF8" w:rsidRPr="00CC0D6C" w:rsidSect="00D52236">
      <w:headerReference w:type="first" r:id="rId14"/>
      <w:pgSz w:w="11906" w:h="16838" w:code="9"/>
      <w:pgMar w:top="2268" w:right="709" w:bottom="709" w:left="709" w:header="567" w:footer="3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78745" w14:textId="77777777" w:rsidR="00945091" w:rsidRDefault="00945091">
      <w:r>
        <w:separator/>
      </w:r>
    </w:p>
  </w:endnote>
  <w:endnote w:type="continuationSeparator" w:id="0">
    <w:p w14:paraId="440F6337" w14:textId="77777777" w:rsidR="00945091" w:rsidRDefault="0094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wis721 Cn BT">
    <w:altName w:val="Times New Roman"/>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Helvetica Neue Light">
    <w:altName w:val="Arial Nova Ligh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93781" w14:textId="77777777" w:rsidR="006137D2" w:rsidRDefault="0061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A2AE" w14:textId="77777777" w:rsidR="00B00498" w:rsidRPr="00B00498" w:rsidRDefault="007E3947" w:rsidP="00B00498">
    <w:pPr>
      <w:tabs>
        <w:tab w:val="left" w:pos="1840"/>
      </w:tabs>
      <w:rPr>
        <w:rFonts w:ascii="Helvetica Neue Light" w:hAnsi="Helvetica Neue Light"/>
        <w:b/>
        <w:sz w:val="16"/>
      </w:rPr>
    </w:pPr>
    <w:r>
      <w:rPr>
        <w:noProof/>
      </w:rPr>
      <w:drawing>
        <wp:anchor distT="0" distB="0" distL="114300" distR="114300" simplePos="0" relativeHeight="251659264" behindDoc="1" locked="0" layoutInCell="1" allowOverlap="1" wp14:anchorId="3F62E1B4" wp14:editId="4F797D32">
          <wp:simplePos x="0" y="0"/>
          <wp:positionH relativeFrom="page">
            <wp:posOffset>5760720</wp:posOffset>
          </wp:positionH>
          <wp:positionV relativeFrom="page">
            <wp:posOffset>10261600</wp:posOffset>
          </wp:positionV>
          <wp:extent cx="1536700" cy="88900"/>
          <wp:effectExtent l="0" t="0" r="6350" b="6350"/>
          <wp:wrapNone/>
          <wp:docPr id="256" name="Picture 256" descr="DA-L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A-LH-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88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F583" w14:textId="77777777" w:rsidR="009D6838" w:rsidRPr="00331EC9" w:rsidRDefault="007E3947" w:rsidP="009D6838">
    <w:pPr>
      <w:tabs>
        <w:tab w:val="left" w:pos="1840"/>
      </w:tabs>
      <w:rPr>
        <w:rFonts w:ascii="Helvetica Neue Light" w:hAnsi="Helvetica Neue Light"/>
        <w:b/>
        <w:sz w:val="16"/>
      </w:rPr>
    </w:pPr>
    <w:r>
      <w:rPr>
        <w:noProof/>
      </w:rPr>
      <w:drawing>
        <wp:anchor distT="0" distB="0" distL="114300" distR="114300" simplePos="0" relativeHeight="251656192" behindDoc="1" locked="0" layoutInCell="1" allowOverlap="1" wp14:anchorId="3B249141" wp14:editId="04E53326">
          <wp:simplePos x="0" y="0"/>
          <wp:positionH relativeFrom="page">
            <wp:posOffset>5760720</wp:posOffset>
          </wp:positionH>
          <wp:positionV relativeFrom="page">
            <wp:posOffset>10261600</wp:posOffset>
          </wp:positionV>
          <wp:extent cx="1536700" cy="88900"/>
          <wp:effectExtent l="0" t="0" r="6350" b="6350"/>
          <wp:wrapNone/>
          <wp:docPr id="258" name="Picture 258" descr="DA-L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A-LH-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88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134AC" w14:textId="77777777" w:rsidR="00945091" w:rsidRDefault="00945091">
      <w:r>
        <w:separator/>
      </w:r>
    </w:p>
  </w:footnote>
  <w:footnote w:type="continuationSeparator" w:id="0">
    <w:p w14:paraId="52D6CE40" w14:textId="77777777" w:rsidR="00945091" w:rsidRDefault="00945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7DE6" w14:textId="77777777" w:rsidR="006137D2" w:rsidRDefault="0061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57AF" w14:textId="22884A6A" w:rsidR="009D6838" w:rsidRDefault="00D52236" w:rsidP="009D6838">
    <w:pPr>
      <w:pStyle w:val="Header"/>
      <w:tabs>
        <w:tab w:val="clear" w:pos="4153"/>
        <w:tab w:val="clear" w:pos="8306"/>
        <w:tab w:val="left" w:pos="5280"/>
      </w:tabs>
    </w:pPr>
    <w:r w:rsidRPr="00F75050">
      <w:rPr>
        <w:rFonts w:ascii="Calibri" w:hAnsi="Calibri"/>
        <w:noProof/>
        <w:sz w:val="22"/>
        <w:szCs w:val="22"/>
      </w:rPr>
      <w:drawing>
        <wp:anchor distT="0" distB="0" distL="114300" distR="114300" simplePos="0" relativeHeight="251663360" behindDoc="1" locked="0" layoutInCell="1" allowOverlap="1" wp14:anchorId="619B9B20" wp14:editId="4A55A5A7">
          <wp:simplePos x="0" y="0"/>
          <wp:positionH relativeFrom="margin">
            <wp:align>right</wp:align>
          </wp:positionH>
          <wp:positionV relativeFrom="topMargin">
            <wp:align>bottom</wp:align>
          </wp:positionV>
          <wp:extent cx="1143000" cy="897148"/>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A-LH-1"/>
                  <pic:cNvPicPr>
                    <a:picLocks noChangeAspect="1" noChangeArrowheads="1"/>
                  </pic:cNvPicPr>
                </pic:nvPicPr>
                <pic:blipFill rotWithShape="1">
                  <a:blip r:embed="rId1">
                    <a:extLst>
                      <a:ext uri="{28A0092B-C50C-407E-A947-70E740481C1C}">
                        <a14:useLocalDpi xmlns:a14="http://schemas.microsoft.com/office/drawing/2010/main" val="0"/>
                      </a:ext>
                    </a:extLst>
                  </a:blip>
                  <a:srcRect b="61774"/>
                  <a:stretch/>
                </pic:blipFill>
                <pic:spPr bwMode="auto">
                  <a:xfrm>
                    <a:off x="0" y="0"/>
                    <a:ext cx="1143000" cy="897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69AA" w14:textId="3D518E44" w:rsidR="00B07F6A" w:rsidRPr="006137D2" w:rsidRDefault="00B07F6A" w:rsidP="00B07F6A">
    <w:pPr>
      <w:spacing w:before="100" w:line="360" w:lineRule="auto"/>
      <w:outlineLvl w:val="0"/>
      <w:rPr>
        <w:rFonts w:asciiTheme="minorHAnsi" w:hAnsiTheme="minorHAnsi" w:cstheme="minorHAnsi"/>
        <w:color w:val="717076"/>
        <w:spacing w:val="-4"/>
        <w:sz w:val="16"/>
        <w:szCs w:val="16"/>
      </w:rPr>
    </w:pPr>
    <w:r w:rsidRPr="006137D2">
      <w:rPr>
        <w:rFonts w:asciiTheme="minorHAnsi" w:hAnsiTheme="minorHAnsi" w:cstheme="minorHAnsi"/>
        <w:color w:val="686663"/>
        <w:spacing w:val="-4"/>
        <w:sz w:val="16"/>
        <w:szCs w:val="16"/>
      </w:rPr>
      <w:t xml:space="preserve">Our Ref: </w:t>
    </w:r>
    <w:r w:rsidR="008D5A6D" w:rsidRPr="006137D2">
      <w:rPr>
        <w:rFonts w:asciiTheme="minorHAnsi" w:hAnsiTheme="minorHAnsi" w:cstheme="minorHAnsi"/>
        <w:color w:val="686663"/>
        <w:spacing w:val="-4"/>
        <w:sz w:val="16"/>
        <w:szCs w:val="16"/>
      </w:rPr>
      <w:t>3136</w:t>
    </w:r>
  </w:p>
  <w:p w14:paraId="6EEEB98E" w14:textId="0EF34CBC" w:rsidR="009D6838" w:rsidRPr="006137D2" w:rsidRDefault="008D5A6D" w:rsidP="00BA2246">
    <w:pPr>
      <w:outlineLvl w:val="0"/>
      <w:rPr>
        <w:rFonts w:asciiTheme="minorHAnsi" w:hAnsiTheme="minorHAnsi" w:cstheme="minorHAnsi"/>
      </w:rPr>
    </w:pPr>
    <w:r w:rsidRPr="006137D2">
      <w:rPr>
        <w:rFonts w:asciiTheme="minorHAnsi" w:hAnsiTheme="minorHAnsi" w:cstheme="minorHAnsi"/>
        <w:color w:val="686663"/>
        <w:spacing w:val="-4"/>
        <w:sz w:val="22"/>
        <w:szCs w:val="22"/>
      </w:rPr>
      <w:t>21 March</w:t>
    </w:r>
    <w:r w:rsidR="00B07F6A" w:rsidRPr="006137D2">
      <w:rPr>
        <w:rFonts w:asciiTheme="minorHAnsi" w:hAnsiTheme="minorHAnsi" w:cstheme="minorHAnsi"/>
        <w:color w:val="686663"/>
        <w:spacing w:val="-4"/>
        <w:sz w:val="22"/>
        <w:szCs w:val="22"/>
      </w:rPr>
      <w:t xml:space="preserve"> 201</w:t>
    </w:r>
    <w:r w:rsidR="00453CF2" w:rsidRPr="006137D2">
      <w:rPr>
        <w:rFonts w:asciiTheme="minorHAnsi" w:hAnsiTheme="minorHAnsi" w:cstheme="minorHAnsi"/>
        <w:color w:val="686663"/>
        <w:spacing w:val="-4"/>
        <w:sz w:val="22"/>
        <w:szCs w:val="22"/>
      </w:rPr>
      <w:t>8</w:t>
    </w:r>
    <w:bookmarkStart w:id="0" w:name="_GoBack"/>
    <w:bookmarkEnd w:id="0"/>
    <w:r w:rsidR="004B6FB1" w:rsidRPr="006137D2">
      <w:rPr>
        <w:rFonts w:asciiTheme="minorHAnsi" w:hAnsiTheme="minorHAnsi" w:cstheme="minorHAnsi"/>
        <w:noProof/>
        <w:sz w:val="22"/>
        <w:szCs w:val="22"/>
      </w:rPr>
      <w:drawing>
        <wp:anchor distT="0" distB="0" distL="114300" distR="114300" simplePos="0" relativeHeight="251657216" behindDoc="1" locked="0" layoutInCell="1" allowOverlap="1" wp14:anchorId="02C4D9F5" wp14:editId="54EA49F8">
          <wp:simplePos x="0" y="0"/>
          <wp:positionH relativeFrom="page">
            <wp:posOffset>6033052</wp:posOffset>
          </wp:positionH>
          <wp:positionV relativeFrom="page">
            <wp:posOffset>428653</wp:posOffset>
          </wp:positionV>
          <wp:extent cx="1143000" cy="2346960"/>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A-LH-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3000" cy="234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97B0" w14:textId="76C55E1B" w:rsidR="00D52236" w:rsidRPr="00BA2246" w:rsidRDefault="00D52236" w:rsidP="00BA2246">
    <w:pPr>
      <w:outlineLvl w:val="0"/>
      <w:rPr>
        <w:rFonts w:ascii="Helvetica Neue Light" w:hAnsi="Helvetica Neue Light"/>
      </w:rPr>
    </w:pPr>
    <w:r w:rsidRPr="00F75050">
      <w:rPr>
        <w:rFonts w:ascii="Calibri" w:hAnsi="Calibri"/>
        <w:noProof/>
        <w:sz w:val="22"/>
        <w:szCs w:val="22"/>
      </w:rPr>
      <w:drawing>
        <wp:anchor distT="0" distB="0" distL="114300" distR="114300" simplePos="0" relativeHeight="251661312" behindDoc="1" locked="0" layoutInCell="1" allowOverlap="1" wp14:anchorId="0CB817DD" wp14:editId="686E69A0">
          <wp:simplePos x="0" y="0"/>
          <wp:positionH relativeFrom="margin">
            <wp:align>right</wp:align>
          </wp:positionH>
          <wp:positionV relativeFrom="page">
            <wp:posOffset>568984</wp:posOffset>
          </wp:positionV>
          <wp:extent cx="1143000" cy="897148"/>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A-LH-1"/>
                  <pic:cNvPicPr>
                    <a:picLocks noChangeAspect="1" noChangeArrowheads="1"/>
                  </pic:cNvPicPr>
                </pic:nvPicPr>
                <pic:blipFill rotWithShape="1">
                  <a:blip r:embed="rId1">
                    <a:extLst>
                      <a:ext uri="{28A0092B-C50C-407E-A947-70E740481C1C}">
                        <a14:useLocalDpi xmlns:a14="http://schemas.microsoft.com/office/drawing/2010/main" val="0"/>
                      </a:ext>
                    </a:extLst>
                  </a:blip>
                  <a:srcRect b="61774"/>
                  <a:stretch/>
                </pic:blipFill>
                <pic:spPr bwMode="auto">
                  <a:xfrm>
                    <a:off x="0" y="0"/>
                    <a:ext cx="1143000" cy="897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A36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420FB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CF4E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DF8F1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90B82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1BEA0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5349C0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DA94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7C213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F0626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2AF3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32361"/>
    <w:multiLevelType w:val="multilevel"/>
    <w:tmpl w:val="DD34D0CE"/>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00B304B4"/>
    <w:multiLevelType w:val="hybridMultilevel"/>
    <w:tmpl w:val="24B8FF98"/>
    <w:lvl w:ilvl="0" w:tplc="C8EEE89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6524FD"/>
    <w:multiLevelType w:val="hybridMultilevel"/>
    <w:tmpl w:val="542A3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7713AF"/>
    <w:multiLevelType w:val="hybridMultilevel"/>
    <w:tmpl w:val="014E449A"/>
    <w:lvl w:ilvl="0" w:tplc="7186B708">
      <w:start w:val="1"/>
      <w:numFmt w:val="decimal"/>
      <w:lvlText w:val="%1."/>
      <w:lvlJc w:val="left"/>
      <w:pPr>
        <w:tabs>
          <w:tab w:val="num" w:pos="930"/>
        </w:tabs>
        <w:ind w:left="930" w:hanging="570"/>
      </w:pPr>
      <w:rPr>
        <w:rFonts w:hint="default"/>
      </w:rPr>
    </w:lvl>
    <w:lvl w:ilvl="1" w:tplc="2D546904" w:tentative="1">
      <w:start w:val="1"/>
      <w:numFmt w:val="lowerLetter"/>
      <w:lvlText w:val="%2."/>
      <w:lvlJc w:val="left"/>
      <w:pPr>
        <w:tabs>
          <w:tab w:val="num" w:pos="1440"/>
        </w:tabs>
        <w:ind w:left="1440" w:hanging="360"/>
      </w:pPr>
    </w:lvl>
    <w:lvl w:ilvl="2" w:tplc="1B586176" w:tentative="1">
      <w:start w:val="1"/>
      <w:numFmt w:val="lowerRoman"/>
      <w:lvlText w:val="%3."/>
      <w:lvlJc w:val="right"/>
      <w:pPr>
        <w:tabs>
          <w:tab w:val="num" w:pos="2160"/>
        </w:tabs>
        <w:ind w:left="2160" w:hanging="180"/>
      </w:pPr>
    </w:lvl>
    <w:lvl w:ilvl="3" w:tplc="558EB2D6" w:tentative="1">
      <w:start w:val="1"/>
      <w:numFmt w:val="decimal"/>
      <w:lvlText w:val="%4."/>
      <w:lvlJc w:val="left"/>
      <w:pPr>
        <w:tabs>
          <w:tab w:val="num" w:pos="2880"/>
        </w:tabs>
        <w:ind w:left="2880" w:hanging="360"/>
      </w:pPr>
    </w:lvl>
    <w:lvl w:ilvl="4" w:tplc="593CDCA0" w:tentative="1">
      <w:start w:val="1"/>
      <w:numFmt w:val="lowerLetter"/>
      <w:lvlText w:val="%5."/>
      <w:lvlJc w:val="left"/>
      <w:pPr>
        <w:tabs>
          <w:tab w:val="num" w:pos="3600"/>
        </w:tabs>
        <w:ind w:left="3600" w:hanging="360"/>
      </w:pPr>
    </w:lvl>
    <w:lvl w:ilvl="5" w:tplc="6B6C718E" w:tentative="1">
      <w:start w:val="1"/>
      <w:numFmt w:val="lowerRoman"/>
      <w:lvlText w:val="%6."/>
      <w:lvlJc w:val="right"/>
      <w:pPr>
        <w:tabs>
          <w:tab w:val="num" w:pos="4320"/>
        </w:tabs>
        <w:ind w:left="4320" w:hanging="180"/>
      </w:pPr>
    </w:lvl>
    <w:lvl w:ilvl="6" w:tplc="DBB2F672" w:tentative="1">
      <w:start w:val="1"/>
      <w:numFmt w:val="decimal"/>
      <w:lvlText w:val="%7."/>
      <w:lvlJc w:val="left"/>
      <w:pPr>
        <w:tabs>
          <w:tab w:val="num" w:pos="5040"/>
        </w:tabs>
        <w:ind w:left="5040" w:hanging="360"/>
      </w:pPr>
    </w:lvl>
    <w:lvl w:ilvl="7" w:tplc="15826D96" w:tentative="1">
      <w:start w:val="1"/>
      <w:numFmt w:val="lowerLetter"/>
      <w:lvlText w:val="%8."/>
      <w:lvlJc w:val="left"/>
      <w:pPr>
        <w:tabs>
          <w:tab w:val="num" w:pos="5760"/>
        </w:tabs>
        <w:ind w:left="5760" w:hanging="360"/>
      </w:pPr>
    </w:lvl>
    <w:lvl w:ilvl="8" w:tplc="883E31F4" w:tentative="1">
      <w:start w:val="1"/>
      <w:numFmt w:val="lowerRoman"/>
      <w:lvlText w:val="%9."/>
      <w:lvlJc w:val="right"/>
      <w:pPr>
        <w:tabs>
          <w:tab w:val="num" w:pos="6480"/>
        </w:tabs>
        <w:ind w:left="6480" w:hanging="180"/>
      </w:pPr>
    </w:lvl>
  </w:abstractNum>
  <w:abstractNum w:abstractNumId="15" w15:restartNumberingAfterBreak="0">
    <w:nsid w:val="19BD2077"/>
    <w:multiLevelType w:val="hybridMultilevel"/>
    <w:tmpl w:val="5CB64674"/>
    <w:lvl w:ilvl="0" w:tplc="D3341C18">
      <w:start w:val="1"/>
      <w:numFmt w:val="bullet"/>
      <w:lvlText w:val=""/>
      <w:lvlJc w:val="left"/>
      <w:pPr>
        <w:tabs>
          <w:tab w:val="num" w:pos="567"/>
        </w:tabs>
        <w:ind w:left="567" w:hanging="567"/>
      </w:pPr>
      <w:rPr>
        <w:rFonts w:ascii="Symbol" w:hAnsi="Symbol" w:hint="default"/>
      </w:rPr>
    </w:lvl>
    <w:lvl w:ilvl="1" w:tplc="30EAD438" w:tentative="1">
      <w:start w:val="1"/>
      <w:numFmt w:val="bullet"/>
      <w:lvlText w:val="o"/>
      <w:lvlJc w:val="left"/>
      <w:pPr>
        <w:tabs>
          <w:tab w:val="num" w:pos="1440"/>
        </w:tabs>
        <w:ind w:left="1440" w:hanging="360"/>
      </w:pPr>
      <w:rPr>
        <w:rFonts w:ascii="Courier New" w:hAnsi="Courier New" w:cs="Wingdings" w:hint="default"/>
      </w:rPr>
    </w:lvl>
    <w:lvl w:ilvl="2" w:tplc="27E002CC" w:tentative="1">
      <w:start w:val="1"/>
      <w:numFmt w:val="bullet"/>
      <w:lvlText w:val=""/>
      <w:lvlJc w:val="left"/>
      <w:pPr>
        <w:tabs>
          <w:tab w:val="num" w:pos="2160"/>
        </w:tabs>
        <w:ind w:left="2160" w:hanging="360"/>
      </w:pPr>
      <w:rPr>
        <w:rFonts w:ascii="Wingdings" w:hAnsi="Wingdings" w:hint="default"/>
      </w:rPr>
    </w:lvl>
    <w:lvl w:ilvl="3" w:tplc="B314A87A" w:tentative="1">
      <w:start w:val="1"/>
      <w:numFmt w:val="bullet"/>
      <w:lvlText w:val=""/>
      <w:lvlJc w:val="left"/>
      <w:pPr>
        <w:tabs>
          <w:tab w:val="num" w:pos="2880"/>
        </w:tabs>
        <w:ind w:left="2880" w:hanging="360"/>
      </w:pPr>
      <w:rPr>
        <w:rFonts w:ascii="Symbol" w:hAnsi="Symbol" w:hint="default"/>
      </w:rPr>
    </w:lvl>
    <w:lvl w:ilvl="4" w:tplc="E2DE0832" w:tentative="1">
      <w:start w:val="1"/>
      <w:numFmt w:val="bullet"/>
      <w:lvlText w:val="o"/>
      <w:lvlJc w:val="left"/>
      <w:pPr>
        <w:tabs>
          <w:tab w:val="num" w:pos="3600"/>
        </w:tabs>
        <w:ind w:left="3600" w:hanging="360"/>
      </w:pPr>
      <w:rPr>
        <w:rFonts w:ascii="Courier New" w:hAnsi="Courier New" w:cs="Wingdings" w:hint="default"/>
      </w:rPr>
    </w:lvl>
    <w:lvl w:ilvl="5" w:tplc="A11E72E4" w:tentative="1">
      <w:start w:val="1"/>
      <w:numFmt w:val="bullet"/>
      <w:lvlText w:val=""/>
      <w:lvlJc w:val="left"/>
      <w:pPr>
        <w:tabs>
          <w:tab w:val="num" w:pos="4320"/>
        </w:tabs>
        <w:ind w:left="4320" w:hanging="360"/>
      </w:pPr>
      <w:rPr>
        <w:rFonts w:ascii="Wingdings" w:hAnsi="Wingdings" w:hint="default"/>
      </w:rPr>
    </w:lvl>
    <w:lvl w:ilvl="6" w:tplc="09123EBC" w:tentative="1">
      <w:start w:val="1"/>
      <w:numFmt w:val="bullet"/>
      <w:lvlText w:val=""/>
      <w:lvlJc w:val="left"/>
      <w:pPr>
        <w:tabs>
          <w:tab w:val="num" w:pos="5040"/>
        </w:tabs>
        <w:ind w:left="5040" w:hanging="360"/>
      </w:pPr>
      <w:rPr>
        <w:rFonts w:ascii="Symbol" w:hAnsi="Symbol" w:hint="default"/>
      </w:rPr>
    </w:lvl>
    <w:lvl w:ilvl="7" w:tplc="2E54A422" w:tentative="1">
      <w:start w:val="1"/>
      <w:numFmt w:val="bullet"/>
      <w:lvlText w:val="o"/>
      <w:lvlJc w:val="left"/>
      <w:pPr>
        <w:tabs>
          <w:tab w:val="num" w:pos="5760"/>
        </w:tabs>
        <w:ind w:left="5760" w:hanging="360"/>
      </w:pPr>
      <w:rPr>
        <w:rFonts w:ascii="Courier New" w:hAnsi="Courier New" w:cs="Wingdings" w:hint="default"/>
      </w:rPr>
    </w:lvl>
    <w:lvl w:ilvl="8" w:tplc="5396319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56594F"/>
    <w:multiLevelType w:val="singleLevel"/>
    <w:tmpl w:val="DA720B14"/>
    <w:lvl w:ilvl="0">
      <w:start w:val="2"/>
      <w:numFmt w:val="bullet"/>
      <w:lvlText w:val=""/>
      <w:lvlJc w:val="left"/>
      <w:pPr>
        <w:tabs>
          <w:tab w:val="num" w:pos="1785"/>
        </w:tabs>
        <w:ind w:left="1785" w:hanging="360"/>
      </w:pPr>
      <w:rPr>
        <w:rFonts w:ascii="Symbol" w:hAnsi="Symbol" w:hint="default"/>
      </w:rPr>
    </w:lvl>
  </w:abstractNum>
  <w:abstractNum w:abstractNumId="17" w15:restartNumberingAfterBreak="0">
    <w:nsid w:val="1B88615C"/>
    <w:multiLevelType w:val="multilevel"/>
    <w:tmpl w:val="AB8EDE30"/>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 w15:restartNumberingAfterBreak="0">
    <w:nsid w:val="1E695E10"/>
    <w:multiLevelType w:val="hybridMultilevel"/>
    <w:tmpl w:val="B27E00E4"/>
    <w:lvl w:ilvl="0" w:tplc="0F965C78">
      <w:start w:val="1"/>
      <w:numFmt w:val="bullet"/>
      <w:lvlText w:val=""/>
      <w:lvlJc w:val="left"/>
      <w:pPr>
        <w:tabs>
          <w:tab w:val="num" w:pos="720"/>
        </w:tabs>
        <w:ind w:left="720" w:hanging="360"/>
      </w:pPr>
      <w:rPr>
        <w:rFonts w:ascii="Symbol" w:hAnsi="Symbol" w:hint="default"/>
      </w:rPr>
    </w:lvl>
    <w:lvl w:ilvl="1" w:tplc="C6C89E9A" w:tentative="1">
      <w:start w:val="1"/>
      <w:numFmt w:val="bullet"/>
      <w:lvlText w:val="o"/>
      <w:lvlJc w:val="left"/>
      <w:pPr>
        <w:tabs>
          <w:tab w:val="num" w:pos="1440"/>
        </w:tabs>
        <w:ind w:left="1440" w:hanging="360"/>
      </w:pPr>
      <w:rPr>
        <w:rFonts w:ascii="Courier New" w:hAnsi="Courier New" w:cs="Wingdings" w:hint="default"/>
      </w:rPr>
    </w:lvl>
    <w:lvl w:ilvl="2" w:tplc="2788063C" w:tentative="1">
      <w:start w:val="1"/>
      <w:numFmt w:val="bullet"/>
      <w:lvlText w:val=""/>
      <w:lvlJc w:val="left"/>
      <w:pPr>
        <w:tabs>
          <w:tab w:val="num" w:pos="2160"/>
        </w:tabs>
        <w:ind w:left="2160" w:hanging="360"/>
      </w:pPr>
      <w:rPr>
        <w:rFonts w:ascii="Wingdings" w:hAnsi="Wingdings" w:hint="default"/>
      </w:rPr>
    </w:lvl>
    <w:lvl w:ilvl="3" w:tplc="7C20639A" w:tentative="1">
      <w:start w:val="1"/>
      <w:numFmt w:val="bullet"/>
      <w:lvlText w:val=""/>
      <w:lvlJc w:val="left"/>
      <w:pPr>
        <w:tabs>
          <w:tab w:val="num" w:pos="2880"/>
        </w:tabs>
        <w:ind w:left="2880" w:hanging="360"/>
      </w:pPr>
      <w:rPr>
        <w:rFonts w:ascii="Symbol" w:hAnsi="Symbol" w:hint="default"/>
      </w:rPr>
    </w:lvl>
    <w:lvl w:ilvl="4" w:tplc="854E5FD8" w:tentative="1">
      <w:start w:val="1"/>
      <w:numFmt w:val="bullet"/>
      <w:lvlText w:val="o"/>
      <w:lvlJc w:val="left"/>
      <w:pPr>
        <w:tabs>
          <w:tab w:val="num" w:pos="3600"/>
        </w:tabs>
        <w:ind w:left="3600" w:hanging="360"/>
      </w:pPr>
      <w:rPr>
        <w:rFonts w:ascii="Courier New" w:hAnsi="Courier New" w:cs="Wingdings" w:hint="default"/>
      </w:rPr>
    </w:lvl>
    <w:lvl w:ilvl="5" w:tplc="38C65830" w:tentative="1">
      <w:start w:val="1"/>
      <w:numFmt w:val="bullet"/>
      <w:lvlText w:val=""/>
      <w:lvlJc w:val="left"/>
      <w:pPr>
        <w:tabs>
          <w:tab w:val="num" w:pos="4320"/>
        </w:tabs>
        <w:ind w:left="4320" w:hanging="360"/>
      </w:pPr>
      <w:rPr>
        <w:rFonts w:ascii="Wingdings" w:hAnsi="Wingdings" w:hint="default"/>
      </w:rPr>
    </w:lvl>
    <w:lvl w:ilvl="6" w:tplc="A8C03D50" w:tentative="1">
      <w:start w:val="1"/>
      <w:numFmt w:val="bullet"/>
      <w:lvlText w:val=""/>
      <w:lvlJc w:val="left"/>
      <w:pPr>
        <w:tabs>
          <w:tab w:val="num" w:pos="5040"/>
        </w:tabs>
        <w:ind w:left="5040" w:hanging="360"/>
      </w:pPr>
      <w:rPr>
        <w:rFonts w:ascii="Symbol" w:hAnsi="Symbol" w:hint="default"/>
      </w:rPr>
    </w:lvl>
    <w:lvl w:ilvl="7" w:tplc="70BA2BAE" w:tentative="1">
      <w:start w:val="1"/>
      <w:numFmt w:val="bullet"/>
      <w:lvlText w:val="o"/>
      <w:lvlJc w:val="left"/>
      <w:pPr>
        <w:tabs>
          <w:tab w:val="num" w:pos="5760"/>
        </w:tabs>
        <w:ind w:left="5760" w:hanging="360"/>
      </w:pPr>
      <w:rPr>
        <w:rFonts w:ascii="Courier New" w:hAnsi="Courier New" w:cs="Wingdings" w:hint="default"/>
      </w:rPr>
    </w:lvl>
    <w:lvl w:ilvl="8" w:tplc="0E8C98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F51F2"/>
    <w:multiLevelType w:val="singleLevel"/>
    <w:tmpl w:val="E1A4DC94"/>
    <w:lvl w:ilvl="0">
      <w:start w:val="2"/>
      <w:numFmt w:val="bullet"/>
      <w:lvlText w:val=""/>
      <w:lvlJc w:val="left"/>
      <w:pPr>
        <w:tabs>
          <w:tab w:val="num" w:pos="1500"/>
        </w:tabs>
        <w:ind w:left="1500" w:hanging="360"/>
      </w:pPr>
      <w:rPr>
        <w:rFonts w:ascii="Wingdings" w:hAnsi="Wingdings" w:hint="default"/>
      </w:rPr>
    </w:lvl>
  </w:abstractNum>
  <w:abstractNum w:abstractNumId="20" w15:restartNumberingAfterBreak="0">
    <w:nsid w:val="34350957"/>
    <w:multiLevelType w:val="hybridMultilevel"/>
    <w:tmpl w:val="352E9552"/>
    <w:lvl w:ilvl="0" w:tplc="2ECA5536">
      <w:start w:val="15"/>
      <w:numFmt w:val="bullet"/>
      <w:lvlText w:val=""/>
      <w:lvlJc w:val="left"/>
      <w:pPr>
        <w:tabs>
          <w:tab w:val="num" w:pos="930"/>
        </w:tabs>
        <w:ind w:left="930" w:hanging="570"/>
      </w:pPr>
      <w:rPr>
        <w:rFonts w:ascii="Wingdings" w:eastAsia="Times New Roman" w:hAnsi="Wingdings" w:cs="Times New Roman" w:hint="default"/>
      </w:rPr>
    </w:lvl>
    <w:lvl w:ilvl="1" w:tplc="93C694D2" w:tentative="1">
      <w:start w:val="1"/>
      <w:numFmt w:val="bullet"/>
      <w:lvlText w:val="o"/>
      <w:lvlJc w:val="left"/>
      <w:pPr>
        <w:tabs>
          <w:tab w:val="num" w:pos="1440"/>
        </w:tabs>
        <w:ind w:left="1440" w:hanging="360"/>
      </w:pPr>
      <w:rPr>
        <w:rFonts w:ascii="Courier New" w:hAnsi="Courier New" w:cs="Wingdings" w:hint="default"/>
      </w:rPr>
    </w:lvl>
    <w:lvl w:ilvl="2" w:tplc="B814837A" w:tentative="1">
      <w:start w:val="1"/>
      <w:numFmt w:val="bullet"/>
      <w:lvlText w:val=""/>
      <w:lvlJc w:val="left"/>
      <w:pPr>
        <w:tabs>
          <w:tab w:val="num" w:pos="2160"/>
        </w:tabs>
        <w:ind w:left="2160" w:hanging="360"/>
      </w:pPr>
      <w:rPr>
        <w:rFonts w:ascii="Wingdings" w:hAnsi="Wingdings" w:hint="default"/>
      </w:rPr>
    </w:lvl>
    <w:lvl w:ilvl="3" w:tplc="41BC5724" w:tentative="1">
      <w:start w:val="1"/>
      <w:numFmt w:val="bullet"/>
      <w:lvlText w:val=""/>
      <w:lvlJc w:val="left"/>
      <w:pPr>
        <w:tabs>
          <w:tab w:val="num" w:pos="2880"/>
        </w:tabs>
        <w:ind w:left="2880" w:hanging="360"/>
      </w:pPr>
      <w:rPr>
        <w:rFonts w:ascii="Symbol" w:hAnsi="Symbol" w:hint="default"/>
      </w:rPr>
    </w:lvl>
    <w:lvl w:ilvl="4" w:tplc="863C3130" w:tentative="1">
      <w:start w:val="1"/>
      <w:numFmt w:val="bullet"/>
      <w:lvlText w:val="o"/>
      <w:lvlJc w:val="left"/>
      <w:pPr>
        <w:tabs>
          <w:tab w:val="num" w:pos="3600"/>
        </w:tabs>
        <w:ind w:left="3600" w:hanging="360"/>
      </w:pPr>
      <w:rPr>
        <w:rFonts w:ascii="Courier New" w:hAnsi="Courier New" w:cs="Wingdings" w:hint="default"/>
      </w:rPr>
    </w:lvl>
    <w:lvl w:ilvl="5" w:tplc="5F20DD34" w:tentative="1">
      <w:start w:val="1"/>
      <w:numFmt w:val="bullet"/>
      <w:lvlText w:val=""/>
      <w:lvlJc w:val="left"/>
      <w:pPr>
        <w:tabs>
          <w:tab w:val="num" w:pos="4320"/>
        </w:tabs>
        <w:ind w:left="4320" w:hanging="360"/>
      </w:pPr>
      <w:rPr>
        <w:rFonts w:ascii="Wingdings" w:hAnsi="Wingdings" w:hint="default"/>
      </w:rPr>
    </w:lvl>
    <w:lvl w:ilvl="6" w:tplc="948EAE20" w:tentative="1">
      <w:start w:val="1"/>
      <w:numFmt w:val="bullet"/>
      <w:lvlText w:val=""/>
      <w:lvlJc w:val="left"/>
      <w:pPr>
        <w:tabs>
          <w:tab w:val="num" w:pos="5040"/>
        </w:tabs>
        <w:ind w:left="5040" w:hanging="360"/>
      </w:pPr>
      <w:rPr>
        <w:rFonts w:ascii="Symbol" w:hAnsi="Symbol" w:hint="default"/>
      </w:rPr>
    </w:lvl>
    <w:lvl w:ilvl="7" w:tplc="73248590" w:tentative="1">
      <w:start w:val="1"/>
      <w:numFmt w:val="bullet"/>
      <w:lvlText w:val="o"/>
      <w:lvlJc w:val="left"/>
      <w:pPr>
        <w:tabs>
          <w:tab w:val="num" w:pos="5760"/>
        </w:tabs>
        <w:ind w:left="5760" w:hanging="360"/>
      </w:pPr>
      <w:rPr>
        <w:rFonts w:ascii="Courier New" w:hAnsi="Courier New" w:cs="Wingdings" w:hint="default"/>
      </w:rPr>
    </w:lvl>
    <w:lvl w:ilvl="8" w:tplc="7B1C71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179A2"/>
    <w:multiLevelType w:val="multilevel"/>
    <w:tmpl w:val="26E8D804"/>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22" w15:restartNumberingAfterBreak="0">
    <w:nsid w:val="47793624"/>
    <w:multiLevelType w:val="singleLevel"/>
    <w:tmpl w:val="9DA2F2B4"/>
    <w:lvl w:ilvl="0">
      <w:start w:val="22"/>
      <w:numFmt w:val="bullet"/>
      <w:lvlText w:val=""/>
      <w:lvlJc w:val="left"/>
      <w:pPr>
        <w:tabs>
          <w:tab w:val="num" w:pos="1500"/>
        </w:tabs>
        <w:ind w:left="1500" w:hanging="360"/>
      </w:pPr>
      <w:rPr>
        <w:rFonts w:ascii="Wingdings" w:hAnsi="Wingdings" w:hint="default"/>
      </w:rPr>
    </w:lvl>
  </w:abstractNum>
  <w:abstractNum w:abstractNumId="23" w15:restartNumberingAfterBreak="0">
    <w:nsid w:val="4FD01666"/>
    <w:multiLevelType w:val="singleLevel"/>
    <w:tmpl w:val="E18088BC"/>
    <w:lvl w:ilvl="0">
      <w:start w:val="2"/>
      <w:numFmt w:val="bullet"/>
      <w:lvlText w:val=""/>
      <w:lvlJc w:val="left"/>
      <w:pPr>
        <w:tabs>
          <w:tab w:val="num" w:pos="1500"/>
        </w:tabs>
        <w:ind w:left="1500" w:hanging="360"/>
      </w:pPr>
      <w:rPr>
        <w:rFonts w:ascii="Wingdings" w:hAnsi="Wingdings" w:hint="default"/>
      </w:rPr>
    </w:lvl>
  </w:abstractNum>
  <w:abstractNum w:abstractNumId="24" w15:restartNumberingAfterBreak="0">
    <w:nsid w:val="5C6D1302"/>
    <w:multiLevelType w:val="hybridMultilevel"/>
    <w:tmpl w:val="F05E0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9548AB"/>
    <w:multiLevelType w:val="hybridMultilevel"/>
    <w:tmpl w:val="22EAF282"/>
    <w:lvl w:ilvl="0" w:tplc="DB78236E">
      <w:start w:val="1"/>
      <w:numFmt w:val="bullet"/>
      <w:pStyle w:val="StyleStyleBodyText12pt10p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082274A"/>
    <w:multiLevelType w:val="hybridMultilevel"/>
    <w:tmpl w:val="D9DC72A2"/>
    <w:lvl w:ilvl="0" w:tplc="2EF6D9C6">
      <w:start w:val="1"/>
      <w:numFmt w:val="bullet"/>
      <w:lvlText w:val=""/>
      <w:lvlJc w:val="left"/>
      <w:pPr>
        <w:tabs>
          <w:tab w:val="num" w:pos="567"/>
        </w:tabs>
        <w:ind w:left="567" w:hanging="567"/>
      </w:pPr>
      <w:rPr>
        <w:rFonts w:ascii="Symbol" w:hAnsi="Symbol" w:hint="default"/>
      </w:rPr>
    </w:lvl>
    <w:lvl w:ilvl="1" w:tplc="431CD702" w:tentative="1">
      <w:start w:val="1"/>
      <w:numFmt w:val="bullet"/>
      <w:lvlText w:val="o"/>
      <w:lvlJc w:val="left"/>
      <w:pPr>
        <w:tabs>
          <w:tab w:val="num" w:pos="1440"/>
        </w:tabs>
        <w:ind w:left="1440" w:hanging="360"/>
      </w:pPr>
      <w:rPr>
        <w:rFonts w:ascii="Courier New" w:hAnsi="Courier New" w:cs="Wingdings" w:hint="default"/>
      </w:rPr>
    </w:lvl>
    <w:lvl w:ilvl="2" w:tplc="1938EA00" w:tentative="1">
      <w:start w:val="1"/>
      <w:numFmt w:val="bullet"/>
      <w:lvlText w:val=""/>
      <w:lvlJc w:val="left"/>
      <w:pPr>
        <w:tabs>
          <w:tab w:val="num" w:pos="2160"/>
        </w:tabs>
        <w:ind w:left="2160" w:hanging="360"/>
      </w:pPr>
      <w:rPr>
        <w:rFonts w:ascii="Wingdings" w:hAnsi="Wingdings" w:hint="default"/>
      </w:rPr>
    </w:lvl>
    <w:lvl w:ilvl="3" w:tplc="88BC3AB6" w:tentative="1">
      <w:start w:val="1"/>
      <w:numFmt w:val="bullet"/>
      <w:lvlText w:val=""/>
      <w:lvlJc w:val="left"/>
      <w:pPr>
        <w:tabs>
          <w:tab w:val="num" w:pos="2880"/>
        </w:tabs>
        <w:ind w:left="2880" w:hanging="360"/>
      </w:pPr>
      <w:rPr>
        <w:rFonts w:ascii="Symbol" w:hAnsi="Symbol" w:hint="default"/>
      </w:rPr>
    </w:lvl>
    <w:lvl w:ilvl="4" w:tplc="C5025E5E" w:tentative="1">
      <w:start w:val="1"/>
      <w:numFmt w:val="bullet"/>
      <w:lvlText w:val="o"/>
      <w:lvlJc w:val="left"/>
      <w:pPr>
        <w:tabs>
          <w:tab w:val="num" w:pos="3600"/>
        </w:tabs>
        <w:ind w:left="3600" w:hanging="360"/>
      </w:pPr>
      <w:rPr>
        <w:rFonts w:ascii="Courier New" w:hAnsi="Courier New" w:cs="Wingdings" w:hint="default"/>
      </w:rPr>
    </w:lvl>
    <w:lvl w:ilvl="5" w:tplc="A490ABDE" w:tentative="1">
      <w:start w:val="1"/>
      <w:numFmt w:val="bullet"/>
      <w:lvlText w:val=""/>
      <w:lvlJc w:val="left"/>
      <w:pPr>
        <w:tabs>
          <w:tab w:val="num" w:pos="4320"/>
        </w:tabs>
        <w:ind w:left="4320" w:hanging="360"/>
      </w:pPr>
      <w:rPr>
        <w:rFonts w:ascii="Wingdings" w:hAnsi="Wingdings" w:hint="default"/>
      </w:rPr>
    </w:lvl>
    <w:lvl w:ilvl="6" w:tplc="00368A58" w:tentative="1">
      <w:start w:val="1"/>
      <w:numFmt w:val="bullet"/>
      <w:lvlText w:val=""/>
      <w:lvlJc w:val="left"/>
      <w:pPr>
        <w:tabs>
          <w:tab w:val="num" w:pos="5040"/>
        </w:tabs>
        <w:ind w:left="5040" w:hanging="360"/>
      </w:pPr>
      <w:rPr>
        <w:rFonts w:ascii="Symbol" w:hAnsi="Symbol" w:hint="default"/>
      </w:rPr>
    </w:lvl>
    <w:lvl w:ilvl="7" w:tplc="F6F47C90" w:tentative="1">
      <w:start w:val="1"/>
      <w:numFmt w:val="bullet"/>
      <w:lvlText w:val="o"/>
      <w:lvlJc w:val="left"/>
      <w:pPr>
        <w:tabs>
          <w:tab w:val="num" w:pos="5760"/>
        </w:tabs>
        <w:ind w:left="5760" w:hanging="360"/>
      </w:pPr>
      <w:rPr>
        <w:rFonts w:ascii="Courier New" w:hAnsi="Courier New" w:cs="Wingdings" w:hint="default"/>
      </w:rPr>
    </w:lvl>
    <w:lvl w:ilvl="8" w:tplc="246EE82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AF7DC0"/>
    <w:multiLevelType w:val="hybridMultilevel"/>
    <w:tmpl w:val="7876A68C"/>
    <w:lvl w:ilvl="0" w:tplc="5B66C71A">
      <w:start w:val="90"/>
      <w:numFmt w:val="bullet"/>
      <w:lvlText w:val=""/>
      <w:lvlJc w:val="left"/>
      <w:pPr>
        <w:tabs>
          <w:tab w:val="num" w:pos="930"/>
        </w:tabs>
        <w:ind w:left="930" w:hanging="570"/>
      </w:pPr>
      <w:rPr>
        <w:rFonts w:ascii="Wingdings" w:eastAsia="Times New Roman" w:hAnsi="Wingdings" w:cs="Times New Roman" w:hint="default"/>
      </w:rPr>
    </w:lvl>
    <w:lvl w:ilvl="1" w:tplc="C712B31A" w:tentative="1">
      <w:start w:val="1"/>
      <w:numFmt w:val="bullet"/>
      <w:lvlText w:val="o"/>
      <w:lvlJc w:val="left"/>
      <w:pPr>
        <w:tabs>
          <w:tab w:val="num" w:pos="1440"/>
        </w:tabs>
        <w:ind w:left="1440" w:hanging="360"/>
      </w:pPr>
      <w:rPr>
        <w:rFonts w:ascii="Courier New" w:hAnsi="Courier New" w:cs="Wingdings" w:hint="default"/>
      </w:rPr>
    </w:lvl>
    <w:lvl w:ilvl="2" w:tplc="A4D61AA0" w:tentative="1">
      <w:start w:val="1"/>
      <w:numFmt w:val="bullet"/>
      <w:lvlText w:val=""/>
      <w:lvlJc w:val="left"/>
      <w:pPr>
        <w:tabs>
          <w:tab w:val="num" w:pos="2160"/>
        </w:tabs>
        <w:ind w:left="2160" w:hanging="360"/>
      </w:pPr>
      <w:rPr>
        <w:rFonts w:ascii="Wingdings" w:hAnsi="Wingdings" w:hint="default"/>
      </w:rPr>
    </w:lvl>
    <w:lvl w:ilvl="3" w:tplc="ADDC40C6" w:tentative="1">
      <w:start w:val="1"/>
      <w:numFmt w:val="bullet"/>
      <w:lvlText w:val=""/>
      <w:lvlJc w:val="left"/>
      <w:pPr>
        <w:tabs>
          <w:tab w:val="num" w:pos="2880"/>
        </w:tabs>
        <w:ind w:left="2880" w:hanging="360"/>
      </w:pPr>
      <w:rPr>
        <w:rFonts w:ascii="Symbol" w:hAnsi="Symbol" w:hint="default"/>
      </w:rPr>
    </w:lvl>
    <w:lvl w:ilvl="4" w:tplc="432669E6" w:tentative="1">
      <w:start w:val="1"/>
      <w:numFmt w:val="bullet"/>
      <w:lvlText w:val="o"/>
      <w:lvlJc w:val="left"/>
      <w:pPr>
        <w:tabs>
          <w:tab w:val="num" w:pos="3600"/>
        </w:tabs>
        <w:ind w:left="3600" w:hanging="360"/>
      </w:pPr>
      <w:rPr>
        <w:rFonts w:ascii="Courier New" w:hAnsi="Courier New" w:cs="Wingdings" w:hint="default"/>
      </w:rPr>
    </w:lvl>
    <w:lvl w:ilvl="5" w:tplc="2168FDBE" w:tentative="1">
      <w:start w:val="1"/>
      <w:numFmt w:val="bullet"/>
      <w:lvlText w:val=""/>
      <w:lvlJc w:val="left"/>
      <w:pPr>
        <w:tabs>
          <w:tab w:val="num" w:pos="4320"/>
        </w:tabs>
        <w:ind w:left="4320" w:hanging="360"/>
      </w:pPr>
      <w:rPr>
        <w:rFonts w:ascii="Wingdings" w:hAnsi="Wingdings" w:hint="default"/>
      </w:rPr>
    </w:lvl>
    <w:lvl w:ilvl="6" w:tplc="E60E5236" w:tentative="1">
      <w:start w:val="1"/>
      <w:numFmt w:val="bullet"/>
      <w:lvlText w:val=""/>
      <w:lvlJc w:val="left"/>
      <w:pPr>
        <w:tabs>
          <w:tab w:val="num" w:pos="5040"/>
        </w:tabs>
        <w:ind w:left="5040" w:hanging="360"/>
      </w:pPr>
      <w:rPr>
        <w:rFonts w:ascii="Symbol" w:hAnsi="Symbol" w:hint="default"/>
      </w:rPr>
    </w:lvl>
    <w:lvl w:ilvl="7" w:tplc="42120734" w:tentative="1">
      <w:start w:val="1"/>
      <w:numFmt w:val="bullet"/>
      <w:lvlText w:val="o"/>
      <w:lvlJc w:val="left"/>
      <w:pPr>
        <w:tabs>
          <w:tab w:val="num" w:pos="5760"/>
        </w:tabs>
        <w:ind w:left="5760" w:hanging="360"/>
      </w:pPr>
      <w:rPr>
        <w:rFonts w:ascii="Courier New" w:hAnsi="Courier New" w:cs="Wingdings" w:hint="default"/>
      </w:rPr>
    </w:lvl>
    <w:lvl w:ilvl="8" w:tplc="99027A8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551AFA"/>
    <w:multiLevelType w:val="hybridMultilevel"/>
    <w:tmpl w:val="0F323CAC"/>
    <w:lvl w:ilvl="0" w:tplc="C8D4F994">
      <w:start w:val="1"/>
      <w:numFmt w:val="bullet"/>
      <w:lvlText w:val="-"/>
      <w:lvlJc w:val="left"/>
      <w:pPr>
        <w:tabs>
          <w:tab w:val="num" w:pos="1692"/>
        </w:tabs>
        <w:ind w:left="1692" w:hanging="555"/>
      </w:pPr>
      <w:rPr>
        <w:rFonts w:ascii="Garamond" w:eastAsia="Times New Roman" w:hAnsi="Garamond" w:cs="Times New Roman" w:hint="default"/>
      </w:rPr>
    </w:lvl>
    <w:lvl w:ilvl="1" w:tplc="3CEA681E" w:tentative="1">
      <w:start w:val="1"/>
      <w:numFmt w:val="bullet"/>
      <w:lvlText w:val="o"/>
      <w:lvlJc w:val="left"/>
      <w:pPr>
        <w:tabs>
          <w:tab w:val="num" w:pos="2217"/>
        </w:tabs>
        <w:ind w:left="2217" w:hanging="360"/>
      </w:pPr>
      <w:rPr>
        <w:rFonts w:ascii="Courier New" w:hAnsi="Courier New" w:cs="Wingdings" w:hint="default"/>
      </w:rPr>
    </w:lvl>
    <w:lvl w:ilvl="2" w:tplc="B5028108" w:tentative="1">
      <w:start w:val="1"/>
      <w:numFmt w:val="bullet"/>
      <w:lvlText w:val=""/>
      <w:lvlJc w:val="left"/>
      <w:pPr>
        <w:tabs>
          <w:tab w:val="num" w:pos="2937"/>
        </w:tabs>
        <w:ind w:left="2937" w:hanging="360"/>
      </w:pPr>
      <w:rPr>
        <w:rFonts w:ascii="Wingdings" w:hAnsi="Wingdings" w:hint="default"/>
      </w:rPr>
    </w:lvl>
    <w:lvl w:ilvl="3" w:tplc="A21C82FE" w:tentative="1">
      <w:start w:val="1"/>
      <w:numFmt w:val="bullet"/>
      <w:lvlText w:val=""/>
      <w:lvlJc w:val="left"/>
      <w:pPr>
        <w:tabs>
          <w:tab w:val="num" w:pos="3657"/>
        </w:tabs>
        <w:ind w:left="3657" w:hanging="360"/>
      </w:pPr>
      <w:rPr>
        <w:rFonts w:ascii="Symbol" w:hAnsi="Symbol" w:hint="default"/>
      </w:rPr>
    </w:lvl>
    <w:lvl w:ilvl="4" w:tplc="BBAEB5A0" w:tentative="1">
      <w:start w:val="1"/>
      <w:numFmt w:val="bullet"/>
      <w:lvlText w:val="o"/>
      <w:lvlJc w:val="left"/>
      <w:pPr>
        <w:tabs>
          <w:tab w:val="num" w:pos="4377"/>
        </w:tabs>
        <w:ind w:left="4377" w:hanging="360"/>
      </w:pPr>
      <w:rPr>
        <w:rFonts w:ascii="Courier New" w:hAnsi="Courier New" w:cs="Wingdings" w:hint="default"/>
      </w:rPr>
    </w:lvl>
    <w:lvl w:ilvl="5" w:tplc="356242B0" w:tentative="1">
      <w:start w:val="1"/>
      <w:numFmt w:val="bullet"/>
      <w:lvlText w:val=""/>
      <w:lvlJc w:val="left"/>
      <w:pPr>
        <w:tabs>
          <w:tab w:val="num" w:pos="5097"/>
        </w:tabs>
        <w:ind w:left="5097" w:hanging="360"/>
      </w:pPr>
      <w:rPr>
        <w:rFonts w:ascii="Wingdings" w:hAnsi="Wingdings" w:hint="default"/>
      </w:rPr>
    </w:lvl>
    <w:lvl w:ilvl="6" w:tplc="A52408AE" w:tentative="1">
      <w:start w:val="1"/>
      <w:numFmt w:val="bullet"/>
      <w:lvlText w:val=""/>
      <w:lvlJc w:val="left"/>
      <w:pPr>
        <w:tabs>
          <w:tab w:val="num" w:pos="5817"/>
        </w:tabs>
        <w:ind w:left="5817" w:hanging="360"/>
      </w:pPr>
      <w:rPr>
        <w:rFonts w:ascii="Symbol" w:hAnsi="Symbol" w:hint="default"/>
      </w:rPr>
    </w:lvl>
    <w:lvl w:ilvl="7" w:tplc="597EB966" w:tentative="1">
      <w:start w:val="1"/>
      <w:numFmt w:val="bullet"/>
      <w:lvlText w:val="o"/>
      <w:lvlJc w:val="left"/>
      <w:pPr>
        <w:tabs>
          <w:tab w:val="num" w:pos="6537"/>
        </w:tabs>
        <w:ind w:left="6537" w:hanging="360"/>
      </w:pPr>
      <w:rPr>
        <w:rFonts w:ascii="Courier New" w:hAnsi="Courier New" w:cs="Wingdings" w:hint="default"/>
      </w:rPr>
    </w:lvl>
    <w:lvl w:ilvl="8" w:tplc="251E4856" w:tentative="1">
      <w:start w:val="1"/>
      <w:numFmt w:val="bullet"/>
      <w:lvlText w:val=""/>
      <w:lvlJc w:val="left"/>
      <w:pPr>
        <w:tabs>
          <w:tab w:val="num" w:pos="7257"/>
        </w:tabs>
        <w:ind w:left="7257" w:hanging="360"/>
      </w:pPr>
      <w:rPr>
        <w:rFonts w:ascii="Wingdings" w:hAnsi="Wingdings" w:hint="default"/>
      </w:rPr>
    </w:lvl>
  </w:abstractNum>
  <w:abstractNum w:abstractNumId="29" w15:restartNumberingAfterBreak="0">
    <w:nsid w:val="73A25707"/>
    <w:multiLevelType w:val="hybridMultilevel"/>
    <w:tmpl w:val="B9DEEB5C"/>
    <w:lvl w:ilvl="0" w:tplc="0C09000F">
      <w:start w:val="1"/>
      <w:numFmt w:val="decimal"/>
      <w:lvlText w:val="%1."/>
      <w:lvlJc w:val="left"/>
      <w:pPr>
        <w:ind w:left="720" w:hanging="360"/>
      </w:pPr>
    </w:lvl>
    <w:lvl w:ilvl="1" w:tplc="A552D4B0">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6B59DA"/>
    <w:multiLevelType w:val="hybridMultilevel"/>
    <w:tmpl w:val="F276527C"/>
    <w:lvl w:ilvl="0" w:tplc="0CD8343C">
      <w:start w:val="1"/>
      <w:numFmt w:val="decimal"/>
      <w:lvlText w:val="%1."/>
      <w:lvlJc w:val="left"/>
      <w:pPr>
        <w:tabs>
          <w:tab w:val="num" w:pos="930"/>
        </w:tabs>
        <w:ind w:left="930" w:hanging="570"/>
      </w:pPr>
      <w:rPr>
        <w:rFonts w:hint="default"/>
      </w:rPr>
    </w:lvl>
    <w:lvl w:ilvl="1" w:tplc="50986C98" w:tentative="1">
      <w:start w:val="1"/>
      <w:numFmt w:val="lowerLetter"/>
      <w:lvlText w:val="%2."/>
      <w:lvlJc w:val="left"/>
      <w:pPr>
        <w:tabs>
          <w:tab w:val="num" w:pos="1440"/>
        </w:tabs>
        <w:ind w:left="1440" w:hanging="360"/>
      </w:pPr>
    </w:lvl>
    <w:lvl w:ilvl="2" w:tplc="9CC84348" w:tentative="1">
      <w:start w:val="1"/>
      <w:numFmt w:val="lowerRoman"/>
      <w:lvlText w:val="%3."/>
      <w:lvlJc w:val="right"/>
      <w:pPr>
        <w:tabs>
          <w:tab w:val="num" w:pos="2160"/>
        </w:tabs>
        <w:ind w:left="2160" w:hanging="180"/>
      </w:pPr>
    </w:lvl>
    <w:lvl w:ilvl="3" w:tplc="90082BA4" w:tentative="1">
      <w:start w:val="1"/>
      <w:numFmt w:val="decimal"/>
      <w:lvlText w:val="%4."/>
      <w:lvlJc w:val="left"/>
      <w:pPr>
        <w:tabs>
          <w:tab w:val="num" w:pos="2880"/>
        </w:tabs>
        <w:ind w:left="2880" w:hanging="360"/>
      </w:pPr>
    </w:lvl>
    <w:lvl w:ilvl="4" w:tplc="BD26EBAE" w:tentative="1">
      <w:start w:val="1"/>
      <w:numFmt w:val="lowerLetter"/>
      <w:lvlText w:val="%5."/>
      <w:lvlJc w:val="left"/>
      <w:pPr>
        <w:tabs>
          <w:tab w:val="num" w:pos="3600"/>
        </w:tabs>
        <w:ind w:left="3600" w:hanging="360"/>
      </w:pPr>
    </w:lvl>
    <w:lvl w:ilvl="5" w:tplc="2D5EF444" w:tentative="1">
      <w:start w:val="1"/>
      <w:numFmt w:val="lowerRoman"/>
      <w:lvlText w:val="%6."/>
      <w:lvlJc w:val="right"/>
      <w:pPr>
        <w:tabs>
          <w:tab w:val="num" w:pos="4320"/>
        </w:tabs>
        <w:ind w:left="4320" w:hanging="180"/>
      </w:pPr>
    </w:lvl>
    <w:lvl w:ilvl="6" w:tplc="93AA7BEC" w:tentative="1">
      <w:start w:val="1"/>
      <w:numFmt w:val="decimal"/>
      <w:lvlText w:val="%7."/>
      <w:lvlJc w:val="left"/>
      <w:pPr>
        <w:tabs>
          <w:tab w:val="num" w:pos="5040"/>
        </w:tabs>
        <w:ind w:left="5040" w:hanging="360"/>
      </w:pPr>
    </w:lvl>
    <w:lvl w:ilvl="7" w:tplc="B44A2A98" w:tentative="1">
      <w:start w:val="1"/>
      <w:numFmt w:val="lowerLetter"/>
      <w:lvlText w:val="%8."/>
      <w:lvlJc w:val="left"/>
      <w:pPr>
        <w:tabs>
          <w:tab w:val="num" w:pos="5760"/>
        </w:tabs>
        <w:ind w:left="5760" w:hanging="360"/>
      </w:pPr>
    </w:lvl>
    <w:lvl w:ilvl="8" w:tplc="6D360C1C" w:tentative="1">
      <w:start w:val="1"/>
      <w:numFmt w:val="lowerRoman"/>
      <w:lvlText w:val="%9."/>
      <w:lvlJc w:val="right"/>
      <w:pPr>
        <w:tabs>
          <w:tab w:val="num" w:pos="6480"/>
        </w:tabs>
        <w:ind w:left="6480" w:hanging="180"/>
      </w:pPr>
    </w:lvl>
  </w:abstractNum>
  <w:abstractNum w:abstractNumId="31" w15:restartNumberingAfterBreak="0">
    <w:nsid w:val="7CA63996"/>
    <w:multiLevelType w:val="multilevel"/>
    <w:tmpl w:val="EC40E5B2"/>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DE46B1C"/>
    <w:multiLevelType w:val="multilevel"/>
    <w:tmpl w:val="D9A664FC"/>
    <w:lvl w:ilvl="0">
      <w:start w:val="4"/>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3" w15:restartNumberingAfterBreak="0">
    <w:nsid w:val="7F122697"/>
    <w:multiLevelType w:val="hybridMultilevel"/>
    <w:tmpl w:val="C2804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22"/>
  </w:num>
  <w:num w:numId="3">
    <w:abstractNumId w:val="19"/>
  </w:num>
  <w:num w:numId="4">
    <w:abstractNumId w:val="23"/>
  </w:num>
  <w:num w:numId="5">
    <w:abstractNumId w:val="16"/>
  </w:num>
  <w:num w:numId="6">
    <w:abstractNumId w:val="11"/>
  </w:num>
  <w:num w:numId="7">
    <w:abstractNumId w:val="18"/>
  </w:num>
  <w:num w:numId="8">
    <w:abstractNumId w:val="26"/>
  </w:num>
  <w:num w:numId="9">
    <w:abstractNumId w:val="15"/>
  </w:num>
  <w:num w:numId="10">
    <w:abstractNumId w:val="20"/>
  </w:num>
  <w:num w:numId="11">
    <w:abstractNumId w:val="17"/>
  </w:num>
  <w:num w:numId="12">
    <w:abstractNumId w:val="32"/>
  </w:num>
  <w:num w:numId="13">
    <w:abstractNumId w:val="27"/>
  </w:num>
  <w:num w:numId="14">
    <w:abstractNumId w:val="21"/>
  </w:num>
  <w:num w:numId="15">
    <w:abstractNumId w:val="28"/>
  </w:num>
  <w:num w:numId="16">
    <w:abstractNumId w:val="30"/>
  </w:num>
  <w:num w:numId="17">
    <w:abstractNumId w:val="14"/>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0"/>
  </w:num>
  <w:num w:numId="29">
    <w:abstractNumId w:val="29"/>
  </w:num>
  <w:num w:numId="30">
    <w:abstractNumId w:val="25"/>
  </w:num>
  <w:num w:numId="31">
    <w:abstractNumId w:val="12"/>
  </w:num>
  <w:num w:numId="32">
    <w:abstractNumId w:val="13"/>
  </w:num>
  <w:num w:numId="33">
    <w:abstractNumId w:val="3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97"/>
    <w:rsid w:val="00002018"/>
    <w:rsid w:val="000169FD"/>
    <w:rsid w:val="0006670D"/>
    <w:rsid w:val="000764E4"/>
    <w:rsid w:val="00076D1F"/>
    <w:rsid w:val="000A0269"/>
    <w:rsid w:val="000F571B"/>
    <w:rsid w:val="00185B69"/>
    <w:rsid w:val="001B49DB"/>
    <w:rsid w:val="001B67AA"/>
    <w:rsid w:val="002128A9"/>
    <w:rsid w:val="00241BC0"/>
    <w:rsid w:val="00346BFD"/>
    <w:rsid w:val="003A6E0B"/>
    <w:rsid w:val="003D4A97"/>
    <w:rsid w:val="003F312A"/>
    <w:rsid w:val="0043646A"/>
    <w:rsid w:val="00450ACF"/>
    <w:rsid w:val="00453CF2"/>
    <w:rsid w:val="004657BC"/>
    <w:rsid w:val="004702AA"/>
    <w:rsid w:val="004B6FB1"/>
    <w:rsid w:val="00510781"/>
    <w:rsid w:val="005E6F56"/>
    <w:rsid w:val="005F0772"/>
    <w:rsid w:val="00603C9C"/>
    <w:rsid w:val="006137D2"/>
    <w:rsid w:val="006376B7"/>
    <w:rsid w:val="00705701"/>
    <w:rsid w:val="00743AA2"/>
    <w:rsid w:val="0075062A"/>
    <w:rsid w:val="00761707"/>
    <w:rsid w:val="007630BD"/>
    <w:rsid w:val="00794CAA"/>
    <w:rsid w:val="007E3947"/>
    <w:rsid w:val="008033F9"/>
    <w:rsid w:val="008532E3"/>
    <w:rsid w:val="00873397"/>
    <w:rsid w:val="008B6E19"/>
    <w:rsid w:val="008D5A6D"/>
    <w:rsid w:val="008F3D52"/>
    <w:rsid w:val="00945091"/>
    <w:rsid w:val="00952EA7"/>
    <w:rsid w:val="00955AF7"/>
    <w:rsid w:val="0096555F"/>
    <w:rsid w:val="00985911"/>
    <w:rsid w:val="009A3E96"/>
    <w:rsid w:val="009D6838"/>
    <w:rsid w:val="00A0030D"/>
    <w:rsid w:val="00A429D8"/>
    <w:rsid w:val="00A541DC"/>
    <w:rsid w:val="00B00498"/>
    <w:rsid w:val="00B07F6A"/>
    <w:rsid w:val="00B15DEC"/>
    <w:rsid w:val="00B51ECD"/>
    <w:rsid w:val="00B66C1F"/>
    <w:rsid w:val="00BA2246"/>
    <w:rsid w:val="00BE07E5"/>
    <w:rsid w:val="00BF5567"/>
    <w:rsid w:val="00C129FE"/>
    <w:rsid w:val="00C37495"/>
    <w:rsid w:val="00CC0D6C"/>
    <w:rsid w:val="00D22997"/>
    <w:rsid w:val="00D52236"/>
    <w:rsid w:val="00D72FF8"/>
    <w:rsid w:val="00DA2DC1"/>
    <w:rsid w:val="00DA3464"/>
    <w:rsid w:val="00E14B34"/>
    <w:rsid w:val="00E4707B"/>
    <w:rsid w:val="00E55AB6"/>
    <w:rsid w:val="00E661FB"/>
    <w:rsid w:val="00F374B9"/>
    <w:rsid w:val="00F70DB7"/>
    <w:rsid w:val="00F75050"/>
    <w:rsid w:val="00F903AA"/>
    <w:rsid w:val="00FE274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46636335"/>
  <w15:docId w15:val="{B38040D4-4168-4DCB-8D87-C52BF9FF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2FF8"/>
    <w:rPr>
      <w:rFonts w:ascii="Garamond" w:hAnsi="Garamond"/>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tabs>
        <w:tab w:val="left" w:pos="426"/>
      </w:tabs>
      <w:outlineLvl w:val="3"/>
    </w:pPr>
    <w:rPr>
      <w:b/>
      <w:i/>
      <w:sz w:val="22"/>
      <w:lang w:val="en-US"/>
    </w:rPr>
  </w:style>
  <w:style w:type="paragraph" w:styleId="Heading5">
    <w:name w:val="heading 5"/>
    <w:basedOn w:val="Normal"/>
    <w:next w:val="Normal"/>
    <w:qFormat/>
    <w:pPr>
      <w:keepNext/>
      <w:tabs>
        <w:tab w:val="left" w:pos="426"/>
        <w:tab w:val="left" w:pos="851"/>
        <w:tab w:val="left" w:pos="1134"/>
        <w:tab w:val="left" w:pos="1418"/>
      </w:tabs>
      <w:ind w:left="1418" w:right="-2" w:hanging="1418"/>
      <w:outlineLvl w:val="4"/>
    </w:pPr>
    <w:rPr>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link w:val="BodyTextIndentChar"/>
    <w:pPr>
      <w:spacing w:after="20"/>
      <w:ind w:left="113"/>
    </w:pPr>
    <w:rPr>
      <w:sz w:val="18"/>
    </w:rPr>
  </w:style>
  <w:style w:type="paragraph" w:styleId="BodyTextIndent2">
    <w:name w:val="Body Text Indent 2"/>
    <w:basedOn w:val="Normal"/>
    <w:pPr>
      <w:spacing w:after="40"/>
      <w:ind w:left="57"/>
    </w:pPr>
    <w:rPr>
      <w:sz w:val="18"/>
    </w:rPr>
  </w:style>
  <w:style w:type="paragraph" w:styleId="BodyText">
    <w:name w:val="Body Text"/>
    <w:basedOn w:val="Normal"/>
    <w:link w:val="BodyTextChar"/>
    <w:pPr>
      <w:tabs>
        <w:tab w:val="left" w:pos="426"/>
      </w:tabs>
      <w:ind w:right="849"/>
    </w:pPr>
    <w:rPr>
      <w:sz w:val="22"/>
      <w:lang w:val="en-US"/>
    </w:rPr>
  </w:style>
  <w:style w:type="paragraph" w:styleId="BlockText">
    <w:name w:val="Block Text"/>
    <w:basedOn w:val="Normal"/>
    <w:pPr>
      <w:tabs>
        <w:tab w:val="left" w:pos="426"/>
        <w:tab w:val="left" w:pos="851"/>
        <w:tab w:val="left" w:pos="1134"/>
      </w:tabs>
      <w:ind w:left="1140" w:right="849"/>
    </w:pPr>
    <w:rPr>
      <w:sz w:val="22"/>
      <w:lang w:val="en-US"/>
    </w:rPr>
  </w:style>
  <w:style w:type="paragraph" w:customStyle="1" w:styleId="BodyTextBoldAlt2">
    <w:name w:val="Body Text Bold (Alt+2)"/>
    <w:basedOn w:val="BodyText"/>
    <w:pPr>
      <w:tabs>
        <w:tab w:val="clear" w:pos="426"/>
      </w:tabs>
      <w:spacing w:after="100" w:line="260" w:lineRule="atLeast"/>
      <w:ind w:right="0"/>
    </w:pPr>
    <w:rPr>
      <w:rFonts w:ascii="Swis721 Cn BT" w:hAnsi="Swis721 Cn BT"/>
      <w:b/>
      <w:sz w:val="20"/>
      <w:lang w:val="en-AU" w:eastAsia="en-US"/>
    </w:rPr>
  </w:style>
  <w:style w:type="paragraph" w:styleId="PlainText">
    <w:name w:val="Plain Text"/>
    <w:basedOn w:val="Normal"/>
    <w:rPr>
      <w:rFonts w:ascii="Courier New" w:hAnsi="Courier New"/>
      <w:lang w:val="en-US" w:eastAsia="en-US"/>
    </w:r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link w:val="DocumentMapChar"/>
    <w:rsid w:val="00104C45"/>
    <w:rPr>
      <w:rFonts w:ascii="Lucida Grande" w:hAnsi="Lucida Grande"/>
      <w:sz w:val="24"/>
      <w:szCs w:val="24"/>
    </w:rPr>
  </w:style>
  <w:style w:type="character" w:styleId="PageNumber">
    <w:name w:val="page number"/>
    <w:basedOn w:val="DefaultParagraphFont"/>
  </w:style>
  <w:style w:type="character" w:customStyle="1" w:styleId="DocumentMapChar">
    <w:name w:val="Document Map Char"/>
    <w:link w:val="DocumentMap"/>
    <w:rsid w:val="00104C45"/>
    <w:rPr>
      <w:rFonts w:ascii="Lucida Grande" w:hAnsi="Lucida Grande"/>
      <w:sz w:val="24"/>
      <w:szCs w:val="24"/>
      <w:lang w:eastAsia="en-AU"/>
    </w:rPr>
  </w:style>
  <w:style w:type="character" w:customStyle="1" w:styleId="BodyTextChar">
    <w:name w:val="Body Text Char"/>
    <w:link w:val="BodyText"/>
    <w:rsid w:val="00A31C0D"/>
    <w:rPr>
      <w:rFonts w:ascii="Garamond" w:hAnsi="Garamond"/>
      <w:sz w:val="22"/>
      <w:lang w:val="en-US" w:eastAsia="en-AU"/>
    </w:rPr>
  </w:style>
  <w:style w:type="character" w:customStyle="1" w:styleId="BodyTextIndentChar">
    <w:name w:val="Body Text Indent Char"/>
    <w:link w:val="BodyTextIndent"/>
    <w:rsid w:val="00A31C0D"/>
    <w:rPr>
      <w:rFonts w:ascii="Garamond" w:hAnsi="Garamond"/>
      <w:sz w:val="18"/>
      <w:lang w:eastAsia="en-AU"/>
    </w:rPr>
  </w:style>
  <w:style w:type="paragraph" w:customStyle="1" w:styleId="Style12ptBoldCentered">
    <w:name w:val="Style 12 pt Bold Centered"/>
    <w:basedOn w:val="Normal"/>
    <w:rsid w:val="00D72FF8"/>
    <w:pPr>
      <w:jc w:val="center"/>
    </w:pPr>
    <w:rPr>
      <w:rFonts w:ascii="Calibri" w:hAnsi="Calibri"/>
      <w:b/>
      <w:bCs/>
      <w:sz w:val="24"/>
      <w:lang w:eastAsia="en-US"/>
    </w:rPr>
  </w:style>
  <w:style w:type="paragraph" w:customStyle="1" w:styleId="StyleBodyText12pt">
    <w:name w:val="Style Body Text + 12 pt"/>
    <w:basedOn w:val="Normal"/>
    <w:rsid w:val="00D72FF8"/>
    <w:pPr>
      <w:jc w:val="both"/>
    </w:pPr>
    <w:rPr>
      <w:rFonts w:ascii="Calibri" w:hAnsi="Calibri" w:cs="Arial"/>
      <w:sz w:val="24"/>
      <w:szCs w:val="24"/>
      <w:lang w:eastAsia="en-US"/>
    </w:rPr>
  </w:style>
  <w:style w:type="paragraph" w:customStyle="1" w:styleId="StyleBodyText12ptLeft14cm">
    <w:name w:val="Style Body Text + 12 pt Left:  1.4 cm"/>
    <w:basedOn w:val="Normal"/>
    <w:rsid w:val="00D72FF8"/>
    <w:pPr>
      <w:ind w:left="792"/>
      <w:jc w:val="both"/>
    </w:pPr>
    <w:rPr>
      <w:rFonts w:ascii="Calibri" w:hAnsi="Calibri"/>
      <w:sz w:val="24"/>
      <w:lang w:eastAsia="en-US"/>
    </w:rPr>
  </w:style>
  <w:style w:type="paragraph" w:customStyle="1" w:styleId="StyleBodyText12ptBold">
    <w:name w:val="Style Body Text + 12 pt Bold"/>
    <w:basedOn w:val="Normal"/>
    <w:rsid w:val="00D72FF8"/>
    <w:pPr>
      <w:jc w:val="both"/>
    </w:pPr>
    <w:rPr>
      <w:rFonts w:ascii="Calibri" w:hAnsi="Calibri" w:cs="Arial"/>
      <w:b/>
      <w:bCs/>
      <w:sz w:val="24"/>
      <w:szCs w:val="24"/>
      <w:lang w:eastAsia="en-US"/>
    </w:rPr>
  </w:style>
  <w:style w:type="paragraph" w:customStyle="1" w:styleId="StyleStyleBodyText12pt10pt">
    <w:name w:val="Style Style Body Text + 12 pt + 10 pt"/>
    <w:basedOn w:val="StyleBodyText12pt"/>
    <w:rsid w:val="00D72FF8"/>
    <w:pPr>
      <w:numPr>
        <w:numId w:val="30"/>
      </w:numPr>
    </w:pPr>
  </w:style>
  <w:style w:type="paragraph" w:styleId="ListParagraph">
    <w:name w:val="List Paragraph"/>
    <w:basedOn w:val="Normal"/>
    <w:uiPriority w:val="34"/>
    <w:qFormat/>
    <w:rsid w:val="008D5A6D"/>
    <w:pPr>
      <w:ind w:left="720"/>
      <w:contextualSpacing/>
    </w:pPr>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sid w:val="00BA22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0242" ma:contentTypeDescription="" ma:contentTypeScope="" ma:versionID="0e9555cabf1853588feb412effccf1f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6bfac8e52420368ce6ac7c74f2e5abab"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2018MG-133-31841</_dlc_DocId>
    <TaxCatchAll xmlns="d4dd4adf-ddb3-46a3-8d7c-fab3fb2a6bc7">
      <Value>2</Value>
    </TaxCatchAll>
    <_dlc_DocIdUrl xmlns="d4dd4adf-ddb3-46a3-8d7c-fab3fb2a6bc7">
      <Url>http://tweb/sites/mg/sbccpd/_layouts/15/DocIdRedir.aspx?ID=2018MG-133-31841</Url>
      <Description>2018MG-133-31841</Description>
    </_dlc_DocIdUrl>
    <IconOverlay xmlns="http://schemas.microsoft.com/sharepoint/v4" xsi:nil="true"/>
  </documentManagement>
</p:properties>
</file>

<file path=customXml/itemProps1.xml><?xml version="1.0" encoding="utf-8"?>
<ds:datastoreItem xmlns:ds="http://schemas.openxmlformats.org/officeDocument/2006/customXml" ds:itemID="{1878FE71-4BC4-4023-9F3A-E4AB67A4F88E}">
  <ds:schemaRefs>
    <ds:schemaRef ds:uri="http://schemas.openxmlformats.org/officeDocument/2006/bibliography"/>
  </ds:schemaRefs>
</ds:datastoreItem>
</file>

<file path=customXml/itemProps2.xml><?xml version="1.0" encoding="utf-8"?>
<ds:datastoreItem xmlns:ds="http://schemas.openxmlformats.org/officeDocument/2006/customXml" ds:itemID="{0795308E-57D7-4A9E-88B3-DAA2C3E5168D}"/>
</file>

<file path=customXml/itemProps3.xml><?xml version="1.0" encoding="utf-8"?>
<ds:datastoreItem xmlns:ds="http://schemas.openxmlformats.org/officeDocument/2006/customXml" ds:itemID="{E1739AAC-BF08-4D7E-9BFD-56CD6885C9AA}"/>
</file>

<file path=customXml/itemProps4.xml><?xml version="1.0" encoding="utf-8"?>
<ds:datastoreItem xmlns:ds="http://schemas.openxmlformats.org/officeDocument/2006/customXml" ds:itemID="{F957AA5C-02A6-4242-A0AD-7072E1010764}"/>
</file>

<file path=customXml/itemProps5.xml><?xml version="1.0" encoding="utf-8"?>
<ds:datastoreItem xmlns:ds="http://schemas.openxmlformats.org/officeDocument/2006/customXml" ds:itemID="{0C69E04C-63E0-4894-BB9E-C54DA31560D4}"/>
</file>

<file path=customXml/itemProps6.xml><?xml version="1.0" encoding="utf-8"?>
<ds:datastoreItem xmlns:ds="http://schemas.openxmlformats.org/officeDocument/2006/customXml" ds:itemID="{7983B143-FC77-4AE4-A087-713FDDD36320}"/>
</file>

<file path=docProps/app.xml><?xml version="1.0" encoding="utf-8"?>
<Properties xmlns="http://schemas.openxmlformats.org/officeDocument/2006/extended-properties" xmlns:vt="http://schemas.openxmlformats.org/officeDocument/2006/docPropsVTypes">
  <Template>7D9ACC09</Template>
  <TotalTime>23</TotalTime>
  <Pages>3</Pages>
  <Words>1056</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0000</vt:lpstr>
    </vt:vector>
  </TitlesOfParts>
  <Company>Eword</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dc:title>
  <dc:creator>Emma Armstrong</dc:creator>
  <cp:lastModifiedBy>Emma Armstrong</cp:lastModifiedBy>
  <cp:revision>7</cp:revision>
  <cp:lastPrinted>2018-01-17T23:37:00Z</cp:lastPrinted>
  <dcterms:created xsi:type="dcterms:W3CDTF">2018-03-21T00:33:00Z</dcterms:created>
  <dcterms:modified xsi:type="dcterms:W3CDTF">2018-03-21T00:58:00Z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ectFax">
    <vt:lpwstr>DirectFax</vt:lpwstr>
  </property>
  <property fmtid="{D5CDD505-2E9C-101B-9397-08002B2CF9AE}" pid="3" name="DirectPhone">
    <vt:lpwstr/>
  </property>
  <property fmtid="{D5CDD505-2E9C-101B-9397-08002B2CF9AE}" pid="4" name="Email">
    <vt:lpwstr/>
  </property>
  <property fmtid="{D5CDD505-2E9C-101B-9397-08002B2CF9AE}" pid="5" name="FromName">
    <vt:lpwstr/>
  </property>
  <property fmtid="{D5CDD505-2E9C-101B-9397-08002B2CF9AE}" pid="6" name="FromSection">
    <vt:lpwstr>FromSection</vt:lpwstr>
  </property>
  <property fmtid="{D5CDD505-2E9C-101B-9397-08002B2CF9AE}" pid="7" name="FromTitle">
    <vt:lpwstr/>
  </property>
  <property fmtid="{D5CDD505-2E9C-101B-9397-08002B2CF9AE}" pid="8" name="MobilePhone">
    <vt:lpwstr>MobilePhone</vt:lpwstr>
  </property>
  <property fmtid="{D5CDD505-2E9C-101B-9397-08002B2CF9AE}" pid="9" name="OurRef">
    <vt:lpwstr>OurRef</vt:lpwstr>
  </property>
  <property fmtid="{D5CDD505-2E9C-101B-9397-08002B2CF9AE}" pid="10" name="SignOff">
    <vt:lpwstr>SignOff</vt:lpwstr>
  </property>
  <property fmtid="{D5CDD505-2E9C-101B-9397-08002B2CF9AE}" pid="11" name="ToAttention">
    <vt:lpwstr>ToAttention</vt:lpwstr>
  </property>
  <property fmtid="{D5CDD505-2E9C-101B-9397-08002B2CF9AE}" pid="12" name="ToName">
    <vt:lpwstr>ToName</vt:lpwstr>
  </property>
  <property fmtid="{D5CDD505-2E9C-101B-9397-08002B2CF9AE}" pid="13" name="ContentTypeId">
    <vt:lpwstr>0x010100E95D40E5DFEA714B90E88DB5CE07A6B500DDAFF7E1A29DE64F981B4EA50562BA75</vt:lpwstr>
  </property>
  <property fmtid="{D5CDD505-2E9C-101B-9397-08002B2CF9AE}" pid="14" name="TSYRecordClass">
    <vt:lpwstr>2;#TSY RA-9081 - Retain as national archives|bbf0bcde-1687-4ff2-bc57-f31b5d545d4b</vt:lpwstr>
  </property>
  <property fmtid="{D5CDD505-2E9C-101B-9397-08002B2CF9AE}" pid="15" name="_dlc_DocIdItemGuid">
    <vt:lpwstr>2f39774d-201c-4d41-a6a5-7e9a425a8d01</vt:lpwstr>
  </property>
  <property fmtid="{D5CDD505-2E9C-101B-9397-08002B2CF9AE}" pid="16" name="RecordPoint_WorkflowType">
    <vt:lpwstr>ActiveSubmitStub</vt:lpwstr>
  </property>
  <property fmtid="{D5CDD505-2E9C-101B-9397-08002B2CF9AE}" pid="17" name="RecordPoint_ActiveItemWebId">
    <vt:lpwstr>{682871c2-4073-4158-957a-6d924b9ba0a6}</vt:lpwstr>
  </property>
  <property fmtid="{D5CDD505-2E9C-101B-9397-08002B2CF9AE}" pid="18" name="RecordPoint_ActiveItemSiteId">
    <vt:lpwstr>{08cedf7d-7ad2-4b81-a81f-47e3ec332c41}</vt:lpwstr>
  </property>
  <property fmtid="{D5CDD505-2E9C-101B-9397-08002B2CF9AE}" pid="19" name="RecordPoint_ActiveItemListId">
    <vt:lpwstr>{020b99f8-d659-456c-88bf-b1c791ab809a}</vt:lpwstr>
  </property>
  <property fmtid="{D5CDD505-2E9C-101B-9397-08002B2CF9AE}" pid="20" name="RecordPoint_ActiveItemUniqueId">
    <vt:lpwstr>{2f39774d-201c-4d41-a6a5-7e9a425a8d01}</vt:lpwstr>
  </property>
  <property fmtid="{D5CDD505-2E9C-101B-9397-08002B2CF9AE}" pid="21" name="RecordPoint_RecordNumberSubmitted">
    <vt:lpwstr>R0001633416</vt:lpwstr>
  </property>
  <property fmtid="{D5CDD505-2E9C-101B-9397-08002B2CF9AE}" pid="22" name="RecordPoint_SubmissionCompleted">
    <vt:lpwstr>2018-03-28T11:46:10.3243852+11:00</vt:lpwstr>
  </property>
</Properties>
</file>