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D874F3" w14:textId="77777777" w:rsidR="00F75DD2" w:rsidRPr="00B865EE" w:rsidRDefault="00B865EE">
      <w:pPr>
        <w:rPr>
          <w:rFonts w:eastAsia="Proxima Nova"/>
          <w:b/>
          <w:u w:val="single"/>
        </w:rPr>
      </w:pPr>
      <w:r w:rsidRPr="00B865EE">
        <w:rPr>
          <w:rFonts w:eastAsia="Proxima Nova"/>
          <w:b/>
          <w:u w:val="single"/>
        </w:rPr>
        <w:t xml:space="preserve">Open banking submission - </w:t>
      </w:r>
      <w:hyperlink r:id="rId4">
        <w:r w:rsidRPr="00B865EE">
          <w:rPr>
            <w:rFonts w:eastAsia="Proxima Nova"/>
            <w:b/>
            <w:color w:val="1155CC"/>
            <w:u w:val="single"/>
          </w:rPr>
          <w:t>finder.com.au</w:t>
        </w:r>
      </w:hyperlink>
    </w:p>
    <w:p w14:paraId="640B59CE" w14:textId="77777777" w:rsidR="00F75DD2" w:rsidRPr="00B865EE" w:rsidRDefault="00F75DD2">
      <w:pPr>
        <w:rPr>
          <w:rFonts w:eastAsia="Proxima Nova"/>
          <w:b/>
        </w:rPr>
      </w:pPr>
    </w:p>
    <w:p w14:paraId="22811146" w14:textId="77777777" w:rsidR="00F75DD2" w:rsidRPr="00B865EE" w:rsidRDefault="00B865EE">
      <w:pPr>
        <w:rPr>
          <w:rFonts w:eastAsia="Proxima Nova"/>
          <w:b/>
          <w:u w:val="single"/>
        </w:rPr>
      </w:pPr>
      <w:r w:rsidRPr="00B865EE">
        <w:rPr>
          <w:rFonts w:eastAsia="Proxima Nova"/>
          <w:b/>
          <w:u w:val="single"/>
        </w:rPr>
        <w:t>Executive summary</w:t>
      </w:r>
    </w:p>
    <w:p w14:paraId="4C807150" w14:textId="77777777" w:rsidR="00F75DD2" w:rsidRPr="00B865EE" w:rsidRDefault="00B865EE">
      <w:pPr>
        <w:rPr>
          <w:color w:val="222222"/>
          <w:u w:val="single"/>
        </w:rPr>
      </w:pPr>
      <w:hyperlink r:id="rId5">
        <w:r w:rsidRPr="00B865EE">
          <w:rPr>
            <w:rFonts w:eastAsia="Proxima Nova"/>
            <w:color w:val="1155CC"/>
            <w:u w:val="single"/>
          </w:rPr>
          <w:t>f</w:t>
        </w:r>
      </w:hyperlink>
      <w:hyperlink r:id="rId6">
        <w:r w:rsidRPr="00B865EE">
          <w:rPr>
            <w:rFonts w:eastAsia="Proxima Nova"/>
            <w:color w:val="1155CC"/>
            <w:u w:val="single"/>
          </w:rPr>
          <w:t>inder.com.au</w:t>
        </w:r>
      </w:hyperlink>
      <w:r w:rsidRPr="00B865EE">
        <w:rPr>
          <w:rFonts w:eastAsia="Proxima Nova"/>
          <w:color w:val="222222"/>
        </w:rPr>
        <w:t xml:space="preserve"> (“Finder”, “we”) </w:t>
      </w:r>
      <w:r w:rsidRPr="00B865EE">
        <w:rPr>
          <w:rFonts w:eastAsia="Proxima Nova"/>
        </w:rPr>
        <w:t xml:space="preserve">is Australia’s most visited comparison site, with more than 5 million visitors a month. Finder compares 50+ product categories, including credit cards, home loans, savings and transaction accounts, personal loans and travel money. The free service is </w:t>
      </w:r>
      <w:r w:rsidRPr="00B865EE">
        <w:rPr>
          <w:rFonts w:eastAsia="Proxima Nova"/>
          <w:color w:val="222222"/>
        </w:rPr>
        <w:t>indep</w:t>
      </w:r>
      <w:r w:rsidRPr="00B865EE">
        <w:rPr>
          <w:rFonts w:eastAsia="Proxima Nova"/>
          <w:color w:val="222222"/>
        </w:rPr>
        <w:t>endently owned by two Australian</w:t>
      </w:r>
      <w:r w:rsidRPr="00B865EE">
        <w:rPr>
          <w:rFonts w:eastAsia="Proxima Nova"/>
          <w:color w:val="222222"/>
          <w:highlight w:val="white"/>
        </w:rPr>
        <w:t>s:</w:t>
      </w:r>
      <w:r w:rsidRPr="00B865EE">
        <w:rPr>
          <w:rFonts w:eastAsia="Proxima Nova"/>
          <w:color w:val="222222"/>
        </w:rPr>
        <w:t xml:space="preserve"> Fred </w:t>
      </w:r>
      <w:proofErr w:type="spellStart"/>
      <w:r w:rsidRPr="00B865EE">
        <w:rPr>
          <w:rFonts w:eastAsia="Proxima Nova"/>
          <w:color w:val="222222"/>
        </w:rPr>
        <w:t>Schebesta</w:t>
      </w:r>
      <w:proofErr w:type="spellEnd"/>
      <w:r w:rsidRPr="00B865EE">
        <w:rPr>
          <w:rFonts w:eastAsia="Proxima Nova"/>
          <w:color w:val="222222"/>
        </w:rPr>
        <w:t xml:space="preserve"> and Frank </w:t>
      </w:r>
      <w:proofErr w:type="spellStart"/>
      <w:r w:rsidRPr="00B865EE">
        <w:rPr>
          <w:rFonts w:eastAsia="Proxima Nova"/>
          <w:color w:val="222222"/>
        </w:rPr>
        <w:t>Restuccia</w:t>
      </w:r>
      <w:proofErr w:type="spellEnd"/>
      <w:r w:rsidRPr="00B865EE">
        <w:rPr>
          <w:rFonts w:eastAsia="Proxima Nova"/>
          <w:color w:val="222222"/>
        </w:rPr>
        <w:t>.</w:t>
      </w:r>
    </w:p>
    <w:p w14:paraId="7687DD74" w14:textId="77777777" w:rsidR="00F75DD2" w:rsidRPr="00B865EE" w:rsidRDefault="00F75DD2">
      <w:pPr>
        <w:rPr>
          <w:rFonts w:eastAsia="Proxima Nova"/>
          <w:color w:val="222222"/>
        </w:rPr>
      </w:pPr>
    </w:p>
    <w:p w14:paraId="5547B1B6" w14:textId="77777777" w:rsidR="00F75DD2" w:rsidRPr="00B865EE" w:rsidRDefault="00B865EE">
      <w:pPr>
        <w:rPr>
          <w:rFonts w:eastAsia="Proxima Nova"/>
        </w:rPr>
      </w:pPr>
      <w:r w:rsidRPr="00B865EE">
        <w:rPr>
          <w:rFonts w:eastAsia="Proxima Nova"/>
        </w:rPr>
        <w:t>Finder welcomes</w:t>
      </w:r>
      <w:r w:rsidRPr="00B865EE">
        <w:rPr>
          <w:rFonts w:eastAsia="Proxima Nova"/>
        </w:rPr>
        <w:t xml:space="preserve"> the Open Banking review. Finder’s mission is to empower everyday Australians to make better decisions. We appreciate that Open Banking presents an opportunity for more Australians to gain access to, and control over, their banking data and we anticipate t</w:t>
      </w:r>
      <w:r w:rsidRPr="00B865EE">
        <w:rPr>
          <w:rFonts w:eastAsia="Proxima Nova"/>
        </w:rPr>
        <w:t xml:space="preserve">hese reforms will equip consumers with the information they need to make better decisions. </w:t>
      </w:r>
    </w:p>
    <w:p w14:paraId="3A7975A6" w14:textId="77777777" w:rsidR="00F75DD2" w:rsidRPr="00B865EE" w:rsidRDefault="00F75DD2">
      <w:pPr>
        <w:rPr>
          <w:rFonts w:eastAsia="Proxima Nova"/>
        </w:rPr>
      </w:pPr>
    </w:p>
    <w:p w14:paraId="60A335AC" w14:textId="77777777" w:rsidR="00F75DD2" w:rsidRPr="00B865EE" w:rsidRDefault="00B865EE">
      <w:pPr>
        <w:rPr>
          <w:rFonts w:eastAsia="Proxima Nova"/>
          <w:color w:val="222222"/>
        </w:rPr>
      </w:pPr>
      <w:r w:rsidRPr="00B865EE">
        <w:rPr>
          <w:rFonts w:eastAsia="Proxima Nova"/>
          <w:color w:val="222222"/>
        </w:rPr>
        <w:t xml:space="preserve">We are confident this could also lead to improvements in financial literacy, empower consumers and lead to a more competitive and innovative banking sector.   </w:t>
      </w:r>
    </w:p>
    <w:p w14:paraId="704EF58D" w14:textId="77777777" w:rsidR="00F75DD2" w:rsidRPr="00B865EE" w:rsidRDefault="00F75DD2">
      <w:pPr>
        <w:rPr>
          <w:rFonts w:eastAsia="Proxima Nova"/>
          <w:color w:val="222222"/>
        </w:rPr>
      </w:pPr>
    </w:p>
    <w:p w14:paraId="202F1BE9" w14:textId="77777777" w:rsidR="00F75DD2" w:rsidRPr="00B865EE" w:rsidRDefault="00B865EE">
      <w:pPr>
        <w:rPr>
          <w:rFonts w:eastAsia="Proxima Nova"/>
          <w:color w:val="222222"/>
        </w:rPr>
      </w:pPr>
      <w:r w:rsidRPr="00B865EE">
        <w:rPr>
          <w:rFonts w:eastAsia="Proxima Nova"/>
          <w:color w:val="222222"/>
        </w:rPr>
        <w:t>Fi</w:t>
      </w:r>
      <w:r w:rsidRPr="00B865EE">
        <w:rPr>
          <w:rFonts w:eastAsia="Proxima Nova"/>
          <w:color w:val="222222"/>
        </w:rPr>
        <w:t>nder believes the success of these critical initiatives is dependent on a strong regulatory model overseen by an efficient, effective and adequately resourced Regulator. Finder commends the choice of the ACCC as the lead regulator and believe that the ASIC</w:t>
      </w:r>
      <w:r w:rsidRPr="00B865EE">
        <w:rPr>
          <w:rFonts w:eastAsia="Proxima Nova"/>
          <w:color w:val="222222"/>
        </w:rPr>
        <w:t xml:space="preserve">, APRA and OAIC should also have key roles in driving competition and safeguarding the rights and interests of Australian consumers. </w:t>
      </w:r>
    </w:p>
    <w:p w14:paraId="4A4E6C85" w14:textId="77777777" w:rsidR="00F75DD2" w:rsidRPr="00B865EE" w:rsidRDefault="00F75DD2">
      <w:pPr>
        <w:rPr>
          <w:rFonts w:eastAsia="Proxima Nova"/>
          <w:color w:val="222222"/>
        </w:rPr>
      </w:pPr>
    </w:p>
    <w:p w14:paraId="3DA610F8" w14:textId="77777777" w:rsidR="00F75DD2" w:rsidRPr="00B865EE" w:rsidRDefault="00B865EE">
      <w:pPr>
        <w:rPr>
          <w:rFonts w:eastAsia="Proxima Nova"/>
          <w:color w:val="222222"/>
        </w:rPr>
      </w:pPr>
      <w:r w:rsidRPr="00B865EE">
        <w:rPr>
          <w:rFonts w:eastAsia="Proxima Nova"/>
          <w:color w:val="222222"/>
        </w:rPr>
        <w:t>Our submission on the recommendations focuses on the framework outlined in Chapter Two of the Open Banking Review “</w:t>
      </w:r>
      <w:r w:rsidRPr="00B865EE">
        <w:rPr>
          <w:rFonts w:eastAsia="Proxima Nova"/>
          <w:i/>
          <w:color w:val="222222"/>
        </w:rPr>
        <w:t>Open B</w:t>
      </w:r>
      <w:r w:rsidRPr="00B865EE">
        <w:rPr>
          <w:rFonts w:eastAsia="Proxima Nova"/>
          <w:i/>
          <w:color w:val="222222"/>
        </w:rPr>
        <w:t>anking Regulatory Framework</w:t>
      </w:r>
      <w:r w:rsidRPr="00B865EE">
        <w:rPr>
          <w:rFonts w:eastAsia="Proxima Nova"/>
          <w:color w:val="222222"/>
        </w:rPr>
        <w:t>”.</w:t>
      </w:r>
    </w:p>
    <w:p w14:paraId="26E5CE17" w14:textId="77777777" w:rsidR="00F75DD2" w:rsidRPr="00B865EE" w:rsidRDefault="00F75DD2">
      <w:pPr>
        <w:rPr>
          <w:rFonts w:eastAsia="Proxima Nova"/>
        </w:rPr>
      </w:pPr>
    </w:p>
    <w:p w14:paraId="59201395" w14:textId="77777777" w:rsidR="00F75DD2" w:rsidRPr="00B865EE" w:rsidRDefault="00B865EE">
      <w:pPr>
        <w:rPr>
          <w:rFonts w:eastAsia="Proxima Nova"/>
          <w:u w:val="single"/>
        </w:rPr>
      </w:pPr>
      <w:r w:rsidRPr="00B865EE">
        <w:rPr>
          <w:rFonts w:eastAsia="Proxima Nova"/>
          <w:b/>
          <w:u w:val="single"/>
        </w:rPr>
        <w:t>Section Two - Open Banking regulatory framework</w:t>
      </w:r>
    </w:p>
    <w:p w14:paraId="3E9C230E" w14:textId="77777777" w:rsidR="00F75DD2" w:rsidRPr="00B865EE" w:rsidRDefault="00F75DD2">
      <w:pPr>
        <w:rPr>
          <w:rFonts w:eastAsia="Proxima Nova"/>
          <w:i/>
        </w:rPr>
      </w:pPr>
    </w:p>
    <w:p w14:paraId="06F9A775" w14:textId="77777777" w:rsidR="00F75DD2" w:rsidRPr="00B865EE" w:rsidRDefault="00B865EE">
      <w:pPr>
        <w:rPr>
          <w:rFonts w:eastAsia="Proxima Nova"/>
          <w:b/>
        </w:rPr>
      </w:pPr>
      <w:r w:rsidRPr="00B865EE">
        <w:rPr>
          <w:rFonts w:eastAsia="Proxima Nova"/>
          <w:b/>
          <w:i/>
        </w:rPr>
        <w:t>Recommendation 2.5 - The Standards</w:t>
      </w:r>
    </w:p>
    <w:p w14:paraId="3299DF0A" w14:textId="77777777" w:rsidR="00F75DD2" w:rsidRPr="00B865EE" w:rsidRDefault="00B865EE">
      <w:pPr>
        <w:rPr>
          <w:rFonts w:eastAsia="Proxima Nova"/>
        </w:rPr>
      </w:pPr>
      <w:r w:rsidRPr="00B865EE">
        <w:rPr>
          <w:rFonts w:eastAsia="Proxima Nova"/>
        </w:rPr>
        <w:t xml:space="preserve">We </w:t>
      </w:r>
      <w:proofErr w:type="spellStart"/>
      <w:r w:rsidRPr="00B865EE">
        <w:rPr>
          <w:rFonts w:eastAsia="Proxima Nova"/>
        </w:rPr>
        <w:t>recognise</w:t>
      </w:r>
      <w:proofErr w:type="spellEnd"/>
      <w:r w:rsidRPr="00B865EE">
        <w:rPr>
          <w:rFonts w:eastAsia="Proxima Nova"/>
        </w:rPr>
        <w:t xml:space="preserve"> and accept the need to allow for competing approaches but would suggest that any alternatives considered must neither frustrate </w:t>
      </w:r>
      <w:r w:rsidRPr="00B865EE">
        <w:rPr>
          <w:rFonts w:eastAsia="Proxima Nova"/>
        </w:rPr>
        <w:t>the intent of the reforms, nor work to the disadvantage of either consumers or participants. Any proposed alternatives must meet, and exceed, the general requirements and must not be recommended merely as a means to avoid compliance with the new obligation</w:t>
      </w:r>
      <w:r w:rsidRPr="00B865EE">
        <w:rPr>
          <w:rFonts w:eastAsia="Proxima Nova"/>
        </w:rPr>
        <w:t xml:space="preserve"> to provide banking and transactional data. In Finder’s view, any proposal must be technologically and competitively neutral.  </w:t>
      </w:r>
    </w:p>
    <w:p w14:paraId="540E4A90" w14:textId="77777777" w:rsidR="00F75DD2" w:rsidRPr="00B865EE" w:rsidRDefault="00F75DD2">
      <w:pPr>
        <w:rPr>
          <w:rFonts w:eastAsia="Proxima Nova"/>
        </w:rPr>
      </w:pPr>
    </w:p>
    <w:p w14:paraId="434F5E8A" w14:textId="77777777" w:rsidR="00F75DD2" w:rsidRPr="00B865EE" w:rsidRDefault="00B865EE">
      <w:pPr>
        <w:rPr>
          <w:rFonts w:eastAsia="Proxima Nova"/>
          <w:i/>
        </w:rPr>
      </w:pPr>
      <w:r w:rsidRPr="00B865EE">
        <w:rPr>
          <w:rFonts w:eastAsia="Proxima Nova"/>
        </w:rPr>
        <w:t xml:space="preserve">For consistent standards and the opportunity for participants to develop alternatives, this recommendation needs to be drafted </w:t>
      </w:r>
      <w:r w:rsidRPr="00B865EE">
        <w:rPr>
          <w:rFonts w:eastAsia="Proxima Nova"/>
        </w:rPr>
        <w:t>in a way that better balances the rights of consumers and participants. We are concerned that the current proposal may discourage competition. It should not benefit incumbents at the expense of others whereby a regulatory licensing could be enforced.</w:t>
      </w:r>
    </w:p>
    <w:p w14:paraId="56EAA102" w14:textId="77777777" w:rsidR="00F75DD2" w:rsidRPr="00B865EE" w:rsidRDefault="00F75DD2">
      <w:pPr>
        <w:rPr>
          <w:rFonts w:eastAsia="Proxima Nova"/>
          <w:b/>
          <w:i/>
        </w:rPr>
      </w:pPr>
    </w:p>
    <w:p w14:paraId="022FB182" w14:textId="77777777" w:rsidR="00F75DD2" w:rsidRPr="00B865EE" w:rsidRDefault="00B865EE">
      <w:pPr>
        <w:rPr>
          <w:rFonts w:eastAsia="Proxima Nova"/>
          <w:b/>
          <w:i/>
        </w:rPr>
      </w:pPr>
      <w:r w:rsidRPr="00B865EE">
        <w:rPr>
          <w:rFonts w:eastAsia="Proxima Nova"/>
          <w:b/>
          <w:i/>
        </w:rPr>
        <w:t>Reco</w:t>
      </w:r>
      <w:r w:rsidRPr="00B865EE">
        <w:rPr>
          <w:rFonts w:eastAsia="Proxima Nova"/>
          <w:b/>
          <w:i/>
        </w:rPr>
        <w:t>mmendation 2.7 Accreditation and 2.8 The Accreditation Criteria</w:t>
      </w:r>
    </w:p>
    <w:p w14:paraId="7AB96B4A" w14:textId="77777777" w:rsidR="00F75DD2" w:rsidRPr="00B865EE" w:rsidRDefault="00B865EE">
      <w:pPr>
        <w:rPr>
          <w:rFonts w:eastAsia="Proxima Nova"/>
        </w:rPr>
      </w:pPr>
      <w:r w:rsidRPr="00B865EE">
        <w:rPr>
          <w:rFonts w:eastAsia="Proxima Nova"/>
        </w:rPr>
        <w:t xml:space="preserve">Finder considers that the success of Open Banking depends on the robustness and effectiveness of the regulatory regime, including the accreditation process. While we believe the </w:t>
      </w:r>
      <w:r w:rsidRPr="00B865EE">
        <w:rPr>
          <w:rFonts w:eastAsia="Proxima Nova"/>
        </w:rPr>
        <w:lastRenderedPageBreak/>
        <w:t xml:space="preserve">accreditation </w:t>
      </w:r>
      <w:r w:rsidRPr="00B865EE">
        <w:rPr>
          <w:rFonts w:eastAsia="Proxima Nova"/>
        </w:rPr>
        <w:t xml:space="preserve">process should not represent an insurmountable barrier to new entrants, or disproportionately advantage incumbents, we strongly believe that an effective licensing and conduct regime is essential to ensure consumer rights are protected. </w:t>
      </w:r>
    </w:p>
    <w:p w14:paraId="3655F663" w14:textId="77777777" w:rsidR="00F75DD2" w:rsidRPr="00B865EE" w:rsidRDefault="00F75DD2">
      <w:pPr>
        <w:rPr>
          <w:rFonts w:eastAsia="Proxima Nova"/>
        </w:rPr>
      </w:pPr>
    </w:p>
    <w:p w14:paraId="1ADA1227" w14:textId="77777777" w:rsidR="00F75DD2" w:rsidRPr="00B865EE" w:rsidRDefault="00B865EE">
      <w:pPr>
        <w:rPr>
          <w:rFonts w:eastAsia="Proxima Nova"/>
        </w:rPr>
      </w:pPr>
      <w:r w:rsidRPr="00B865EE">
        <w:rPr>
          <w:rFonts w:eastAsia="Proxima Nova"/>
        </w:rPr>
        <w:t>We support the vi</w:t>
      </w:r>
      <w:r w:rsidRPr="00B865EE">
        <w:rPr>
          <w:rFonts w:eastAsia="Proxima Nova"/>
        </w:rPr>
        <w:t xml:space="preserve">ew outlined in 2.7 and recommend that any participant must be licensed and possess either an Australian Financial Services License (AFSL) or an Australian Credit </w:t>
      </w:r>
      <w:proofErr w:type="spellStart"/>
      <w:r w:rsidRPr="00B865EE">
        <w:rPr>
          <w:rFonts w:eastAsia="Proxima Nova"/>
        </w:rPr>
        <w:t>Licence</w:t>
      </w:r>
      <w:proofErr w:type="spellEnd"/>
      <w:r w:rsidRPr="00B865EE">
        <w:rPr>
          <w:rFonts w:eastAsia="Proxima Nova"/>
        </w:rPr>
        <w:t xml:space="preserve"> (ACL). These conditions will ensure any participants are appropriately resourced and p</w:t>
      </w:r>
      <w:r w:rsidRPr="00B865EE">
        <w:rPr>
          <w:rFonts w:eastAsia="Proxima Nova"/>
        </w:rPr>
        <w:t xml:space="preserve">ossess the competencies and capacities to provide services in accordance with the law. </w:t>
      </w:r>
    </w:p>
    <w:p w14:paraId="3AF72202" w14:textId="77777777" w:rsidR="00F75DD2" w:rsidRPr="00B865EE" w:rsidRDefault="00F75DD2">
      <w:pPr>
        <w:rPr>
          <w:rFonts w:eastAsia="Proxima Nova"/>
        </w:rPr>
      </w:pPr>
    </w:p>
    <w:p w14:paraId="35E07747" w14:textId="77777777" w:rsidR="00F75DD2" w:rsidRPr="00B865EE" w:rsidRDefault="00B865EE">
      <w:pPr>
        <w:rPr>
          <w:rFonts w:eastAsia="Proxima Nova"/>
        </w:rPr>
      </w:pPr>
      <w:r w:rsidRPr="00B865EE">
        <w:rPr>
          <w:rFonts w:eastAsia="Proxima Nova"/>
        </w:rPr>
        <w:t>In addition, licensing will ensure that every participant has dispute resolution process, adequate capital, breach reporting obligations and consumer protection measur</w:t>
      </w:r>
      <w:r w:rsidRPr="00B865EE">
        <w:rPr>
          <w:rFonts w:eastAsia="Proxima Nova"/>
        </w:rPr>
        <w:t xml:space="preserve">es including Professional Indemnity Insurance. We would, however, oppose any suggestion to require participants to hold, or obtain, a banking </w:t>
      </w:r>
      <w:proofErr w:type="spellStart"/>
      <w:r w:rsidRPr="00B865EE">
        <w:rPr>
          <w:rFonts w:eastAsia="Proxima Nova"/>
        </w:rPr>
        <w:t>licence</w:t>
      </w:r>
      <w:proofErr w:type="spellEnd"/>
      <w:r w:rsidRPr="00B865EE">
        <w:rPr>
          <w:rFonts w:eastAsia="Proxima Nova"/>
        </w:rPr>
        <w:t xml:space="preserve"> (in the form of an ADI authority or similar) because we believe that this is a barrier to entry that will </w:t>
      </w:r>
      <w:r w:rsidRPr="00B865EE">
        <w:rPr>
          <w:rFonts w:eastAsia="Proxima Nova"/>
        </w:rPr>
        <w:t>reduce competition and frustrate the intent of these reforms.</w:t>
      </w:r>
    </w:p>
    <w:p w14:paraId="7F4C9C61" w14:textId="77777777" w:rsidR="00F75DD2" w:rsidRPr="00B865EE" w:rsidRDefault="00F75DD2">
      <w:pPr>
        <w:rPr>
          <w:rFonts w:eastAsia="Proxima Nova"/>
        </w:rPr>
      </w:pPr>
    </w:p>
    <w:p w14:paraId="39184148" w14:textId="77777777" w:rsidR="00F75DD2" w:rsidRPr="00B865EE" w:rsidRDefault="00B865EE">
      <w:pPr>
        <w:rPr>
          <w:rFonts w:eastAsia="Proxima Nova"/>
        </w:rPr>
      </w:pPr>
      <w:r w:rsidRPr="00B865EE">
        <w:rPr>
          <w:rFonts w:eastAsia="Proxima Nova"/>
        </w:rPr>
        <w:t>We would support the imposition of additional prudential standards on participants similar to the Australian Prudential Regulation Authority (APRA’s) ‘</w:t>
      </w:r>
      <w:r w:rsidRPr="00B865EE">
        <w:rPr>
          <w:rFonts w:eastAsia="Proxima Nova"/>
          <w:i/>
        </w:rPr>
        <w:t>fit and proper person</w:t>
      </w:r>
      <w:r w:rsidRPr="00B865EE">
        <w:rPr>
          <w:rFonts w:eastAsia="Proxima Nova"/>
        </w:rPr>
        <w:t>’ test. We would also</w:t>
      </w:r>
      <w:r w:rsidRPr="00B865EE">
        <w:rPr>
          <w:rFonts w:eastAsia="Proxima Nova"/>
        </w:rPr>
        <w:t xml:space="preserve"> support the extension of the Banking Executive Accountability Regime to all participants. </w:t>
      </w:r>
    </w:p>
    <w:p w14:paraId="728D2D5C" w14:textId="77777777" w:rsidR="00F75DD2" w:rsidRPr="00B865EE" w:rsidRDefault="00F75DD2">
      <w:pPr>
        <w:rPr>
          <w:rFonts w:eastAsia="Proxima Nova"/>
        </w:rPr>
      </w:pPr>
    </w:p>
    <w:p w14:paraId="2D122A32" w14:textId="77777777" w:rsidR="00F75DD2" w:rsidRPr="00B865EE" w:rsidRDefault="00B865EE">
      <w:pPr>
        <w:rPr>
          <w:rFonts w:eastAsia="Proxima Nova"/>
        </w:rPr>
      </w:pPr>
      <w:r w:rsidRPr="00B865EE">
        <w:rPr>
          <w:rFonts w:eastAsia="Proxima Nova"/>
        </w:rPr>
        <w:t xml:space="preserve">Further, we would suggest that participants in Open Banking should have </w:t>
      </w:r>
      <w:proofErr w:type="spellStart"/>
      <w:r w:rsidRPr="00B865EE">
        <w:rPr>
          <w:rFonts w:eastAsia="Proxima Nova"/>
        </w:rPr>
        <w:t>licence</w:t>
      </w:r>
      <w:proofErr w:type="spellEnd"/>
      <w:r w:rsidRPr="00B865EE">
        <w:rPr>
          <w:rFonts w:eastAsia="Proxima Nova"/>
        </w:rPr>
        <w:t xml:space="preserve"> conditions imposed on their AFSL/ACL to require compliance with higher standards of data protection. We think it would also be prudent to require the Licensee’s annual audit to</w:t>
      </w:r>
      <w:r w:rsidRPr="00B865EE">
        <w:rPr>
          <w:rFonts w:eastAsia="Proxima Nova"/>
        </w:rPr>
        <w:t xml:space="preserve"> specifically confirm compliance with the relevant IT standards and the adequacy of their data security and data management capability. </w:t>
      </w:r>
    </w:p>
    <w:p w14:paraId="2CE978BD" w14:textId="77777777" w:rsidR="00F75DD2" w:rsidRPr="00B865EE" w:rsidRDefault="00F75DD2">
      <w:pPr>
        <w:rPr>
          <w:rFonts w:eastAsia="Proxima Nova"/>
        </w:rPr>
      </w:pPr>
    </w:p>
    <w:p w14:paraId="13C9A375" w14:textId="77777777" w:rsidR="00F75DD2" w:rsidRPr="00B865EE" w:rsidRDefault="00B865EE">
      <w:pPr>
        <w:rPr>
          <w:highlight w:val="white"/>
        </w:rPr>
      </w:pPr>
      <w:r w:rsidRPr="00B865EE">
        <w:rPr>
          <w:rFonts w:eastAsia="Proxima Nova"/>
        </w:rPr>
        <w:t>Finder is not opposed to the staggered introduction of a ‘</w:t>
      </w:r>
      <w:proofErr w:type="spellStart"/>
      <w:r w:rsidRPr="00B865EE">
        <w:rPr>
          <w:rFonts w:eastAsia="Proxima Nova"/>
        </w:rPr>
        <w:t>passporting</w:t>
      </w:r>
      <w:proofErr w:type="spellEnd"/>
      <w:r w:rsidRPr="00B865EE">
        <w:rPr>
          <w:rFonts w:eastAsia="Proxima Nova"/>
        </w:rPr>
        <w:t xml:space="preserve"> system’ for foreign accredited parties subject t</w:t>
      </w:r>
      <w:r w:rsidRPr="00B865EE">
        <w:rPr>
          <w:rFonts w:eastAsia="Proxima Nova"/>
        </w:rPr>
        <w:t>o them being accredited by an equivalent system and to their willingness, and capacity, to reciprocate the exchange of data. We believe that foreign accredited parties should not be ‘</w:t>
      </w:r>
      <w:proofErr w:type="spellStart"/>
      <w:r w:rsidRPr="00B865EE">
        <w:rPr>
          <w:rFonts w:eastAsia="Proxima Nova"/>
        </w:rPr>
        <w:t>passported</w:t>
      </w:r>
      <w:proofErr w:type="spellEnd"/>
      <w:r w:rsidRPr="00B865EE">
        <w:rPr>
          <w:rFonts w:eastAsia="Proxima Nova"/>
        </w:rPr>
        <w:t>’ unles</w:t>
      </w:r>
      <w:bookmarkStart w:id="0" w:name="_GoBack"/>
      <w:bookmarkEnd w:id="0"/>
      <w:r w:rsidRPr="00B865EE">
        <w:rPr>
          <w:rFonts w:eastAsia="Proxima Nova"/>
        </w:rPr>
        <w:t xml:space="preserve">s, and until, they can meet or exceed the provisions of </w:t>
      </w:r>
      <w:r w:rsidRPr="00B865EE">
        <w:rPr>
          <w:rFonts w:eastAsia="Proxima Nova"/>
        </w:rPr>
        <w:t xml:space="preserve">the Privacy Act and, in any event, they should not be </w:t>
      </w:r>
      <w:proofErr w:type="spellStart"/>
      <w:r w:rsidRPr="00B865EE">
        <w:rPr>
          <w:rFonts w:eastAsia="Proxima Nova"/>
        </w:rPr>
        <w:t>passported</w:t>
      </w:r>
      <w:proofErr w:type="spellEnd"/>
      <w:r w:rsidRPr="00B865EE">
        <w:rPr>
          <w:rFonts w:eastAsia="Proxima Nova"/>
        </w:rPr>
        <w:t xml:space="preserve"> until all Australian ADI’s have transitioned across to the Open Banking regime.  We believe these steps are critical to ensuring the rights and interests of Australian consumers are not compr</w:t>
      </w:r>
      <w:r w:rsidRPr="00B865EE">
        <w:rPr>
          <w:rFonts w:eastAsia="Proxima Nova"/>
        </w:rPr>
        <w:t>omised by international entities  that don’t, won’t or can’t meet Australian legislative requirements.</w:t>
      </w:r>
    </w:p>
    <w:p w14:paraId="39908D35" w14:textId="77777777" w:rsidR="00F75DD2" w:rsidRPr="00B865EE" w:rsidRDefault="00F75DD2">
      <w:pPr>
        <w:rPr>
          <w:rFonts w:eastAsia="Proxima Nova"/>
        </w:rPr>
      </w:pPr>
    </w:p>
    <w:p w14:paraId="7985EB97" w14:textId="77777777" w:rsidR="00F75DD2" w:rsidRPr="00B865EE" w:rsidRDefault="00B865EE">
      <w:pPr>
        <w:rPr>
          <w:rFonts w:eastAsia="Proxima Nova"/>
        </w:rPr>
      </w:pPr>
      <w:r w:rsidRPr="00B865EE">
        <w:rPr>
          <w:rFonts w:eastAsia="Proxima Nova"/>
          <w:b/>
          <w:i/>
        </w:rPr>
        <w:t>Recommendation 2.10 Customer Complaints and Remedies</w:t>
      </w:r>
    </w:p>
    <w:p w14:paraId="21ABE8AF" w14:textId="77777777" w:rsidR="00F75DD2" w:rsidRPr="00B865EE" w:rsidRDefault="00B865EE">
      <w:pPr>
        <w:rPr>
          <w:rFonts w:eastAsia="Proxima Nova"/>
        </w:rPr>
      </w:pPr>
      <w:r w:rsidRPr="00B865EE">
        <w:rPr>
          <w:rFonts w:eastAsia="Proxima Nova"/>
        </w:rPr>
        <w:t>Finder supports the view outlined in 2.7 and recommends that any participant must be licensed and p</w:t>
      </w:r>
      <w:r w:rsidRPr="00B865EE">
        <w:rPr>
          <w:rFonts w:eastAsia="Proxima Nova"/>
        </w:rPr>
        <w:t xml:space="preserve">ossess either an Australian Financial Services </w:t>
      </w:r>
      <w:proofErr w:type="spellStart"/>
      <w:r w:rsidRPr="00B865EE">
        <w:rPr>
          <w:rFonts w:eastAsia="Proxima Nova"/>
        </w:rPr>
        <w:t>Licence</w:t>
      </w:r>
      <w:proofErr w:type="spellEnd"/>
      <w:r w:rsidRPr="00B865EE">
        <w:rPr>
          <w:rFonts w:eastAsia="Proxima Nova"/>
        </w:rPr>
        <w:t xml:space="preserve"> (AFSL) or an Australian Credit </w:t>
      </w:r>
      <w:proofErr w:type="spellStart"/>
      <w:r w:rsidRPr="00B865EE">
        <w:rPr>
          <w:rFonts w:eastAsia="Proxima Nova"/>
        </w:rPr>
        <w:t>Licence</w:t>
      </w:r>
      <w:proofErr w:type="spellEnd"/>
      <w:r w:rsidRPr="00B865EE">
        <w:rPr>
          <w:rFonts w:eastAsia="Proxima Nova"/>
        </w:rPr>
        <w:t xml:space="preserve"> (ACL). This effective licensing requirement will reassure Australian consumers that both data recipients and data providers (‘participants’) will be held accounta</w:t>
      </w:r>
      <w:r w:rsidRPr="00B865EE">
        <w:rPr>
          <w:rFonts w:eastAsia="Proxima Nova"/>
        </w:rPr>
        <w:t xml:space="preserve">ble for compliance with these requirements. We do not believe that this requirement compromises the role and effectiveness of the ACCC. In our view, it promotes the supervisory and enforcement role of the ACCC while </w:t>
      </w:r>
      <w:proofErr w:type="spellStart"/>
      <w:r w:rsidRPr="00B865EE">
        <w:rPr>
          <w:rFonts w:eastAsia="Proxima Nova"/>
        </w:rPr>
        <w:t>recognising</w:t>
      </w:r>
      <w:proofErr w:type="spellEnd"/>
      <w:r w:rsidRPr="00B865EE">
        <w:rPr>
          <w:rFonts w:eastAsia="Proxima Nova"/>
        </w:rPr>
        <w:t xml:space="preserve"> the established capability o</w:t>
      </w:r>
      <w:r w:rsidRPr="00B865EE">
        <w:rPr>
          <w:rFonts w:eastAsia="Proxima Nova"/>
        </w:rPr>
        <w:t xml:space="preserve">f ASIC to monitor the conduct and compliance of licensed entities. The success of this co-regulatory model will require the parties </w:t>
      </w:r>
      <w:r w:rsidRPr="00B865EE">
        <w:rPr>
          <w:rFonts w:eastAsia="Proxima Nova"/>
        </w:rPr>
        <w:lastRenderedPageBreak/>
        <w:t xml:space="preserve">to be adequately resourced and provided with a clear mandate to actively enforce these requirements. </w:t>
      </w:r>
    </w:p>
    <w:p w14:paraId="5B0A398B" w14:textId="77777777" w:rsidR="00F75DD2" w:rsidRPr="00B865EE" w:rsidRDefault="00F75DD2">
      <w:pPr>
        <w:rPr>
          <w:rFonts w:eastAsia="Proxima Nova"/>
        </w:rPr>
      </w:pPr>
    </w:p>
    <w:p w14:paraId="324E7DA3" w14:textId="77777777" w:rsidR="00F75DD2" w:rsidRPr="00B865EE" w:rsidRDefault="00F75DD2">
      <w:pPr>
        <w:rPr>
          <w:rFonts w:eastAsia="Proxima Nova"/>
        </w:rPr>
      </w:pPr>
    </w:p>
    <w:p w14:paraId="08369E86" w14:textId="77777777" w:rsidR="00F75DD2" w:rsidRPr="00B865EE" w:rsidRDefault="00F75DD2">
      <w:pPr>
        <w:rPr>
          <w:highlight w:val="white"/>
        </w:rPr>
      </w:pPr>
    </w:p>
    <w:sectPr w:rsidR="00F75DD2" w:rsidRPr="00B865EE">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Proxima Nova">
    <w:altName w:val="Times New Roman"/>
    <w:charset w:val="00"/>
    <w:family w:val="auto"/>
    <w:pitch w:val="default"/>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20"/>
  <w:characterSpacingControl w:val="doNotCompress"/>
  <w:compat>
    <w:compatSetting w:name="compatibilityMode" w:uri="http://schemas.microsoft.com/office/word" w:val="14"/>
  </w:compat>
  <w:rsids>
    <w:rsidRoot w:val="00F75DD2"/>
    <w:rsid w:val="00B865EE"/>
    <w:rsid w:val="00F75D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7A6B4F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AU"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5.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6" Type="http://schemas.openxmlformats.org/officeDocument/2006/relationships/hyperlink" Target="https://www.finder.com.au" TargetMode="External"/><Relationship Id="rId1" Type="http://schemas.openxmlformats.org/officeDocument/2006/relationships/styles" Target="styles.xml"/><Relationship Id="rId11" Type="http://schemas.openxmlformats.org/officeDocument/2006/relationships/customXml" Target="../customXml/item3.xml"/><Relationship Id="rId5" Type="http://schemas.openxmlformats.org/officeDocument/2006/relationships/hyperlink" Target="https://www.finder.com.au" TargetMode="External"/><Relationship Id="rId10" Type="http://schemas.openxmlformats.org/officeDocument/2006/relationships/customXml" Target="../customXml/item2.xml"/><Relationship Id="rId4" Type="http://schemas.openxmlformats.org/officeDocument/2006/relationships/hyperlink" Target="https://www.finder.com.au"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DDAFF7E1A29DE64F981B4EA50562BA75" ma:contentTypeVersion="10242" ma:contentTypeDescription="" ma:contentTypeScope="" ma:versionID="0e9555cabf1853588feb412effccf1f4">
  <xsd:schema xmlns:xsd="http://www.w3.org/2001/XMLSchema" xmlns:xs="http://www.w3.org/2001/XMLSchema" xmlns:p="http://schemas.microsoft.com/office/2006/metadata/properties" xmlns:ns1="http://schemas.microsoft.com/sharepoint/v3" xmlns:ns2="d4dd4adf-ddb3-46a3-8d7c-fab3fb2a6bc7" xmlns:ns4="http://schemas.microsoft.com/sharepoint/v4" targetNamespace="http://schemas.microsoft.com/office/2006/metadata/properties" ma:root="true" ma:fieldsID="6bfac8e52420368ce6ac7c74f2e5abab" ns1:_="" ns2:_="" ns4:_="">
    <xsd:import namespace="http://schemas.microsoft.com/sharepoint/v3"/>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4:IconOverla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_dlc_DocId xmlns="d4dd4adf-ddb3-46a3-8d7c-fab3fb2a6bc7">2018MG-133-31982</_dlc_DocId>
    <TaxCatchAll xmlns="d4dd4adf-ddb3-46a3-8d7c-fab3fb2a6bc7">
      <Value>2</Value>
    </TaxCatchAll>
    <_dlc_DocIdUrl xmlns="d4dd4adf-ddb3-46a3-8d7c-fab3fb2a6bc7">
      <Url>http://tweb/sites/mg/sbccpd/_layouts/15/DocIdRedir.aspx?ID=2018MG-133-31982</Url>
      <Description>2018MG-133-31982</Description>
    </_dlc_DocIdUrl>
    <IconOverlay xmlns="http://schemas.microsoft.com/sharepoint/v4" xsi:nil="true"/>
  </documentManagement>
</p:properties>
</file>

<file path=customXml/itemProps1.xml><?xml version="1.0" encoding="utf-8"?>
<ds:datastoreItem xmlns:ds="http://schemas.openxmlformats.org/officeDocument/2006/customXml" ds:itemID="{7F4B18AF-BDAB-4061-ACD3-EBB09BE1B8A2}"/>
</file>

<file path=customXml/itemProps2.xml><?xml version="1.0" encoding="utf-8"?>
<ds:datastoreItem xmlns:ds="http://schemas.openxmlformats.org/officeDocument/2006/customXml" ds:itemID="{33607104-E301-4432-AE5B-E2F40DA4135F}"/>
</file>

<file path=customXml/itemProps3.xml><?xml version="1.0" encoding="utf-8"?>
<ds:datastoreItem xmlns:ds="http://schemas.openxmlformats.org/officeDocument/2006/customXml" ds:itemID="{3AC95117-2B02-45A8-AE8A-8C166CEA9B0D}"/>
</file>

<file path=customXml/itemProps4.xml><?xml version="1.0" encoding="utf-8"?>
<ds:datastoreItem xmlns:ds="http://schemas.openxmlformats.org/officeDocument/2006/customXml" ds:itemID="{90AE8AE6-4259-4426-B11A-1CADCD6A334E}"/>
</file>

<file path=customXml/itemProps5.xml><?xml version="1.0" encoding="utf-8"?>
<ds:datastoreItem xmlns:ds="http://schemas.openxmlformats.org/officeDocument/2006/customXml" ds:itemID="{C6E838DC-A715-4010-92A1-901C1C0F94CA}"/>
</file>

<file path=docProps/app.xml><?xml version="1.0" encoding="utf-8"?>
<Properties xmlns="http://schemas.openxmlformats.org/officeDocument/2006/extended-properties" xmlns:vt="http://schemas.openxmlformats.org/officeDocument/2006/docPropsVTypes">
  <Template>Normal.dotm</Template>
  <TotalTime>0</TotalTime>
  <Pages>3</Pages>
  <Words>936</Words>
  <Characters>5338</Characters>
  <Application>Microsoft Macintosh Word</Application>
  <DocSecurity>0</DocSecurity>
  <Lines>44</Lines>
  <Paragraphs>12</Paragraphs>
  <ScaleCrop>false</ScaleCrop>
  <LinksUpToDate>false</LinksUpToDate>
  <CharactersWithSpaces>6262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Office Admin</cp:lastModifiedBy>
  <cp:revision>2</cp:revision>
  <dcterms:created xsi:type="dcterms:W3CDTF">2018-03-26T02:59:00Z</dcterms:created>
  <dcterms:modified xsi:type="dcterms:W3CDTF">2018-03-26T02:59:00Z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2e18665f-6c9d-4d29-9666-ad7285c37c7c</vt:lpwstr>
  </property>
  <property fmtid="{D5CDD505-2E9C-101B-9397-08002B2CF9AE}" pid="3" name="ContentTypeId">
    <vt:lpwstr>0x010100E95D40E5DFEA714B90E88DB5CE07A6B500DDAFF7E1A29DE64F981B4EA50562BA75</vt:lpwstr>
  </property>
  <property fmtid="{D5CDD505-2E9C-101B-9397-08002B2CF9AE}" pid="4" name="TSYRecordClass">
    <vt:lpwstr>2;#TSY RA-9081 - Retain as national archives|bbf0bcde-1687-4ff2-bc57-f31b5d545d4b</vt:lpwstr>
  </property>
  <property fmtid="{D5CDD505-2E9C-101B-9397-08002B2CF9AE}" pid="5" name="RecordPoint_WorkflowType">
    <vt:lpwstr>ActiveSubmitStub</vt:lpwstr>
  </property>
  <property fmtid="{D5CDD505-2E9C-101B-9397-08002B2CF9AE}" pid="6" name="RecordPoint_ActiveItemSiteId">
    <vt:lpwstr>{08cedf7d-7ad2-4b81-a81f-47e3ec332c41}</vt:lpwstr>
  </property>
  <property fmtid="{D5CDD505-2E9C-101B-9397-08002B2CF9AE}" pid="7" name="RecordPoint_ActiveItemListId">
    <vt:lpwstr>{020b99f8-d659-456c-88bf-b1c791ab809a}</vt:lpwstr>
  </property>
  <property fmtid="{D5CDD505-2E9C-101B-9397-08002B2CF9AE}" pid="8" name="RecordPoint_ActiveItemUniqueId">
    <vt:lpwstr>{2e18665f-6c9d-4d29-9666-ad7285c37c7c}</vt:lpwstr>
  </property>
  <property fmtid="{D5CDD505-2E9C-101B-9397-08002B2CF9AE}" pid="9" name="RecordPoint_ActiveItemWebId">
    <vt:lpwstr>{682871c2-4073-4158-957a-6d924b9ba0a6}</vt:lpwstr>
  </property>
  <property fmtid="{D5CDD505-2E9C-101B-9397-08002B2CF9AE}" pid="10" name="RecordPoint_RecordNumberSubmitted">
    <vt:lpwstr>R0001630732</vt:lpwstr>
  </property>
  <property fmtid="{D5CDD505-2E9C-101B-9397-08002B2CF9AE}" pid="11" name="RecordPoint_SubmissionCompleted">
    <vt:lpwstr>2018-03-26T15:51:50.3645991+11:00</vt:lpwstr>
  </property>
</Properties>
</file>