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EF658" w14:textId="624CC1B3" w:rsidR="003461C0" w:rsidRPr="00C80F33" w:rsidRDefault="00D62DF6" w:rsidP="003461C0">
      <w:pPr>
        <w:pStyle w:val="Title"/>
      </w:pPr>
      <w:bookmarkStart w:id="0" w:name="_GoBack"/>
      <w:bookmarkEnd w:id="0"/>
      <w:r w:rsidRPr="00C80F33">
        <w:t xml:space="preserve">Modelling </w:t>
      </w:r>
      <w:r w:rsidR="00856AB1" w:rsidRPr="00C80F33">
        <w:t>Australia</w:t>
      </w:r>
      <w:r w:rsidR="00572954" w:rsidRPr="00C80F33">
        <w:t>’s</w:t>
      </w:r>
      <w:r w:rsidR="00856AB1" w:rsidRPr="00C80F33">
        <w:t xml:space="preserve"> imports </w:t>
      </w:r>
      <w:r w:rsidR="00677F70" w:rsidRPr="00C80F33">
        <w:t>of goods and services</w:t>
      </w:r>
    </w:p>
    <w:p w14:paraId="09ED56BA" w14:textId="77777777" w:rsidR="003461C0" w:rsidRPr="00C80F33" w:rsidRDefault="00E64689" w:rsidP="003461C0">
      <w:pPr>
        <w:pStyle w:val="AuthorName"/>
        <w:rPr>
          <w:szCs w:val="24"/>
        </w:rPr>
      </w:pPr>
      <w:r w:rsidRPr="00C80F33">
        <w:rPr>
          <w:szCs w:val="24"/>
        </w:rPr>
        <w:t>Alexander Beames and Michael Kouparitsas</w:t>
      </w:r>
      <w:r w:rsidR="003461C0" w:rsidRPr="00C80F33">
        <w:rPr>
          <w:rStyle w:val="FootnoteReference"/>
          <w:szCs w:val="24"/>
        </w:rPr>
        <w:footnoteReference w:id="1"/>
      </w:r>
    </w:p>
    <w:p w14:paraId="7124DF5B" w14:textId="77777777" w:rsidR="003461C0" w:rsidRPr="00C80F33" w:rsidRDefault="00BC5AE3" w:rsidP="003461C0">
      <w:pPr>
        <w:pStyle w:val="Subtitle"/>
        <w:tabs>
          <w:tab w:val="left" w:pos="1985"/>
        </w:tabs>
        <w:rPr>
          <w:szCs w:val="40"/>
        </w:rPr>
      </w:pPr>
      <w:r w:rsidRPr="00C80F33">
        <w:rPr>
          <w:szCs w:val="40"/>
        </w:rPr>
        <w:t>Treasury Working Paper</w:t>
      </w:r>
      <w:r w:rsidR="003461C0" w:rsidRPr="00C80F33">
        <w:rPr>
          <w:rStyle w:val="FootnoteReference"/>
          <w:szCs w:val="40"/>
        </w:rPr>
        <w:footnoteReference w:id="2"/>
      </w:r>
    </w:p>
    <w:p w14:paraId="2E999255" w14:textId="77777777" w:rsidR="003461C0" w:rsidRPr="00C80F33" w:rsidRDefault="003461C0" w:rsidP="003461C0">
      <w:pPr>
        <w:pStyle w:val="Subtitle"/>
        <w:rPr>
          <w:szCs w:val="36"/>
        </w:rPr>
      </w:pPr>
      <w:r w:rsidRPr="00C80F33">
        <w:rPr>
          <w:szCs w:val="36"/>
        </w:rPr>
        <w:t>20</w:t>
      </w:r>
      <w:r w:rsidR="00010454" w:rsidRPr="00C80F33">
        <w:rPr>
          <w:szCs w:val="36"/>
        </w:rPr>
        <w:t>1</w:t>
      </w:r>
      <w:r w:rsidR="00F831F9" w:rsidRPr="00C80F33">
        <w:rPr>
          <w:szCs w:val="36"/>
        </w:rPr>
        <w:t>5</w:t>
      </w:r>
      <w:r w:rsidRPr="00C80F33">
        <w:rPr>
          <w:szCs w:val="36"/>
        </w:rPr>
        <w:noBreakHyphen/>
      </w:r>
      <w:r w:rsidR="00C724EE" w:rsidRPr="00C80F33">
        <w:rPr>
          <w:szCs w:val="36"/>
        </w:rPr>
        <w:t>02</w:t>
      </w:r>
    </w:p>
    <w:p w14:paraId="548F8C7D" w14:textId="77777777" w:rsidR="003461C0" w:rsidRPr="00C80F33" w:rsidRDefault="003461C0" w:rsidP="003461C0">
      <w:pPr>
        <w:pStyle w:val="SeriesNumber"/>
        <w:spacing w:before="120" w:after="120"/>
        <w:rPr>
          <w:sz w:val="24"/>
          <w:szCs w:val="24"/>
        </w:rPr>
      </w:pPr>
      <w:r w:rsidRPr="00C80F33">
        <w:rPr>
          <w:sz w:val="24"/>
          <w:szCs w:val="24"/>
        </w:rPr>
        <w:t xml:space="preserve">Date created: </w:t>
      </w:r>
      <w:r w:rsidR="00F831F9" w:rsidRPr="00C80F33">
        <w:rPr>
          <w:sz w:val="24"/>
          <w:szCs w:val="24"/>
        </w:rPr>
        <w:t>June 2015</w:t>
      </w:r>
    </w:p>
    <w:p w14:paraId="220D6770" w14:textId="77777777" w:rsidR="003461C0" w:rsidRPr="00C80F33" w:rsidRDefault="003461C0" w:rsidP="003461C0">
      <w:pPr>
        <w:pStyle w:val="SeriesNumber"/>
        <w:spacing w:before="120" w:after="120"/>
        <w:rPr>
          <w:sz w:val="24"/>
          <w:szCs w:val="24"/>
        </w:rPr>
      </w:pPr>
      <w:r w:rsidRPr="00C80F33">
        <w:rPr>
          <w:sz w:val="24"/>
          <w:szCs w:val="24"/>
        </w:rPr>
        <w:t xml:space="preserve">Date modified: </w:t>
      </w:r>
      <w:r w:rsidR="00F831F9" w:rsidRPr="00C80F33">
        <w:rPr>
          <w:sz w:val="24"/>
          <w:szCs w:val="24"/>
        </w:rPr>
        <w:t>June 2015</w:t>
      </w:r>
    </w:p>
    <w:p w14:paraId="7745E6DC" w14:textId="77777777" w:rsidR="003461C0" w:rsidRPr="00C80F33" w:rsidRDefault="003461C0" w:rsidP="003461C0">
      <w:pPr>
        <w:pStyle w:val="SingleParagraph"/>
      </w:pPr>
    </w:p>
    <w:p w14:paraId="4FB68872" w14:textId="77777777" w:rsidR="003461C0" w:rsidRPr="00C80F33" w:rsidRDefault="003461C0" w:rsidP="003461C0">
      <w:pPr>
        <w:pStyle w:val="SingleParagraph"/>
        <w:sectPr w:rsidR="003461C0" w:rsidRPr="00C80F33">
          <w:headerReference w:type="even" r:id="rId9"/>
          <w:headerReference w:type="default" r:id="rId10"/>
          <w:footerReference w:type="even" r:id="rId11"/>
          <w:footerReference w:type="default" r:id="rId12"/>
          <w:headerReference w:type="first" r:id="rId13"/>
          <w:footerReference w:type="first" r:id="rId14"/>
          <w:pgSz w:w="11907" w:h="16840" w:code="9"/>
          <w:pgMar w:top="1418" w:right="1304" w:bottom="1418" w:left="1304" w:header="567" w:footer="567" w:gutter="0"/>
          <w:pgNumType w:fmt="lowerRoman" w:start="2"/>
          <w:cols w:space="720"/>
          <w:titlePg/>
        </w:sectPr>
      </w:pPr>
    </w:p>
    <w:p w14:paraId="289D674A" w14:textId="77777777" w:rsidR="003461C0" w:rsidRPr="00C80F33" w:rsidRDefault="003461C0" w:rsidP="00C80F33">
      <w:pPr>
        <w:spacing w:line="240" w:lineRule="auto"/>
      </w:pPr>
      <w:r w:rsidRPr="00C80F33">
        <w:lastRenderedPageBreak/>
        <w:t>© Commonwealth of Australia 20</w:t>
      </w:r>
      <w:r w:rsidR="00C724EE" w:rsidRPr="00C80F33">
        <w:t>15</w:t>
      </w:r>
    </w:p>
    <w:p w14:paraId="39904E9C" w14:textId="77777777" w:rsidR="003461C0" w:rsidRPr="00C80F33" w:rsidRDefault="003461C0" w:rsidP="00C80F33">
      <w:pPr>
        <w:spacing w:line="240" w:lineRule="auto"/>
      </w:pPr>
      <w:r w:rsidRPr="00C80F33">
        <w:t xml:space="preserve">ISBN </w:t>
      </w:r>
      <w:r w:rsidR="00565926" w:rsidRPr="00C80F33">
        <w:t>978-1-925220-56-8</w:t>
      </w:r>
    </w:p>
    <w:p w14:paraId="70249082" w14:textId="77777777" w:rsidR="003461C0" w:rsidRPr="00C80F33" w:rsidRDefault="003461C0" w:rsidP="00C80F33">
      <w:pPr>
        <w:tabs>
          <w:tab w:val="left" w:pos="1650"/>
        </w:tabs>
        <w:spacing w:line="240" w:lineRule="auto"/>
        <w:rPr>
          <w:rStyle w:val="A5"/>
          <w:rFonts w:cstheme="minorBidi"/>
          <w:sz w:val="24"/>
          <w:szCs w:val="24"/>
        </w:rPr>
      </w:pPr>
      <w:r w:rsidRPr="00C80F33">
        <w:t>This publication is available for your use under a</w:t>
      </w:r>
      <w:r w:rsidRPr="00C80F33">
        <w:rPr>
          <w:rStyle w:val="A5"/>
          <w:rFonts w:cstheme="minorHAnsi"/>
          <w:sz w:val="24"/>
          <w:szCs w:val="24"/>
        </w:rPr>
        <w:t xml:space="preserve"> </w:t>
      </w:r>
      <w:hyperlink r:id="rId15" w:history="1">
        <w:r w:rsidRPr="00C80F33">
          <w:rPr>
            <w:rStyle w:val="Hyperlink"/>
          </w:rPr>
          <w:t>Creative Commons BY Attribution 3.0 Australia</w:t>
        </w:r>
      </w:hyperlink>
      <w:r w:rsidRPr="00C80F33">
        <w:rPr>
          <w:rStyle w:val="A5"/>
          <w:rFonts w:cstheme="minorHAnsi"/>
          <w:sz w:val="24"/>
          <w:szCs w:val="24"/>
        </w:rPr>
        <w:t xml:space="preserve"> </w:t>
      </w:r>
      <w:r w:rsidRPr="00C80F33">
        <w:t>licence, with the exception of the Commonwealth Coat of Arms, the Treasury logo, photographs, images, signatures and where otherwise stated. The full licence terms are available from</w:t>
      </w:r>
      <w:r w:rsidRPr="00C80F33">
        <w:rPr>
          <w:rStyle w:val="A5"/>
          <w:rFonts w:cstheme="minorHAnsi"/>
          <w:sz w:val="24"/>
          <w:szCs w:val="24"/>
        </w:rPr>
        <w:t xml:space="preserve"> </w:t>
      </w:r>
      <w:hyperlink r:id="rId16" w:history="1">
        <w:r w:rsidRPr="00C80F33">
          <w:rPr>
            <w:rStyle w:val="Hyperlink"/>
          </w:rPr>
          <w:t>http://creativecommons.org/licenses/by/3.0/au/legalcode</w:t>
        </w:r>
      </w:hyperlink>
      <w:r w:rsidRPr="00C80F33">
        <w:rPr>
          <w:rStyle w:val="Hyperlink"/>
        </w:rPr>
        <w:t>.</w:t>
      </w:r>
      <w:r w:rsidRPr="00C80F33">
        <w:rPr>
          <w:sz w:val="24"/>
          <w:szCs w:val="24"/>
        </w:rPr>
        <w:t xml:space="preserve"> </w:t>
      </w:r>
    </w:p>
    <w:p w14:paraId="45C8C343" w14:textId="77777777" w:rsidR="003461C0" w:rsidRPr="00C80F33" w:rsidRDefault="003461C0" w:rsidP="003461C0">
      <w:pPr>
        <w:tabs>
          <w:tab w:val="left" w:pos="1650"/>
        </w:tabs>
        <w:spacing w:before="100" w:beforeAutospacing="1" w:after="100" w:afterAutospacing="1"/>
        <w:rPr>
          <w:rFonts w:cstheme="minorHAnsi"/>
          <w:sz w:val="24"/>
          <w:szCs w:val="24"/>
        </w:rPr>
      </w:pPr>
      <w:r w:rsidRPr="00C80F33">
        <w:rPr>
          <w:rFonts w:cstheme="minorHAnsi"/>
          <w:noProof/>
          <w:sz w:val="24"/>
          <w:szCs w:val="24"/>
          <w:lang w:eastAsia="en-AU"/>
        </w:rPr>
        <w:drawing>
          <wp:inline distT="0" distB="0" distL="0" distR="0" wp14:anchorId="6991B12F" wp14:editId="3D417638">
            <wp:extent cx="809625" cy="285750"/>
            <wp:effectExtent l="0" t="0" r="9525" b="0"/>
            <wp:docPr id="6" name="Picture 1" descr="Creative Commons copyright licence icon. " title="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1F7BABB" w14:textId="77777777" w:rsidR="003461C0" w:rsidRPr="00C80F33" w:rsidRDefault="003461C0" w:rsidP="00C80F33">
      <w:pPr>
        <w:tabs>
          <w:tab w:val="left" w:pos="1650"/>
        </w:tabs>
        <w:spacing w:after="120" w:line="240" w:lineRule="auto"/>
      </w:pPr>
      <w:r w:rsidRPr="00C80F33">
        <w:t>Use of Treasury material under a</w:t>
      </w:r>
      <w:r w:rsidRPr="00C80F33">
        <w:rPr>
          <w:rFonts w:cstheme="minorHAnsi"/>
          <w:sz w:val="24"/>
          <w:szCs w:val="24"/>
        </w:rPr>
        <w:t xml:space="preserve"> </w:t>
      </w:r>
      <w:hyperlink r:id="rId18" w:history="1">
        <w:r w:rsidRPr="00C80F33">
          <w:rPr>
            <w:rStyle w:val="Hyperlink"/>
          </w:rPr>
          <w:t>Creative Commons BY Attribution 3.0 Australia</w:t>
        </w:r>
      </w:hyperlink>
      <w:r w:rsidRPr="00C80F33">
        <w:rPr>
          <w:rStyle w:val="Hyperlink"/>
        </w:rPr>
        <w:t xml:space="preserve"> </w:t>
      </w:r>
      <w:r w:rsidRPr="00C80F33">
        <w:t xml:space="preserve">licence requires you to attribute the work (but not in any way that suggests that the Treasury endorses you or your use of the work). </w:t>
      </w:r>
    </w:p>
    <w:p w14:paraId="57C36628" w14:textId="77777777" w:rsidR="003461C0" w:rsidRPr="00C80F33" w:rsidRDefault="003461C0" w:rsidP="00C80F33">
      <w:pPr>
        <w:spacing w:line="240" w:lineRule="auto"/>
        <w:ind w:left="709"/>
        <w:rPr>
          <w:i/>
        </w:rPr>
      </w:pPr>
      <w:proofErr w:type="gramStart"/>
      <w:r w:rsidRPr="00C80F33">
        <w:rPr>
          <w:i/>
        </w:rPr>
        <w:t>Treasury material used 'as supplied'</w:t>
      </w:r>
      <w:r w:rsidR="001715BE" w:rsidRPr="00C80F33">
        <w:rPr>
          <w:i/>
        </w:rPr>
        <w:t>.</w:t>
      </w:r>
      <w:proofErr w:type="gramEnd"/>
    </w:p>
    <w:p w14:paraId="7E32FEA5" w14:textId="77777777" w:rsidR="003461C0" w:rsidRPr="00C80F33" w:rsidRDefault="003461C0" w:rsidP="00C80F33">
      <w:pPr>
        <w:spacing w:after="120" w:line="240" w:lineRule="auto"/>
      </w:pPr>
      <w:r w:rsidRPr="00C80F33">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055FF249" w14:textId="77777777" w:rsidR="003461C0" w:rsidRPr="00C80F33" w:rsidRDefault="003461C0" w:rsidP="00C80F33">
      <w:pPr>
        <w:spacing w:line="240" w:lineRule="auto"/>
        <w:ind w:left="709"/>
      </w:pPr>
      <w:r w:rsidRPr="00C80F33">
        <w:rPr>
          <w:i/>
        </w:rPr>
        <w:t xml:space="preserve">Source: The </w:t>
      </w:r>
      <w:r w:rsidRPr="00C80F33">
        <w:rPr>
          <w:i/>
          <w:iCs/>
        </w:rPr>
        <w:t>Australian Government the Treasury</w:t>
      </w:r>
      <w:r w:rsidR="001715BE" w:rsidRPr="00C80F33">
        <w:rPr>
          <w:i/>
          <w:iCs/>
        </w:rPr>
        <w:t>.</w:t>
      </w:r>
    </w:p>
    <w:p w14:paraId="4CDE950A" w14:textId="77777777" w:rsidR="003461C0" w:rsidRPr="00C80F33" w:rsidRDefault="003461C0" w:rsidP="00C80F33">
      <w:pPr>
        <w:spacing w:line="240" w:lineRule="auto"/>
      </w:pPr>
      <w:r w:rsidRPr="00C80F33">
        <w:t>Derivative material</w:t>
      </w:r>
    </w:p>
    <w:p w14:paraId="12087528" w14:textId="77777777" w:rsidR="003461C0" w:rsidRPr="00C80F33" w:rsidRDefault="003461C0" w:rsidP="00C80F33">
      <w:pPr>
        <w:spacing w:after="120" w:line="240" w:lineRule="auto"/>
      </w:pPr>
      <w:r w:rsidRPr="00C80F33">
        <w:t xml:space="preserve">If you have modified or transformed Treasury material, or derived new material from those of the Treasury in any way, then Treasury prefers the following attribution: </w:t>
      </w:r>
    </w:p>
    <w:p w14:paraId="69832ECF" w14:textId="77777777" w:rsidR="003461C0" w:rsidRPr="00C80F33" w:rsidRDefault="003461C0" w:rsidP="00C80F33">
      <w:pPr>
        <w:spacing w:line="240" w:lineRule="auto"/>
        <w:ind w:left="709"/>
      </w:pPr>
      <w:proofErr w:type="gramStart"/>
      <w:r w:rsidRPr="00C80F33">
        <w:rPr>
          <w:i/>
        </w:rPr>
        <w:t>Based on The Australian Government the Treasury data</w:t>
      </w:r>
      <w:r w:rsidR="001715BE" w:rsidRPr="00C80F33">
        <w:rPr>
          <w:i/>
        </w:rPr>
        <w:t>.</w:t>
      </w:r>
      <w:proofErr w:type="gramEnd"/>
    </w:p>
    <w:p w14:paraId="68A7ACA3" w14:textId="77777777" w:rsidR="003461C0" w:rsidRPr="00C80F33" w:rsidRDefault="003461C0" w:rsidP="00C80F33">
      <w:pPr>
        <w:spacing w:after="40" w:line="240" w:lineRule="auto"/>
        <w:rPr>
          <w:b/>
        </w:rPr>
      </w:pPr>
      <w:r w:rsidRPr="00C80F33">
        <w:rPr>
          <w:b/>
        </w:rPr>
        <w:t>Use of the Coat of Arms</w:t>
      </w:r>
    </w:p>
    <w:p w14:paraId="0396E992" w14:textId="076C1731" w:rsidR="003461C0" w:rsidRPr="00C80F33" w:rsidRDefault="003461C0" w:rsidP="00C80F33">
      <w:pPr>
        <w:spacing w:line="240" w:lineRule="auto"/>
      </w:pPr>
      <w:r w:rsidRPr="00C80F33">
        <w:t>The terms under which the Coat of Arms can be used are set out on the It’s an Honour website (see</w:t>
      </w:r>
      <w:r w:rsidR="00984977" w:rsidRPr="00C80F33">
        <w:t> </w:t>
      </w:r>
      <w:hyperlink r:id="rId19" w:history="1">
        <w:r w:rsidRPr="00C80F33">
          <w:rPr>
            <w:rStyle w:val="Hyperlink"/>
          </w:rPr>
          <w:t>www.itsanhonour.gov.au</w:t>
        </w:r>
      </w:hyperlink>
      <w:r w:rsidRPr="00C80F33">
        <w:t>)</w:t>
      </w:r>
    </w:p>
    <w:p w14:paraId="4F8B3F49" w14:textId="3BEC6DF6" w:rsidR="003461C0" w:rsidRPr="00C80F33" w:rsidRDefault="00C80F33" w:rsidP="00C80F33">
      <w:pPr>
        <w:spacing w:after="40" w:line="240" w:lineRule="auto"/>
        <w:rPr>
          <w:b/>
        </w:rPr>
      </w:pPr>
      <w:r>
        <w:rPr>
          <w:b/>
        </w:rPr>
        <w:t>Other u</w:t>
      </w:r>
      <w:r w:rsidR="003461C0" w:rsidRPr="00C80F33">
        <w:rPr>
          <w:b/>
        </w:rPr>
        <w:t>ses</w:t>
      </w:r>
    </w:p>
    <w:p w14:paraId="2C07A4AB" w14:textId="660F2E70" w:rsidR="003461C0" w:rsidRPr="00C80F33" w:rsidRDefault="00C80F33" w:rsidP="00C80F33">
      <w:pPr>
        <w:spacing w:after="120" w:line="240" w:lineRule="auto"/>
      </w:pPr>
      <w:r>
        <w:t>E</w:t>
      </w:r>
      <w:r w:rsidR="003461C0" w:rsidRPr="00C80F33">
        <w:t>nquiries regarding this licence and any other use of this document are welcome at:</w:t>
      </w:r>
    </w:p>
    <w:p w14:paraId="3C450319" w14:textId="77777777" w:rsidR="003461C0" w:rsidRPr="00C80F33" w:rsidRDefault="003461C0" w:rsidP="00C80F33">
      <w:pPr>
        <w:spacing w:after="0" w:line="240" w:lineRule="auto"/>
        <w:ind w:left="709"/>
      </w:pPr>
      <w:r w:rsidRPr="00C80F33">
        <w:t>Manager</w:t>
      </w:r>
    </w:p>
    <w:p w14:paraId="3E949ACB" w14:textId="05EE2CED" w:rsidR="003461C0" w:rsidRPr="00C80F33" w:rsidRDefault="00C80F33" w:rsidP="00C80F33">
      <w:pPr>
        <w:spacing w:after="0" w:line="240" w:lineRule="auto"/>
        <w:ind w:left="709"/>
      </w:pPr>
      <w:r>
        <w:t>Media Unit</w:t>
      </w:r>
    </w:p>
    <w:p w14:paraId="660326E0" w14:textId="77777777" w:rsidR="003461C0" w:rsidRPr="00C80F33" w:rsidRDefault="003461C0" w:rsidP="00C80F33">
      <w:pPr>
        <w:spacing w:after="0" w:line="240" w:lineRule="auto"/>
        <w:ind w:left="709"/>
      </w:pPr>
      <w:r w:rsidRPr="00C80F33">
        <w:t>The Treasury</w:t>
      </w:r>
    </w:p>
    <w:p w14:paraId="21F74401" w14:textId="2062426D" w:rsidR="003461C0" w:rsidRPr="00C80F33" w:rsidRDefault="003461C0" w:rsidP="00C80F33">
      <w:pPr>
        <w:spacing w:after="0" w:line="240" w:lineRule="auto"/>
        <w:ind w:left="709"/>
      </w:pPr>
      <w:r w:rsidRPr="00C80F33">
        <w:t xml:space="preserve">Langton Crescent </w:t>
      </w:r>
      <w:r w:rsidR="00C80F33">
        <w:br/>
      </w:r>
      <w:proofErr w:type="gramStart"/>
      <w:r w:rsidRPr="00C80F33">
        <w:t xml:space="preserve">Parkes </w:t>
      </w:r>
      <w:r w:rsidR="00C80F33">
        <w:t xml:space="preserve"> </w:t>
      </w:r>
      <w:r w:rsidRPr="00C80F33">
        <w:t>ACT</w:t>
      </w:r>
      <w:proofErr w:type="gramEnd"/>
      <w:r w:rsidRPr="00C80F33">
        <w:t xml:space="preserve"> </w:t>
      </w:r>
      <w:r w:rsidR="00C80F33">
        <w:t xml:space="preserve"> </w:t>
      </w:r>
      <w:r w:rsidRPr="00C80F33">
        <w:t>2600</w:t>
      </w:r>
    </w:p>
    <w:p w14:paraId="25F8B208" w14:textId="77777777" w:rsidR="003461C0" w:rsidRPr="00C80F33" w:rsidRDefault="003461C0" w:rsidP="00C80F33">
      <w:pPr>
        <w:spacing w:after="0" w:line="240" w:lineRule="auto"/>
        <w:ind w:left="709"/>
        <w:rPr>
          <w:rStyle w:val="Hyperlink"/>
        </w:rPr>
      </w:pPr>
      <w:r w:rsidRPr="00C80F33">
        <w:t xml:space="preserve">Email: </w:t>
      </w:r>
      <w:hyperlink r:id="rId20" w:history="1">
        <w:r w:rsidRPr="00C80F33">
          <w:rPr>
            <w:rStyle w:val="Hyperlink"/>
          </w:rPr>
          <w:t>medialiaison@treasury.gov.au</w:t>
        </w:r>
      </w:hyperlink>
      <w:r w:rsidRPr="00C80F33">
        <w:rPr>
          <w:rStyle w:val="Hyperlink"/>
        </w:rPr>
        <w:t xml:space="preserve"> </w:t>
      </w:r>
    </w:p>
    <w:p w14:paraId="50D2A450" w14:textId="77777777" w:rsidR="003461C0" w:rsidRPr="00C80F33" w:rsidRDefault="003461C0" w:rsidP="003461C0">
      <w:pPr>
        <w:pStyle w:val="SingleParagraph"/>
      </w:pPr>
    </w:p>
    <w:p w14:paraId="3BF66EE0" w14:textId="77777777" w:rsidR="003461C0" w:rsidRPr="00C80F33" w:rsidRDefault="003461C0" w:rsidP="003461C0">
      <w:pPr>
        <w:pStyle w:val="SingleParagraph"/>
        <w:sectPr w:rsidR="003461C0" w:rsidRPr="00C80F33">
          <w:headerReference w:type="even" r:id="rId21"/>
          <w:headerReference w:type="default" r:id="rId22"/>
          <w:headerReference w:type="first" r:id="rId23"/>
          <w:footerReference w:type="first" r:id="rId24"/>
          <w:pgSz w:w="11907" w:h="16840" w:code="9"/>
          <w:pgMar w:top="1418" w:right="1304" w:bottom="1418" w:left="1304" w:header="567" w:footer="567" w:gutter="0"/>
          <w:pgNumType w:fmt="lowerRoman" w:start="2"/>
          <w:cols w:space="720"/>
          <w:titlePg/>
        </w:sectPr>
      </w:pPr>
    </w:p>
    <w:p w14:paraId="78084ABC" w14:textId="77777777" w:rsidR="003461C0" w:rsidRPr="00C80F33" w:rsidRDefault="00CE3CD8" w:rsidP="00A540B1">
      <w:pPr>
        <w:pStyle w:val="SingleParagraph"/>
        <w:spacing w:line="240" w:lineRule="auto"/>
      </w:pPr>
      <w:r w:rsidRPr="00C80F33">
        <w:lastRenderedPageBreak/>
        <w:t>Modelling Australia</w:t>
      </w:r>
      <w:r w:rsidR="00572954" w:rsidRPr="00C80F33">
        <w:t>’s</w:t>
      </w:r>
      <w:r w:rsidRPr="00C80F33">
        <w:t xml:space="preserve"> </w:t>
      </w:r>
      <w:r w:rsidR="00677F70" w:rsidRPr="00C80F33">
        <w:t>imports of goods and services</w:t>
      </w:r>
    </w:p>
    <w:p w14:paraId="7127F373" w14:textId="77777777" w:rsidR="003461C0" w:rsidRPr="00C80F33" w:rsidRDefault="00E64689" w:rsidP="00A540B1">
      <w:pPr>
        <w:pStyle w:val="SingleParagraph"/>
        <w:spacing w:line="240" w:lineRule="auto"/>
      </w:pPr>
      <w:r w:rsidRPr="00C80F33">
        <w:t>Alexander Beames and Michael Kouparitsas</w:t>
      </w:r>
    </w:p>
    <w:p w14:paraId="24B364DC" w14:textId="77777777" w:rsidR="003461C0" w:rsidRPr="00C80F33" w:rsidRDefault="000626B7" w:rsidP="00A540B1">
      <w:pPr>
        <w:pStyle w:val="SingleParagraph"/>
        <w:spacing w:line="240" w:lineRule="auto"/>
      </w:pPr>
      <w:r w:rsidRPr="00C80F33">
        <w:t>201</w:t>
      </w:r>
      <w:r w:rsidR="00F831F9" w:rsidRPr="00C80F33">
        <w:t>5</w:t>
      </w:r>
      <w:r w:rsidR="003461C0" w:rsidRPr="00C80F33">
        <w:noBreakHyphen/>
      </w:r>
      <w:r w:rsidR="00C724EE" w:rsidRPr="00C80F33">
        <w:t>02</w:t>
      </w:r>
    </w:p>
    <w:p w14:paraId="11311CEC" w14:textId="77777777" w:rsidR="003461C0" w:rsidRPr="00C80F33" w:rsidRDefault="00C724EE" w:rsidP="00A540B1">
      <w:pPr>
        <w:pStyle w:val="SingleParagraph"/>
        <w:spacing w:line="240" w:lineRule="auto"/>
      </w:pPr>
      <w:r w:rsidRPr="00C80F33">
        <w:t>June 2015</w:t>
      </w:r>
    </w:p>
    <w:p w14:paraId="242F4AC6" w14:textId="77777777" w:rsidR="003461C0" w:rsidRPr="00C80F33" w:rsidRDefault="003461C0" w:rsidP="003461C0">
      <w:pPr>
        <w:pStyle w:val="Heading1"/>
      </w:pPr>
      <w:r w:rsidRPr="00C80F33">
        <w:t>Abstract</w:t>
      </w:r>
    </w:p>
    <w:p w14:paraId="45545AE2" w14:textId="77777777" w:rsidR="009A2CF7" w:rsidRPr="00C80F33" w:rsidRDefault="00B90028" w:rsidP="009A2CF7">
      <w:r w:rsidRPr="00C80F33">
        <w:t xml:space="preserve">This paper adds to the relatively scant Australian literature </w:t>
      </w:r>
      <w:r w:rsidR="005B38B9" w:rsidRPr="00C80F33">
        <w:t>on</w:t>
      </w:r>
      <w:r w:rsidRPr="00C80F33">
        <w:t xml:space="preserve"> modelling the demand and supply of Australian imports. We build on earlier demand modelling by deriving conditional import demand relationships via representative household/firm-level utility-maximisation/cost-minimisation problems, which explicitly assume households/firms have both a taste for variety and rival sources of supply. Our estimates of disaggregated price elasticities are consistent with earlier studies in finding relatively low substitutability between imported and </w:t>
      </w:r>
      <w:r w:rsidR="002D3734" w:rsidRPr="00C80F33">
        <w:t>domestically produced varieties</w:t>
      </w:r>
      <w:r w:rsidRPr="00C80F33">
        <w:t xml:space="preserve">. Our derivation of the long-run supply framework </w:t>
      </w:r>
      <w:r w:rsidR="00190888" w:rsidRPr="00C80F33">
        <w:t xml:space="preserve">also </w:t>
      </w:r>
      <w:r w:rsidRPr="00C80F33">
        <w:t xml:space="preserve">adds to the existing literature by explaining why it is necessary for researchers to employ trade-weighted foreign prices in place of individual country prices and providing conditions under which this approach is consistent with the underlying theory. </w:t>
      </w:r>
      <w:r w:rsidR="00785775" w:rsidRPr="00C80F33">
        <w:t xml:space="preserve">We </w:t>
      </w:r>
      <w:r w:rsidR="00F97F39" w:rsidRPr="00C80F33">
        <w:t>find</w:t>
      </w:r>
      <w:r w:rsidR="00785775" w:rsidRPr="00C80F33">
        <w:t xml:space="preserve"> that the extent </w:t>
      </w:r>
      <w:r w:rsidR="002D3734" w:rsidRPr="00C80F33">
        <w:t xml:space="preserve">of the foreign cost </w:t>
      </w:r>
      <w:r w:rsidR="00785775" w:rsidRPr="00C80F33">
        <w:t xml:space="preserve">pass-through to import prices depends critically on the choice of foreign </w:t>
      </w:r>
      <w:r w:rsidR="00190888" w:rsidRPr="00C80F33">
        <w:t>cost</w:t>
      </w:r>
      <w:r w:rsidR="002D3734" w:rsidRPr="00C80F33">
        <w:t xml:space="preserve"> variable.</w:t>
      </w:r>
    </w:p>
    <w:p w14:paraId="502F587B" w14:textId="77777777" w:rsidR="009C45E5" w:rsidRPr="00C80F33" w:rsidRDefault="003461C0" w:rsidP="00A540B1">
      <w:pPr>
        <w:pStyle w:val="SingleParagraph"/>
        <w:spacing w:line="240" w:lineRule="auto"/>
      </w:pPr>
      <w:r w:rsidRPr="00C80F33">
        <w:t xml:space="preserve">JEL Classification Numbers: </w:t>
      </w:r>
      <w:r w:rsidR="00185BF0" w:rsidRPr="00C80F33">
        <w:t>F14</w:t>
      </w:r>
      <w:r w:rsidR="009C45E5" w:rsidRPr="00C80F33">
        <w:t>, F17, C22</w:t>
      </w:r>
    </w:p>
    <w:p w14:paraId="4362525B" w14:textId="77777777" w:rsidR="003461C0" w:rsidRPr="00C80F33" w:rsidRDefault="003461C0" w:rsidP="00A540B1">
      <w:pPr>
        <w:pStyle w:val="SingleParagraph"/>
        <w:spacing w:line="240" w:lineRule="auto"/>
      </w:pPr>
      <w:r w:rsidRPr="00C80F33">
        <w:t xml:space="preserve">Keywords: </w:t>
      </w:r>
      <w:r w:rsidR="00D3575D" w:rsidRPr="00C80F33">
        <w:t>I</w:t>
      </w:r>
      <w:r w:rsidR="00185BF0" w:rsidRPr="00C80F33">
        <w:t>m</w:t>
      </w:r>
      <w:r w:rsidR="00D3575D" w:rsidRPr="00C80F33">
        <w:t>port prices, price elasticity of imports, income elasticity of imports</w:t>
      </w:r>
    </w:p>
    <w:p w14:paraId="2DFE4793" w14:textId="77777777" w:rsidR="003461C0" w:rsidRPr="00C80F33" w:rsidRDefault="003461C0" w:rsidP="003461C0">
      <w:pPr>
        <w:pStyle w:val="SingleParagraph"/>
      </w:pPr>
    </w:p>
    <w:p w14:paraId="0F0C9611" w14:textId="77777777" w:rsidR="003461C0" w:rsidRPr="00C80F33" w:rsidRDefault="00E64689" w:rsidP="00A540B1">
      <w:pPr>
        <w:pStyle w:val="SingleParagraph"/>
        <w:spacing w:line="240" w:lineRule="auto"/>
      </w:pPr>
      <w:r w:rsidRPr="00C80F33">
        <w:t>Alexander Beames</w:t>
      </w:r>
      <w:r w:rsidR="000C7071" w:rsidRPr="00C80F33">
        <w:t xml:space="preserve"> and Michael Kouparitsas</w:t>
      </w:r>
    </w:p>
    <w:p w14:paraId="70E5BE79" w14:textId="77777777" w:rsidR="003461C0" w:rsidRPr="00C80F33" w:rsidRDefault="00C8086C" w:rsidP="00A540B1">
      <w:pPr>
        <w:pStyle w:val="SingleParagraph"/>
        <w:spacing w:line="240" w:lineRule="auto"/>
      </w:pPr>
      <w:r w:rsidRPr="00C80F33">
        <w:t>Macroeconomic Modelling and Policy</w:t>
      </w:r>
      <w:r w:rsidR="00E64689" w:rsidRPr="00C80F33">
        <w:t xml:space="preserve"> Division</w:t>
      </w:r>
    </w:p>
    <w:p w14:paraId="38C91FEB" w14:textId="77777777" w:rsidR="003461C0" w:rsidRPr="00C80F33" w:rsidRDefault="00E64689" w:rsidP="00A540B1">
      <w:pPr>
        <w:pStyle w:val="SingleParagraph"/>
        <w:spacing w:line="240" w:lineRule="auto"/>
      </w:pPr>
      <w:r w:rsidRPr="00C80F33">
        <w:t>Macroeconomic Group</w:t>
      </w:r>
    </w:p>
    <w:p w14:paraId="16DA4CDF" w14:textId="77777777" w:rsidR="003461C0" w:rsidRPr="00C80F33" w:rsidRDefault="003461C0" w:rsidP="00A540B1">
      <w:pPr>
        <w:pStyle w:val="SingleParagraph"/>
        <w:spacing w:line="240" w:lineRule="auto"/>
      </w:pPr>
      <w:r w:rsidRPr="00C80F33">
        <w:t>The Treasury</w:t>
      </w:r>
    </w:p>
    <w:p w14:paraId="4FC3B9F6" w14:textId="77777777" w:rsidR="003461C0" w:rsidRPr="00C80F33" w:rsidRDefault="003461C0" w:rsidP="00A540B1">
      <w:pPr>
        <w:pStyle w:val="SingleParagraph"/>
        <w:spacing w:line="240" w:lineRule="auto"/>
      </w:pPr>
      <w:r w:rsidRPr="00C80F33">
        <w:t>Langton Crescent</w:t>
      </w:r>
    </w:p>
    <w:p w14:paraId="22C1FFFD" w14:textId="77777777" w:rsidR="003461C0" w:rsidRPr="00C80F33" w:rsidRDefault="003461C0" w:rsidP="00A540B1">
      <w:pPr>
        <w:pStyle w:val="SingleParagraph"/>
        <w:spacing w:line="240" w:lineRule="auto"/>
      </w:pPr>
      <w:proofErr w:type="gramStart"/>
      <w:r w:rsidRPr="00C80F33">
        <w:t>Parkes  ACT</w:t>
      </w:r>
      <w:proofErr w:type="gramEnd"/>
      <w:r w:rsidRPr="00C80F33">
        <w:t xml:space="preserve">  2600</w:t>
      </w:r>
    </w:p>
    <w:p w14:paraId="07865CCA" w14:textId="77777777" w:rsidR="003461C0" w:rsidRPr="00C80F33" w:rsidRDefault="003461C0" w:rsidP="00D0009A"/>
    <w:p w14:paraId="48A2569F" w14:textId="77777777" w:rsidR="003461C0" w:rsidRPr="00C80F33" w:rsidRDefault="003461C0" w:rsidP="00D0009A">
      <w:pPr>
        <w:sectPr w:rsidR="003461C0" w:rsidRPr="00C80F33">
          <w:pgSz w:w="11907" w:h="16840" w:code="9"/>
          <w:pgMar w:top="1418" w:right="1304" w:bottom="1418" w:left="1304" w:header="567" w:footer="567" w:gutter="0"/>
          <w:pgNumType w:fmt="lowerRoman" w:start="2"/>
          <w:cols w:space="720"/>
          <w:titlePg/>
        </w:sectPr>
      </w:pPr>
    </w:p>
    <w:p w14:paraId="16E1F62B" w14:textId="77777777" w:rsidR="003461C0" w:rsidRPr="00C80F33" w:rsidRDefault="003461C0" w:rsidP="00C80F33">
      <w:pPr>
        <w:pStyle w:val="Heading2"/>
      </w:pPr>
      <w:bookmarkStart w:id="1" w:name="_Toc271526783"/>
      <w:bookmarkStart w:id="2" w:name="_Toc320810314"/>
      <w:r w:rsidRPr="00C80F33">
        <w:lastRenderedPageBreak/>
        <w:t>Introduction</w:t>
      </w:r>
      <w:bookmarkEnd w:id="1"/>
      <w:bookmarkEnd w:id="2"/>
    </w:p>
    <w:p w14:paraId="75AD9261" w14:textId="77777777" w:rsidR="00E41FF5" w:rsidRPr="00C80F33" w:rsidRDefault="00416436" w:rsidP="005B38B9">
      <w:r w:rsidRPr="00C80F33">
        <w:t xml:space="preserve">Imports play a critical role in fostering long-run growth and smoothing business cycles of small open economies, including Australia. </w:t>
      </w:r>
      <w:r w:rsidR="000C7071" w:rsidRPr="00C80F33">
        <w:t xml:space="preserve">International </w:t>
      </w:r>
      <w:r w:rsidR="005B38B9" w:rsidRPr="00C80F33">
        <w:t>trading characterist</w:t>
      </w:r>
      <w:r w:rsidR="000C7071" w:rsidRPr="00C80F33">
        <w:t>ics of small open economies vary</w:t>
      </w:r>
      <w:r w:rsidR="005B38B9" w:rsidRPr="00C80F33">
        <w:t xml:space="preserve"> greatly so it </w:t>
      </w:r>
      <w:r w:rsidRPr="00C80F33">
        <w:t xml:space="preserve">not surprising then that the bulk of the </w:t>
      </w:r>
      <w:r w:rsidR="000C7071" w:rsidRPr="00C80F33">
        <w:t>research</w:t>
      </w:r>
      <w:r w:rsidRPr="00C80F33">
        <w:t xml:space="preserve"> on modelling demand and supply </w:t>
      </w:r>
      <w:r w:rsidR="0081248B" w:rsidRPr="00C80F33">
        <w:t xml:space="preserve">of </w:t>
      </w:r>
      <w:r w:rsidRPr="00C80F33">
        <w:t>imports concentrates on country-specific studies</w:t>
      </w:r>
      <w:r w:rsidR="005B38B9" w:rsidRPr="00C80F33">
        <w:t xml:space="preserve"> of small open economies</w:t>
      </w:r>
      <w:r w:rsidRPr="00C80F33">
        <w:t xml:space="preserve">. </w:t>
      </w:r>
      <w:r w:rsidR="00F1512E" w:rsidRPr="00C80F33">
        <w:t>As demonstrated by Gold</w:t>
      </w:r>
      <w:r w:rsidR="00E41FF5" w:rsidRPr="00C80F33">
        <w:t>stein and Khan (1985)</w:t>
      </w:r>
      <w:r w:rsidR="00A51100" w:rsidRPr="00C80F33">
        <w:t>,</w:t>
      </w:r>
      <w:r w:rsidR="00E41FF5" w:rsidRPr="00C80F33">
        <w:t xml:space="preserve"> the income and price elasticities of demand and supply generated by this literature have </w:t>
      </w:r>
      <w:r w:rsidR="006A05A4" w:rsidRPr="00C80F33">
        <w:t xml:space="preserve">been </w:t>
      </w:r>
      <w:r w:rsidR="00E41FF5" w:rsidRPr="00C80F33">
        <w:t>app</w:t>
      </w:r>
      <w:r w:rsidR="006A05A4" w:rsidRPr="00C80F33">
        <w:t>lied</w:t>
      </w:r>
      <w:r w:rsidR="00E41FF5" w:rsidRPr="00C80F33">
        <w:t xml:space="preserve"> to </w:t>
      </w:r>
      <w:r w:rsidR="0081248B" w:rsidRPr="00C80F33">
        <w:t xml:space="preserve">a </w:t>
      </w:r>
      <w:r w:rsidR="00E41FF5" w:rsidRPr="00C80F33">
        <w:t xml:space="preserve">host of </w:t>
      </w:r>
      <w:r w:rsidR="006A05A4" w:rsidRPr="00C80F33">
        <w:t xml:space="preserve">real world </w:t>
      </w:r>
      <w:r w:rsidR="00E41FF5" w:rsidRPr="00C80F33">
        <w:t>macroeconomic policy issues faced by small open economies, including the international transmission of foreign demand/supply</w:t>
      </w:r>
      <w:r w:rsidR="005B38B9" w:rsidRPr="00C80F33">
        <w:t xml:space="preserve"> </w:t>
      </w:r>
      <w:r w:rsidR="00E41FF5" w:rsidRPr="00C80F33">
        <w:t>shocks.</w:t>
      </w:r>
    </w:p>
    <w:p w14:paraId="1ED58D60" w14:textId="1C1E0F91" w:rsidR="00A51100" w:rsidRPr="00C80F33" w:rsidRDefault="00416436" w:rsidP="003461C0">
      <w:r w:rsidRPr="00C80F33">
        <w:t xml:space="preserve">This paper adds to </w:t>
      </w:r>
      <w:r w:rsidR="00A51100" w:rsidRPr="00C80F33">
        <w:t>the relatively scant Australian</w:t>
      </w:r>
      <w:r w:rsidR="00747ED8" w:rsidRPr="00C80F33">
        <w:t xml:space="preserve"> </w:t>
      </w:r>
      <w:r w:rsidRPr="00C80F33">
        <w:t>literature by modelling both the demand and supply of Australian imports.</w:t>
      </w:r>
      <w:r w:rsidR="00747ED8" w:rsidRPr="00C80F33">
        <w:t xml:space="preserve"> </w:t>
      </w:r>
      <w:r w:rsidR="008A7308" w:rsidRPr="00C80F33">
        <w:t>W</w:t>
      </w:r>
      <w:r w:rsidR="00A51100" w:rsidRPr="00C80F33">
        <w:t xml:space="preserve">e build on earlier demand modelling by Wilkinson (1992); </w:t>
      </w:r>
      <w:proofErr w:type="spellStart"/>
      <w:r w:rsidR="00A51100" w:rsidRPr="00C80F33">
        <w:t>Jilek</w:t>
      </w:r>
      <w:proofErr w:type="spellEnd"/>
      <w:r w:rsidR="00A51100" w:rsidRPr="00C80F33">
        <w:t xml:space="preserve">, Johnson and </w:t>
      </w:r>
      <w:proofErr w:type="spellStart"/>
      <w:r w:rsidR="00A51100" w:rsidRPr="00C80F33">
        <w:t>Taplin</w:t>
      </w:r>
      <w:proofErr w:type="spellEnd"/>
      <w:r w:rsidR="0081248B" w:rsidRPr="00C80F33">
        <w:t xml:space="preserve"> </w:t>
      </w:r>
      <w:r w:rsidR="00A51100" w:rsidRPr="00C80F33">
        <w:t xml:space="preserve">(1993); and Dwyer and Kent (1993) by </w:t>
      </w:r>
      <w:r w:rsidR="00747ED8" w:rsidRPr="00C80F33">
        <w:t>deriv</w:t>
      </w:r>
      <w:r w:rsidR="00A51100" w:rsidRPr="00C80F33">
        <w:t>ing</w:t>
      </w:r>
      <w:r w:rsidR="00747ED8" w:rsidRPr="00C80F33">
        <w:t xml:space="preserve"> conditional import demand relationships via representative household/firm-level utility-maximisation/cost-minimisation problems</w:t>
      </w:r>
      <w:r w:rsidR="00835777" w:rsidRPr="00C80F33">
        <w:t>, which explicitly assume households/firms have both a taste for variety and rival sources of supply</w:t>
      </w:r>
      <w:r w:rsidR="00747ED8" w:rsidRPr="00C80F33">
        <w:t xml:space="preserve">. </w:t>
      </w:r>
      <w:r w:rsidR="00A51100" w:rsidRPr="00C80F33">
        <w:t xml:space="preserve">This </w:t>
      </w:r>
      <w:r w:rsidR="00AD6F40" w:rsidRPr="00C80F33">
        <w:t xml:space="preserve">long-run </w:t>
      </w:r>
      <w:r w:rsidR="005B38B9" w:rsidRPr="00C80F33">
        <w:t xml:space="preserve">theoretical </w:t>
      </w:r>
      <w:r w:rsidR="00AD6F40" w:rsidRPr="00C80F33">
        <w:t xml:space="preserve">framework is augmented by cyclical explanatory variables to form </w:t>
      </w:r>
      <w:r w:rsidR="005B38B9" w:rsidRPr="00C80F33">
        <w:t xml:space="preserve">empirical </w:t>
      </w:r>
      <w:r w:rsidR="00AD6F40" w:rsidRPr="00C80F33">
        <w:t>error correction models (</w:t>
      </w:r>
      <w:r w:rsidR="00C12CD2" w:rsidRPr="00C80F33">
        <w:t>that is</w:t>
      </w:r>
      <w:r w:rsidR="00AD6F40" w:rsidRPr="00C80F33">
        <w:t>, short-run demand models) which are then estimated using standard econometric methods.</w:t>
      </w:r>
      <w:r w:rsidR="00A51100" w:rsidRPr="00C80F33">
        <w:t xml:space="preserve"> Our estimates of </w:t>
      </w:r>
      <w:r w:rsidR="00AD6F40" w:rsidRPr="00C80F33">
        <w:t xml:space="preserve">disaggregated </w:t>
      </w:r>
      <w:r w:rsidR="00861469" w:rsidRPr="00C80F33">
        <w:t xml:space="preserve">import </w:t>
      </w:r>
      <w:r w:rsidR="00A51100" w:rsidRPr="00C80F33">
        <w:t xml:space="preserve">price elasticities are consistent with </w:t>
      </w:r>
      <w:r w:rsidR="005B38B9" w:rsidRPr="00C80F33">
        <w:t xml:space="preserve">earlier work by </w:t>
      </w:r>
      <w:r w:rsidR="00A51100" w:rsidRPr="00C80F33">
        <w:t>Dwyer and Kent (1993)</w:t>
      </w:r>
      <w:r w:rsidR="00AD6F40" w:rsidRPr="00C80F33">
        <w:t xml:space="preserve"> </w:t>
      </w:r>
      <w:r w:rsidR="00A51100" w:rsidRPr="00C80F33">
        <w:t xml:space="preserve">in finding relatively low substitutability between imported and domestically produced varieties. The main implication of this </w:t>
      </w:r>
      <w:r w:rsidR="006A05A4" w:rsidRPr="00C80F33">
        <w:t>finding</w:t>
      </w:r>
      <w:r w:rsidR="00A51100" w:rsidRPr="00C80F33">
        <w:t xml:space="preserve"> is that income effects dominate</w:t>
      </w:r>
      <w:r w:rsidR="006A05A4" w:rsidRPr="00C80F33">
        <w:t xml:space="preserve"> the substitution effects resulting from a relative price movement</w:t>
      </w:r>
      <w:r w:rsidR="00A51100" w:rsidRPr="00C80F33">
        <w:t>, so other things being equal a fall in import prices lead</w:t>
      </w:r>
      <w:r w:rsidR="006A05A4" w:rsidRPr="00C80F33">
        <w:t>s</w:t>
      </w:r>
      <w:r w:rsidR="00A51100" w:rsidRPr="00C80F33">
        <w:t xml:space="preserve"> to a rise in the d</w:t>
      </w:r>
      <w:r w:rsidR="00396F03" w:rsidRPr="00C80F33">
        <w:t xml:space="preserve">emand for both </w:t>
      </w:r>
      <w:r w:rsidR="006A05A4" w:rsidRPr="00C80F33">
        <w:t xml:space="preserve">imports and </w:t>
      </w:r>
      <w:r w:rsidR="00A51100" w:rsidRPr="00C80F33">
        <w:t>rival domestically produced good</w:t>
      </w:r>
      <w:r w:rsidR="006A05A4" w:rsidRPr="00C80F33">
        <w:t>s</w:t>
      </w:r>
      <w:r w:rsidR="00A51100" w:rsidRPr="00C80F33">
        <w:t>.</w:t>
      </w:r>
    </w:p>
    <w:p w14:paraId="019D5234" w14:textId="0D720ED8" w:rsidR="00ED4F04" w:rsidRPr="00C80F33" w:rsidRDefault="0098181A" w:rsidP="003461C0">
      <w:r w:rsidRPr="00C80F33">
        <w:t>T</w:t>
      </w:r>
      <w:r w:rsidR="00835777" w:rsidRPr="00C80F33">
        <w:t xml:space="preserve">he theoretical framework underpinning </w:t>
      </w:r>
      <w:r w:rsidRPr="00C80F33">
        <w:t xml:space="preserve">our modelling of </w:t>
      </w:r>
      <w:r w:rsidR="00727F92" w:rsidRPr="00C80F33">
        <w:t>the</w:t>
      </w:r>
      <w:r w:rsidRPr="00C80F33">
        <w:t xml:space="preserve"> </w:t>
      </w:r>
      <w:r w:rsidR="00835777" w:rsidRPr="00C80F33">
        <w:t>s</w:t>
      </w:r>
      <w:r w:rsidR="00747ED8" w:rsidRPr="00C80F33">
        <w:t xml:space="preserve">upply </w:t>
      </w:r>
      <w:r w:rsidR="00727F92" w:rsidRPr="00C80F33">
        <w:t xml:space="preserve">of imports </w:t>
      </w:r>
      <w:r w:rsidRPr="00C80F33">
        <w:t xml:space="preserve">is </w:t>
      </w:r>
      <w:r w:rsidR="001E7733" w:rsidRPr="00C80F33">
        <w:t>motivated by</w:t>
      </w:r>
      <w:r w:rsidRPr="00C80F33">
        <w:t xml:space="preserve"> previous Australian research </w:t>
      </w:r>
      <w:r w:rsidR="00AD6F40" w:rsidRPr="00C80F33">
        <w:t>undertaken by</w:t>
      </w:r>
      <w:r w:rsidR="00051FA3" w:rsidRPr="00C80F33">
        <w:t xml:space="preserve"> Dwyer and Lam</w:t>
      </w:r>
      <w:r w:rsidR="00AD6F40" w:rsidRPr="00C80F33">
        <w:t xml:space="preserve"> (1994), and updated work by Chung, Kohler and Lewis (2011), </w:t>
      </w:r>
      <w:r w:rsidR="008A7308" w:rsidRPr="00C80F33">
        <w:t>which suggests</w:t>
      </w:r>
      <w:r w:rsidR="00835777" w:rsidRPr="00C80F33">
        <w:t xml:space="preserve"> </w:t>
      </w:r>
      <w:r w:rsidR="008A7308" w:rsidRPr="00C80F33">
        <w:t>Australian</w:t>
      </w:r>
      <w:r w:rsidRPr="00C80F33">
        <w:t xml:space="preserve"> </w:t>
      </w:r>
      <w:r w:rsidR="00835777" w:rsidRPr="00C80F33">
        <w:t>households/firms are price takers facing</w:t>
      </w:r>
      <w:r w:rsidR="00747ED8" w:rsidRPr="00C80F33">
        <w:t xml:space="preserve"> </w:t>
      </w:r>
      <w:r w:rsidR="00835777" w:rsidRPr="00C80F33">
        <w:t>an import price equal to the exchange rate adjusted foreign cost</w:t>
      </w:r>
      <w:r w:rsidRPr="00C80F33">
        <w:t>.</w:t>
      </w:r>
      <w:r w:rsidR="00AD6F40" w:rsidRPr="00C80F33">
        <w:t xml:space="preserve"> </w:t>
      </w:r>
      <w:r w:rsidR="008A7308" w:rsidRPr="00C80F33">
        <w:t>We</w:t>
      </w:r>
      <w:r w:rsidR="00AD6F40" w:rsidRPr="00C80F33">
        <w:t xml:space="preserve"> add to th</w:t>
      </w:r>
      <w:r w:rsidR="008A7308" w:rsidRPr="00C80F33">
        <w:t>is</w:t>
      </w:r>
      <w:r w:rsidR="00AD6F40" w:rsidRPr="00C80F33">
        <w:t xml:space="preserve"> literature by explaining why it is necessary for researchers to employ trade-weighted foreign prices in place of individual country prices and provid</w:t>
      </w:r>
      <w:r w:rsidR="008A7308" w:rsidRPr="00C80F33">
        <w:t>e</w:t>
      </w:r>
      <w:r w:rsidR="00AD6F40" w:rsidRPr="00C80F33">
        <w:t xml:space="preserve"> conditions under which this approach is consistent with the underlying </w:t>
      </w:r>
      <w:r w:rsidR="008A7308" w:rsidRPr="00C80F33">
        <w:t xml:space="preserve">imports supply </w:t>
      </w:r>
      <w:r w:rsidR="00AD6F40" w:rsidRPr="00C80F33">
        <w:t>theory.</w:t>
      </w:r>
      <w:r w:rsidR="00835777" w:rsidRPr="00C80F33">
        <w:t xml:space="preserve"> </w:t>
      </w:r>
      <w:r w:rsidR="008A7308" w:rsidRPr="00C80F33">
        <w:t>Again, t</w:t>
      </w:r>
      <w:r w:rsidR="00747ED8" w:rsidRPr="00C80F33">
        <w:t>h</w:t>
      </w:r>
      <w:r w:rsidR="006F7A5B" w:rsidRPr="00C80F33">
        <w:t xml:space="preserve">e long-run </w:t>
      </w:r>
      <w:r w:rsidR="008A7308" w:rsidRPr="00C80F33">
        <w:t xml:space="preserve">theoretical </w:t>
      </w:r>
      <w:r w:rsidR="00747ED8" w:rsidRPr="00C80F33">
        <w:t xml:space="preserve">framework is augmented by cyclical explanatory variables to </w:t>
      </w:r>
      <w:r w:rsidR="008A7308" w:rsidRPr="00C80F33">
        <w:t>form</w:t>
      </w:r>
      <w:r w:rsidR="00747ED8" w:rsidRPr="00C80F33">
        <w:t xml:space="preserve"> </w:t>
      </w:r>
      <w:r w:rsidR="008A7308" w:rsidRPr="00C80F33">
        <w:t xml:space="preserve">empirical </w:t>
      </w:r>
      <w:r w:rsidR="00747ED8" w:rsidRPr="00C80F33">
        <w:t>error correction model</w:t>
      </w:r>
      <w:r w:rsidR="006F7A5B" w:rsidRPr="00C80F33">
        <w:t>s</w:t>
      </w:r>
      <w:r w:rsidR="00747ED8" w:rsidRPr="00C80F33">
        <w:t xml:space="preserve"> </w:t>
      </w:r>
      <w:r w:rsidR="006F7A5B" w:rsidRPr="00C80F33">
        <w:t>(</w:t>
      </w:r>
      <w:r w:rsidR="00C12CD2" w:rsidRPr="00C80F33">
        <w:t>that is</w:t>
      </w:r>
      <w:r w:rsidR="006F7A5B" w:rsidRPr="00C80F33">
        <w:t xml:space="preserve">, short-run supply models) </w:t>
      </w:r>
      <w:r w:rsidR="00747ED8" w:rsidRPr="00C80F33">
        <w:t xml:space="preserve">which </w:t>
      </w:r>
      <w:r w:rsidR="006F7A5B" w:rsidRPr="00C80F33">
        <w:t xml:space="preserve">are </w:t>
      </w:r>
      <w:r w:rsidR="00747ED8" w:rsidRPr="00C80F33">
        <w:t>estimated</w:t>
      </w:r>
      <w:r w:rsidR="006F7A5B" w:rsidRPr="00C80F33">
        <w:t xml:space="preserve"> using standard econometric methods.</w:t>
      </w:r>
      <w:r w:rsidR="00AD6F40" w:rsidRPr="00C80F33">
        <w:t xml:space="preserve"> </w:t>
      </w:r>
      <w:r w:rsidR="002D3734" w:rsidRPr="00C80F33">
        <w:t xml:space="preserve">We find that the extent of the </w:t>
      </w:r>
      <w:r w:rsidR="006A05A4" w:rsidRPr="00C80F33">
        <w:t xml:space="preserve">pass-through of changes to </w:t>
      </w:r>
      <w:r w:rsidR="002D3734" w:rsidRPr="00C80F33">
        <w:t>foreign cos</w:t>
      </w:r>
      <w:r w:rsidR="006A05A4" w:rsidRPr="00C80F33">
        <w:t>ts</w:t>
      </w:r>
      <w:r w:rsidR="002D3734" w:rsidRPr="00C80F33">
        <w:t xml:space="preserve"> to import prices depends critically on the choice of foreign cost variable. Our analysis </w:t>
      </w:r>
      <w:r w:rsidR="006A05A4" w:rsidRPr="00C80F33">
        <w:t>relies on</w:t>
      </w:r>
      <w:r w:rsidR="002D3734" w:rsidRPr="00C80F33">
        <w:t xml:space="preserve"> a trade</w:t>
      </w:r>
      <w:r w:rsidR="00E75D7E" w:rsidRPr="00C80F33">
        <w:noBreakHyphen/>
      </w:r>
      <w:r w:rsidR="002D3734" w:rsidRPr="00C80F33">
        <w:t>weighted</w:t>
      </w:r>
      <w:r w:rsidR="00E75D7E" w:rsidRPr="00C80F33">
        <w:t xml:space="preserve"> </w:t>
      </w:r>
      <w:r w:rsidR="002D3734" w:rsidRPr="00C80F33">
        <w:t xml:space="preserve">index of foreign consumer prices which displays far less pass-through than previous Australian studies which rely on indices of foreign </w:t>
      </w:r>
      <w:r w:rsidR="00240BD9" w:rsidRPr="00C80F33">
        <w:t>export</w:t>
      </w:r>
      <w:r w:rsidR="002D3734" w:rsidRPr="00C80F33">
        <w:t xml:space="preserve"> prices.</w:t>
      </w:r>
    </w:p>
    <w:p w14:paraId="0B673C75" w14:textId="77777777" w:rsidR="009A5A32" w:rsidRPr="00C80F33" w:rsidRDefault="009A5A32" w:rsidP="003461C0">
      <w:r w:rsidRPr="00C80F33">
        <w:t xml:space="preserve">The remainder of this paper is organised as follows: </w:t>
      </w:r>
      <w:r w:rsidR="00026750" w:rsidRPr="00C80F33">
        <w:t>S</w:t>
      </w:r>
      <w:r w:rsidRPr="00C80F33">
        <w:t xml:space="preserve">ection 2 derives the theoretical long-run import demand and supply relationships; </w:t>
      </w:r>
      <w:r w:rsidR="00C54557" w:rsidRPr="00C80F33">
        <w:t>S</w:t>
      </w:r>
      <w:r w:rsidRPr="00C80F33">
        <w:t xml:space="preserve">ection 3 describes the data used in estimating import demand and supply; </w:t>
      </w:r>
      <w:r w:rsidR="00C54557" w:rsidRPr="00C80F33">
        <w:t>S</w:t>
      </w:r>
      <w:r w:rsidRPr="00C80F33">
        <w:t xml:space="preserve">ection 4 provides details of the econometric method and reports parameter estimates; and </w:t>
      </w:r>
      <w:r w:rsidR="00C54557" w:rsidRPr="00C80F33">
        <w:t>S</w:t>
      </w:r>
      <w:r w:rsidRPr="00C80F33">
        <w:t>ection 5 summarises the analysis.</w:t>
      </w:r>
    </w:p>
    <w:p w14:paraId="12870463" w14:textId="77777777" w:rsidR="00097DED" w:rsidRPr="00C80F33" w:rsidRDefault="00E64689" w:rsidP="00C80F33">
      <w:pPr>
        <w:pStyle w:val="Heading2"/>
      </w:pPr>
      <w:r w:rsidRPr="00C80F33">
        <w:lastRenderedPageBreak/>
        <w:t>Theory</w:t>
      </w:r>
    </w:p>
    <w:p w14:paraId="60C00B90" w14:textId="77777777" w:rsidR="00E64689" w:rsidRPr="00C80F33" w:rsidRDefault="00E64689" w:rsidP="00E64689">
      <w:pPr>
        <w:pStyle w:val="Heading3"/>
        <w:rPr>
          <w:lang w:val="en-AU"/>
        </w:rPr>
      </w:pPr>
      <w:r w:rsidRPr="00C80F33">
        <w:rPr>
          <w:lang w:val="en-AU"/>
        </w:rPr>
        <w:t>Long-run demand for imports</w:t>
      </w:r>
    </w:p>
    <w:p w14:paraId="42888158" w14:textId="62B3C128" w:rsidR="00E64689" w:rsidRPr="00C80F33" w:rsidRDefault="00E64689" w:rsidP="00E64689">
      <w:bookmarkStart w:id="3" w:name="_Toc271526785"/>
      <w:r w:rsidRPr="00C80F33">
        <w:t xml:space="preserve">Consider a representative consumer living in country </w:t>
      </w:r>
      <w:proofErr w:type="spellStart"/>
      <w:r w:rsidRPr="00C80F33">
        <w:rPr>
          <w:i/>
        </w:rPr>
        <w:t>i</w:t>
      </w:r>
      <w:proofErr w:type="spellEnd"/>
      <w:r w:rsidRPr="00C80F33">
        <w:rPr>
          <w:i/>
        </w:rPr>
        <w:t xml:space="preserve"> </w:t>
      </w:r>
      <w:r w:rsidRPr="00C80F33">
        <w:t>who solves a nested utility maximis</w:t>
      </w:r>
      <w:r w:rsidR="006A05A4" w:rsidRPr="00C80F33">
        <w:t>ation</w:t>
      </w:r>
      <w:r w:rsidRPr="00C80F33">
        <w:t xml:space="preserve"> problem. At the top of the nest is the choice between different types of consumption goods. Assuming the consumer</w:t>
      </w:r>
      <w:r w:rsidR="00422EC2" w:rsidRPr="00C80F33">
        <w:t>’</w:t>
      </w:r>
      <w:r w:rsidRPr="00C80F33">
        <w:t xml:space="preserve">s preferences are captured by </w:t>
      </w:r>
      <w:r w:rsidR="003736D4" w:rsidRPr="00C80F33">
        <w:t xml:space="preserve">Dixit and </w:t>
      </w:r>
      <w:proofErr w:type="spellStart"/>
      <w:r w:rsidR="003736D4" w:rsidRPr="00C80F33">
        <w:t>Stiglitz</w:t>
      </w:r>
      <w:proofErr w:type="spellEnd"/>
      <w:r w:rsidR="003736D4" w:rsidRPr="00C80F33">
        <w:t xml:space="preserve"> (19</w:t>
      </w:r>
      <w:r w:rsidR="00051FA3" w:rsidRPr="00C80F33">
        <w:t>7</w:t>
      </w:r>
      <w:r w:rsidR="003736D4" w:rsidRPr="00C80F33">
        <w:t xml:space="preserve">7) </w:t>
      </w:r>
      <w:r w:rsidRPr="00C80F33">
        <w:t>preferences (</w:t>
      </w:r>
      <w:r w:rsidR="00C12CD2" w:rsidRPr="00C80F33">
        <w:t>that is</w:t>
      </w:r>
      <w:r w:rsidRPr="00C80F33">
        <w:t xml:space="preserve">, </w:t>
      </w:r>
      <w:r w:rsidR="00531CD8" w:rsidRPr="00C80F33">
        <w:t xml:space="preserve">a </w:t>
      </w:r>
      <w:r w:rsidRPr="00C80F33">
        <w:t>constant elasticity of substitution utility function), the problem can be summarised by the following:</w:t>
      </w:r>
    </w:p>
    <w:p w14:paraId="09D6F007" w14:textId="77777777" w:rsidR="00BF111B" w:rsidRPr="00C80F33" w:rsidRDefault="00BF111B" w:rsidP="00926786">
      <w:pPr>
        <w:pStyle w:val="MTDisplayEquation"/>
      </w:pPr>
      <w:r w:rsidRPr="00C80F33">
        <w:tab/>
      </w:r>
      <w:r w:rsidR="001715BE" w:rsidRPr="00C80F33">
        <w:object w:dxaOrig="3400" w:dyaOrig="900" w14:anchorId="6AB6C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consumer maximises consumption (utility) subject to a budget constraint.  Preferences are specified over individual varieties of consumption with a Constant Elasticity of Substitution (CES) utility function.  The consumption goods weighting parameters sum to one." style="width:169.65pt;height:44.9pt;mso-position-horizontal:absolute" o:ole="">
            <v:imagedata r:id="rId25" o:title=""/>
          </v:shape>
          <o:OLEObject Type="Embed" ProgID="Equation.DSMT4" ShapeID="_x0000_i1025" DrawAspect="Content" ObjectID="_1495870595" r:id="rId26"/>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1</w:instrText>
      </w:r>
      <w:r w:rsidR="00BB0DB8">
        <w:rPr>
          <w:noProof/>
        </w:rPr>
        <w:fldChar w:fldCharType="end"/>
      </w:r>
      <w:r w:rsidRPr="00C80F33">
        <w:instrText>)</w:instrText>
      </w:r>
      <w:r w:rsidRPr="00C80F33">
        <w:fldChar w:fldCharType="end"/>
      </w:r>
    </w:p>
    <w:p w14:paraId="15C2F4F8" w14:textId="77777777" w:rsidR="00E64689" w:rsidRPr="00C80F33" w:rsidRDefault="00E64689" w:rsidP="00E64689">
      <w:proofErr w:type="gramStart"/>
      <w:r w:rsidRPr="00C80F33">
        <w:t>subject</w:t>
      </w:r>
      <w:proofErr w:type="gramEnd"/>
      <w:r w:rsidRPr="00C80F33">
        <w:t xml:space="preserve"> to:</w:t>
      </w:r>
    </w:p>
    <w:p w14:paraId="733C78F3" w14:textId="77777777" w:rsidR="00E64689" w:rsidRPr="00C80F33" w:rsidRDefault="00E64689" w:rsidP="00926786">
      <w:pPr>
        <w:pStyle w:val="MTDisplayEquation"/>
      </w:pPr>
      <w:r w:rsidRPr="00C80F33">
        <w:tab/>
      </w:r>
      <w:r w:rsidR="001715BE" w:rsidRPr="00C80F33">
        <w:object w:dxaOrig="1719" w:dyaOrig="680" w14:anchorId="013B6A96">
          <v:shape id="_x0000_i1026" type="#_x0000_t75" alt="Equation 2 is the consumer’s budget constraint.  The value of total consumption must be greater than or equal to the sum of the value of consumption of individual varieties." style="width:85.55pt;height:37.05pt;mso-position-horizontal:absolute;mso-position-vertical:absolute" o:ole="">
            <v:imagedata r:id="rId27" o:title=""/>
          </v:shape>
          <o:OLEObject Type="Embed" ProgID="Equation.DSMT4" ShapeID="_x0000_i1026" DrawAspect="Content" ObjectID="_1495870596" r:id="rId28"/>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2</w:instrText>
      </w:r>
      <w:r w:rsidR="00BB0DB8">
        <w:rPr>
          <w:noProof/>
        </w:rPr>
        <w:fldChar w:fldCharType="end"/>
      </w:r>
      <w:r w:rsidRPr="00C80F33">
        <w:instrText>)</w:instrText>
      </w:r>
      <w:r w:rsidRPr="00C80F33">
        <w:fldChar w:fldCharType="end"/>
      </w:r>
    </w:p>
    <w:p w14:paraId="71F8FE95" w14:textId="77777777" w:rsidR="00E64689" w:rsidRPr="00C80F33" w:rsidRDefault="00E64689" w:rsidP="00E64689">
      <w:proofErr w:type="gramStart"/>
      <w:r w:rsidRPr="00C80F33">
        <w:t>where</w:t>
      </w:r>
      <w:proofErr w:type="gramEnd"/>
      <w:r w:rsidRPr="00C80F33">
        <w:t xml:space="preserve"> </w:t>
      </w:r>
      <w:proofErr w:type="spellStart"/>
      <w:r w:rsidR="008D3D96" w:rsidRPr="00C80F33">
        <w:rPr>
          <w:rFonts w:ascii="Times New Roman" w:hAnsi="Times New Roman" w:cs="Times New Roman"/>
          <w:i/>
        </w:rPr>
        <w:t>c</w:t>
      </w:r>
      <w:r w:rsidR="008D3D96" w:rsidRPr="00C80F33">
        <w:rPr>
          <w:rFonts w:ascii="Times New Roman" w:hAnsi="Times New Roman" w:cs="Times New Roman"/>
          <w:i/>
          <w:vertAlign w:val="subscript"/>
        </w:rPr>
        <w:t>it</w:t>
      </w:r>
      <w:proofErr w:type="spellEnd"/>
      <w:r w:rsidR="008D3D96" w:rsidRPr="00C80F33">
        <w:t xml:space="preserve"> </w:t>
      </w:r>
      <w:r w:rsidR="006A05A4" w:rsidRPr="00C80F33">
        <w:t>is the ideal/aggregate consumption level,</w:t>
      </w:r>
      <w:r w:rsidR="008D3D96" w:rsidRPr="00C80F33">
        <w:t xml:space="preserve"> </w:t>
      </w:r>
      <w:proofErr w:type="spellStart"/>
      <w:r w:rsidR="008D3D96" w:rsidRPr="00C80F33">
        <w:rPr>
          <w:rFonts w:ascii="Times New Roman" w:hAnsi="Times New Roman" w:cs="Times New Roman"/>
          <w:i/>
        </w:rPr>
        <w:t>pc</w:t>
      </w:r>
      <w:r w:rsidR="008D3D96" w:rsidRPr="00C80F33">
        <w:rPr>
          <w:rFonts w:ascii="Times New Roman" w:hAnsi="Times New Roman" w:cs="Times New Roman"/>
          <w:i/>
          <w:vertAlign w:val="subscript"/>
        </w:rPr>
        <w:t>it</w:t>
      </w:r>
      <w:proofErr w:type="spellEnd"/>
      <w:r w:rsidR="008D3D96" w:rsidRPr="00C80F33">
        <w:rPr>
          <w:rFonts w:ascii="Times New Roman" w:hAnsi="Times New Roman" w:cs="Times New Roman"/>
          <w:i/>
        </w:rPr>
        <w:t xml:space="preserve"> </w:t>
      </w:r>
      <w:r w:rsidR="006A05A4" w:rsidRPr="00C80F33">
        <w:t xml:space="preserve">is the ideal/aggregate consumption price, </w:t>
      </w:r>
      <w:r w:rsidRPr="00C80F33">
        <w:rPr>
          <w:rFonts w:ascii="Times New Roman" w:hAnsi="Times New Roman" w:cs="Times New Roman"/>
          <w:i/>
        </w:rPr>
        <w:t>q</w:t>
      </w:r>
      <w:r w:rsidRPr="00C80F33">
        <w:t xml:space="preserve"> is the number of varieties,</w:t>
      </w:r>
      <w:r w:rsidR="00BF111B" w:rsidRPr="00C80F33">
        <w:t xml:space="preserve"> </w:t>
      </w:r>
      <w:proofErr w:type="spellStart"/>
      <w:r w:rsidR="008D3D96" w:rsidRPr="00C80F33">
        <w:rPr>
          <w:rFonts w:ascii="Times New Roman" w:hAnsi="Times New Roman" w:cs="Times New Roman"/>
          <w:i/>
        </w:rPr>
        <w:t>c</w:t>
      </w:r>
      <w:r w:rsidR="008D3D96" w:rsidRPr="00C80F33">
        <w:rPr>
          <w:rFonts w:ascii="Times New Roman" w:hAnsi="Times New Roman" w:cs="Times New Roman"/>
          <w:i/>
          <w:vertAlign w:val="subscript"/>
        </w:rPr>
        <w:t>it</w:t>
      </w:r>
      <w:r w:rsidR="008D3D96" w:rsidRPr="00C80F33">
        <w:rPr>
          <w:rFonts w:ascii="Times New Roman" w:hAnsi="Times New Roman" w:cs="Times New Roman"/>
          <w:i/>
          <w:vertAlign w:val="superscript"/>
        </w:rPr>
        <w:t>k</w:t>
      </w:r>
      <w:proofErr w:type="spellEnd"/>
      <w:r w:rsidRPr="00C80F33">
        <w:t xml:space="preserve"> </w:t>
      </w:r>
      <w:r w:rsidR="006A05A4" w:rsidRPr="00C80F33">
        <w:t xml:space="preserve">the consumption </w:t>
      </w:r>
      <w:r w:rsidR="009A420F" w:rsidRPr="00C80F33">
        <w:t xml:space="preserve">level of </w:t>
      </w:r>
      <w:r w:rsidR="006A05A4" w:rsidRPr="00C80F33">
        <w:t xml:space="preserve">good </w:t>
      </w:r>
      <w:r w:rsidR="006A05A4" w:rsidRPr="00C80F33">
        <w:rPr>
          <w:rFonts w:ascii="Times New Roman" w:hAnsi="Times New Roman" w:cs="Times New Roman"/>
          <w:i/>
        </w:rPr>
        <w:t>k</w:t>
      </w:r>
      <w:r w:rsidR="008D3D96" w:rsidRPr="00C80F33">
        <w:t xml:space="preserve">, </w:t>
      </w:r>
      <w:proofErr w:type="spellStart"/>
      <w:r w:rsidR="008D3D96" w:rsidRPr="00C80F33">
        <w:rPr>
          <w:rFonts w:ascii="Times New Roman" w:hAnsi="Times New Roman" w:cs="Times New Roman"/>
          <w:i/>
        </w:rPr>
        <w:t>pc</w:t>
      </w:r>
      <w:r w:rsidR="008D3D96" w:rsidRPr="00C80F33">
        <w:rPr>
          <w:rFonts w:ascii="Times New Roman" w:hAnsi="Times New Roman" w:cs="Times New Roman"/>
          <w:i/>
          <w:vertAlign w:val="subscript"/>
        </w:rPr>
        <w:t>it</w:t>
      </w:r>
      <w:r w:rsidR="008D3D96" w:rsidRPr="00C80F33">
        <w:rPr>
          <w:rFonts w:ascii="Times New Roman" w:hAnsi="Times New Roman" w:cs="Times New Roman"/>
          <w:i/>
          <w:vertAlign w:val="superscript"/>
        </w:rPr>
        <w:t>k</w:t>
      </w:r>
      <w:proofErr w:type="spellEnd"/>
      <w:r w:rsidR="008D3D96" w:rsidRPr="00C80F33">
        <w:rPr>
          <w:rFonts w:ascii="Times New Roman" w:hAnsi="Times New Roman" w:cs="Times New Roman"/>
          <w:i/>
          <w:vertAlign w:val="superscript"/>
        </w:rPr>
        <w:t xml:space="preserve">  </w:t>
      </w:r>
      <w:r w:rsidR="006A05A4" w:rsidRPr="00C80F33">
        <w:t xml:space="preserve">the price of consumption good </w:t>
      </w:r>
      <w:r w:rsidR="006A05A4" w:rsidRPr="00C80F33">
        <w:rPr>
          <w:rFonts w:ascii="Times New Roman" w:hAnsi="Times New Roman" w:cs="Times New Roman"/>
          <w:i/>
        </w:rPr>
        <w:t>k</w:t>
      </w:r>
      <w:r w:rsidR="008D3D96" w:rsidRPr="00C80F33">
        <w:t xml:space="preserve">, </w:t>
      </w:r>
      <w:r w:rsidR="008D3D96" w:rsidRPr="00C80F33">
        <w:rPr>
          <w:rFonts w:ascii="Symbol" w:hAnsi="Symbol"/>
        </w:rPr>
        <w:t></w:t>
      </w:r>
      <w:proofErr w:type="spellStart"/>
      <w:r w:rsidR="008D3D96" w:rsidRPr="00C80F33">
        <w:rPr>
          <w:rFonts w:ascii="Times New Roman" w:hAnsi="Times New Roman" w:cs="Times New Roman"/>
          <w:i/>
          <w:vertAlign w:val="subscript"/>
        </w:rPr>
        <w:t>i</w:t>
      </w:r>
      <w:r w:rsidR="008D3D96" w:rsidRPr="00C80F33">
        <w:rPr>
          <w:rFonts w:ascii="Times New Roman" w:hAnsi="Times New Roman" w:cs="Times New Roman"/>
          <w:i/>
          <w:vertAlign w:val="superscript"/>
        </w:rPr>
        <w:t>k</w:t>
      </w:r>
      <w:proofErr w:type="spellEnd"/>
      <w:r w:rsidR="009A420F" w:rsidRPr="00C80F33">
        <w:t xml:space="preserve"> is the good </w:t>
      </w:r>
      <w:r w:rsidR="009A420F" w:rsidRPr="00C80F33">
        <w:rPr>
          <w:rFonts w:ascii="Times New Roman" w:hAnsi="Times New Roman" w:cs="Times New Roman"/>
          <w:i/>
        </w:rPr>
        <w:t>k</w:t>
      </w:r>
      <w:r w:rsidR="009A420F" w:rsidRPr="00C80F33">
        <w:t xml:space="preserve"> weighting parameter and</w:t>
      </w:r>
      <w:r w:rsidR="006A05A4" w:rsidRPr="00C80F33">
        <w:t xml:space="preserve"> </w:t>
      </w:r>
      <w:r w:rsidR="008D3D96" w:rsidRPr="00C80F33">
        <w:rPr>
          <w:rFonts w:ascii="Symbol" w:hAnsi="Symbol" w:cs="Times New Roman"/>
          <w:i/>
        </w:rPr>
        <w:t></w:t>
      </w:r>
      <w:r w:rsidR="008D3D96" w:rsidRPr="00C80F33">
        <w:rPr>
          <w:rFonts w:ascii="Symbol" w:hAnsi="Symbol" w:cs="Times New Roman"/>
          <w:i/>
        </w:rPr>
        <w:t></w:t>
      </w:r>
      <w:r w:rsidRPr="00C80F33">
        <w:t>is the elasticity of</w:t>
      </w:r>
      <w:r w:rsidR="009A420F" w:rsidRPr="00C80F33">
        <w:t xml:space="preserve"> substitution between varieties</w:t>
      </w:r>
      <w:r w:rsidRPr="00C80F33">
        <w:t>.</w:t>
      </w:r>
    </w:p>
    <w:p w14:paraId="784B8127" w14:textId="77777777" w:rsidR="00E64689" w:rsidRPr="00C80F33" w:rsidRDefault="00E64689" w:rsidP="00E64689">
      <w:r w:rsidRPr="00C80F33">
        <w:t xml:space="preserve">The </w:t>
      </w:r>
      <w:proofErr w:type="spellStart"/>
      <w:r w:rsidRPr="00C80F33">
        <w:t>Lagrangian</w:t>
      </w:r>
      <w:proofErr w:type="spellEnd"/>
      <w:r w:rsidRPr="00C80F33">
        <w:t xml:space="preserve"> for the consumer’s maximisation problem is:</w:t>
      </w:r>
    </w:p>
    <w:p w14:paraId="03A6AC15" w14:textId="5C0984AC" w:rsidR="00E64689" w:rsidRPr="00C80F33" w:rsidRDefault="00E64689" w:rsidP="00926786">
      <w:pPr>
        <w:pStyle w:val="MTDisplayEquation"/>
      </w:pPr>
      <w:r w:rsidRPr="00C80F33">
        <w:tab/>
      </w:r>
      <w:r w:rsidR="001715BE" w:rsidRPr="00C80F33">
        <w:object w:dxaOrig="4280" w:dyaOrig="900" w14:anchorId="5F74A268">
          <v:shape id="_x0000_i1027" type="#_x0000_t75" alt="This equation states the consumer’s objective to maximise consumption, subject to the budget constraint." style="width:3in;height:43.5pt;mso-position-horizontal:absolute" o:ole="">
            <v:imagedata r:id="rId29" o:title=""/>
          </v:shape>
          <o:OLEObject Type="Embed" ProgID="Equation.DSMT4" ShapeID="_x0000_i1027" DrawAspect="Content" ObjectID="_1495870597" r:id="rId30"/>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3</w:instrText>
      </w:r>
      <w:r w:rsidR="00BB0DB8">
        <w:rPr>
          <w:noProof/>
        </w:rPr>
        <w:fldChar w:fldCharType="end"/>
      </w:r>
      <w:r w:rsidRPr="00C80F33">
        <w:instrText>)</w:instrText>
      </w:r>
      <w:r w:rsidRPr="00C80F33">
        <w:fldChar w:fldCharType="end"/>
      </w:r>
    </w:p>
    <w:p w14:paraId="2C245F4C" w14:textId="77777777" w:rsidR="00E64689" w:rsidRPr="00C80F33" w:rsidRDefault="008D3D96" w:rsidP="00E64689">
      <w:r w:rsidRPr="00C80F33">
        <w:t>W</w:t>
      </w:r>
      <w:r w:rsidR="00E64689" w:rsidRPr="00C80F33">
        <w:t>here</w:t>
      </w:r>
      <w:r w:rsidRPr="00C80F33">
        <w:t xml:space="preserve"> </w:t>
      </w:r>
      <w:r w:rsidRPr="00C80F33">
        <w:rPr>
          <w:rFonts w:ascii="Symbol" w:hAnsi="Symbol"/>
        </w:rPr>
        <w:t></w:t>
      </w:r>
      <w:r w:rsidRPr="00C80F33">
        <w:rPr>
          <w:rFonts w:ascii="Times New Roman" w:hAnsi="Times New Roman" w:cs="Times New Roman"/>
          <w:i/>
          <w:vertAlign w:val="subscript"/>
        </w:rPr>
        <w:t>it</w:t>
      </w:r>
      <w:r w:rsidRPr="00C80F33">
        <w:t xml:space="preserve"> </w:t>
      </w:r>
      <w:r w:rsidR="00E64689" w:rsidRPr="00C80F33">
        <w:t>is the multiplier associated with aggregate consumption.</w:t>
      </w:r>
    </w:p>
    <w:p w14:paraId="0A68ACE5" w14:textId="77777777" w:rsidR="00E64689" w:rsidRPr="00C80F33" w:rsidRDefault="00E64689" w:rsidP="00C80F33">
      <w:pPr>
        <w:spacing w:after="120"/>
      </w:pPr>
      <w:r w:rsidRPr="00C80F33">
        <w:t>The first order c</w:t>
      </w:r>
      <w:r w:rsidR="005F167F" w:rsidRPr="00C80F33">
        <w:t>onditions for maximisation are:</w:t>
      </w:r>
    </w:p>
    <w:p w14:paraId="6CBD8F33" w14:textId="77777777" w:rsidR="005F167F" w:rsidRPr="00C80F33" w:rsidRDefault="005F167F" w:rsidP="00926786">
      <w:pPr>
        <w:pStyle w:val="MTDisplayEquation"/>
      </w:pPr>
      <w:r w:rsidRPr="00C80F33">
        <w:tab/>
      </w:r>
      <w:r w:rsidR="001715BE" w:rsidRPr="00C80F33">
        <w:rPr>
          <w:position w:val="-32"/>
        </w:rPr>
        <w:object w:dxaOrig="4540" w:dyaOrig="900" w14:anchorId="1887462D">
          <v:shape id="_x0000_i1028" type="#_x0000_t75" alt="Equation 4 equates the first order conditions with respect to each variety of consumption with zero." style="width:226.7pt;height:44.9pt;mso-position-horizontal:absolute" o:ole="">
            <v:imagedata r:id="rId31" o:title=""/>
          </v:shape>
          <o:OLEObject Type="Embed" ProgID="Equation.DSMT4" ShapeID="_x0000_i1028" DrawAspect="Content" ObjectID="_1495870598" r:id="rId32"/>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4</w:instrText>
      </w:r>
      <w:r w:rsidR="00BB0DB8">
        <w:rPr>
          <w:noProof/>
        </w:rPr>
        <w:fldChar w:fldCharType="end"/>
      </w:r>
      <w:r w:rsidRPr="00C80F33">
        <w:instrText>)</w:instrText>
      </w:r>
      <w:r w:rsidRPr="00C80F33">
        <w:fldChar w:fldCharType="end"/>
      </w:r>
    </w:p>
    <w:p w14:paraId="3F2B98B4" w14:textId="77777777" w:rsidR="005F167F" w:rsidRPr="00C80F33" w:rsidRDefault="005F167F" w:rsidP="00926786">
      <w:pPr>
        <w:pStyle w:val="MTDisplayEquation"/>
      </w:pPr>
      <w:r w:rsidRPr="00C80F33">
        <w:tab/>
      </w:r>
      <w:r w:rsidR="001715BE" w:rsidRPr="00C80F33">
        <w:rPr>
          <w:position w:val="-30"/>
        </w:rPr>
        <w:object w:dxaOrig="2860" w:dyaOrig="700" w14:anchorId="189BFBD9">
          <v:shape id="_x0000_i1029" type="#_x0000_t75" alt="Equation 5 equates the first order conditions with respect to the lagrange multiplier with zero." style="width:142.55pt;height:34.95pt;mso-position-horizontal:absolute" o:ole="">
            <v:imagedata r:id="rId33" o:title=""/>
          </v:shape>
          <o:OLEObject Type="Embed" ProgID="Equation.DSMT4" ShapeID="_x0000_i1029" DrawAspect="Content" ObjectID="_1495870599" r:id="rId34"/>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5</w:instrText>
      </w:r>
      <w:r w:rsidR="00BB0DB8">
        <w:rPr>
          <w:noProof/>
        </w:rPr>
        <w:fldChar w:fldCharType="end"/>
      </w:r>
      <w:r w:rsidRPr="00C80F33">
        <w:instrText>)</w:instrText>
      </w:r>
      <w:r w:rsidRPr="00C80F33">
        <w:fldChar w:fldCharType="end"/>
      </w:r>
    </w:p>
    <w:p w14:paraId="068E10EE" w14:textId="77777777" w:rsidR="00E64689" w:rsidRPr="00C80F33" w:rsidRDefault="00E64689" w:rsidP="00C80F33">
      <w:pPr>
        <w:spacing w:after="120"/>
      </w:pPr>
      <w:r w:rsidRPr="00C80F33">
        <w:t>Combining (4) and (5) implies:</w:t>
      </w:r>
    </w:p>
    <w:p w14:paraId="132C1E48" w14:textId="77777777" w:rsidR="005F167F" w:rsidRPr="00C80F33" w:rsidRDefault="005F167F" w:rsidP="00926786">
      <w:pPr>
        <w:pStyle w:val="MTDisplayEquation"/>
      </w:pPr>
      <w:r w:rsidRPr="00C80F33">
        <w:tab/>
      </w:r>
      <w:r w:rsidR="001715BE" w:rsidRPr="00C80F33">
        <w:rPr>
          <w:position w:val="-30"/>
        </w:rPr>
        <w:object w:dxaOrig="940" w:dyaOrig="680" w14:anchorId="331982F5">
          <v:shape id="_x0000_i1030" type="#_x0000_t75" alt="Equations 4 and 5 are combined to yield equation 6.  The Lagrange multiplier for each individual variety of consumption is equal to the inverse of the price of that particular variety when utility is maximised." style="width:47.05pt;height:34.2pt;mso-position-horizontal:absolute" o:ole="">
            <v:imagedata r:id="rId35" o:title=""/>
          </v:shape>
          <o:OLEObject Type="Embed" ProgID="Equation.DSMT4" ShapeID="_x0000_i1030" DrawAspect="Content" ObjectID="_1495870600" r:id="rId36"/>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6</w:instrText>
      </w:r>
      <w:r w:rsidR="00BB0DB8">
        <w:rPr>
          <w:noProof/>
        </w:rPr>
        <w:fldChar w:fldCharType="end"/>
      </w:r>
      <w:r w:rsidRPr="00C80F33">
        <w:instrText>)</w:instrText>
      </w:r>
      <w:r w:rsidRPr="00C80F33">
        <w:fldChar w:fldCharType="end"/>
      </w:r>
    </w:p>
    <w:p w14:paraId="1E925CE4" w14:textId="77777777" w:rsidR="00E64689" w:rsidRPr="00C80F33" w:rsidRDefault="00E64689" w:rsidP="00C80F33">
      <w:pPr>
        <w:spacing w:after="120"/>
      </w:pPr>
      <w:proofErr w:type="gramStart"/>
      <w:r w:rsidRPr="00C80F33">
        <w:t>which</w:t>
      </w:r>
      <w:proofErr w:type="gramEnd"/>
      <w:r w:rsidRPr="00C80F33">
        <w:t xml:space="preserve"> in turn implies:</w:t>
      </w:r>
    </w:p>
    <w:p w14:paraId="70025B29" w14:textId="77777777" w:rsidR="005F167F" w:rsidRPr="00C80F33" w:rsidRDefault="005F167F" w:rsidP="00926786">
      <w:pPr>
        <w:pStyle w:val="MTDisplayEquation"/>
      </w:pPr>
      <w:r w:rsidRPr="00C80F33">
        <w:tab/>
      </w:r>
      <w:r w:rsidR="001715BE" w:rsidRPr="00C80F33">
        <w:rPr>
          <w:position w:val="-30"/>
        </w:rPr>
        <w:object w:dxaOrig="1640" w:dyaOrig="720" w14:anchorId="74C1C3A6">
          <v:shape id="_x0000_i1031" type="#_x0000_t75" alt="Combining equations 4, 5 and 6 yields the demand curve for each variety of consumption." style="width:82pt;height:36.35pt;mso-position-horizontal:absolute;mso-position-vertical:absolute" o:ole="">
            <v:imagedata r:id="rId37" o:title=""/>
          </v:shape>
          <o:OLEObject Type="Embed" ProgID="Equation.DSMT4" ShapeID="_x0000_i1031" DrawAspect="Content" ObjectID="_1495870601" r:id="rId38"/>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7</w:instrText>
      </w:r>
      <w:r w:rsidR="00BB0DB8">
        <w:rPr>
          <w:noProof/>
        </w:rPr>
        <w:fldChar w:fldCharType="end"/>
      </w:r>
      <w:r w:rsidRPr="00C80F33">
        <w:instrText>)</w:instrText>
      </w:r>
      <w:r w:rsidRPr="00C80F33">
        <w:fldChar w:fldCharType="end"/>
      </w:r>
    </w:p>
    <w:p w14:paraId="257026E9" w14:textId="77777777" w:rsidR="00E64689" w:rsidRPr="00C80F33" w:rsidRDefault="00E64689" w:rsidP="00E64689">
      <w:r w:rsidRPr="00C80F33">
        <w:lastRenderedPageBreak/>
        <w:t xml:space="preserve">Taking logarithms and rearranging implies the following </w:t>
      </w:r>
      <w:r w:rsidR="009A420F" w:rsidRPr="00C80F33">
        <w:t xml:space="preserve">linear </w:t>
      </w:r>
      <w:r w:rsidRPr="00C80F33">
        <w:t xml:space="preserve">demand relationship for good </w:t>
      </w:r>
      <w:r w:rsidRPr="00C80F33">
        <w:rPr>
          <w:rFonts w:ascii="Times New Roman" w:hAnsi="Times New Roman" w:cs="Times New Roman"/>
          <w:i/>
        </w:rPr>
        <w:t>k</w:t>
      </w:r>
      <w:r w:rsidRPr="00C80F33">
        <w:t>:</w:t>
      </w:r>
    </w:p>
    <w:p w14:paraId="5A918B97" w14:textId="77777777" w:rsidR="00E64689" w:rsidRPr="00C80F33" w:rsidRDefault="00E64689" w:rsidP="00C80F33">
      <w:pPr>
        <w:pStyle w:val="MTDisplayEquation"/>
      </w:pPr>
      <w:r w:rsidRPr="00C80F33">
        <w:tab/>
      </w:r>
      <w:r w:rsidR="001715BE" w:rsidRPr="00C80F33">
        <w:object w:dxaOrig="4640" w:dyaOrig="440" w14:anchorId="487B9E8E">
          <v:shape id="_x0000_i1032" type="#_x0000_t75" alt="Equation 8 log-linearises equation 7." style="width:230.25pt;height:20.65pt;mso-position-horizontal:absolute" o:ole="">
            <v:imagedata r:id="rId39" o:title=""/>
          </v:shape>
          <o:OLEObject Type="Embed" ProgID="Equation.DSMT4" ShapeID="_x0000_i1032" DrawAspect="Content" ObjectID="_1495870602" r:id="rId40"/>
        </w:object>
      </w:r>
      <w:r w:rsidR="00582E74"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8</w:instrText>
      </w:r>
      <w:r w:rsidR="00BB0DB8">
        <w:rPr>
          <w:noProof/>
        </w:rPr>
        <w:fldChar w:fldCharType="end"/>
      </w:r>
      <w:r w:rsidRPr="00C80F33">
        <w:instrText>)</w:instrText>
      </w:r>
      <w:r w:rsidRPr="00C80F33">
        <w:fldChar w:fldCharType="end"/>
      </w:r>
    </w:p>
    <w:p w14:paraId="1CA4FC9F" w14:textId="77777777" w:rsidR="00E64689" w:rsidRPr="00C80F33" w:rsidRDefault="00E64689" w:rsidP="00E64689">
      <w:r w:rsidRPr="00C80F33">
        <w:t>The aggregate price index can be derived using (</w:t>
      </w:r>
      <w:r w:rsidR="00422EC2" w:rsidRPr="00C80F33">
        <w:t>6</w:t>
      </w:r>
      <w:r w:rsidRPr="00C80F33">
        <w:t>) and (7). Specifically, (5) implies:</w:t>
      </w:r>
    </w:p>
    <w:p w14:paraId="007C0E4C" w14:textId="77777777" w:rsidR="005F167F" w:rsidRPr="00C80F33" w:rsidRDefault="005F167F" w:rsidP="00926786">
      <w:pPr>
        <w:pStyle w:val="MTDisplayEquation"/>
      </w:pPr>
      <w:r w:rsidRPr="00C80F33">
        <w:tab/>
      </w:r>
      <w:r w:rsidR="001715BE" w:rsidRPr="00C80F33">
        <w:rPr>
          <w:position w:val="-32"/>
        </w:rPr>
        <w:object w:dxaOrig="2540" w:dyaOrig="800" w14:anchorId="497E92F7">
          <v:shape id="_x0000_i1033" type="#_x0000_t75" alt="Combining equation 6 and equation 7 yields an expression for the share of each variety in total consumption.  When utility is maximised, the share of each variety of consumption varies with the weighting parameter for good k, the elasticity of substitution and the relative price." style="width:127.6pt;height:39.9pt;mso-position-horizontal:absolute" o:ole="">
            <v:imagedata r:id="rId41" o:title=""/>
          </v:shape>
          <o:OLEObject Type="Embed" ProgID="Equation.DSMT4" ShapeID="_x0000_i1033" DrawAspect="Content" ObjectID="_1495870603" r:id="rId42"/>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9</w:instrText>
      </w:r>
      <w:r w:rsidR="00BB0DB8">
        <w:rPr>
          <w:noProof/>
        </w:rPr>
        <w:fldChar w:fldCharType="end"/>
      </w:r>
      <w:r w:rsidRPr="00C80F33">
        <w:instrText>)</w:instrText>
      </w:r>
      <w:r w:rsidRPr="00C80F33">
        <w:fldChar w:fldCharType="end"/>
      </w:r>
    </w:p>
    <w:p w14:paraId="323D255E" w14:textId="77777777" w:rsidR="00E64689" w:rsidRPr="00C80F33" w:rsidRDefault="00E64689" w:rsidP="00E64689">
      <w:proofErr w:type="gramStart"/>
      <w:r w:rsidRPr="00C80F33">
        <w:t>while</w:t>
      </w:r>
      <w:proofErr w:type="gramEnd"/>
      <w:r w:rsidRPr="00C80F33">
        <w:t xml:space="preserve"> equation (6) implies:</w:t>
      </w:r>
    </w:p>
    <w:p w14:paraId="6ECF63FC" w14:textId="77777777" w:rsidR="005F167F" w:rsidRPr="00C80F33" w:rsidRDefault="005F167F" w:rsidP="00926786">
      <w:pPr>
        <w:pStyle w:val="MTDisplayEquation"/>
      </w:pPr>
      <w:r w:rsidRPr="00C80F33">
        <w:tab/>
      </w:r>
      <w:r w:rsidR="001715BE" w:rsidRPr="00C80F33">
        <w:rPr>
          <w:position w:val="-30"/>
        </w:rPr>
        <w:object w:dxaOrig="1280" w:dyaOrig="720" w14:anchorId="17D8DE5B">
          <v:shape id="_x0000_i1034" type="#_x0000_t75" alt="Equation 10 shows that the sum of the shares of each variety of consumption sum to one." style="width:64.15pt;height:36.35pt;mso-position-horizontal:absolute" o:ole="">
            <v:imagedata r:id="rId43" o:title=""/>
          </v:shape>
          <o:OLEObject Type="Embed" ProgID="Equation.DSMT4" ShapeID="_x0000_i1034" DrawAspect="Content" ObjectID="_1495870604" r:id="rId44"/>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10</w:instrText>
      </w:r>
      <w:r w:rsidR="00BB0DB8">
        <w:rPr>
          <w:noProof/>
        </w:rPr>
        <w:fldChar w:fldCharType="end"/>
      </w:r>
      <w:r w:rsidRPr="00C80F33">
        <w:instrText>)</w:instrText>
      </w:r>
      <w:r w:rsidRPr="00C80F33">
        <w:fldChar w:fldCharType="end"/>
      </w:r>
    </w:p>
    <w:p w14:paraId="253BA1EA" w14:textId="77777777" w:rsidR="00E64689" w:rsidRPr="00C80F33" w:rsidRDefault="00E64689" w:rsidP="00E64689">
      <w:r w:rsidRPr="00C80F33">
        <w:t>Substituting (9) into (10) implies the aggregate consumption price index is an aggregation of individual goods prices:</w:t>
      </w:r>
    </w:p>
    <w:p w14:paraId="7BBF4454" w14:textId="77777777" w:rsidR="005F167F" w:rsidRPr="00C80F33" w:rsidRDefault="005F167F" w:rsidP="00926786">
      <w:pPr>
        <w:pStyle w:val="MTDisplayEquation"/>
      </w:pPr>
      <w:r w:rsidRPr="00C80F33">
        <w:tab/>
      </w:r>
      <w:r w:rsidR="00FA37CE" w:rsidRPr="00C80F33">
        <w:rPr>
          <w:position w:val="-122"/>
        </w:rPr>
        <w:object w:dxaOrig="2820" w:dyaOrig="2540" w14:anchorId="75D70D9D">
          <v:shape id="_x0000_i1035" type="#_x0000_t75" alt="Substituting equation 9 into equation 10 yields the aggregate price index.  The form is similar to the CES utility function." style="width:141.15pt;height:127.6pt;mso-position-horizontal:absolute" o:ole="">
            <v:imagedata r:id="rId45" o:title=""/>
          </v:shape>
          <o:OLEObject Type="Embed" ProgID="Equation.DSMT4" ShapeID="_x0000_i1035" DrawAspect="Content" ObjectID="_1495870605" r:id="rId46"/>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11</w:instrText>
      </w:r>
      <w:r w:rsidR="00BB0DB8">
        <w:rPr>
          <w:noProof/>
        </w:rPr>
        <w:fldChar w:fldCharType="end"/>
      </w:r>
      <w:r w:rsidRPr="00C80F33">
        <w:instrText>)</w:instrText>
      </w:r>
      <w:r w:rsidRPr="00C80F33">
        <w:fldChar w:fldCharType="end"/>
      </w:r>
    </w:p>
    <w:p w14:paraId="73AD3ECD" w14:textId="77777777" w:rsidR="00E64689" w:rsidRPr="00C80F33" w:rsidRDefault="00E64689" w:rsidP="00E64689">
      <w:r w:rsidRPr="00C80F33">
        <w:t>Once the consumer has made their decision at the top level, they move to the next level, which involves the choice between domestically produced and imported varieties of goods subject to the value of aggregate expenditure decided at the previous level. Assuming that Dixit-</w:t>
      </w:r>
      <w:proofErr w:type="spellStart"/>
      <w:r w:rsidRPr="00C80F33">
        <w:t>Stiglitz</w:t>
      </w:r>
      <w:proofErr w:type="spellEnd"/>
      <w:r w:rsidRPr="00C80F33">
        <w:t xml:space="preserve"> preferences also apply at this level implies the consumer has the following nested maximisation problem:</w:t>
      </w:r>
    </w:p>
    <w:p w14:paraId="584F3B14" w14:textId="77777777" w:rsidR="005F167F" w:rsidRPr="00C80F33" w:rsidRDefault="005F167F" w:rsidP="00926786">
      <w:pPr>
        <w:pStyle w:val="MTDisplayEquation"/>
      </w:pPr>
      <w:r w:rsidRPr="00C80F33">
        <w:tab/>
      </w:r>
      <w:r w:rsidR="00FA37CE" w:rsidRPr="00C80F33">
        <w:rPr>
          <w:position w:val="-36"/>
        </w:rPr>
        <w:object w:dxaOrig="3879" w:dyaOrig="980" w14:anchorId="563247F4">
          <v:shape id="_x0000_i1036" type="#_x0000_t75" alt="Equation 12 states the second level of the nested maximisation problem.  Once the consumer has determined the optimal level of consumption for each individual variety, they choose how much to consume that is imported and how much to consume that has been produced domestically.  Preferences are again specified with a CES utility function." style="width:193.9pt;height:49.2pt;mso-position-horizontal:absolute" o:ole="">
            <v:imagedata r:id="rId47" o:title=""/>
          </v:shape>
          <o:OLEObject Type="Embed" ProgID="Equation.DSMT4" ShapeID="_x0000_i1036" DrawAspect="Content" ObjectID="_1495870606" r:id="rId48"/>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12</w:instrText>
      </w:r>
      <w:r w:rsidR="00BB0DB8">
        <w:rPr>
          <w:noProof/>
        </w:rPr>
        <w:fldChar w:fldCharType="end"/>
      </w:r>
      <w:r w:rsidRPr="00C80F33">
        <w:instrText>)</w:instrText>
      </w:r>
      <w:r w:rsidRPr="00C80F33">
        <w:fldChar w:fldCharType="end"/>
      </w:r>
    </w:p>
    <w:p w14:paraId="729A4ACD" w14:textId="77777777" w:rsidR="00E64689" w:rsidRPr="00C80F33" w:rsidRDefault="00E64689" w:rsidP="00E64689">
      <w:proofErr w:type="gramStart"/>
      <w:r w:rsidRPr="00C80F33">
        <w:t>subject</w:t>
      </w:r>
      <w:proofErr w:type="gramEnd"/>
      <w:r w:rsidRPr="00C80F33">
        <w:t xml:space="preserve"> to:</w:t>
      </w:r>
    </w:p>
    <w:p w14:paraId="243480D4" w14:textId="77777777" w:rsidR="005F167F" w:rsidRPr="00C80F33" w:rsidRDefault="005F167F" w:rsidP="00926786">
      <w:pPr>
        <w:pStyle w:val="MTDisplayEquation"/>
      </w:pPr>
      <w:r w:rsidRPr="00C80F33">
        <w:tab/>
      </w:r>
      <w:r w:rsidR="00FA37CE" w:rsidRPr="00C80F33">
        <w:rPr>
          <w:position w:val="-12"/>
        </w:rPr>
        <w:object w:dxaOrig="2400" w:dyaOrig="380" w14:anchorId="61FF4882">
          <v:shape id="_x0000_i1037" type="#_x0000_t75" alt="Equation 13 is the consumer’s budget constraint at the second level.  The value of consumption of each variety must be greater than or equal to the sum of the value of imported and domestically produced goods and services." style="width:119.75pt;height:19.25pt;mso-position-horizontal:absolute" o:ole="">
            <v:imagedata r:id="rId49" o:title=""/>
          </v:shape>
          <o:OLEObject Type="Embed" ProgID="Equation.DSMT4" ShapeID="_x0000_i1037" DrawAspect="Content" ObjectID="_1495870607" r:id="rId50"/>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13</w:instrText>
      </w:r>
      <w:r w:rsidR="00BB0DB8">
        <w:rPr>
          <w:noProof/>
        </w:rPr>
        <w:fldChar w:fldCharType="end"/>
      </w:r>
      <w:r w:rsidRPr="00C80F33">
        <w:instrText>)</w:instrText>
      </w:r>
      <w:r w:rsidRPr="00C80F33">
        <w:fldChar w:fldCharType="end"/>
      </w:r>
    </w:p>
    <w:p w14:paraId="0D3EFD24" w14:textId="77777777" w:rsidR="00E64689" w:rsidRPr="00C80F33" w:rsidRDefault="008D3D96" w:rsidP="00E64689">
      <w:r w:rsidRPr="00C80F33">
        <w:t xml:space="preserve">Where </w:t>
      </w:r>
      <w:proofErr w:type="spellStart"/>
      <w:r w:rsidRPr="00C80F33">
        <w:rPr>
          <w:rFonts w:ascii="Times New Roman" w:hAnsi="Times New Roman" w:cs="Times New Roman"/>
          <w:i/>
        </w:rPr>
        <w:t>d</w:t>
      </w:r>
      <w:r w:rsidRPr="00C80F33">
        <w:rPr>
          <w:rFonts w:ascii="Times New Roman" w:hAnsi="Times New Roman" w:cs="Times New Roman"/>
          <w:i/>
          <w:vertAlign w:val="subscript"/>
        </w:rPr>
        <w:t>it</w:t>
      </w:r>
      <w:r w:rsidRPr="00C80F33">
        <w:rPr>
          <w:rFonts w:ascii="Times New Roman" w:hAnsi="Times New Roman" w:cs="Times New Roman"/>
          <w:i/>
          <w:vertAlign w:val="superscript"/>
        </w:rPr>
        <w:t>k</w:t>
      </w:r>
      <w:proofErr w:type="spellEnd"/>
      <w:r w:rsidRPr="00C80F33">
        <w:t xml:space="preserve"> </w:t>
      </w:r>
      <w:r w:rsidR="009A420F" w:rsidRPr="00C80F33">
        <w:t xml:space="preserve">is the volume of domestically produced good </w:t>
      </w:r>
      <w:r w:rsidR="009A420F" w:rsidRPr="00C80F33">
        <w:rPr>
          <w:rFonts w:ascii="Times New Roman" w:hAnsi="Times New Roman" w:cs="Times New Roman"/>
          <w:i/>
        </w:rPr>
        <w:t>k</w:t>
      </w:r>
      <w:r w:rsidRPr="00C80F33">
        <w:t xml:space="preserve">, </w:t>
      </w:r>
      <w:proofErr w:type="spellStart"/>
      <w:r w:rsidRPr="00C80F33">
        <w:rPr>
          <w:rFonts w:ascii="Times New Roman" w:hAnsi="Times New Roman" w:cs="Times New Roman"/>
          <w:i/>
        </w:rPr>
        <w:t>pd</w:t>
      </w:r>
      <w:r w:rsidRPr="00C80F33">
        <w:rPr>
          <w:rFonts w:ascii="Times New Roman" w:hAnsi="Times New Roman" w:cs="Times New Roman"/>
          <w:i/>
          <w:vertAlign w:val="subscript"/>
        </w:rPr>
        <w:t>it</w:t>
      </w:r>
      <w:r w:rsidRPr="00C80F33">
        <w:rPr>
          <w:rFonts w:ascii="Times New Roman" w:hAnsi="Times New Roman" w:cs="Times New Roman"/>
          <w:i/>
          <w:vertAlign w:val="superscript"/>
        </w:rPr>
        <w:t>k</w:t>
      </w:r>
      <w:proofErr w:type="spellEnd"/>
      <w:r w:rsidRPr="00C80F33">
        <w:rPr>
          <w:rFonts w:ascii="Times New Roman" w:hAnsi="Times New Roman" w:cs="Times New Roman"/>
          <w:i/>
          <w:vertAlign w:val="superscript"/>
        </w:rPr>
        <w:t xml:space="preserve"> </w:t>
      </w:r>
      <w:r w:rsidRPr="00C80F33">
        <w:t>is</w:t>
      </w:r>
      <w:r w:rsidR="009A420F" w:rsidRPr="00C80F33">
        <w:t xml:space="preserve"> the price of domestically produced good </w:t>
      </w:r>
      <w:r w:rsidR="009A420F" w:rsidRPr="00C80F33">
        <w:rPr>
          <w:rFonts w:ascii="Times New Roman" w:hAnsi="Times New Roman" w:cs="Times New Roman"/>
          <w:i/>
        </w:rPr>
        <w:t>k</w:t>
      </w:r>
      <w:r w:rsidR="009A420F" w:rsidRPr="00C80F33">
        <w:t xml:space="preserve">, </w:t>
      </w:r>
      <w:proofErr w:type="spellStart"/>
      <w:r w:rsidRPr="00C80F33">
        <w:rPr>
          <w:rFonts w:ascii="Times New Roman" w:hAnsi="Times New Roman" w:cs="Times New Roman"/>
          <w:i/>
        </w:rPr>
        <w:t>m</w:t>
      </w:r>
      <w:r w:rsidRPr="00C80F33">
        <w:rPr>
          <w:rFonts w:ascii="Times New Roman" w:hAnsi="Times New Roman" w:cs="Times New Roman"/>
          <w:i/>
          <w:vertAlign w:val="subscript"/>
        </w:rPr>
        <w:t>it</w:t>
      </w:r>
      <w:r w:rsidRPr="00C80F33">
        <w:rPr>
          <w:rFonts w:ascii="Times New Roman" w:hAnsi="Times New Roman" w:cs="Times New Roman"/>
          <w:i/>
          <w:vertAlign w:val="superscript"/>
        </w:rPr>
        <w:t>k</w:t>
      </w:r>
      <w:proofErr w:type="spellEnd"/>
      <w:r w:rsidR="009A420F" w:rsidRPr="00C80F33">
        <w:t xml:space="preserve"> is the volume of imported good </w:t>
      </w:r>
      <w:r w:rsidR="009A420F" w:rsidRPr="00C80F33">
        <w:rPr>
          <w:rFonts w:ascii="Times New Roman" w:hAnsi="Times New Roman" w:cs="Times New Roman"/>
          <w:i/>
        </w:rPr>
        <w:t>k</w:t>
      </w:r>
      <w:r w:rsidR="009A420F" w:rsidRPr="00C80F33">
        <w:t xml:space="preserve"> and</w:t>
      </w:r>
      <w:r w:rsidR="00422EC2" w:rsidRPr="00C80F33">
        <w:t xml:space="preserve"> </w:t>
      </w:r>
      <w:proofErr w:type="spellStart"/>
      <w:r w:rsidRPr="00C80F33">
        <w:rPr>
          <w:rFonts w:ascii="Times New Roman" w:hAnsi="Times New Roman" w:cs="Times New Roman"/>
          <w:i/>
        </w:rPr>
        <w:t>pm</w:t>
      </w:r>
      <w:r w:rsidRPr="00C80F33">
        <w:rPr>
          <w:rFonts w:ascii="Times New Roman" w:hAnsi="Times New Roman" w:cs="Times New Roman"/>
          <w:i/>
          <w:vertAlign w:val="subscript"/>
        </w:rPr>
        <w:t>it</w:t>
      </w:r>
      <w:r w:rsidRPr="00C80F33">
        <w:rPr>
          <w:rFonts w:ascii="Times New Roman" w:hAnsi="Times New Roman" w:cs="Times New Roman"/>
          <w:i/>
          <w:vertAlign w:val="superscript"/>
        </w:rPr>
        <w:t>k</w:t>
      </w:r>
      <w:proofErr w:type="spellEnd"/>
      <w:r w:rsidRPr="00C80F33">
        <w:t xml:space="preserve"> </w:t>
      </w:r>
      <w:r w:rsidR="009A420F" w:rsidRPr="00C80F33">
        <w:t xml:space="preserve">is the price of imported good </w:t>
      </w:r>
      <w:r w:rsidR="009A420F" w:rsidRPr="00C80F33">
        <w:rPr>
          <w:rFonts w:ascii="Times New Roman" w:hAnsi="Times New Roman" w:cs="Times New Roman"/>
          <w:i/>
        </w:rPr>
        <w:t>k</w:t>
      </w:r>
      <w:r w:rsidRPr="00C80F33">
        <w:t xml:space="preserve">, </w:t>
      </w:r>
      <w:r w:rsidRPr="00C80F33">
        <w:rPr>
          <w:rFonts w:ascii="Symbol" w:hAnsi="Symbol"/>
        </w:rPr>
        <w:t></w:t>
      </w:r>
      <w:r w:rsidRPr="00C80F33">
        <w:rPr>
          <w:rFonts w:ascii="Times New Roman" w:hAnsi="Times New Roman" w:cs="Times New Roman"/>
          <w:vertAlign w:val="subscript"/>
        </w:rPr>
        <w:t>k</w:t>
      </w:r>
      <w:r w:rsidR="00422EC2" w:rsidRPr="00C80F33">
        <w:t xml:space="preserve"> </w:t>
      </w:r>
      <w:r w:rsidR="00E64689" w:rsidRPr="00C80F33">
        <w:t xml:space="preserve">is the elasticity of substitution between domestic and imported varieties of </w:t>
      </w:r>
      <w:r w:rsidR="00E64689" w:rsidRPr="00C80F33">
        <w:rPr>
          <w:rFonts w:ascii="Times New Roman" w:hAnsi="Times New Roman" w:cs="Times New Roman"/>
          <w:i/>
        </w:rPr>
        <w:t>k</w:t>
      </w:r>
      <w:r w:rsidR="009A420F" w:rsidRPr="00C80F33">
        <w:t xml:space="preserve"> and</w:t>
      </w:r>
      <w:r w:rsidRPr="00C80F33">
        <w:t xml:space="preserve"> </w:t>
      </w:r>
      <w:r w:rsidRPr="00C80F33">
        <w:rPr>
          <w:rFonts w:ascii="Symbol" w:hAnsi="Symbol"/>
        </w:rPr>
        <w:t></w:t>
      </w:r>
      <w:r w:rsidRPr="00C80F33">
        <w:t xml:space="preserve"> </w:t>
      </w:r>
      <w:r w:rsidR="00E64689" w:rsidRPr="00C80F33">
        <w:t>is a weighting pa</w:t>
      </w:r>
      <w:r w:rsidR="009A420F" w:rsidRPr="00C80F33">
        <w:t>rameter which implies home-bias.</w:t>
      </w:r>
    </w:p>
    <w:p w14:paraId="29F66399" w14:textId="77777777" w:rsidR="00C12CD2" w:rsidRPr="00C80F33" w:rsidRDefault="00C12CD2">
      <w:pPr>
        <w:spacing w:after="0" w:line="240" w:lineRule="auto"/>
      </w:pPr>
      <w:r w:rsidRPr="00C80F33">
        <w:br w:type="page"/>
      </w:r>
    </w:p>
    <w:p w14:paraId="4482036D" w14:textId="556BF72D" w:rsidR="00E64689" w:rsidRPr="00C80F33" w:rsidRDefault="00E64689" w:rsidP="00C80F33">
      <w:pPr>
        <w:spacing w:after="60"/>
      </w:pPr>
      <w:r w:rsidRPr="00C80F33">
        <w:lastRenderedPageBreak/>
        <w:t xml:space="preserve">This implies the following demand relationships for domestically produced and imported </w:t>
      </w:r>
      <w:r w:rsidRPr="00C80F33">
        <w:rPr>
          <w:rFonts w:ascii="Times New Roman" w:hAnsi="Times New Roman" w:cs="Times New Roman"/>
          <w:i/>
        </w:rPr>
        <w:t>k</w:t>
      </w:r>
      <w:r w:rsidRPr="00C80F33">
        <w:t>:</w:t>
      </w:r>
    </w:p>
    <w:p w14:paraId="4ACA5306" w14:textId="77777777" w:rsidR="00E64689" w:rsidRPr="00C80F33" w:rsidRDefault="00E64689" w:rsidP="0092073E">
      <w:pPr>
        <w:pStyle w:val="MTDisplayEquation"/>
      </w:pPr>
      <w:r w:rsidRPr="00C80F33">
        <w:tab/>
      </w:r>
      <w:r w:rsidR="00FA37CE" w:rsidRPr="00C80F33">
        <w:object w:dxaOrig="5319" w:dyaOrig="920" w14:anchorId="198DA082">
          <v:shape id="_x0000_i1038" type="#_x0000_t75" alt="After solving a similar maximisation problem to equation 3 and log-linearising, we obtain separate equations for the demand of domestically produced consumption and imported consumption." style="width:267.35pt;height:43.5pt;mso-position-horizontal:absolute" o:ole="">
            <v:imagedata r:id="rId51" o:title=""/>
          </v:shape>
          <o:OLEObject Type="Embed" ProgID="Equation.DSMT4" ShapeID="_x0000_i1038" DrawAspect="Content" ObjectID="_1495870608" r:id="rId52"/>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14</w:instrText>
      </w:r>
      <w:r w:rsidR="00BB0DB8">
        <w:rPr>
          <w:noProof/>
        </w:rPr>
        <w:fldChar w:fldCharType="end"/>
      </w:r>
      <w:r w:rsidRPr="00C80F33">
        <w:instrText>)</w:instrText>
      </w:r>
      <w:r w:rsidRPr="00C80F33">
        <w:fldChar w:fldCharType="end"/>
      </w:r>
    </w:p>
    <w:p w14:paraId="4EDFF2A2" w14:textId="77777777" w:rsidR="00E64689" w:rsidRPr="00C80F33" w:rsidRDefault="00E64689" w:rsidP="00C80F33">
      <w:pPr>
        <w:spacing w:after="60"/>
      </w:pPr>
      <w:proofErr w:type="gramStart"/>
      <w:r w:rsidRPr="00C80F33">
        <w:t>and</w:t>
      </w:r>
      <w:proofErr w:type="gramEnd"/>
      <w:r w:rsidRPr="00C80F33">
        <w:t xml:space="preserve"> price index for good </w:t>
      </w:r>
      <w:r w:rsidRPr="00C80F33">
        <w:rPr>
          <w:rFonts w:ascii="Times New Roman" w:hAnsi="Times New Roman" w:cs="Times New Roman"/>
          <w:i/>
        </w:rPr>
        <w:t>k</w:t>
      </w:r>
      <w:r w:rsidRPr="00C80F33">
        <w:t>:</w:t>
      </w:r>
    </w:p>
    <w:p w14:paraId="006C0872" w14:textId="77777777" w:rsidR="00BF111B" w:rsidRPr="00C80F33" w:rsidRDefault="00BF111B" w:rsidP="00926786">
      <w:pPr>
        <w:pStyle w:val="MTDisplayEquation"/>
      </w:pPr>
      <w:r w:rsidRPr="00C80F33">
        <w:tab/>
      </w:r>
      <w:r w:rsidR="00FA37CE" w:rsidRPr="00C80F33">
        <w:rPr>
          <w:position w:val="-16"/>
        </w:rPr>
        <w:object w:dxaOrig="4160" w:dyaOrig="580" w14:anchorId="695369AD">
          <v:shape id="_x0000_i1039" type="#_x0000_t75" alt="The aggregate price index for good k has a similar form to the aggregate price index at the first level." style="width:208.15pt;height:28.5pt;mso-position-horizontal:absolute" o:ole="">
            <v:imagedata r:id="rId53" o:title=""/>
          </v:shape>
          <o:OLEObject Type="Embed" ProgID="Equation.DSMT4" ShapeID="_x0000_i1039" DrawAspect="Content" ObjectID="_1495870609" r:id="rId54"/>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15</w:instrText>
      </w:r>
      <w:r w:rsidR="00BB0DB8">
        <w:rPr>
          <w:noProof/>
        </w:rPr>
        <w:fldChar w:fldCharType="end"/>
      </w:r>
      <w:r w:rsidRPr="00C80F33">
        <w:instrText>)</w:instrText>
      </w:r>
      <w:r w:rsidRPr="00C80F33">
        <w:fldChar w:fldCharType="end"/>
      </w:r>
    </w:p>
    <w:bookmarkEnd w:id="3"/>
    <w:p w14:paraId="4B8CBDDA" w14:textId="77777777" w:rsidR="00E64689" w:rsidRPr="00C80F33" w:rsidRDefault="00E64689" w:rsidP="00C80F33">
      <w:pPr>
        <w:spacing w:after="60"/>
      </w:pPr>
      <w:r w:rsidRPr="00C80F33">
        <w:t xml:space="preserve">Finally, consumers in country </w:t>
      </w:r>
      <w:proofErr w:type="spellStart"/>
      <w:r w:rsidRPr="00C80F33">
        <w:rPr>
          <w:rFonts w:ascii="Times New Roman" w:hAnsi="Times New Roman" w:cs="Times New Roman"/>
          <w:i/>
        </w:rPr>
        <w:t>i</w:t>
      </w:r>
      <w:proofErr w:type="spellEnd"/>
      <w:r w:rsidRPr="00C80F33">
        <w:t xml:space="preserve"> must choose between imported varieties of good </w:t>
      </w:r>
      <w:r w:rsidRPr="00C80F33">
        <w:rPr>
          <w:rFonts w:ascii="Times New Roman" w:hAnsi="Times New Roman" w:cs="Times New Roman"/>
          <w:i/>
        </w:rPr>
        <w:t xml:space="preserve">k </w:t>
      </w:r>
      <w:r w:rsidRPr="00C80F33">
        <w:t>sourced f</w:t>
      </w:r>
      <w:r w:rsidR="008D3D96" w:rsidRPr="00C80F33">
        <w:t xml:space="preserve">rom different trading partners.  </w:t>
      </w:r>
      <w:r w:rsidRPr="00C80F33">
        <w:t>Assuming Dixit-</w:t>
      </w:r>
      <w:proofErr w:type="spellStart"/>
      <w:r w:rsidRPr="00C80F33">
        <w:t>Stiglitz</w:t>
      </w:r>
      <w:proofErr w:type="spellEnd"/>
      <w:r w:rsidRPr="00C80F33">
        <w:t xml:space="preserve"> preferences also apply at this level yields the following nested maximisation problem:</w:t>
      </w:r>
    </w:p>
    <w:p w14:paraId="715C3620" w14:textId="77777777" w:rsidR="00BF111B" w:rsidRPr="00C80F33" w:rsidRDefault="00BF111B" w:rsidP="00926786">
      <w:pPr>
        <w:pStyle w:val="MTDisplayEquation"/>
      </w:pPr>
      <w:r w:rsidRPr="00C80F33">
        <w:tab/>
      </w:r>
      <w:r w:rsidR="00FA37CE" w:rsidRPr="00C80F33">
        <w:rPr>
          <w:position w:val="-36"/>
        </w:rPr>
        <w:object w:dxaOrig="3720" w:dyaOrig="980" w14:anchorId="4009F281">
          <v:shape id="_x0000_i1040" type="#_x0000_t75" alt="At the third level of decision making and after choosing the volume of consumption goods and services to import, the consumer chooses how much to import from each country.  Preferences are again specified with a CES utility function." style="width:186.05pt;height:49.2pt;mso-position-horizontal:absolute" o:ole="">
            <v:imagedata r:id="rId55" o:title=""/>
          </v:shape>
          <o:OLEObject Type="Embed" ProgID="Equation.DSMT4" ShapeID="_x0000_i1040" DrawAspect="Content" ObjectID="_1495870610" r:id="rId56"/>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w:instrText>
      </w:r>
      <w:r w:rsidR="00BB0DB8">
        <w:instrText xml:space="preserve">MTEqn \c \* Arabic \* MERGEFORMAT </w:instrText>
      </w:r>
      <w:r w:rsidR="00BB0DB8">
        <w:fldChar w:fldCharType="separate"/>
      </w:r>
      <w:r w:rsidR="00025120">
        <w:rPr>
          <w:noProof/>
        </w:rPr>
        <w:instrText>16</w:instrText>
      </w:r>
      <w:r w:rsidR="00BB0DB8">
        <w:rPr>
          <w:noProof/>
        </w:rPr>
        <w:fldChar w:fldCharType="end"/>
      </w:r>
      <w:r w:rsidRPr="00C80F33">
        <w:instrText>)</w:instrText>
      </w:r>
      <w:r w:rsidRPr="00C80F33">
        <w:fldChar w:fldCharType="end"/>
      </w:r>
    </w:p>
    <w:p w14:paraId="79955E6F" w14:textId="77777777" w:rsidR="00E64689" w:rsidRPr="00C80F33" w:rsidRDefault="00E64689" w:rsidP="00C80F33">
      <w:pPr>
        <w:spacing w:after="60"/>
      </w:pPr>
      <w:proofErr w:type="gramStart"/>
      <w:r w:rsidRPr="00C80F33">
        <w:t>subject</w:t>
      </w:r>
      <w:proofErr w:type="gramEnd"/>
      <w:r w:rsidRPr="00C80F33">
        <w:t xml:space="preserve"> to:</w:t>
      </w:r>
    </w:p>
    <w:p w14:paraId="7254CF6B" w14:textId="77777777" w:rsidR="00BF111B" w:rsidRPr="00C80F33" w:rsidRDefault="00BF111B" w:rsidP="00926786">
      <w:pPr>
        <w:pStyle w:val="MTDisplayEquation"/>
      </w:pPr>
      <w:r w:rsidRPr="00C80F33">
        <w:tab/>
      </w:r>
      <w:r w:rsidR="00FA37CE" w:rsidRPr="00C80F33">
        <w:rPr>
          <w:position w:val="-30"/>
        </w:rPr>
        <w:object w:dxaOrig="2060" w:dyaOrig="700" w14:anchorId="58A924D7">
          <v:shape id="_x0000_i1041" type="#_x0000_t75" alt="Equation 17 is the consumer’s budget constraint at the third level.  The value of imported consumption of each variety must be greater than or equal to the sum of the value of imported goods and services from each country." style="width:103.35pt;height:34.95pt;mso-position-horizontal:absolute" o:ole="">
            <v:imagedata r:id="rId57" o:title=""/>
          </v:shape>
          <o:OLEObject Type="Embed" ProgID="Equation.DSMT4" ShapeID="_x0000_i1041" DrawAspect="Content" ObjectID="_1495870611" r:id="rId58"/>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17</w:instrText>
      </w:r>
      <w:r w:rsidR="00BB0DB8">
        <w:rPr>
          <w:noProof/>
        </w:rPr>
        <w:fldChar w:fldCharType="end"/>
      </w:r>
      <w:r w:rsidRPr="00C80F33">
        <w:instrText>)</w:instrText>
      </w:r>
      <w:r w:rsidRPr="00C80F33">
        <w:fldChar w:fldCharType="end"/>
      </w:r>
    </w:p>
    <w:p w14:paraId="3AA628E4" w14:textId="77777777" w:rsidR="00E64689" w:rsidRPr="00C80F33" w:rsidRDefault="00E64689" w:rsidP="00E64689">
      <w:r w:rsidRPr="00C80F33">
        <w:t xml:space="preserve">where </w:t>
      </w:r>
      <w:r w:rsidRPr="00C80F33">
        <w:rPr>
          <w:rFonts w:ascii="Times New Roman" w:hAnsi="Times New Roman" w:cs="Times New Roman"/>
          <w:i/>
        </w:rPr>
        <w:t>n</w:t>
      </w:r>
      <w:r w:rsidRPr="00C80F33">
        <w:t xml:space="preserve"> is the number of varieties,</w:t>
      </w:r>
      <w:r w:rsidR="008D3D96" w:rsidRPr="00C80F33">
        <w:t xml:space="preserve"> </w:t>
      </w:r>
      <w:r w:rsidR="008D3D96" w:rsidRPr="00C80F33">
        <w:rPr>
          <w:rFonts w:ascii="Symbol" w:hAnsi="Symbol"/>
          <w:i/>
        </w:rPr>
        <w:t></w:t>
      </w:r>
      <w:r w:rsidR="008D3D96" w:rsidRPr="00C80F33">
        <w:rPr>
          <w:rFonts w:ascii="Times New Roman" w:hAnsi="Times New Roman" w:cs="Times New Roman"/>
          <w:i/>
          <w:vertAlign w:val="subscript"/>
        </w:rPr>
        <w:t>k</w:t>
      </w:r>
      <w:r w:rsidR="008D3D96" w:rsidRPr="00C80F33">
        <w:t xml:space="preserve"> </w:t>
      </w:r>
      <w:r w:rsidRPr="00C80F33">
        <w:t xml:space="preserve">is the elasticity of substitution between imported varieties of </w:t>
      </w:r>
      <w:r w:rsidRPr="00C80F33">
        <w:rPr>
          <w:rFonts w:ascii="Times New Roman" w:hAnsi="Times New Roman" w:cs="Times New Roman"/>
          <w:i/>
        </w:rPr>
        <w:t>k</w:t>
      </w:r>
      <w:r w:rsidRPr="00C80F33">
        <w:t>,</w:t>
      </w:r>
      <w:r w:rsidR="00422EC2" w:rsidRPr="00C80F33">
        <w:t xml:space="preserve"> </w:t>
      </w:r>
      <w:r w:rsidR="008D3D96" w:rsidRPr="00C80F33">
        <w:rPr>
          <w:rFonts w:ascii="Symbol" w:hAnsi="Symbol" w:cs="Times New Roman"/>
          <w:i/>
        </w:rPr>
        <w:t></w:t>
      </w:r>
      <w:proofErr w:type="spellStart"/>
      <w:r w:rsidR="008D3D96" w:rsidRPr="00C80F33">
        <w:rPr>
          <w:rFonts w:ascii="Times New Roman" w:hAnsi="Times New Roman" w:cs="Times New Roman"/>
          <w:i/>
          <w:vertAlign w:val="subscript"/>
        </w:rPr>
        <w:t>ij</w:t>
      </w:r>
      <w:r w:rsidR="008D3D96" w:rsidRPr="00C80F33">
        <w:rPr>
          <w:rFonts w:ascii="Times New Roman" w:hAnsi="Times New Roman" w:cs="Times New Roman"/>
          <w:i/>
          <w:vertAlign w:val="superscript"/>
        </w:rPr>
        <w:t>k</w:t>
      </w:r>
      <w:proofErr w:type="spellEnd"/>
      <w:r w:rsidR="008D3D96" w:rsidRPr="00C80F33">
        <w:rPr>
          <w:rFonts w:ascii="Times New Roman" w:hAnsi="Times New Roman" w:cs="Times New Roman"/>
          <w:i/>
          <w:vertAlign w:val="superscript"/>
        </w:rPr>
        <w:t xml:space="preserve"> </w:t>
      </w:r>
      <w:r w:rsidRPr="00C80F33">
        <w:t xml:space="preserve">is a weighting parameter, </w:t>
      </w:r>
      <w:proofErr w:type="spellStart"/>
      <w:r w:rsidR="008D3D96" w:rsidRPr="00C80F33">
        <w:rPr>
          <w:rFonts w:ascii="Times New Roman" w:hAnsi="Times New Roman" w:cs="Times New Roman"/>
          <w:i/>
        </w:rPr>
        <w:t>m</w:t>
      </w:r>
      <w:r w:rsidR="008D3D96" w:rsidRPr="00C80F33">
        <w:rPr>
          <w:rFonts w:ascii="Times New Roman" w:hAnsi="Times New Roman" w:cs="Times New Roman"/>
          <w:i/>
          <w:vertAlign w:val="subscript"/>
        </w:rPr>
        <w:t>ijt</w:t>
      </w:r>
      <w:r w:rsidR="008D3D96" w:rsidRPr="00C80F33">
        <w:rPr>
          <w:rFonts w:ascii="Times New Roman" w:hAnsi="Times New Roman" w:cs="Times New Roman"/>
          <w:i/>
          <w:vertAlign w:val="superscript"/>
        </w:rPr>
        <w:t>k</w:t>
      </w:r>
      <w:proofErr w:type="spellEnd"/>
      <w:r w:rsidR="008D3D96" w:rsidRPr="00C80F33">
        <w:rPr>
          <w:rFonts w:ascii="Times New Roman" w:hAnsi="Times New Roman" w:cs="Times New Roman"/>
          <w:i/>
          <w:vertAlign w:val="superscript"/>
        </w:rPr>
        <w:t xml:space="preserve"> </w:t>
      </w:r>
      <w:r w:rsidRPr="00C80F33">
        <w:t xml:space="preserve">is the volume of good </w:t>
      </w:r>
      <w:r w:rsidRPr="00C80F33">
        <w:rPr>
          <w:rFonts w:ascii="Times New Roman" w:hAnsi="Times New Roman" w:cs="Times New Roman"/>
          <w:i/>
        </w:rPr>
        <w:t>k</w:t>
      </w:r>
      <w:r w:rsidRPr="00C80F33">
        <w:t xml:space="preserve"> imported from country </w:t>
      </w:r>
      <w:r w:rsidRPr="00C80F33">
        <w:rPr>
          <w:rFonts w:ascii="Times New Roman" w:hAnsi="Times New Roman" w:cs="Times New Roman"/>
          <w:i/>
        </w:rPr>
        <w:t>j</w:t>
      </w:r>
      <w:r w:rsidRPr="00C80F33">
        <w:t xml:space="preserve"> and</w:t>
      </w:r>
      <w:r w:rsidR="00BF111B" w:rsidRPr="00C80F33">
        <w:t xml:space="preserve"> </w:t>
      </w:r>
      <w:proofErr w:type="spellStart"/>
      <w:r w:rsidR="008D3D96" w:rsidRPr="00C80F33">
        <w:rPr>
          <w:rFonts w:ascii="Times New Roman" w:hAnsi="Times New Roman" w:cs="Times New Roman"/>
          <w:i/>
        </w:rPr>
        <w:t>pm</w:t>
      </w:r>
      <w:r w:rsidR="008D3D96" w:rsidRPr="00C80F33">
        <w:rPr>
          <w:rFonts w:ascii="Times New Roman" w:hAnsi="Times New Roman" w:cs="Times New Roman"/>
          <w:i/>
          <w:vertAlign w:val="subscript"/>
        </w:rPr>
        <w:t>ijt</w:t>
      </w:r>
      <w:r w:rsidR="008D3D96" w:rsidRPr="00C80F33">
        <w:rPr>
          <w:rFonts w:ascii="Times New Roman" w:hAnsi="Times New Roman" w:cs="Times New Roman"/>
          <w:i/>
          <w:vertAlign w:val="superscript"/>
        </w:rPr>
        <w:t>k</w:t>
      </w:r>
      <w:proofErr w:type="spellEnd"/>
      <w:r w:rsidR="008D3D96" w:rsidRPr="00C80F33">
        <w:rPr>
          <w:rFonts w:ascii="Times New Roman" w:hAnsi="Times New Roman" w:cs="Times New Roman"/>
          <w:i/>
          <w:vertAlign w:val="superscript"/>
        </w:rPr>
        <w:t xml:space="preserve">  </w:t>
      </w:r>
      <w:r w:rsidR="008D3D96" w:rsidRPr="00C80F33">
        <w:t>is</w:t>
      </w:r>
      <w:r w:rsidRPr="00C80F33">
        <w:t xml:space="preserve"> the price of good </w:t>
      </w:r>
      <w:r w:rsidRPr="00C80F33">
        <w:rPr>
          <w:rFonts w:ascii="Times New Roman" w:hAnsi="Times New Roman" w:cs="Times New Roman"/>
          <w:i/>
        </w:rPr>
        <w:t>k</w:t>
      </w:r>
      <w:r w:rsidRPr="00C80F33">
        <w:t xml:space="preserve"> imported from country </w:t>
      </w:r>
      <w:r w:rsidRPr="00C80F33">
        <w:rPr>
          <w:rFonts w:ascii="Times New Roman" w:hAnsi="Times New Roman" w:cs="Times New Roman"/>
          <w:i/>
        </w:rPr>
        <w:t>j</w:t>
      </w:r>
      <w:r w:rsidRPr="00C80F33">
        <w:t>.</w:t>
      </w:r>
    </w:p>
    <w:p w14:paraId="137B97C2" w14:textId="77777777" w:rsidR="00E64689" w:rsidRPr="00C80F33" w:rsidRDefault="00E64689" w:rsidP="00C80F33">
      <w:pPr>
        <w:spacing w:after="120"/>
      </w:pPr>
      <w:r w:rsidRPr="00C80F33">
        <w:t xml:space="preserve">The first order conditions for this maximisation problem imply the following individual import demand equations for country </w:t>
      </w:r>
      <w:proofErr w:type="spellStart"/>
      <w:r w:rsidRPr="00C80F33">
        <w:t>i</w:t>
      </w:r>
      <w:proofErr w:type="spellEnd"/>
      <w:r w:rsidRPr="00C80F33">
        <w:t xml:space="preserve"> with respect to imports from country </w:t>
      </w:r>
      <w:r w:rsidRPr="00C80F33">
        <w:rPr>
          <w:i/>
        </w:rPr>
        <w:t>j</w:t>
      </w:r>
      <w:r w:rsidRPr="00C80F33">
        <w:t>:</w:t>
      </w:r>
    </w:p>
    <w:p w14:paraId="0779BAA8" w14:textId="77777777" w:rsidR="00E64689" w:rsidRPr="00C80F33" w:rsidRDefault="00E64689" w:rsidP="0092073E">
      <w:pPr>
        <w:pStyle w:val="MTDisplayEquation"/>
      </w:pPr>
      <w:r w:rsidRPr="00C80F33">
        <w:tab/>
      </w:r>
      <w:r w:rsidR="00FA37CE" w:rsidRPr="00C80F33">
        <w:object w:dxaOrig="5179" w:dyaOrig="440" w14:anchorId="6BF72E1C">
          <v:shape id="_x0000_i1042" type="#_x0000_t75" alt="Solving the familiar utility maximisation problem yields the log-linear import demand equations from each country." style="width:260.9pt;height:20.65pt;mso-position-horizontal:absolute" o:ole="">
            <v:imagedata r:id="rId59" o:title=""/>
          </v:shape>
          <o:OLEObject Type="Embed" ProgID="Equation.DSMT4" ShapeID="_x0000_i1042" DrawAspect="Content" ObjectID="_1495870612" r:id="rId60"/>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18</w:instrText>
      </w:r>
      <w:r w:rsidR="00BB0DB8">
        <w:rPr>
          <w:noProof/>
        </w:rPr>
        <w:fldChar w:fldCharType="end"/>
      </w:r>
      <w:r w:rsidRPr="00C80F33">
        <w:instrText>)</w:instrText>
      </w:r>
      <w:r w:rsidRPr="00C80F33">
        <w:fldChar w:fldCharType="end"/>
      </w:r>
    </w:p>
    <w:p w14:paraId="63FA75F4" w14:textId="77777777" w:rsidR="00E64689" w:rsidRPr="00C80F33" w:rsidRDefault="00E64689" w:rsidP="00C80F33">
      <w:pPr>
        <w:spacing w:after="60"/>
      </w:pPr>
      <w:proofErr w:type="gramStart"/>
      <w:r w:rsidRPr="00C80F33">
        <w:t>and</w:t>
      </w:r>
      <w:proofErr w:type="gramEnd"/>
      <w:r w:rsidRPr="00C80F33">
        <w:t xml:space="preserve"> good </w:t>
      </w:r>
      <w:r w:rsidRPr="00C80F33">
        <w:rPr>
          <w:rFonts w:ascii="Times New Roman" w:hAnsi="Times New Roman" w:cs="Times New Roman"/>
          <w:i/>
        </w:rPr>
        <w:t xml:space="preserve">k </w:t>
      </w:r>
      <w:r w:rsidRPr="00C80F33">
        <w:t>import price index is equal to an aggregate of foreign country prices:</w:t>
      </w:r>
    </w:p>
    <w:p w14:paraId="1A8BF0F4" w14:textId="77777777" w:rsidR="00E64689" w:rsidRPr="00C80F33" w:rsidRDefault="00E64689" w:rsidP="0092073E">
      <w:pPr>
        <w:pStyle w:val="MTDisplayEquation"/>
      </w:pPr>
      <w:r w:rsidRPr="00C80F33">
        <w:tab/>
      </w:r>
      <w:r w:rsidR="00FA37CE" w:rsidRPr="00C80F33">
        <w:object w:dxaOrig="2720" w:dyaOrig="900" w14:anchorId="04B0D87E">
          <v:shape id="_x0000_i1043" type="#_x0000_t75" alt="The aggregate price index has a similar form to the aggregate price index at the first and second levels (equation 11 and equation 15)." style="width:136.85pt;height:43.5pt;mso-position-horizontal:absolute" o:ole="">
            <v:imagedata r:id="rId61" o:title=""/>
          </v:shape>
          <o:OLEObject Type="Embed" ProgID="Equation.DSMT4" ShapeID="_x0000_i1043" DrawAspect="Content" ObjectID="_1495870613" r:id="rId62"/>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w:instrText>
      </w:r>
      <w:r w:rsidR="00BB0DB8">
        <w:instrText xml:space="preserve"> Arabic \* MERGEFORMAT </w:instrText>
      </w:r>
      <w:r w:rsidR="00BB0DB8">
        <w:fldChar w:fldCharType="separate"/>
      </w:r>
      <w:r w:rsidR="00025120">
        <w:rPr>
          <w:noProof/>
        </w:rPr>
        <w:instrText>19</w:instrText>
      </w:r>
      <w:r w:rsidR="00BB0DB8">
        <w:rPr>
          <w:noProof/>
        </w:rPr>
        <w:fldChar w:fldCharType="end"/>
      </w:r>
      <w:r w:rsidRPr="00C80F33">
        <w:instrText>)</w:instrText>
      </w:r>
      <w:r w:rsidRPr="00C80F33">
        <w:fldChar w:fldCharType="end"/>
      </w:r>
    </w:p>
    <w:p w14:paraId="05A775EB" w14:textId="77777777" w:rsidR="00E64689" w:rsidRPr="00C80F33" w:rsidRDefault="00E64689" w:rsidP="0069735A">
      <w:pPr>
        <w:pStyle w:val="Heading3"/>
        <w:rPr>
          <w:lang w:val="en-AU"/>
        </w:rPr>
      </w:pPr>
      <w:r w:rsidRPr="00C80F33">
        <w:rPr>
          <w:lang w:val="en-AU"/>
        </w:rPr>
        <w:t>Long-run supply of imports</w:t>
      </w:r>
    </w:p>
    <w:p w14:paraId="04637178" w14:textId="77777777" w:rsidR="00E64689" w:rsidRPr="00C80F33" w:rsidRDefault="00E81DF1" w:rsidP="00C80F33">
      <w:pPr>
        <w:spacing w:after="60"/>
      </w:pPr>
      <w:r w:rsidRPr="00C80F33">
        <w:t>Following previous Australian research on exchange rate and foreign cost pass</w:t>
      </w:r>
      <w:r w:rsidR="00730810" w:rsidRPr="00C80F33">
        <w:t>-</w:t>
      </w:r>
      <w:r w:rsidRPr="00C80F33">
        <w:t>through by Dwyer and Lam (1994) c</w:t>
      </w:r>
      <w:r w:rsidR="00E64689" w:rsidRPr="00C80F33">
        <w:t xml:space="preserve">ountry </w:t>
      </w:r>
      <w:proofErr w:type="spellStart"/>
      <w:r w:rsidR="00E64689" w:rsidRPr="00C80F33">
        <w:rPr>
          <w:rFonts w:ascii="Times New Roman" w:hAnsi="Times New Roman" w:cs="Times New Roman"/>
          <w:i/>
        </w:rPr>
        <w:t>i</w:t>
      </w:r>
      <w:proofErr w:type="spellEnd"/>
      <w:r w:rsidR="00E64689" w:rsidRPr="00C80F33">
        <w:t xml:space="preserve"> </w:t>
      </w:r>
      <w:proofErr w:type="gramStart"/>
      <w:r w:rsidR="00E64689" w:rsidRPr="00C80F33">
        <w:t>is</w:t>
      </w:r>
      <w:proofErr w:type="gramEnd"/>
      <w:r w:rsidR="00E64689" w:rsidRPr="00C80F33">
        <w:t xml:space="preserve"> assumed to be a small open economy that has a negligible impact on world prices. As such, the supply curve faced by country </w:t>
      </w:r>
      <w:proofErr w:type="spellStart"/>
      <w:r w:rsidR="00E64689" w:rsidRPr="00C80F33">
        <w:rPr>
          <w:rFonts w:ascii="Times New Roman" w:hAnsi="Times New Roman" w:cs="Times New Roman"/>
          <w:i/>
        </w:rPr>
        <w:t>i</w:t>
      </w:r>
      <w:proofErr w:type="spellEnd"/>
      <w:r w:rsidR="00E64689" w:rsidRPr="00C80F33">
        <w:t xml:space="preserve"> for good </w:t>
      </w:r>
      <w:r w:rsidR="00E64689" w:rsidRPr="00C80F33">
        <w:rPr>
          <w:rFonts w:ascii="Times New Roman" w:hAnsi="Times New Roman" w:cs="Times New Roman"/>
          <w:i/>
        </w:rPr>
        <w:t>k</w:t>
      </w:r>
      <w:r w:rsidR="00E64689" w:rsidRPr="00C80F33">
        <w:t xml:space="preserve"> produced by country </w:t>
      </w:r>
      <w:r w:rsidR="00E64689" w:rsidRPr="00C80F33">
        <w:rPr>
          <w:rFonts w:ascii="Times New Roman" w:hAnsi="Times New Roman" w:cs="Times New Roman"/>
          <w:i/>
        </w:rPr>
        <w:t>j</w:t>
      </w:r>
      <w:r w:rsidR="00E64689" w:rsidRPr="00C80F33">
        <w:t xml:space="preserve"> is assumed to be perfectly elastic</w:t>
      </w:r>
      <w:r w:rsidR="00C57AD5" w:rsidRPr="00C80F33">
        <w:t>,</w:t>
      </w:r>
      <w:r w:rsidR="00E64689" w:rsidRPr="00C80F33">
        <w:t xml:space="preserve"> with the good </w:t>
      </w:r>
      <w:r w:rsidR="00E64689" w:rsidRPr="00C80F33">
        <w:rPr>
          <w:rFonts w:ascii="Times New Roman" w:hAnsi="Times New Roman" w:cs="Times New Roman"/>
          <w:i/>
        </w:rPr>
        <w:t>k</w:t>
      </w:r>
      <w:r w:rsidR="00E64689" w:rsidRPr="00C80F33">
        <w:t xml:space="preserve"> import price simply the exchange rate adjusted country </w:t>
      </w:r>
      <w:r w:rsidR="00E64689" w:rsidRPr="00C80F33">
        <w:rPr>
          <w:rFonts w:ascii="Times New Roman" w:hAnsi="Times New Roman" w:cs="Times New Roman"/>
          <w:i/>
        </w:rPr>
        <w:t>j</w:t>
      </w:r>
      <w:r w:rsidR="00E64689" w:rsidRPr="00C80F33">
        <w:t xml:space="preserve"> consumption good price for good </w:t>
      </w:r>
      <w:r w:rsidR="00E64689" w:rsidRPr="00C80F33">
        <w:rPr>
          <w:rFonts w:ascii="Times New Roman" w:hAnsi="Times New Roman" w:cs="Times New Roman"/>
          <w:i/>
        </w:rPr>
        <w:t>k</w:t>
      </w:r>
      <w:r w:rsidR="00E64689" w:rsidRPr="00C80F33">
        <w:t>:</w:t>
      </w:r>
    </w:p>
    <w:p w14:paraId="7604CBCD" w14:textId="77777777" w:rsidR="00FC56B3" w:rsidRPr="00C80F33" w:rsidRDefault="00FC56B3" w:rsidP="00926786">
      <w:pPr>
        <w:pStyle w:val="MTDisplayEquation"/>
      </w:pPr>
      <w:r w:rsidRPr="00C80F33">
        <w:tab/>
      </w:r>
      <w:r w:rsidR="00FA37CE" w:rsidRPr="00C80F33">
        <w:rPr>
          <w:position w:val="-14"/>
        </w:rPr>
        <w:object w:dxaOrig="2700" w:dyaOrig="400" w14:anchorId="0F6E180B">
          <v:shape id="_x0000_i1044" type="#_x0000_t75" alt="Equation 20 is the log-linear supply curve for imported varieties of consumption goods and services from each country.  The price of imported consumption from a particular country varies with the price of consumption in that country and the nominal exchange rate." style="width:134.75pt;height:19.95pt;mso-position-horizontal:absolute" o:ole="">
            <v:imagedata r:id="rId63" o:title=""/>
          </v:shape>
          <o:OLEObject Type="Embed" ProgID="Equation.DSMT4" ShapeID="_x0000_i1044" DrawAspect="Content" ObjectID="_1495870614" r:id="rId64"/>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20</w:instrText>
      </w:r>
      <w:r w:rsidR="00BB0DB8">
        <w:rPr>
          <w:noProof/>
        </w:rPr>
        <w:fldChar w:fldCharType="end"/>
      </w:r>
      <w:r w:rsidRPr="00C80F33">
        <w:instrText>)</w:instrText>
      </w:r>
      <w:r w:rsidRPr="00C80F33">
        <w:fldChar w:fldCharType="end"/>
      </w:r>
    </w:p>
    <w:p w14:paraId="310B750E" w14:textId="77777777" w:rsidR="00E64689" w:rsidRPr="00C80F33" w:rsidRDefault="00E64689" w:rsidP="00E64689">
      <w:proofErr w:type="gramStart"/>
      <w:r w:rsidRPr="00C80F33">
        <w:t>where</w:t>
      </w:r>
      <w:proofErr w:type="gramEnd"/>
      <w:r w:rsidRPr="00C80F33">
        <w:t xml:space="preserve"> </w:t>
      </w:r>
      <w:proofErr w:type="spellStart"/>
      <w:r w:rsidR="002671A1" w:rsidRPr="00C80F33">
        <w:rPr>
          <w:rFonts w:ascii="Times New Roman" w:hAnsi="Times New Roman" w:cs="Times New Roman"/>
          <w:i/>
        </w:rPr>
        <w:t>pc</w:t>
      </w:r>
      <w:r w:rsidR="002671A1" w:rsidRPr="00C80F33">
        <w:rPr>
          <w:rFonts w:ascii="Times New Roman" w:hAnsi="Times New Roman" w:cs="Times New Roman"/>
          <w:i/>
          <w:vertAlign w:val="subscript"/>
        </w:rPr>
        <w:t>jt</w:t>
      </w:r>
      <w:r w:rsidR="002671A1" w:rsidRPr="00C80F33">
        <w:rPr>
          <w:rFonts w:ascii="Times New Roman" w:hAnsi="Times New Roman" w:cs="Times New Roman"/>
          <w:i/>
          <w:vertAlign w:val="superscript"/>
        </w:rPr>
        <w:t>k</w:t>
      </w:r>
      <w:proofErr w:type="spellEnd"/>
      <w:r w:rsidR="002671A1" w:rsidRPr="00C80F33">
        <w:rPr>
          <w:rFonts w:ascii="Times New Roman" w:hAnsi="Times New Roman" w:cs="Times New Roman"/>
          <w:i/>
          <w:vertAlign w:val="superscript"/>
        </w:rPr>
        <w:t xml:space="preserve"> </w:t>
      </w:r>
      <w:r w:rsidRPr="00C80F33">
        <w:t xml:space="preserve">is the price of consumption of good </w:t>
      </w:r>
      <w:r w:rsidRPr="00C80F33">
        <w:rPr>
          <w:rFonts w:ascii="Times New Roman" w:hAnsi="Times New Roman" w:cs="Times New Roman"/>
          <w:i/>
        </w:rPr>
        <w:t>k</w:t>
      </w:r>
      <w:r w:rsidRPr="00C80F33">
        <w:t xml:space="preserve"> in country</w:t>
      </w:r>
      <w:r w:rsidRPr="00C80F33">
        <w:rPr>
          <w:rFonts w:ascii="Times New Roman" w:hAnsi="Times New Roman" w:cs="Times New Roman"/>
          <w:i/>
        </w:rPr>
        <w:t xml:space="preserve"> j</w:t>
      </w:r>
      <w:r w:rsidRPr="00C80F33">
        <w:t xml:space="preserve"> and </w:t>
      </w:r>
      <w:proofErr w:type="spellStart"/>
      <w:r w:rsidR="002671A1" w:rsidRPr="00C80F33">
        <w:rPr>
          <w:rFonts w:ascii="Times New Roman" w:hAnsi="Times New Roman" w:cs="Times New Roman"/>
          <w:i/>
        </w:rPr>
        <w:t>e</w:t>
      </w:r>
      <w:r w:rsidR="002671A1" w:rsidRPr="00C80F33">
        <w:rPr>
          <w:rFonts w:ascii="Times New Roman" w:hAnsi="Times New Roman" w:cs="Times New Roman"/>
          <w:i/>
          <w:vertAlign w:val="subscript"/>
        </w:rPr>
        <w:t>ijt</w:t>
      </w:r>
      <w:proofErr w:type="spellEnd"/>
      <w:r w:rsidR="002671A1" w:rsidRPr="00C80F33">
        <w:t xml:space="preserve"> </w:t>
      </w:r>
      <w:r w:rsidRPr="00C80F33">
        <w:t xml:space="preserve">is the country </w:t>
      </w:r>
      <w:proofErr w:type="spellStart"/>
      <w:r w:rsidRPr="00C80F33">
        <w:rPr>
          <w:rFonts w:ascii="Times New Roman" w:hAnsi="Times New Roman" w:cs="Times New Roman"/>
          <w:i/>
        </w:rPr>
        <w:t>i</w:t>
      </w:r>
      <w:proofErr w:type="spellEnd"/>
      <w:r w:rsidRPr="00C80F33">
        <w:t xml:space="preserve">-country </w:t>
      </w:r>
      <w:r w:rsidRPr="00C80F33">
        <w:rPr>
          <w:rFonts w:ascii="Times New Roman" w:hAnsi="Times New Roman" w:cs="Times New Roman"/>
          <w:i/>
        </w:rPr>
        <w:t xml:space="preserve">j </w:t>
      </w:r>
      <w:r w:rsidRPr="00C80F33">
        <w:t xml:space="preserve">exchange rate in terms of country </w:t>
      </w:r>
      <w:proofErr w:type="spellStart"/>
      <w:r w:rsidRPr="00C80F33">
        <w:rPr>
          <w:rFonts w:ascii="Times New Roman" w:hAnsi="Times New Roman" w:cs="Times New Roman"/>
          <w:i/>
        </w:rPr>
        <w:t>i</w:t>
      </w:r>
      <w:proofErr w:type="spellEnd"/>
      <w:r w:rsidRPr="00C80F33">
        <w:t xml:space="preserve"> currency.</w:t>
      </w:r>
    </w:p>
    <w:p w14:paraId="1F965E0C" w14:textId="77777777" w:rsidR="00E64689" w:rsidRPr="00C80F33" w:rsidRDefault="00E64689" w:rsidP="00E64689">
      <w:r w:rsidRPr="00C80F33">
        <w:lastRenderedPageBreak/>
        <w:t>The lack of country specific trade flow data means that imports can only be modelled at the level of a good described by equation (14). A key challenge</w:t>
      </w:r>
      <w:r w:rsidR="00C57AD5" w:rsidRPr="00C80F33">
        <w:t xml:space="preserve"> </w:t>
      </w:r>
      <w:r w:rsidRPr="00C80F33">
        <w:t>for researchers that results from this</w:t>
      </w:r>
      <w:r w:rsidR="00770FD1" w:rsidRPr="00C80F33">
        <w:t xml:space="preserve"> </w:t>
      </w:r>
      <w:r w:rsidRPr="00C80F33">
        <w:t>is the need to estimate an aggregate import price index without knowledge of the elasticity of subs</w:t>
      </w:r>
      <w:r w:rsidR="009A420F" w:rsidRPr="00C80F33">
        <w:t>titution for foreign varieties</w:t>
      </w:r>
      <w:r w:rsidRPr="00C80F33">
        <w:t>. This paper responds to this challenge by approximating the aggregate import price index described by equation (19) using a linear approximation. In particular, aggregate import price index</w:t>
      </w:r>
      <w:r w:rsidR="00A377B9" w:rsidRPr="00C80F33">
        <w:t>es</w:t>
      </w:r>
      <w:r w:rsidRPr="00C80F33">
        <w:t xml:space="preserve"> are estimated using a first-order Taylor series approximation of (19) evaluated at the previous period’s price and quantity bundle:</w:t>
      </w:r>
    </w:p>
    <w:p w14:paraId="66A2C288" w14:textId="77777777" w:rsidR="00E64689" w:rsidRPr="00C80F33" w:rsidRDefault="00E64689" w:rsidP="0092073E">
      <w:pPr>
        <w:pStyle w:val="MTDisplayEquation"/>
      </w:pPr>
      <w:r w:rsidRPr="00C80F33">
        <w:tab/>
      </w:r>
      <w:r w:rsidR="00FA37CE" w:rsidRPr="00C80F33">
        <w:object w:dxaOrig="6740" w:dyaOrig="2560" w14:anchorId="0D9D0F4D">
          <v:shape id="_x0000_i1045" type="#_x0000_t75" alt="Equation 21 is a first-order Taylor series approximation of equation 19, evaluated at the previous period’s price and quantity bundle." style="width:339.35pt;height:130.45pt;mso-position-horizontal:absolute" o:ole="">
            <v:imagedata r:id="rId65" o:title=""/>
          </v:shape>
          <o:OLEObject Type="Embed" ProgID="Equation.DSMT4" ShapeID="_x0000_i1045" DrawAspect="Content" ObjectID="_1495870615" r:id="rId66"/>
        </w:object>
      </w:r>
      <w:r w:rsidR="00C30D73"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21</w:instrText>
      </w:r>
      <w:r w:rsidR="00BB0DB8">
        <w:rPr>
          <w:noProof/>
        </w:rPr>
        <w:fldChar w:fldCharType="end"/>
      </w:r>
      <w:r w:rsidRPr="00C80F33">
        <w:instrText>)</w:instrText>
      </w:r>
      <w:r w:rsidRPr="00C80F33">
        <w:fldChar w:fldCharType="end"/>
      </w:r>
    </w:p>
    <w:p w14:paraId="0D0DC2E3" w14:textId="77777777" w:rsidR="00E64689" w:rsidRPr="00C80F33" w:rsidRDefault="00E64689" w:rsidP="00E64689">
      <w:r w:rsidRPr="00C80F33">
        <w:t>Dividing through by</w:t>
      </w:r>
      <w:r w:rsidR="00BF111B" w:rsidRPr="00C80F33">
        <w:t xml:space="preserve"> </w:t>
      </w:r>
      <w:proofErr w:type="spellStart"/>
      <w:r w:rsidR="002671A1" w:rsidRPr="00C80F33">
        <w:rPr>
          <w:rFonts w:ascii="Times New Roman" w:hAnsi="Times New Roman" w:cs="Times New Roman"/>
          <w:i/>
        </w:rPr>
        <w:t>pm</w:t>
      </w:r>
      <w:r w:rsidR="002671A1" w:rsidRPr="00C80F33">
        <w:rPr>
          <w:rFonts w:ascii="Times New Roman" w:hAnsi="Times New Roman" w:cs="Times New Roman"/>
          <w:i/>
          <w:vertAlign w:val="subscript"/>
        </w:rPr>
        <w:t>it</w:t>
      </w:r>
      <w:r w:rsidR="002671A1" w:rsidRPr="00C80F33">
        <w:rPr>
          <w:rFonts w:ascii="Times New Roman" w:hAnsi="Times New Roman" w:cs="Times New Roman"/>
          <w:i/>
          <w:vertAlign w:val="superscript"/>
        </w:rPr>
        <w:t>k</w:t>
      </w:r>
      <w:proofErr w:type="spellEnd"/>
      <w:r w:rsidRPr="00C80F33">
        <w:t xml:space="preserve"> on both sides implies:</w:t>
      </w:r>
    </w:p>
    <w:p w14:paraId="63FA2C05" w14:textId="77777777" w:rsidR="00E64689" w:rsidRPr="00C80F33" w:rsidRDefault="00E64689" w:rsidP="0092073E">
      <w:pPr>
        <w:pStyle w:val="MTDisplayEquation"/>
      </w:pPr>
      <w:r w:rsidRPr="00C80F33">
        <w:tab/>
      </w:r>
      <w:r w:rsidR="00FA37CE" w:rsidRPr="00C80F33">
        <w:object w:dxaOrig="5480" w:dyaOrig="1640" w14:anchorId="5D60C461">
          <v:shape id="_x0000_i1046" type="#_x0000_t75" alt="Further manipulations of equation 21 show that the growth rate of import prices varies with the growth rate of the import price index for each country and the share of imports from that country." style="width:274.45pt;height:79.15pt;mso-position-horizontal:absolute" o:ole="">
            <v:imagedata r:id="rId67" o:title=""/>
          </v:shape>
          <o:OLEObject Type="Embed" ProgID="Equation.DSMT4" ShapeID="_x0000_i1046" DrawAspect="Content" ObjectID="_1495870616" r:id="rId68"/>
        </w:object>
      </w:r>
      <w:r w:rsidR="00FC56B3"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22</w:instrText>
      </w:r>
      <w:r w:rsidR="00BB0DB8">
        <w:rPr>
          <w:noProof/>
        </w:rPr>
        <w:fldChar w:fldCharType="end"/>
      </w:r>
      <w:r w:rsidRPr="00C80F33">
        <w:instrText>)</w:instrText>
      </w:r>
      <w:r w:rsidRPr="00C80F33">
        <w:fldChar w:fldCharType="end"/>
      </w:r>
    </w:p>
    <w:p w14:paraId="0F77A671" w14:textId="77777777" w:rsidR="00E64689" w:rsidRPr="00C80F33" w:rsidRDefault="00E64689" w:rsidP="00E64689">
      <w:r w:rsidRPr="00C80F33">
        <w:t>Equation (9) implies:</w:t>
      </w:r>
    </w:p>
    <w:p w14:paraId="7C3902BB" w14:textId="77777777" w:rsidR="00E64689" w:rsidRPr="00C80F33" w:rsidRDefault="00E64689" w:rsidP="0092073E">
      <w:pPr>
        <w:pStyle w:val="MTDisplayEquation"/>
      </w:pPr>
      <w:r w:rsidRPr="00C80F33">
        <w:tab/>
      </w:r>
      <w:r w:rsidR="00FA37CE" w:rsidRPr="00C80F33">
        <w:object w:dxaOrig="3080" w:dyaOrig="859" w14:anchorId="645A9B0C">
          <v:shape id="_x0000_i1047" type="#_x0000_t75" alt="The share of imports from each country equals the value of imports from each country divided by the value of total imports." style="width:151.15pt;height:43.5pt;mso-position-horizontal:absolute" o:ole="">
            <v:imagedata r:id="rId69" o:title=""/>
          </v:shape>
          <o:OLEObject Type="Embed" ProgID="Equation.DSMT4" ShapeID="_x0000_i1047" DrawAspect="Content" ObjectID="_1495870617" r:id="rId70"/>
        </w:object>
      </w:r>
      <w:r w:rsidR="00C30D73"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23</w:instrText>
      </w:r>
      <w:r w:rsidR="00BB0DB8">
        <w:rPr>
          <w:noProof/>
        </w:rPr>
        <w:fldChar w:fldCharType="end"/>
      </w:r>
      <w:r w:rsidRPr="00C80F33">
        <w:instrText>)</w:instrText>
      </w:r>
      <w:r w:rsidRPr="00C80F33">
        <w:fldChar w:fldCharType="end"/>
      </w:r>
    </w:p>
    <w:p w14:paraId="322ABD4A" w14:textId="77777777" w:rsidR="00E64689" w:rsidRPr="00C80F33" w:rsidRDefault="00E64689" w:rsidP="00E64689">
      <w:proofErr w:type="gramStart"/>
      <w:r w:rsidRPr="00C80F33">
        <w:t>where</w:t>
      </w:r>
      <w:proofErr w:type="gramEnd"/>
      <w:r w:rsidRPr="00C80F33">
        <w:t xml:space="preserve"> </w:t>
      </w:r>
      <w:proofErr w:type="spellStart"/>
      <w:r w:rsidR="002671A1" w:rsidRPr="00C80F33">
        <w:rPr>
          <w:rFonts w:ascii="Times New Roman" w:hAnsi="Times New Roman" w:cs="Times New Roman"/>
          <w:i/>
        </w:rPr>
        <w:t>s</w:t>
      </w:r>
      <w:r w:rsidR="002671A1" w:rsidRPr="00C80F33">
        <w:rPr>
          <w:rFonts w:ascii="Times New Roman" w:hAnsi="Times New Roman" w:cs="Times New Roman"/>
          <w:i/>
          <w:vertAlign w:val="subscript"/>
        </w:rPr>
        <w:t>ijt</w:t>
      </w:r>
      <w:r w:rsidR="002671A1" w:rsidRPr="00C80F33">
        <w:rPr>
          <w:rFonts w:ascii="Times New Roman" w:hAnsi="Times New Roman" w:cs="Times New Roman"/>
          <w:i/>
          <w:vertAlign w:val="superscript"/>
        </w:rPr>
        <w:t>k</w:t>
      </w:r>
      <w:proofErr w:type="spellEnd"/>
      <w:r w:rsidR="002671A1" w:rsidRPr="00C80F33">
        <w:rPr>
          <w:rFonts w:ascii="Times New Roman" w:hAnsi="Times New Roman" w:cs="Times New Roman"/>
          <w:i/>
          <w:vertAlign w:val="superscript"/>
        </w:rPr>
        <w:t xml:space="preserve"> </w:t>
      </w:r>
      <w:r w:rsidRPr="00C80F33">
        <w:t xml:space="preserve">is the time </w:t>
      </w:r>
      <w:proofErr w:type="spellStart"/>
      <w:r w:rsidRPr="00C80F33">
        <w:rPr>
          <w:rFonts w:ascii="Times New Roman" w:hAnsi="Times New Roman" w:cs="Times New Roman"/>
          <w:i/>
        </w:rPr>
        <w:t>t</w:t>
      </w:r>
      <w:proofErr w:type="spellEnd"/>
      <w:r w:rsidRPr="00C80F33">
        <w:t xml:space="preserve"> import share of country </w:t>
      </w:r>
      <w:r w:rsidRPr="00C80F33">
        <w:rPr>
          <w:rFonts w:ascii="Times New Roman" w:hAnsi="Times New Roman" w:cs="Times New Roman"/>
          <w:i/>
        </w:rPr>
        <w:t>j</w:t>
      </w:r>
      <w:r w:rsidRPr="00C80F33">
        <w:t xml:space="preserve">’s good. Substituting (23) into (22) and recognising </w:t>
      </w:r>
      <w:proofErr w:type="gramStart"/>
      <w:r w:rsidR="002671A1" w:rsidRPr="00C80F33">
        <w:rPr>
          <w:rFonts w:asciiTheme="minorHAnsi" w:hAnsiTheme="minorHAnsi" w:cs="Times New Roman"/>
        </w:rPr>
        <w:t>ln(</w:t>
      </w:r>
      <w:proofErr w:type="gramEnd"/>
      <w:r w:rsidR="002671A1" w:rsidRPr="00C80F33">
        <w:rPr>
          <w:rFonts w:asciiTheme="minorHAnsi" w:hAnsiTheme="minorHAnsi" w:cs="Times New Roman"/>
        </w:rPr>
        <w:t>1+</w:t>
      </w:r>
      <w:r w:rsidR="002671A1" w:rsidRPr="00C80F33">
        <w:rPr>
          <w:rFonts w:ascii="Symbol" w:hAnsi="Symbol"/>
        </w:rPr>
        <w:t></w:t>
      </w:r>
      <w:r w:rsidR="002671A1" w:rsidRPr="00C80F33">
        <w:rPr>
          <w:rFonts w:asciiTheme="minorHAnsi" w:hAnsiTheme="minorHAnsi" w:cs="Times New Roman"/>
        </w:rPr>
        <w:t xml:space="preserve">) ≈ </w:t>
      </w:r>
      <w:r w:rsidR="002671A1" w:rsidRPr="00C80F33">
        <w:rPr>
          <w:rFonts w:ascii="Symbol" w:hAnsi="Symbol"/>
        </w:rPr>
        <w:t></w:t>
      </w:r>
      <w:r w:rsidR="002671A1" w:rsidRPr="00C80F33">
        <w:rPr>
          <w:rFonts w:asciiTheme="minorHAnsi" w:hAnsiTheme="minorHAnsi" w:cs="Times New Roman"/>
          <w:i/>
        </w:rPr>
        <w:t xml:space="preserve"> </w:t>
      </w:r>
      <w:r w:rsidRPr="00C80F33">
        <w:t>for small</w:t>
      </w:r>
      <w:r w:rsidR="002671A1" w:rsidRPr="00C80F33">
        <w:t xml:space="preserve"> </w:t>
      </w:r>
      <w:r w:rsidR="002671A1" w:rsidRPr="00C80F33">
        <w:rPr>
          <w:rFonts w:ascii="Symbol" w:hAnsi="Symbol"/>
        </w:rPr>
        <w:t></w:t>
      </w:r>
      <w:r w:rsidRPr="00C80F33">
        <w:t xml:space="preserve">, implies the following approximate aggregate import price index for good </w:t>
      </w:r>
      <w:r w:rsidRPr="00C80F33">
        <w:rPr>
          <w:rFonts w:ascii="Times New Roman" w:hAnsi="Times New Roman" w:cs="Times New Roman"/>
          <w:i/>
        </w:rPr>
        <w:t>k</w:t>
      </w:r>
      <w:r w:rsidRPr="00C80F33">
        <w:t>:</w:t>
      </w:r>
    </w:p>
    <w:p w14:paraId="2CAC9561" w14:textId="77777777" w:rsidR="005F167F" w:rsidRPr="00C80F33" w:rsidRDefault="005F167F" w:rsidP="00926786">
      <w:pPr>
        <w:pStyle w:val="MTDisplayEquation"/>
      </w:pPr>
      <w:r w:rsidRPr="00C80F33">
        <w:tab/>
      </w:r>
      <w:r w:rsidR="00FA37CE" w:rsidRPr="00C80F33">
        <w:rPr>
          <w:position w:val="-30"/>
        </w:rPr>
        <w:object w:dxaOrig="5100" w:dyaOrig="700" w14:anchorId="02FB0516">
          <v:shape id="_x0000_i1048" type="#_x0000_t75" alt="The log difference of the import price between periods is equal to the sum of the log difference of the price of imports from each country between periods multiplied by the share of imports from that country." style="width:255.2pt;height:34.95pt;mso-position-horizontal:absolute" o:ole="">
            <v:imagedata r:id="rId71" o:title=""/>
          </v:shape>
          <o:OLEObject Type="Embed" ProgID="Equation.DSMT4" ShapeID="_x0000_i1048" DrawAspect="Content" ObjectID="_1495870618" r:id="rId72"/>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24</w:instrText>
      </w:r>
      <w:r w:rsidR="00BB0DB8">
        <w:rPr>
          <w:noProof/>
        </w:rPr>
        <w:fldChar w:fldCharType="end"/>
      </w:r>
      <w:r w:rsidRPr="00C80F33">
        <w:instrText>)</w:instrText>
      </w:r>
      <w:r w:rsidRPr="00C80F33">
        <w:fldChar w:fldCharType="end"/>
      </w:r>
    </w:p>
    <w:p w14:paraId="73EB6760" w14:textId="77777777" w:rsidR="009801FF" w:rsidRPr="00C80F33" w:rsidRDefault="009801FF" w:rsidP="00E64689">
      <w:r w:rsidRPr="00C80F33">
        <w:t xml:space="preserve">Substituting (20) into </w:t>
      </w:r>
      <w:r w:rsidR="00BF111B" w:rsidRPr="00C80F33">
        <w:t>(</w:t>
      </w:r>
      <w:r w:rsidRPr="00C80F33">
        <w:t>24</w:t>
      </w:r>
      <w:r w:rsidR="00BF111B" w:rsidRPr="00C80F33">
        <w:t>)</w:t>
      </w:r>
      <w:r w:rsidRPr="00C80F33">
        <w:t xml:space="preserve"> implies:</w:t>
      </w:r>
    </w:p>
    <w:p w14:paraId="28E9D679" w14:textId="77777777" w:rsidR="005F167F" w:rsidRPr="00C80F33" w:rsidRDefault="005F167F" w:rsidP="00926786">
      <w:pPr>
        <w:pStyle w:val="MTDisplayEquation"/>
      </w:pPr>
      <w:r w:rsidRPr="00C80F33">
        <w:tab/>
      </w:r>
      <w:r w:rsidR="00FA37CE" w:rsidRPr="00C80F33">
        <w:rPr>
          <w:position w:val="-30"/>
        </w:rPr>
        <w:object w:dxaOrig="7660" w:dyaOrig="700" w14:anchorId="72FEDBC8">
          <v:shape id="_x0000_i1049" type="#_x0000_t75" alt="The log difference of the price of imports to the sum of the log difference of the foreign price of consumption in each country multiplied by the share of imports from that country in the previous period minus the sum of the log difference of the exchange rate in each country multiplied by the share of imports from that country in the previous period." style="width:382.8pt;height:34.95pt;mso-position-horizontal:absolute" o:ole="">
            <v:imagedata r:id="rId73" o:title=""/>
          </v:shape>
          <o:OLEObject Type="Embed" ProgID="Equation.DSMT4" ShapeID="_x0000_i1049" DrawAspect="Content" ObjectID="_1495870619" r:id="rId74"/>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25</w:instrText>
      </w:r>
      <w:r w:rsidR="00BB0DB8">
        <w:rPr>
          <w:noProof/>
        </w:rPr>
        <w:fldChar w:fldCharType="end"/>
      </w:r>
      <w:r w:rsidRPr="00C80F33">
        <w:instrText>)</w:instrText>
      </w:r>
      <w:r w:rsidRPr="00C80F33">
        <w:fldChar w:fldCharType="end"/>
      </w:r>
    </w:p>
    <w:p w14:paraId="277EC6C6" w14:textId="77777777" w:rsidR="00C12CD2" w:rsidRPr="00C80F33" w:rsidRDefault="00C12CD2">
      <w:pPr>
        <w:spacing w:after="0" w:line="240" w:lineRule="auto"/>
      </w:pPr>
      <w:r w:rsidRPr="00C80F33">
        <w:br w:type="page"/>
      </w:r>
    </w:p>
    <w:p w14:paraId="2DD59888" w14:textId="3BD2F7F2" w:rsidR="00E64689" w:rsidRPr="00C80F33" w:rsidRDefault="00E64689" w:rsidP="00E64689">
      <w:r w:rsidRPr="00C80F33">
        <w:lastRenderedPageBreak/>
        <w:t xml:space="preserve">This expression can be </w:t>
      </w:r>
      <w:r w:rsidR="009801FF" w:rsidRPr="00C80F33">
        <w:t xml:space="preserve">further </w:t>
      </w:r>
      <w:r w:rsidRPr="00C80F33">
        <w:t xml:space="preserve">simplified by assuming there </w:t>
      </w:r>
      <w:proofErr w:type="gramStart"/>
      <w:r w:rsidRPr="00C80F33">
        <w:t>exists</w:t>
      </w:r>
      <w:proofErr w:type="gramEnd"/>
      <w:r w:rsidRPr="00C80F33">
        <w:t xml:space="preserve"> a trade-weighted foreign goods price index </w:t>
      </w:r>
      <w:proofErr w:type="spellStart"/>
      <w:r w:rsidR="002671A1" w:rsidRPr="00C80F33">
        <w:rPr>
          <w:rFonts w:ascii="Times New Roman" w:hAnsi="Times New Roman" w:cs="Times New Roman"/>
          <w:i/>
        </w:rPr>
        <w:t>pc</w:t>
      </w:r>
      <w:r w:rsidR="002671A1" w:rsidRPr="00C80F33">
        <w:rPr>
          <w:rFonts w:ascii="Times New Roman" w:hAnsi="Times New Roman" w:cs="Times New Roman"/>
          <w:i/>
          <w:vertAlign w:val="subscript"/>
        </w:rPr>
        <w:t>ijt</w:t>
      </w:r>
      <w:r w:rsidR="002671A1" w:rsidRPr="00C80F33">
        <w:rPr>
          <w:rFonts w:ascii="Times New Roman" w:hAnsi="Times New Roman" w:cs="Times New Roman"/>
          <w:i/>
          <w:vertAlign w:val="superscript"/>
        </w:rPr>
        <w:t>k</w:t>
      </w:r>
      <w:proofErr w:type="spellEnd"/>
      <w:r w:rsidR="002671A1" w:rsidRPr="00C80F33">
        <w:rPr>
          <w:rFonts w:ascii="Times New Roman" w:hAnsi="Times New Roman" w:cs="Times New Roman"/>
          <w:i/>
          <w:vertAlign w:val="superscript"/>
        </w:rPr>
        <w:t>*</w:t>
      </w:r>
      <w:r w:rsidR="002671A1" w:rsidRPr="00C80F33">
        <w:t xml:space="preserve"> </w:t>
      </w:r>
      <w:r w:rsidRPr="00C80F33">
        <w:t>such that:</w:t>
      </w:r>
    </w:p>
    <w:p w14:paraId="76495233" w14:textId="77777777" w:rsidR="005F167F" w:rsidRPr="00C80F33" w:rsidRDefault="005F167F" w:rsidP="00926786">
      <w:pPr>
        <w:pStyle w:val="MTDisplayEquation"/>
      </w:pPr>
      <w:r w:rsidRPr="00C80F33">
        <w:tab/>
      </w:r>
      <w:r w:rsidR="00FA37CE" w:rsidRPr="00C80F33">
        <w:rPr>
          <w:position w:val="-30"/>
        </w:rPr>
        <w:object w:dxaOrig="4880" w:dyaOrig="700" w14:anchorId="364269BE">
          <v:shape id="_x0000_i1050" type="#_x0000_t75" alt="The log difference of the foreign price of consumption is equal to the sum of the log difference of the foreign price of consumption in each country multiplied by the share of imports from that country." style="width:244.5pt;height:34.95pt;mso-position-horizontal:absolute" o:ole="">
            <v:imagedata r:id="rId75" o:title=""/>
          </v:shape>
          <o:OLEObject Type="Embed" ProgID="Equation.DSMT4" ShapeID="_x0000_i1050" DrawAspect="Content" ObjectID="_1495870620" r:id="rId76"/>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w:instrText>
      </w:r>
      <w:r w:rsidR="00BB0DB8">
        <w:instrText xml:space="preserve"> MERGEFORMAT </w:instrText>
      </w:r>
      <w:r w:rsidR="00BB0DB8">
        <w:fldChar w:fldCharType="separate"/>
      </w:r>
      <w:r w:rsidR="00025120">
        <w:rPr>
          <w:noProof/>
        </w:rPr>
        <w:instrText>26</w:instrText>
      </w:r>
      <w:r w:rsidR="00BB0DB8">
        <w:rPr>
          <w:noProof/>
        </w:rPr>
        <w:fldChar w:fldCharType="end"/>
      </w:r>
      <w:r w:rsidRPr="00C80F33">
        <w:instrText>)</w:instrText>
      </w:r>
      <w:r w:rsidRPr="00C80F33">
        <w:fldChar w:fldCharType="end"/>
      </w:r>
    </w:p>
    <w:p w14:paraId="75E36297" w14:textId="77777777" w:rsidR="00E64689" w:rsidRPr="00C80F33" w:rsidRDefault="00E64689" w:rsidP="00E64689">
      <w:proofErr w:type="gramStart"/>
      <w:r w:rsidRPr="00C80F33">
        <w:t>and</w:t>
      </w:r>
      <w:proofErr w:type="gramEnd"/>
      <w:r w:rsidRPr="00C80F33">
        <w:t xml:space="preserve"> a trade-weighted exchange rate index </w:t>
      </w:r>
      <w:proofErr w:type="spellStart"/>
      <w:r w:rsidR="002671A1" w:rsidRPr="00C80F33">
        <w:rPr>
          <w:rFonts w:ascii="Times New Roman" w:hAnsi="Times New Roman" w:cs="Times New Roman"/>
          <w:i/>
        </w:rPr>
        <w:t>e</w:t>
      </w:r>
      <w:r w:rsidR="002671A1" w:rsidRPr="00C80F33">
        <w:rPr>
          <w:rFonts w:ascii="Times New Roman" w:hAnsi="Times New Roman" w:cs="Times New Roman"/>
          <w:i/>
          <w:vertAlign w:val="subscript"/>
        </w:rPr>
        <w:t>it</w:t>
      </w:r>
      <w:proofErr w:type="spellEnd"/>
      <w:r w:rsidR="002671A1" w:rsidRPr="00C80F33">
        <w:t xml:space="preserve"> </w:t>
      </w:r>
      <w:r w:rsidRPr="00C80F33">
        <w:t>such that:</w:t>
      </w:r>
    </w:p>
    <w:p w14:paraId="2F4A22A2" w14:textId="77777777" w:rsidR="005F167F" w:rsidRPr="00C80F33" w:rsidRDefault="005F167F" w:rsidP="00926786">
      <w:pPr>
        <w:pStyle w:val="MTDisplayEquation"/>
      </w:pPr>
      <w:r w:rsidRPr="00C80F33">
        <w:tab/>
      </w:r>
      <w:r w:rsidR="00FA37CE" w:rsidRPr="00C80F33">
        <w:rPr>
          <w:position w:val="-30"/>
        </w:rPr>
        <w:object w:dxaOrig="4280" w:dyaOrig="700" w14:anchorId="2CDF5F96">
          <v:shape id="_x0000_i1051" type="#_x0000_t75" alt="The log difference of the nominal trade-weighted exchange rate is equal to the sum of the log difference of the nominal exchange rate between Australia and each individual country multiplied by the share of imports from that country." style="width:213.85pt;height:34.95pt;mso-position-horizontal:absolute" o:ole="">
            <v:imagedata r:id="rId77" o:title=""/>
          </v:shape>
          <o:OLEObject Type="Embed" ProgID="Equation.DSMT4" ShapeID="_x0000_i1051" DrawAspect="Content" ObjectID="_1495870621" r:id="rId78"/>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27</w:instrText>
      </w:r>
      <w:r w:rsidR="00BB0DB8">
        <w:rPr>
          <w:noProof/>
        </w:rPr>
        <w:fldChar w:fldCharType="end"/>
      </w:r>
      <w:r w:rsidRPr="00C80F33">
        <w:instrText>)</w:instrText>
      </w:r>
      <w:r w:rsidRPr="00C80F33">
        <w:fldChar w:fldCharType="end"/>
      </w:r>
    </w:p>
    <w:p w14:paraId="4A1F6A5B" w14:textId="77777777" w:rsidR="00E64689" w:rsidRPr="00C80F33" w:rsidRDefault="00E64689" w:rsidP="00E64689">
      <w:r w:rsidRPr="00C80F33">
        <w:t>Assuming without loss of generality that base period prices are one implies:</w:t>
      </w:r>
    </w:p>
    <w:p w14:paraId="3240062B" w14:textId="77777777" w:rsidR="005F167F" w:rsidRPr="00C80F33" w:rsidRDefault="005F167F" w:rsidP="00926786">
      <w:pPr>
        <w:pStyle w:val="MTDisplayEquation"/>
      </w:pPr>
      <w:r w:rsidRPr="00C80F33">
        <w:tab/>
      </w:r>
      <w:r w:rsidR="00FA37CE" w:rsidRPr="00C80F33">
        <w:rPr>
          <w:position w:val="-12"/>
        </w:rPr>
        <w:object w:dxaOrig="2640" w:dyaOrig="380" w14:anchorId="1062D4DD">
          <v:shape id="_x0000_i1052" type="#_x0000_t75" alt="The aggregate import price index for each individual good is equal to the trade-weighted foreign consumption price index for each individual good and the trade-weighted exchange rate." style="width:131.9pt;height:19.25pt;mso-position-horizontal:absolute" o:ole="">
            <v:imagedata r:id="rId79" o:title=""/>
          </v:shape>
          <o:OLEObject Type="Embed" ProgID="Equation.DSMT4" ShapeID="_x0000_i1052" DrawAspect="Content" ObjectID="_1495870622" r:id="rId80"/>
        </w:object>
      </w:r>
      <w:r w:rsidRPr="00C80F33">
        <w:tab/>
      </w:r>
      <w:r w:rsidRPr="00C80F33">
        <w:fldChar w:fldCharType="begin"/>
      </w:r>
      <w:r w:rsidRPr="00C80F33">
        <w:instrText xml:space="preserve"> MACROBUTTON MTPlaceRef \* MERGEFORMAT </w:instrText>
      </w:r>
      <w:r w:rsidRPr="00C80F33">
        <w:fldChar w:fldCharType="begin"/>
      </w:r>
      <w:r w:rsidRPr="00C80F33">
        <w:instrText xml:space="preserve"> SEQ MTEqn \h \* MERGEFORMAT </w:instrText>
      </w:r>
      <w:r w:rsidRPr="00C80F33">
        <w:fldChar w:fldCharType="end"/>
      </w:r>
      <w:r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28</w:instrText>
      </w:r>
      <w:r w:rsidR="00BB0DB8">
        <w:rPr>
          <w:noProof/>
        </w:rPr>
        <w:fldChar w:fldCharType="end"/>
      </w:r>
      <w:r w:rsidRPr="00C80F33">
        <w:instrText>)</w:instrText>
      </w:r>
      <w:r w:rsidRPr="00C80F33">
        <w:fldChar w:fldCharType="end"/>
      </w:r>
    </w:p>
    <w:p w14:paraId="5D3962AE" w14:textId="77777777" w:rsidR="00E64689" w:rsidRPr="00C80F33" w:rsidRDefault="00E64689" w:rsidP="00E64689">
      <w:r w:rsidRPr="00C80F33">
        <w:t xml:space="preserve">In words, the aggregate import price index for good </w:t>
      </w:r>
      <w:r w:rsidRPr="00C80F33">
        <w:rPr>
          <w:rFonts w:ascii="Times New Roman" w:hAnsi="Times New Roman" w:cs="Times New Roman"/>
          <w:i/>
        </w:rPr>
        <w:t>k</w:t>
      </w:r>
      <w:r w:rsidRPr="00C80F33">
        <w:t xml:space="preserve"> is equal to the trade-weighted foreign consumption price index for good </w:t>
      </w:r>
      <w:r w:rsidRPr="00C80F33">
        <w:rPr>
          <w:rFonts w:ascii="Times New Roman" w:hAnsi="Times New Roman" w:cs="Times New Roman"/>
          <w:i/>
        </w:rPr>
        <w:t>k</w:t>
      </w:r>
      <w:r w:rsidRPr="00C80F33">
        <w:t xml:space="preserve"> and the trade-weighted exchange rate. This is the t</w:t>
      </w:r>
      <w:r w:rsidR="00C30D73" w:rsidRPr="00C80F33">
        <w:t>rade-weighted analogue of (20).</w:t>
      </w:r>
    </w:p>
    <w:p w14:paraId="7D8B9CDA" w14:textId="77777777" w:rsidR="00CE79A0" w:rsidRPr="00C80F33" w:rsidRDefault="00AF6FC7" w:rsidP="00C80F33">
      <w:pPr>
        <w:pStyle w:val="Heading2"/>
      </w:pPr>
      <w:r w:rsidRPr="00C80F33">
        <w:t>Data</w:t>
      </w:r>
    </w:p>
    <w:p w14:paraId="700D49C2" w14:textId="77777777" w:rsidR="00C30D73" w:rsidRPr="00C80F33" w:rsidRDefault="009A3796" w:rsidP="00C30D73">
      <w:pPr>
        <w:pStyle w:val="Heading3"/>
        <w:rPr>
          <w:lang w:val="en-AU"/>
        </w:rPr>
      </w:pPr>
      <w:r w:rsidRPr="00C80F33">
        <w:rPr>
          <w:lang w:val="en-AU"/>
        </w:rPr>
        <w:t>Imports of goods and services</w:t>
      </w:r>
    </w:p>
    <w:p w14:paraId="48D38D57" w14:textId="77777777" w:rsidR="00525DBA" w:rsidRPr="00C80F33" w:rsidRDefault="00FA063B" w:rsidP="002279BB">
      <w:r w:rsidRPr="00C80F33">
        <w:rPr>
          <w:lang w:eastAsia="en-AU"/>
        </w:rPr>
        <w:t>Australian i</w:t>
      </w:r>
      <w:r w:rsidR="002279BB" w:rsidRPr="00C80F33">
        <w:rPr>
          <w:lang w:eastAsia="en-AU"/>
        </w:rPr>
        <w:t xml:space="preserve">mports include </w:t>
      </w:r>
      <w:r w:rsidRPr="00C80F33">
        <w:rPr>
          <w:lang w:eastAsia="en-AU"/>
        </w:rPr>
        <w:t xml:space="preserve">both </w:t>
      </w:r>
      <w:r w:rsidR="002279BB" w:rsidRPr="00C80F33">
        <w:rPr>
          <w:lang w:eastAsia="en-AU"/>
        </w:rPr>
        <w:t xml:space="preserve">goods and services. </w:t>
      </w:r>
      <w:r w:rsidR="009801FF" w:rsidRPr="00C80F33">
        <w:rPr>
          <w:lang w:eastAsia="en-AU"/>
        </w:rPr>
        <w:t xml:space="preserve">The </w:t>
      </w:r>
      <w:r w:rsidR="00BF2A23" w:rsidRPr="00C80F33">
        <w:rPr>
          <w:lang w:eastAsia="en-AU"/>
        </w:rPr>
        <w:t>Australian Bureau of Statistics</w:t>
      </w:r>
      <w:r w:rsidR="00525DBA" w:rsidRPr="00C80F33">
        <w:rPr>
          <w:lang w:eastAsia="en-AU"/>
        </w:rPr>
        <w:t xml:space="preserve"> </w:t>
      </w:r>
      <w:r w:rsidR="00BD72D1" w:rsidRPr="00C80F33">
        <w:t xml:space="preserve">(2011) </w:t>
      </w:r>
      <w:r w:rsidR="00966167" w:rsidRPr="00C80F33">
        <w:t>defines g</w:t>
      </w:r>
      <w:r w:rsidR="00BF2A23" w:rsidRPr="00C80F33">
        <w:t xml:space="preserve">oods </w:t>
      </w:r>
      <w:r w:rsidR="00966167" w:rsidRPr="00C80F33">
        <w:t>to be</w:t>
      </w:r>
      <w:r w:rsidR="00BF2A23" w:rsidRPr="00C80F33">
        <w:t xml:space="preserve"> physical, produced items over which ownership rights can be established and whose economic ownership can be passed from one institutional unit to another by engaging in transactions. They may be used to satisfy </w:t>
      </w:r>
      <w:r w:rsidR="00966167" w:rsidRPr="00C80F33">
        <w:t>final demand</w:t>
      </w:r>
      <w:r w:rsidR="00BF2A23" w:rsidRPr="00C80F33">
        <w:t xml:space="preserve"> or used </w:t>
      </w:r>
      <w:r w:rsidR="00966167" w:rsidRPr="00C80F33">
        <w:t>as an intermediate good in the production of</w:t>
      </w:r>
      <w:r w:rsidR="00BF2A23" w:rsidRPr="00C80F33">
        <w:t xml:space="preserve"> other goods or services. </w:t>
      </w:r>
      <w:r w:rsidR="00966167" w:rsidRPr="00C80F33">
        <w:t>In contrast, s</w:t>
      </w:r>
      <w:r w:rsidR="00BF2A23" w:rsidRPr="00C80F33">
        <w:t>ervices</w:t>
      </w:r>
      <w:r w:rsidR="00966167" w:rsidRPr="00C80F33">
        <w:t xml:space="preserve"> </w:t>
      </w:r>
      <w:r w:rsidR="00BF2A23" w:rsidRPr="00C80F33">
        <w:t>are the result of a production activity that changes the conditions of the consuming units, or facilitates the exchange of products or financial assets. Services are not generally separate items over which ownership rights can be established and cannot generally be s</w:t>
      </w:r>
      <w:r w:rsidR="00727F92" w:rsidRPr="00C80F33">
        <w:t>eparated from their production.</w:t>
      </w:r>
    </w:p>
    <w:p w14:paraId="76E211CD" w14:textId="77777777" w:rsidR="00295D7A" w:rsidRPr="00C80F33" w:rsidRDefault="00BD72D1" w:rsidP="002279BB">
      <w:pPr>
        <w:rPr>
          <w:lang w:eastAsia="en-AU"/>
        </w:rPr>
      </w:pPr>
      <w:r w:rsidRPr="00C80F33">
        <w:t>The Australian Bureau of Statistics (ABS) publishes i</w:t>
      </w:r>
      <w:r w:rsidR="00295D7A" w:rsidRPr="00C80F33">
        <w:t xml:space="preserve">mport </w:t>
      </w:r>
      <w:r w:rsidRPr="00C80F33">
        <w:t xml:space="preserve">volumes and import prices at the quarterly frequency on a seasonally adjusted basis </w:t>
      </w:r>
      <w:r w:rsidR="00295D7A" w:rsidRPr="00C80F33">
        <w:t xml:space="preserve">in </w:t>
      </w:r>
      <w:r w:rsidR="00C5340B" w:rsidRPr="00C80F33">
        <w:t xml:space="preserve">the </w:t>
      </w:r>
      <w:r w:rsidR="00295D7A" w:rsidRPr="00C80F33">
        <w:t xml:space="preserve">Balance of Payments and International Investment Position (ABS Cat. 5302.0). </w:t>
      </w:r>
      <w:r w:rsidR="00295D7A" w:rsidRPr="00C80F33">
        <w:rPr>
          <w:lang w:eastAsia="en-AU"/>
        </w:rPr>
        <w:t xml:space="preserve">According to these data, the share of imports accounted for by goods has risen </w:t>
      </w:r>
      <w:r w:rsidR="00C5340B" w:rsidRPr="00C80F33">
        <w:rPr>
          <w:lang w:eastAsia="en-AU"/>
        </w:rPr>
        <w:t xml:space="preserve">slightly </w:t>
      </w:r>
      <w:r w:rsidR="00295D7A" w:rsidRPr="00C80F33">
        <w:rPr>
          <w:lang w:eastAsia="en-AU"/>
        </w:rPr>
        <w:t xml:space="preserve">over the </w:t>
      </w:r>
      <w:r w:rsidR="00C5340B" w:rsidRPr="00C80F33">
        <w:rPr>
          <w:lang w:eastAsia="en-AU"/>
        </w:rPr>
        <w:t>p</w:t>
      </w:r>
      <w:r w:rsidR="00295D7A" w:rsidRPr="00C80F33">
        <w:rPr>
          <w:lang w:eastAsia="en-AU"/>
        </w:rPr>
        <w:t>ast 30 years, with goods accounting for around 7</w:t>
      </w:r>
      <w:r w:rsidR="004854C4" w:rsidRPr="00C80F33">
        <w:rPr>
          <w:lang w:eastAsia="en-AU"/>
        </w:rPr>
        <w:t>7</w:t>
      </w:r>
      <w:r w:rsidR="00295D7A" w:rsidRPr="00C80F33">
        <w:rPr>
          <w:lang w:eastAsia="en-AU"/>
        </w:rPr>
        <w:t xml:space="preserve"> per cent of the total imports in 198</w:t>
      </w:r>
      <w:r w:rsidR="008D6294" w:rsidRPr="00C80F33">
        <w:rPr>
          <w:lang w:eastAsia="en-AU"/>
        </w:rPr>
        <w:t>5</w:t>
      </w:r>
      <w:r w:rsidR="00295D7A" w:rsidRPr="00C80F33">
        <w:rPr>
          <w:lang w:eastAsia="en-AU"/>
        </w:rPr>
        <w:t xml:space="preserve"> and around 80 per cent in 201</w:t>
      </w:r>
      <w:r w:rsidR="00C724EE" w:rsidRPr="00C80F33">
        <w:rPr>
          <w:lang w:eastAsia="en-AU"/>
        </w:rPr>
        <w:t>4</w:t>
      </w:r>
      <w:r w:rsidR="00295D7A" w:rsidRPr="00C80F33">
        <w:rPr>
          <w:lang w:eastAsia="en-AU"/>
        </w:rPr>
        <w:t xml:space="preserve"> (see </w:t>
      </w:r>
      <w:r w:rsidR="00295D7A" w:rsidRPr="00C80F33">
        <w:rPr>
          <w:lang w:eastAsia="en-AU"/>
        </w:rPr>
        <w:fldChar w:fldCharType="begin"/>
      </w:r>
      <w:r w:rsidR="00295D7A" w:rsidRPr="00C80F33">
        <w:rPr>
          <w:lang w:eastAsia="en-AU"/>
        </w:rPr>
        <w:instrText xml:space="preserve"> REF _Ref353438885 \h </w:instrText>
      </w:r>
      <w:r w:rsidR="00295D7A" w:rsidRPr="00C80F33">
        <w:rPr>
          <w:lang w:eastAsia="en-AU"/>
        </w:rPr>
      </w:r>
      <w:r w:rsidR="00295D7A" w:rsidRPr="00C80F33">
        <w:rPr>
          <w:lang w:eastAsia="en-AU"/>
        </w:rPr>
        <w:fldChar w:fldCharType="separate"/>
      </w:r>
      <w:r w:rsidR="00025120" w:rsidRPr="00C80F33">
        <w:t xml:space="preserve">Chart </w:t>
      </w:r>
      <w:r w:rsidR="00025120">
        <w:rPr>
          <w:noProof/>
        </w:rPr>
        <w:t>1</w:t>
      </w:r>
      <w:r w:rsidR="00295D7A" w:rsidRPr="00C80F33">
        <w:rPr>
          <w:lang w:eastAsia="en-AU"/>
        </w:rPr>
        <w:fldChar w:fldCharType="end"/>
      </w:r>
      <w:r w:rsidR="00295D7A" w:rsidRPr="00C80F33">
        <w:rPr>
          <w:lang w:eastAsia="en-AU"/>
        </w:rPr>
        <w:t xml:space="preserve">). </w:t>
      </w:r>
    </w:p>
    <w:p w14:paraId="59D1E573" w14:textId="77777777" w:rsidR="00FA063B" w:rsidRPr="00C80F33" w:rsidRDefault="00FA063B" w:rsidP="00FA063B">
      <w:pPr>
        <w:pStyle w:val="Caption1"/>
      </w:pPr>
      <w:bookmarkStart w:id="4" w:name="_Ref353438885"/>
      <w:r w:rsidRPr="00C80F33">
        <w:lastRenderedPageBreak/>
        <w:t xml:space="preserve">Chart </w:t>
      </w:r>
      <w:r w:rsidR="00BB0DB8">
        <w:fldChar w:fldCharType="begin"/>
      </w:r>
      <w:r w:rsidR="00BB0DB8">
        <w:instrText xml:space="preserve"> SEQ Chart \* ARABIC </w:instrText>
      </w:r>
      <w:r w:rsidR="00BB0DB8">
        <w:fldChar w:fldCharType="separate"/>
      </w:r>
      <w:r w:rsidR="00025120">
        <w:rPr>
          <w:noProof/>
        </w:rPr>
        <w:t>1</w:t>
      </w:r>
      <w:r w:rsidR="00BB0DB8">
        <w:rPr>
          <w:noProof/>
        </w:rPr>
        <w:fldChar w:fldCharType="end"/>
      </w:r>
      <w:bookmarkEnd w:id="4"/>
      <w:r w:rsidRPr="00C80F33">
        <w:t xml:space="preserve">: Ratio of </w:t>
      </w:r>
      <w:r w:rsidR="00BF2A23" w:rsidRPr="00C80F33">
        <w:t xml:space="preserve">goods and service </w:t>
      </w:r>
      <w:r w:rsidRPr="00C80F33">
        <w:t>imports to total imports value</w:t>
      </w:r>
    </w:p>
    <w:p w14:paraId="645C4FE8" w14:textId="77777777" w:rsidR="004C659E" w:rsidRPr="00C80F33" w:rsidRDefault="006C3CE5" w:rsidP="00F11672">
      <w:pPr>
        <w:pStyle w:val="ChartGraphic"/>
      </w:pPr>
      <w:r w:rsidRPr="00C80F33">
        <w:object w:dxaOrig="7291" w:dyaOrig="5085" w14:anchorId="3A8CCDD2">
          <v:shape id="_x0000_i1053" type="#_x0000_t75" alt="This chart shows displays the ratios of goods and services imports to total imports value from 1985 to 2013.  The share of imports accounted for by goods has risen slightly over the past 30 years, with goods accounting for around 77 per cent of the total imports in 1985 and around 80 per cent in 2013." style="width:365pt;height:253.8pt" o:ole="">
            <v:imagedata r:id="rId81" o:title=""/>
          </v:shape>
          <o:OLEObject Type="Embed" ProgID="EViews.Workfile.2" ShapeID="_x0000_i1053" DrawAspect="Content" ObjectID="_1495870623" r:id="rId82"/>
        </w:object>
      </w:r>
    </w:p>
    <w:p w14:paraId="44725D09" w14:textId="77777777" w:rsidR="003B4B26" w:rsidRPr="00C80F33" w:rsidRDefault="003B4B26" w:rsidP="00984977">
      <w:pPr>
        <w:pStyle w:val="Source"/>
      </w:pPr>
      <w:r w:rsidRPr="00C80F33">
        <w:t xml:space="preserve">Source: Authors’ calculations based on ABS Cat </w:t>
      </w:r>
      <w:r w:rsidR="006E2F5B" w:rsidRPr="00C80F33">
        <w:t>5302</w:t>
      </w:r>
      <w:r w:rsidRPr="00C80F33">
        <w:t>.0.</w:t>
      </w:r>
    </w:p>
    <w:p w14:paraId="7267EF5E" w14:textId="77777777" w:rsidR="00525DBA" w:rsidRPr="00C80F33" w:rsidRDefault="009A3796" w:rsidP="006E3D63">
      <w:pPr>
        <w:pStyle w:val="Heading4"/>
      </w:pPr>
      <w:r w:rsidRPr="00C80F33">
        <w:t>I</w:t>
      </w:r>
      <w:r w:rsidR="00525DBA" w:rsidRPr="00C80F33">
        <w:t>mports</w:t>
      </w:r>
      <w:r w:rsidRPr="00C80F33">
        <w:t xml:space="preserve"> of goods</w:t>
      </w:r>
    </w:p>
    <w:p w14:paraId="1856E5D5" w14:textId="2B483FF6" w:rsidR="009C165C" w:rsidRPr="00C80F33" w:rsidRDefault="00F35690" w:rsidP="00C30D73">
      <w:r w:rsidRPr="00C80F33">
        <w:t xml:space="preserve">Australian researchers dating back to </w:t>
      </w:r>
      <w:r w:rsidR="00C57AD5" w:rsidRPr="00C80F33">
        <w:t xml:space="preserve">the </w:t>
      </w:r>
      <w:r w:rsidRPr="00C80F33">
        <w:t xml:space="preserve">National Income Forecasting </w:t>
      </w:r>
      <w:r w:rsidR="002C698D" w:rsidRPr="00C80F33">
        <w:t xml:space="preserve">(NIF) </w:t>
      </w:r>
      <w:r w:rsidRPr="00C80F33">
        <w:t xml:space="preserve">project of the 1970s </w:t>
      </w:r>
      <w:r w:rsidR="00352410" w:rsidRPr="00C80F33">
        <w:t>(see</w:t>
      </w:r>
      <w:r w:rsidR="00C12CD2" w:rsidRPr="00C80F33">
        <w:t> </w:t>
      </w:r>
      <w:proofErr w:type="spellStart"/>
      <w:r w:rsidR="00352410" w:rsidRPr="00C80F33">
        <w:t>Caton</w:t>
      </w:r>
      <w:proofErr w:type="spellEnd"/>
      <w:r w:rsidR="00352410" w:rsidRPr="00C80F33">
        <w:t xml:space="preserve"> and Johnston, 1975, for details) </w:t>
      </w:r>
      <w:r w:rsidR="00836336" w:rsidRPr="00C80F33">
        <w:t>and more recently</w:t>
      </w:r>
      <w:r w:rsidR="00BE38D8" w:rsidRPr="00C80F33">
        <w:t>,</w:t>
      </w:r>
      <w:r w:rsidR="00836336" w:rsidRPr="00C80F33">
        <w:t xml:space="preserve"> Wilkinson (1992) and </w:t>
      </w:r>
      <w:proofErr w:type="spellStart"/>
      <w:r w:rsidR="00836336" w:rsidRPr="00C80F33">
        <w:t>Jilek</w:t>
      </w:r>
      <w:proofErr w:type="spellEnd"/>
      <w:r w:rsidR="00836336" w:rsidRPr="00C80F33">
        <w:t xml:space="preserve">, Johnson and </w:t>
      </w:r>
      <w:proofErr w:type="spellStart"/>
      <w:r w:rsidR="00836336" w:rsidRPr="00C80F33">
        <w:t>Taplin</w:t>
      </w:r>
      <w:proofErr w:type="spellEnd"/>
      <w:r w:rsidR="00836336" w:rsidRPr="00C80F33">
        <w:t xml:space="preserve"> (1993) </w:t>
      </w:r>
      <w:r w:rsidR="00596DB9" w:rsidRPr="00C80F33">
        <w:t xml:space="preserve">have </w:t>
      </w:r>
      <w:r w:rsidR="00836336" w:rsidRPr="00C80F33">
        <w:t>limited their analysis to modelling</w:t>
      </w:r>
      <w:r w:rsidR="007F30EA" w:rsidRPr="00C80F33">
        <w:t xml:space="preserve"> aggregate</w:t>
      </w:r>
      <w:r w:rsidR="00C80F33">
        <w:t xml:space="preserve"> ‘endogenous imports’</w:t>
      </w:r>
      <w:r w:rsidR="00836336" w:rsidRPr="00C80F33">
        <w:t xml:space="preserve">. </w:t>
      </w:r>
      <w:r w:rsidR="002745A0" w:rsidRPr="00C80F33">
        <w:t>These earlier studies classified e</w:t>
      </w:r>
      <w:r w:rsidR="00836336" w:rsidRPr="00C80F33">
        <w:t xml:space="preserve">ndogenous imports as the residual of total goods imports less “exogenous imports”, where the latter includes civil aircraft; </w:t>
      </w:r>
      <w:proofErr w:type="spellStart"/>
      <w:r w:rsidR="00836336" w:rsidRPr="00C80F33">
        <w:t>confidentialised</w:t>
      </w:r>
      <w:proofErr w:type="spellEnd"/>
      <w:r w:rsidR="00836336" w:rsidRPr="00C80F33">
        <w:t xml:space="preserve"> items; goods procured in ports by carriers; and non-monetary gold. This is a useful distinction for modelling because exogenous imports tend to be lumpy or irregular items that do not lend themselves to systematic modelling. </w:t>
      </w:r>
    </w:p>
    <w:p w14:paraId="58BBD972" w14:textId="234BDA99" w:rsidR="009C165C" w:rsidRPr="00C80F33" w:rsidRDefault="002745A0" w:rsidP="00C30D73">
      <w:r w:rsidRPr="00C80F33">
        <w:t xml:space="preserve">More recently, </w:t>
      </w:r>
      <w:r w:rsidR="009C165C" w:rsidRPr="00C80F33">
        <w:t>Australian Bureau of Statistics (2012) note</w:t>
      </w:r>
      <w:r w:rsidRPr="00C80F33">
        <w:t>d</w:t>
      </w:r>
      <w:r w:rsidR="009C165C" w:rsidRPr="00C80F33">
        <w:t xml:space="preserve"> that imported structures, such as </w:t>
      </w:r>
      <w:r w:rsidR="008D6294" w:rsidRPr="00C80F33">
        <w:t>Liquefied Natural Gas (</w:t>
      </w:r>
      <w:r w:rsidR="009C165C" w:rsidRPr="00C80F33">
        <w:t>LNG</w:t>
      </w:r>
      <w:r w:rsidR="008D6294" w:rsidRPr="00C80F33">
        <w:t>)</w:t>
      </w:r>
      <w:r w:rsidR="009C165C" w:rsidRPr="00C80F33">
        <w:t xml:space="preserve"> processing plants </w:t>
      </w:r>
      <w:r w:rsidRPr="00C80F33">
        <w:t>were to be</w:t>
      </w:r>
      <w:r w:rsidR="009C165C" w:rsidRPr="00C80F33">
        <w:t xml:space="preserve"> classified as engineering construction. This is at odds with the greater part of capital goods imports which tend to be machinery and equipment, so </w:t>
      </w:r>
      <w:r w:rsidRPr="00C80F33">
        <w:t xml:space="preserve">in keeping with the endogenous/exogenous distinction </w:t>
      </w:r>
      <w:r w:rsidR="009C165C" w:rsidRPr="00C80F33">
        <w:t xml:space="preserve">these </w:t>
      </w:r>
      <w:r w:rsidRPr="00C80F33">
        <w:t xml:space="preserve">goods </w:t>
      </w:r>
      <w:r w:rsidR="009C165C" w:rsidRPr="00C80F33">
        <w:t xml:space="preserve">are classified </w:t>
      </w:r>
      <w:r w:rsidRPr="00C80F33">
        <w:t xml:space="preserve">as exogenous. In practical terms this requires the </w:t>
      </w:r>
      <w:r w:rsidR="00C80F33">
        <w:t>‘</w:t>
      </w:r>
      <w:r w:rsidRPr="00C80F33">
        <w:t>n</w:t>
      </w:r>
      <w:r w:rsidR="00BE38D8" w:rsidRPr="00C80F33">
        <w:t>o</w:t>
      </w:r>
      <w:r w:rsidRPr="00C80F33">
        <w:t>t elsewhere specified</w:t>
      </w:r>
      <w:r w:rsidR="00C80F33">
        <w:t xml:space="preserve"> (</w:t>
      </w:r>
      <w:proofErr w:type="spellStart"/>
      <w:r w:rsidR="00C80F33">
        <w:t>nes</w:t>
      </w:r>
      <w:proofErr w:type="spellEnd"/>
      <w:r w:rsidR="00C80F33">
        <w:t>)’</w:t>
      </w:r>
      <w:r w:rsidRPr="00C80F33">
        <w:t xml:space="preserve"> category of the capital goods imports to be assigned to the exogenous category</w:t>
      </w:r>
      <w:r w:rsidR="009C165C" w:rsidRPr="00C80F33">
        <w:t>.</w:t>
      </w:r>
    </w:p>
    <w:p w14:paraId="3991C5AD" w14:textId="77777777" w:rsidR="005C1D05" w:rsidRPr="00C80F33" w:rsidRDefault="005C1D05" w:rsidP="00C30D73">
      <w:r w:rsidRPr="00C80F33">
        <w:t>Total endogenous goods imports accounted for around 9</w:t>
      </w:r>
      <w:r w:rsidR="004854C4" w:rsidRPr="00C80F33">
        <w:t>5</w:t>
      </w:r>
      <w:r w:rsidRPr="00C80F33">
        <w:t xml:space="preserve"> per cent of the total value of goods imports in 1985 and around 9</w:t>
      </w:r>
      <w:r w:rsidR="003D3BE7" w:rsidRPr="00C80F33">
        <w:t>0</w:t>
      </w:r>
      <w:r w:rsidRPr="00C80F33">
        <w:t xml:space="preserve"> per cent</w:t>
      </w:r>
      <w:r w:rsidR="00C5340B" w:rsidRPr="00C80F33">
        <w:t xml:space="preserve"> </w:t>
      </w:r>
      <w:r w:rsidRPr="00C80F33">
        <w:t>in 201</w:t>
      </w:r>
      <w:r w:rsidR="00C724EE" w:rsidRPr="00C80F33">
        <w:t>4</w:t>
      </w:r>
      <w:r w:rsidR="003D3BE7" w:rsidRPr="00C80F33">
        <w:t xml:space="preserve">, with most of the </w:t>
      </w:r>
      <w:r w:rsidR="009265CC" w:rsidRPr="00C80F33">
        <w:t>decline</w:t>
      </w:r>
      <w:r w:rsidR="003D3BE7" w:rsidRPr="00C80F33">
        <w:t xml:space="preserve"> due to </w:t>
      </w:r>
      <w:r w:rsidR="008D6294" w:rsidRPr="00C80F33">
        <w:t xml:space="preserve">the growth of </w:t>
      </w:r>
      <w:r w:rsidR="009265CC" w:rsidRPr="00C80F33">
        <w:t>exogenous capital</w:t>
      </w:r>
      <w:r w:rsidR="003D3BE7" w:rsidRPr="00C80F33">
        <w:t xml:space="preserve"> imports relating to LNG processing plants</w:t>
      </w:r>
      <w:r w:rsidRPr="00C80F33">
        <w:t xml:space="preserve"> (see </w:t>
      </w:r>
      <w:r w:rsidRPr="00C80F33">
        <w:fldChar w:fldCharType="begin"/>
      </w:r>
      <w:r w:rsidRPr="00C80F33">
        <w:instrText xml:space="preserve"> REF _Ref353441694 \h </w:instrText>
      </w:r>
      <w:r w:rsidRPr="00C80F33">
        <w:fldChar w:fldCharType="separate"/>
      </w:r>
      <w:r w:rsidR="00025120" w:rsidRPr="00C80F33">
        <w:t xml:space="preserve">Chart </w:t>
      </w:r>
      <w:r w:rsidR="00025120">
        <w:rPr>
          <w:noProof/>
        </w:rPr>
        <w:t>2</w:t>
      </w:r>
      <w:r w:rsidRPr="00C80F33">
        <w:fldChar w:fldCharType="end"/>
      </w:r>
      <w:r w:rsidRPr="00C80F33">
        <w:t>).</w:t>
      </w:r>
      <w:r w:rsidR="003D3BE7" w:rsidRPr="00C80F33">
        <w:t xml:space="preserve"> </w:t>
      </w:r>
    </w:p>
    <w:p w14:paraId="285960D4" w14:textId="77777777" w:rsidR="00C30D73" w:rsidRPr="00C80F33" w:rsidRDefault="00C30D73" w:rsidP="00C30D73">
      <w:pPr>
        <w:pStyle w:val="Caption1"/>
      </w:pPr>
      <w:bookmarkStart w:id="5" w:name="_Ref353441694"/>
      <w:r w:rsidRPr="00C80F33">
        <w:lastRenderedPageBreak/>
        <w:t xml:space="preserve">Chart </w:t>
      </w:r>
      <w:r w:rsidR="00BB0DB8">
        <w:fldChar w:fldCharType="begin"/>
      </w:r>
      <w:r w:rsidR="00BB0DB8">
        <w:instrText xml:space="preserve"> SEQ Chart \* ARABIC </w:instrText>
      </w:r>
      <w:r w:rsidR="00BB0DB8">
        <w:fldChar w:fldCharType="separate"/>
      </w:r>
      <w:r w:rsidR="00025120">
        <w:rPr>
          <w:noProof/>
        </w:rPr>
        <w:t>2</w:t>
      </w:r>
      <w:r w:rsidR="00BB0DB8">
        <w:rPr>
          <w:noProof/>
        </w:rPr>
        <w:fldChar w:fldCharType="end"/>
      </w:r>
      <w:bookmarkEnd w:id="5"/>
      <w:r w:rsidRPr="00C80F33">
        <w:t xml:space="preserve">: Ratio of total endogenous </w:t>
      </w:r>
      <w:r w:rsidR="00525DBA" w:rsidRPr="00C80F33">
        <w:t>goods</w:t>
      </w:r>
      <w:r w:rsidRPr="00C80F33">
        <w:t xml:space="preserve"> to total </w:t>
      </w:r>
      <w:r w:rsidR="00525DBA" w:rsidRPr="00C80F33">
        <w:t>goods</w:t>
      </w:r>
      <w:r w:rsidR="00F80941" w:rsidRPr="00C80F33">
        <w:t xml:space="preserve"> value</w:t>
      </w:r>
    </w:p>
    <w:p w14:paraId="07E47CD6" w14:textId="77777777" w:rsidR="004C659E" w:rsidRPr="00C80F33" w:rsidRDefault="006C3CE5" w:rsidP="00F11672">
      <w:pPr>
        <w:pStyle w:val="ChartGraphic"/>
      </w:pPr>
      <w:r w:rsidRPr="00C80F33">
        <w:object w:dxaOrig="7291" w:dyaOrig="5085" w14:anchorId="46C0B938">
          <v:shape id="_x0000_i1054" type="#_x0000_t75" alt="This chart shows that total endogenous goods imports accounted for around 95 per cent of the total value of goods imports in 1985 and around 90 per cent in 2013, with most of the decline due to the growth of exogenous capital imports relating to LNG processing plants." style="width:365pt;height:253.8pt" o:ole="">
            <v:imagedata r:id="rId83" o:title=""/>
          </v:shape>
          <o:OLEObject Type="Embed" ProgID="EViews.Workfile.2" ShapeID="_x0000_i1054" DrawAspect="Content" ObjectID="_1495870624" r:id="rId84"/>
        </w:object>
      </w:r>
    </w:p>
    <w:p w14:paraId="6395CCB8" w14:textId="77777777" w:rsidR="003D3BE7" w:rsidRPr="00C80F33" w:rsidRDefault="003D3BE7" w:rsidP="00F11672">
      <w:pPr>
        <w:pStyle w:val="Source"/>
      </w:pPr>
      <w:r w:rsidRPr="00C80F33">
        <w:t>Source: Authors’ calculations based on ABS Cat 5302.0.</w:t>
      </w:r>
    </w:p>
    <w:p w14:paraId="04DBAAC7" w14:textId="57B3BE42" w:rsidR="004854C4" w:rsidRPr="00C80F33" w:rsidRDefault="004854C4" w:rsidP="00C12CD2">
      <w:r w:rsidRPr="00C80F33">
        <w:t>We go a step further in this paper by following Dwyer and Kent (1994) in modelling major sub</w:t>
      </w:r>
      <w:r w:rsidR="00C5340B" w:rsidRPr="00C80F33">
        <w:noBreakHyphen/>
      </w:r>
      <w:r w:rsidRPr="00C80F33">
        <w:t>components of imports of endogenous goods. The major sub-categories of endogenous imports we analyse are: consumption goods; capital goods; and intermediate and other goods. This more general approach allows these components to have different income an</w:t>
      </w:r>
      <w:r w:rsidR="00C12CD2" w:rsidRPr="00C80F33">
        <w:t>d price elasticities of demand.</w:t>
      </w:r>
    </w:p>
    <w:p w14:paraId="11968D34" w14:textId="77777777" w:rsidR="00C12CD2" w:rsidRPr="00C80F33" w:rsidRDefault="00C12CD2" w:rsidP="00C12CD2">
      <w:pPr>
        <w:pStyle w:val="SingleParagraph"/>
      </w:pPr>
    </w:p>
    <w:p w14:paraId="7A335866" w14:textId="77777777" w:rsidR="00644548" w:rsidRPr="00C80F33" w:rsidRDefault="00644548" w:rsidP="00644548">
      <w:pPr>
        <w:pStyle w:val="Caption1"/>
      </w:pPr>
      <w:bookmarkStart w:id="6" w:name="_Ref353441737"/>
      <w:r w:rsidRPr="00C80F33">
        <w:t xml:space="preserve">Chart </w:t>
      </w:r>
      <w:r w:rsidR="00BB0DB8">
        <w:fldChar w:fldCharType="begin"/>
      </w:r>
      <w:r w:rsidR="00BB0DB8">
        <w:instrText xml:space="preserve"> SEQ Chart \* ARABIC </w:instrText>
      </w:r>
      <w:r w:rsidR="00BB0DB8">
        <w:fldChar w:fldCharType="separate"/>
      </w:r>
      <w:r w:rsidR="00025120">
        <w:rPr>
          <w:noProof/>
        </w:rPr>
        <w:t>3</w:t>
      </w:r>
      <w:r w:rsidR="00BB0DB8">
        <w:rPr>
          <w:noProof/>
        </w:rPr>
        <w:fldChar w:fldCharType="end"/>
      </w:r>
      <w:bookmarkEnd w:id="6"/>
      <w:r w:rsidRPr="00C80F33">
        <w:t>: Ratio of endogenous goods components to total endogenous goods</w:t>
      </w:r>
      <w:r w:rsidR="00F80941" w:rsidRPr="00C80F33">
        <w:t xml:space="preserve"> value</w:t>
      </w:r>
    </w:p>
    <w:p w14:paraId="1ED34588" w14:textId="77777777" w:rsidR="004C659E" w:rsidRPr="00C80F33" w:rsidRDefault="006C3CE5" w:rsidP="00F11672">
      <w:pPr>
        <w:pStyle w:val="ChartGraphic"/>
      </w:pPr>
      <w:r w:rsidRPr="00C80F33">
        <w:object w:dxaOrig="7185" w:dyaOrig="5085" w14:anchorId="6A8E8191">
          <v:shape id="_x0000_i1055" type="#_x0000_t75" alt="This chart shows that intermediate and other goods are the largest endogenous subcategory, accounting for 55 per cent of the total value of endogenous imports in 1985 and around 48 per cent in 2013.  The steady decline in the share of intermediate and other goods has largely been offset by a rising share of consumption goods.  Consumption have risen from around 25 per cent of the value of endogenous imports in 1985 to around 34 per cent in 2013, while capital goods have accounted for a roughly constant share of around 19 per cent." style="width:358.55pt;height:253.8pt" o:ole="">
            <v:imagedata r:id="rId85" o:title=""/>
          </v:shape>
          <o:OLEObject Type="Embed" ProgID="EViews.Workfile.2" ShapeID="_x0000_i1055" DrawAspect="Content" ObjectID="_1495870625" r:id="rId86"/>
        </w:object>
      </w:r>
    </w:p>
    <w:p w14:paraId="2A1F2B47" w14:textId="77777777" w:rsidR="003D3BE7" w:rsidRPr="00C80F33" w:rsidRDefault="003D3BE7" w:rsidP="00F11672">
      <w:pPr>
        <w:pStyle w:val="Source"/>
      </w:pPr>
      <w:r w:rsidRPr="00C80F33">
        <w:t>Source: Authors’ calculations based on ABS Cat 5302.0.</w:t>
      </w:r>
    </w:p>
    <w:p w14:paraId="08CC1777" w14:textId="77777777" w:rsidR="003D3BE7" w:rsidRPr="00C80F33" w:rsidRDefault="004854C4" w:rsidP="003D3BE7">
      <w:r w:rsidRPr="00C80F33">
        <w:lastRenderedPageBreak/>
        <w:fldChar w:fldCharType="begin"/>
      </w:r>
      <w:r w:rsidRPr="00C80F33">
        <w:instrText xml:space="preserve"> REF _Ref353441737 \h </w:instrText>
      </w:r>
      <w:r w:rsidRPr="00C80F33">
        <w:fldChar w:fldCharType="separate"/>
      </w:r>
      <w:r w:rsidR="00025120" w:rsidRPr="00C80F33">
        <w:t xml:space="preserve">Chart </w:t>
      </w:r>
      <w:r w:rsidR="00025120">
        <w:rPr>
          <w:noProof/>
        </w:rPr>
        <w:t>3</w:t>
      </w:r>
      <w:r w:rsidRPr="00C80F33">
        <w:fldChar w:fldCharType="end"/>
      </w:r>
      <w:r w:rsidRPr="00C80F33">
        <w:t xml:space="preserve"> </w:t>
      </w:r>
      <w:r w:rsidR="00BE38D8" w:rsidRPr="00C80F33">
        <w:t>shows</w:t>
      </w:r>
      <w:r w:rsidRPr="00C80F33">
        <w:t xml:space="preserve"> that intermediate and other goods are the largest endogenous subcategory</w:t>
      </w:r>
      <w:r w:rsidR="00C5340B" w:rsidRPr="00C80F33">
        <w:t>,</w:t>
      </w:r>
      <w:r w:rsidRPr="00C80F33">
        <w:t xml:space="preserve"> accounting for 55 per cent of the total value of endogenous imports in 1985 and around 48 per cent in 201</w:t>
      </w:r>
      <w:r w:rsidR="00C724EE" w:rsidRPr="00C80F33">
        <w:t>4</w:t>
      </w:r>
      <w:r w:rsidRPr="00C80F33">
        <w:t xml:space="preserve">. The steady decline in </w:t>
      </w:r>
      <w:r w:rsidR="00C5340B" w:rsidRPr="00C80F33">
        <w:t xml:space="preserve">the </w:t>
      </w:r>
      <w:r w:rsidRPr="00C80F33">
        <w:t>share of intermediate and other goods has largely been offset by a rising share of consumption goods</w:t>
      </w:r>
      <w:r w:rsidR="00C5340B" w:rsidRPr="00C80F33">
        <w:t xml:space="preserve">. </w:t>
      </w:r>
      <w:r w:rsidR="004F5564" w:rsidRPr="00C80F33">
        <w:t>Consumption</w:t>
      </w:r>
      <w:r w:rsidR="00C5340B" w:rsidRPr="00C80F33">
        <w:t xml:space="preserve"> </w:t>
      </w:r>
      <w:r w:rsidR="00E3477E" w:rsidRPr="00C80F33">
        <w:t xml:space="preserve">have risen from around 25 per cent </w:t>
      </w:r>
      <w:r w:rsidRPr="00C80F33">
        <w:t xml:space="preserve">of the value of endogenous imports in </w:t>
      </w:r>
      <w:r w:rsidR="00E3477E" w:rsidRPr="00C80F33">
        <w:t>1985 to around 3</w:t>
      </w:r>
      <w:r w:rsidR="00C724EE" w:rsidRPr="00C80F33">
        <w:t>3</w:t>
      </w:r>
      <w:r w:rsidR="00E3477E" w:rsidRPr="00C80F33">
        <w:t xml:space="preserve"> per cent in 201</w:t>
      </w:r>
      <w:r w:rsidR="00C724EE" w:rsidRPr="00C80F33">
        <w:t>4</w:t>
      </w:r>
      <w:r w:rsidRPr="00C80F33">
        <w:t xml:space="preserve">, while capital goods have accounted for a roughly constant share of </w:t>
      </w:r>
      <w:r w:rsidR="00C57C83" w:rsidRPr="00C80F33">
        <w:t>around 19 per cent.</w:t>
      </w:r>
    </w:p>
    <w:p w14:paraId="18ACED73" w14:textId="77777777" w:rsidR="00C30D73" w:rsidRPr="00C80F33" w:rsidRDefault="009A3796" w:rsidP="006E3D63">
      <w:pPr>
        <w:pStyle w:val="Heading4"/>
      </w:pPr>
      <w:r w:rsidRPr="00C80F33">
        <w:t>Imports of services</w:t>
      </w:r>
    </w:p>
    <w:p w14:paraId="3D1E179D" w14:textId="77777777" w:rsidR="00B750C6" w:rsidRPr="00C80F33" w:rsidRDefault="00B750C6" w:rsidP="00B750C6">
      <w:pPr>
        <w:rPr>
          <w:lang w:eastAsia="en-AU"/>
        </w:rPr>
      </w:pPr>
      <w:r w:rsidRPr="00C80F33">
        <w:t xml:space="preserve">Service imports cover a range of activities: </w:t>
      </w:r>
      <w:r w:rsidRPr="00C80F33">
        <w:rPr>
          <w:lang w:eastAsia="en-AU"/>
        </w:rPr>
        <w:t>manufacturing services on physical inputs owned by others</w:t>
      </w:r>
      <w:r w:rsidR="00596DB9" w:rsidRPr="00C80F33">
        <w:rPr>
          <w:lang w:eastAsia="en-AU"/>
        </w:rPr>
        <w:t>;</w:t>
      </w:r>
      <w:r w:rsidRPr="00C80F33">
        <w:rPr>
          <w:lang w:eastAsia="en-AU"/>
        </w:rPr>
        <w:t xml:space="preserve"> maintenance and repair services</w:t>
      </w:r>
      <w:r w:rsidR="00596DB9" w:rsidRPr="00C80F33">
        <w:rPr>
          <w:lang w:eastAsia="en-AU"/>
        </w:rPr>
        <w:t>;</w:t>
      </w:r>
      <w:r w:rsidRPr="00C80F33">
        <w:rPr>
          <w:lang w:eastAsia="en-AU"/>
        </w:rPr>
        <w:t xml:space="preserve"> transportation services, travel services</w:t>
      </w:r>
      <w:r w:rsidR="00596DB9" w:rsidRPr="00C80F33">
        <w:rPr>
          <w:lang w:eastAsia="en-AU"/>
        </w:rPr>
        <w:t>;</w:t>
      </w:r>
      <w:r w:rsidRPr="00C80F33">
        <w:rPr>
          <w:lang w:eastAsia="en-AU"/>
        </w:rPr>
        <w:t xml:space="preserve"> and other services.</w:t>
      </w:r>
      <w:r w:rsidR="00AE108F" w:rsidRPr="00C80F33">
        <w:rPr>
          <w:lang w:eastAsia="en-AU"/>
        </w:rPr>
        <w:t xml:space="preserve"> </w:t>
      </w:r>
      <w:r w:rsidR="002C698D" w:rsidRPr="00C80F33">
        <w:rPr>
          <w:lang w:eastAsia="en-AU"/>
        </w:rPr>
        <w:t xml:space="preserve">Previous Treasury modelling undertaken as part of the NIF project explained imports at a disaggregated level. </w:t>
      </w:r>
      <w:r w:rsidR="00A47BF9" w:rsidRPr="00C80F33">
        <w:rPr>
          <w:lang w:eastAsia="en-AU"/>
        </w:rPr>
        <w:t xml:space="preserve">The analysis presented here is limited to aggregate services, which implicitly </w:t>
      </w:r>
      <w:r w:rsidR="00AE108F" w:rsidRPr="00C80F33">
        <w:rPr>
          <w:lang w:eastAsia="en-AU"/>
        </w:rPr>
        <w:t>assumes</w:t>
      </w:r>
      <w:r w:rsidR="00A47BF9" w:rsidRPr="00C80F33">
        <w:rPr>
          <w:lang w:eastAsia="en-AU"/>
        </w:rPr>
        <w:t xml:space="preserve"> they are homogenous activities. We leave it to our future research to explore the appropriateness of this assumption</w:t>
      </w:r>
      <w:r w:rsidR="00AE108F" w:rsidRPr="00C80F33">
        <w:rPr>
          <w:lang w:eastAsia="en-AU"/>
        </w:rPr>
        <w:t>.</w:t>
      </w:r>
    </w:p>
    <w:p w14:paraId="467CBCC6" w14:textId="77777777" w:rsidR="00B55905" w:rsidRPr="00C80F33" w:rsidRDefault="00851EEA" w:rsidP="00B55905">
      <w:pPr>
        <w:pStyle w:val="Heading3"/>
        <w:rPr>
          <w:lang w:val="en-AU"/>
        </w:rPr>
      </w:pPr>
      <w:r w:rsidRPr="00C80F33">
        <w:rPr>
          <w:lang w:val="en-AU"/>
        </w:rPr>
        <w:t xml:space="preserve">Import penetration </w:t>
      </w:r>
      <w:r w:rsidR="006E3D63" w:rsidRPr="00C80F33">
        <w:rPr>
          <w:lang w:val="en-AU"/>
        </w:rPr>
        <w:t>versus relative import prices</w:t>
      </w:r>
    </w:p>
    <w:p w14:paraId="3A62D07F" w14:textId="63CCCD93" w:rsidR="006E3D63" w:rsidRPr="00C80F33" w:rsidRDefault="006E3D63" w:rsidP="0040445A">
      <w:r w:rsidRPr="00C80F33">
        <w:t>T</w:t>
      </w:r>
      <w:r w:rsidR="001B4003" w:rsidRPr="00C80F33">
        <w:t xml:space="preserve">he theory outlined above </w:t>
      </w:r>
      <w:r w:rsidRPr="00C80F33">
        <w:t>predicts that if</w:t>
      </w:r>
      <w:r w:rsidR="001B4003" w:rsidRPr="00C80F33">
        <w:t xml:space="preserve"> there is </w:t>
      </w:r>
      <w:r w:rsidR="00162967" w:rsidRPr="00C80F33">
        <w:t xml:space="preserve">substitution </w:t>
      </w:r>
      <w:r w:rsidR="0040445A" w:rsidRPr="00C80F33">
        <w:t xml:space="preserve">between </w:t>
      </w:r>
      <w:r w:rsidR="001B4003" w:rsidRPr="00C80F33">
        <w:t xml:space="preserve">domestically produced and </w:t>
      </w:r>
      <w:r w:rsidR="0040445A" w:rsidRPr="00C80F33">
        <w:t>import</w:t>
      </w:r>
      <w:r w:rsidR="001B4003" w:rsidRPr="00C80F33">
        <w:t>ed g</w:t>
      </w:r>
      <w:r w:rsidR="0040445A" w:rsidRPr="00C80F33">
        <w:t>oods</w:t>
      </w:r>
      <w:r w:rsidR="001B4003" w:rsidRPr="00C80F33">
        <w:t>/services</w:t>
      </w:r>
      <w:r w:rsidR="00162967" w:rsidRPr="00C80F33">
        <w:t xml:space="preserve"> (</w:t>
      </w:r>
      <w:r w:rsidR="00C12CD2" w:rsidRPr="00C80F33">
        <w:t>that is</w:t>
      </w:r>
      <w:r w:rsidR="00162967" w:rsidRPr="00C80F33">
        <w:t>,</w:t>
      </w:r>
      <w:r w:rsidR="002671A1" w:rsidRPr="00C80F33">
        <w:t xml:space="preserve"> </w:t>
      </w:r>
      <w:r w:rsidR="002671A1" w:rsidRPr="00C80F33">
        <w:rPr>
          <w:rFonts w:ascii="Symbol" w:hAnsi="Symbol"/>
        </w:rPr>
        <w:t></w:t>
      </w:r>
      <w:r w:rsidR="002671A1" w:rsidRPr="00C80F33">
        <w:rPr>
          <w:rFonts w:asciiTheme="minorHAnsi" w:hAnsiTheme="minorHAnsi"/>
        </w:rPr>
        <w:t xml:space="preserve"> </w:t>
      </w:r>
      <w:r w:rsidR="002671A1" w:rsidRPr="00C80F33">
        <w:rPr>
          <w:rFonts w:asciiTheme="minorHAnsi" w:hAnsiTheme="minorHAnsi" w:cs="Times New Roman"/>
        </w:rPr>
        <w:t>&gt; 0</w:t>
      </w:r>
      <w:r w:rsidR="00162967" w:rsidRPr="00C80F33">
        <w:t>)</w:t>
      </w:r>
      <w:r w:rsidR="001B4003" w:rsidRPr="00C80F33">
        <w:t xml:space="preserve">, </w:t>
      </w:r>
      <w:r w:rsidRPr="00C80F33">
        <w:t xml:space="preserve">then the </w:t>
      </w:r>
      <w:r w:rsidR="001B4003" w:rsidRPr="00C80F33">
        <w:t xml:space="preserve">import penetration ratio </w:t>
      </w:r>
      <w:r w:rsidRPr="00C80F33">
        <w:t xml:space="preserve">of these goods/services </w:t>
      </w:r>
      <w:r w:rsidR="009A55E1" w:rsidRPr="00C80F33">
        <w:t>(</w:t>
      </w:r>
      <w:r w:rsidR="00C12CD2" w:rsidRPr="00C80F33">
        <w:t>that is</w:t>
      </w:r>
      <w:r w:rsidR="009A55E1" w:rsidRPr="00C80F33">
        <w:t xml:space="preserve">, the ratio of the volume of imports to </w:t>
      </w:r>
      <w:r w:rsidRPr="00C80F33">
        <w:t xml:space="preserve">the </w:t>
      </w:r>
      <w:r w:rsidR="009A55E1" w:rsidRPr="00C80F33">
        <w:t xml:space="preserve">volume of total expenditure) </w:t>
      </w:r>
      <w:r w:rsidR="00CA52A8" w:rsidRPr="00C80F33">
        <w:t xml:space="preserve">should </w:t>
      </w:r>
      <w:r w:rsidR="00815B43" w:rsidRPr="00C80F33">
        <w:t>be inversely related to their</w:t>
      </w:r>
      <w:r w:rsidRPr="00C80F33">
        <w:t xml:space="preserve"> respective</w:t>
      </w:r>
      <w:r w:rsidR="00CA52A8" w:rsidRPr="00C80F33">
        <w:t xml:space="preserve"> relative import price</w:t>
      </w:r>
      <w:r w:rsidRPr="00C80F33">
        <w:t xml:space="preserve"> (</w:t>
      </w:r>
      <w:r w:rsidR="00C12CD2" w:rsidRPr="00C80F33">
        <w:t>that is</w:t>
      </w:r>
      <w:r w:rsidRPr="00C80F33">
        <w:t>, the ratio of the import price to the price of total expenditure)</w:t>
      </w:r>
      <w:r w:rsidR="00815B43" w:rsidRPr="00C80F33">
        <w:t xml:space="preserve"> multiplied by their corresponding elasticity of substitution</w:t>
      </w:r>
      <w:r w:rsidRPr="00C80F33">
        <w:t xml:space="preserve">. Before we can explore this relationship in the data we need to define the aggregate expenditure basket for each of the import components. </w:t>
      </w:r>
      <w:r w:rsidR="00844A2B" w:rsidRPr="00C80F33">
        <w:t>We assume that</w:t>
      </w:r>
      <w:r w:rsidR="004B06AE" w:rsidRPr="00C80F33">
        <w:t>:</w:t>
      </w:r>
      <w:r w:rsidR="00844A2B" w:rsidRPr="00C80F33">
        <w:t xml:space="preserve"> the </w:t>
      </w:r>
      <w:r w:rsidRPr="00C80F33">
        <w:t>consumption expenditure aggregate is household final consumption expenditure less expenditure on rental services; the capital expenditure aggregate is total gross fixed capital expenditure on machinery and equipment less expenditure on lumpy investment items; the intermediate expenditure aggregate is total gross national expenditure less expenditure on rental services and lumpy investment items; and the services expenditure aggregate is total gross national expenditure.</w:t>
      </w:r>
    </w:p>
    <w:p w14:paraId="7BE5666F" w14:textId="77777777" w:rsidR="009963C5" w:rsidRPr="00C80F33" w:rsidRDefault="0040445A" w:rsidP="0040445A">
      <w:r w:rsidRPr="00C80F33">
        <w:fldChar w:fldCharType="begin"/>
      </w:r>
      <w:r w:rsidRPr="00C80F33">
        <w:instrText xml:space="preserve"> REF _Ref353453217 \h </w:instrText>
      </w:r>
      <w:r w:rsidR="00CA52A8" w:rsidRPr="00C80F33">
        <w:instrText xml:space="preserve"> \* MERGEFORMAT </w:instrText>
      </w:r>
      <w:r w:rsidRPr="00C80F33">
        <w:fldChar w:fldCharType="separate"/>
      </w:r>
      <w:r w:rsidR="00025120" w:rsidRPr="00C80F33">
        <w:t xml:space="preserve">Chart </w:t>
      </w:r>
      <w:r w:rsidR="00025120">
        <w:t>4</w:t>
      </w:r>
      <w:r w:rsidRPr="00C80F33">
        <w:fldChar w:fldCharType="end"/>
      </w:r>
      <w:r w:rsidRPr="00C80F33">
        <w:t xml:space="preserve"> </w:t>
      </w:r>
      <w:r w:rsidR="00844A2B" w:rsidRPr="00C80F33">
        <w:t xml:space="preserve">plots the import penetration ratio </w:t>
      </w:r>
      <w:r w:rsidR="00FE59B6" w:rsidRPr="00C80F33">
        <w:t>of each category (</w:t>
      </w:r>
      <w:r w:rsidR="00844A2B" w:rsidRPr="00C80F33">
        <w:t>left hand</w:t>
      </w:r>
      <w:r w:rsidR="00FE59B6" w:rsidRPr="00C80F33">
        <w:t xml:space="preserve"> axis using a log scale</w:t>
      </w:r>
      <w:r w:rsidR="00844A2B" w:rsidRPr="00C80F33">
        <w:t xml:space="preserve"> axis</w:t>
      </w:r>
      <w:r w:rsidR="00FE59B6" w:rsidRPr="00C80F33">
        <w:t>)</w:t>
      </w:r>
      <w:r w:rsidR="00844A2B" w:rsidRPr="00C80F33">
        <w:t xml:space="preserve"> and the relative import price </w:t>
      </w:r>
      <w:r w:rsidR="00FE59B6" w:rsidRPr="00C80F33">
        <w:t>of each category (</w:t>
      </w:r>
      <w:r w:rsidR="00844A2B" w:rsidRPr="00C80F33">
        <w:t xml:space="preserve">right hand axis using an inverted </w:t>
      </w:r>
      <w:r w:rsidR="00FE59B6" w:rsidRPr="00C80F33">
        <w:t xml:space="preserve">log </w:t>
      </w:r>
      <w:r w:rsidR="00844A2B" w:rsidRPr="00C80F33">
        <w:t>scal</w:t>
      </w:r>
      <w:r w:rsidR="00C26E7A" w:rsidRPr="00C80F33">
        <w:t>e</w:t>
      </w:r>
      <w:r w:rsidR="00FE59B6" w:rsidRPr="00C80F33">
        <w:t>)</w:t>
      </w:r>
      <w:r w:rsidR="00C26E7A" w:rsidRPr="00C80F33">
        <w:t>.</w:t>
      </w:r>
      <w:r w:rsidR="00861469" w:rsidRPr="00C80F33">
        <w:t xml:space="preserve"> </w:t>
      </w:r>
      <w:r w:rsidR="00844A2B" w:rsidRPr="00C80F33">
        <w:t xml:space="preserve">Note that while the </w:t>
      </w:r>
      <w:r w:rsidR="00130400" w:rsidRPr="00C80F33">
        <w:t xml:space="preserve">derivation of the </w:t>
      </w:r>
      <w:r w:rsidR="00844A2B" w:rsidRPr="00C80F33">
        <w:t xml:space="preserve">theoretical model ignored taxes, the </w:t>
      </w:r>
      <w:r w:rsidR="00381CB8" w:rsidRPr="00C80F33">
        <w:t xml:space="preserve">relative </w:t>
      </w:r>
      <w:r w:rsidR="00844A2B" w:rsidRPr="00C80F33">
        <w:t>import prices reported here are inclusive of taxes on imports and taxes on aggregate expenditure</w:t>
      </w:r>
      <w:r w:rsidR="008E4F84" w:rsidRPr="00C80F33">
        <w:t>.</w:t>
      </w:r>
      <w:r w:rsidR="00861469" w:rsidRPr="00C80F33">
        <w:t xml:space="preserve"> </w:t>
      </w:r>
      <w:r w:rsidR="008E4F84" w:rsidRPr="00C80F33">
        <w:t xml:space="preserve">Dwyer and Kent (1993) find that the trend rise in import penetration can partly be explained by the reduction in protection and increased trade openness, suggesting a role for </w:t>
      </w:r>
      <w:r w:rsidR="00F21735" w:rsidRPr="00C80F33">
        <w:t>trade</w:t>
      </w:r>
      <w:r w:rsidR="00C5340B" w:rsidRPr="00C80F33">
        <w:t xml:space="preserve"> </w:t>
      </w:r>
      <w:r w:rsidR="00F21735" w:rsidRPr="00C80F33">
        <w:t>policy</w:t>
      </w:r>
      <w:r w:rsidR="008E4F84" w:rsidRPr="00C80F33">
        <w:t xml:space="preserve"> in explaining import volumes.</w:t>
      </w:r>
      <w:r w:rsidR="00861469" w:rsidRPr="00C80F33">
        <w:t xml:space="preserve"> </w:t>
      </w:r>
      <w:r w:rsidR="00F21735" w:rsidRPr="00C80F33">
        <w:t>The</w:t>
      </w:r>
      <w:r w:rsidR="00FE59B6" w:rsidRPr="00C80F33">
        <w:t xml:space="preserve"> data show that</w:t>
      </w:r>
      <w:r w:rsidR="00844A2B" w:rsidRPr="00C80F33">
        <w:t xml:space="preserve"> relative import price has fallen over the sample</w:t>
      </w:r>
      <w:r w:rsidR="00F21735" w:rsidRPr="00C80F33">
        <w:t xml:space="preserve"> for all four import categories</w:t>
      </w:r>
      <w:r w:rsidR="00844A2B" w:rsidRPr="00C80F33">
        <w:t xml:space="preserve">. </w:t>
      </w:r>
      <w:r w:rsidR="00FE59B6" w:rsidRPr="00C80F33">
        <w:t>Consistent</w:t>
      </w:r>
      <w:r w:rsidR="00844A2B" w:rsidRPr="00C80F33">
        <w:t xml:space="preserve"> with the theory</w:t>
      </w:r>
      <w:r w:rsidR="00FE59B6" w:rsidRPr="00C80F33">
        <w:t xml:space="preserve"> derived above</w:t>
      </w:r>
      <w:r w:rsidR="00F21735" w:rsidRPr="00C80F33">
        <w:t>,</w:t>
      </w:r>
      <w:r w:rsidR="00844A2B" w:rsidRPr="00C80F33">
        <w:t xml:space="preserve"> </w:t>
      </w:r>
      <w:r w:rsidR="00FE59B6" w:rsidRPr="00C80F33">
        <w:t xml:space="preserve">these data show that the </w:t>
      </w:r>
      <w:r w:rsidR="00844A2B" w:rsidRPr="00C80F33">
        <w:t xml:space="preserve">import penetration ratios of all four import categories have increased over the </w:t>
      </w:r>
      <w:r w:rsidR="00F21735" w:rsidRPr="00C80F33">
        <w:t>same</w:t>
      </w:r>
      <w:r w:rsidR="00844A2B" w:rsidRPr="00C80F33">
        <w:t xml:space="preserve"> period. For example,</w:t>
      </w:r>
      <w:r w:rsidRPr="00C80F33">
        <w:t xml:space="preserve"> </w:t>
      </w:r>
      <w:r w:rsidR="00C57AD5" w:rsidRPr="00C80F33">
        <w:t xml:space="preserve">the </w:t>
      </w:r>
      <w:r w:rsidR="00162967" w:rsidRPr="00C80F33">
        <w:t xml:space="preserve">import penetration ratio of </w:t>
      </w:r>
      <w:r w:rsidR="00844A2B" w:rsidRPr="00C80F33">
        <w:t>capital</w:t>
      </w:r>
      <w:r w:rsidR="00162967" w:rsidRPr="00C80F33">
        <w:t xml:space="preserve"> goods</w:t>
      </w:r>
      <w:r w:rsidRPr="00C80F33">
        <w:t xml:space="preserve"> </w:t>
      </w:r>
      <w:r w:rsidR="0083397A" w:rsidRPr="00C80F33">
        <w:t xml:space="preserve">increased from 15 per cent in </w:t>
      </w:r>
      <w:r w:rsidR="00844A2B" w:rsidRPr="00C80F33">
        <w:t xml:space="preserve">1985 to </w:t>
      </w:r>
      <w:r w:rsidR="0083397A" w:rsidRPr="00C80F33">
        <w:t xml:space="preserve">60 per cent in </w:t>
      </w:r>
      <w:r w:rsidR="00844A2B" w:rsidRPr="00C80F33">
        <w:t>201</w:t>
      </w:r>
      <w:r w:rsidR="003E17D3" w:rsidRPr="00C80F33">
        <w:t>3</w:t>
      </w:r>
      <w:r w:rsidR="00844A2B" w:rsidRPr="00C80F33">
        <w:t xml:space="preserve">, while the relative price </w:t>
      </w:r>
      <w:r w:rsidR="0083397A" w:rsidRPr="00C80F33">
        <w:t xml:space="preserve">of capital goods </w:t>
      </w:r>
      <w:r w:rsidR="00844A2B" w:rsidRPr="00C80F33">
        <w:t>has fall</w:t>
      </w:r>
      <w:r w:rsidR="00C57AD5" w:rsidRPr="00C80F33">
        <w:t>en</w:t>
      </w:r>
      <w:r w:rsidR="00844A2B" w:rsidRPr="00C80F33">
        <w:t xml:space="preserve"> to a level at the end of the sample</w:t>
      </w:r>
      <w:r w:rsidR="0083397A" w:rsidRPr="00C80F33">
        <w:t xml:space="preserve"> (</w:t>
      </w:r>
      <w:r w:rsidR="008A502B" w:rsidRPr="00C80F33">
        <w:t xml:space="preserve">to </w:t>
      </w:r>
      <w:r w:rsidR="0083397A" w:rsidRPr="00C80F33">
        <w:t xml:space="preserve">around </w:t>
      </w:r>
      <w:r w:rsidR="008A502B" w:rsidRPr="00C80F33">
        <w:t>one</w:t>
      </w:r>
      <w:r w:rsidR="0083397A" w:rsidRPr="00C80F33">
        <w:t>)</w:t>
      </w:r>
      <w:r w:rsidR="00844A2B" w:rsidRPr="00C80F33">
        <w:t xml:space="preserve"> </w:t>
      </w:r>
      <w:r w:rsidR="00F21735" w:rsidRPr="00C80F33">
        <w:t xml:space="preserve">that is </w:t>
      </w:r>
      <w:r w:rsidR="00844A2B" w:rsidRPr="00C80F33">
        <w:t>roughly half its starting value</w:t>
      </w:r>
      <w:r w:rsidR="0083397A" w:rsidRPr="00C80F33">
        <w:t xml:space="preserve"> (</w:t>
      </w:r>
      <w:r w:rsidR="008A502B" w:rsidRPr="00C80F33">
        <w:t xml:space="preserve">of </w:t>
      </w:r>
      <w:r w:rsidR="0083397A" w:rsidRPr="00C80F33">
        <w:t xml:space="preserve">around </w:t>
      </w:r>
      <w:r w:rsidR="008A502B" w:rsidRPr="00C80F33">
        <w:t>two</w:t>
      </w:r>
      <w:r w:rsidR="0083397A" w:rsidRPr="00C80F33">
        <w:t>).</w:t>
      </w:r>
    </w:p>
    <w:p w14:paraId="2A97A969" w14:textId="77777777" w:rsidR="0040445A" w:rsidRPr="00C80F33" w:rsidRDefault="0040445A" w:rsidP="0040445A">
      <w:pPr>
        <w:pStyle w:val="Caption1"/>
      </w:pPr>
      <w:bookmarkStart w:id="7" w:name="_Ref353453217"/>
      <w:r w:rsidRPr="00C80F33">
        <w:lastRenderedPageBreak/>
        <w:t xml:space="preserve">Chart </w:t>
      </w:r>
      <w:r w:rsidR="00BB0DB8">
        <w:fldChar w:fldCharType="begin"/>
      </w:r>
      <w:r w:rsidR="00BB0DB8">
        <w:instrText xml:space="preserve"> SEQ Chart \* ARABIC </w:instrText>
      </w:r>
      <w:r w:rsidR="00BB0DB8">
        <w:fldChar w:fldCharType="separate"/>
      </w:r>
      <w:r w:rsidR="00025120">
        <w:rPr>
          <w:noProof/>
        </w:rPr>
        <w:t>4</w:t>
      </w:r>
      <w:r w:rsidR="00BB0DB8">
        <w:rPr>
          <w:noProof/>
        </w:rPr>
        <w:fldChar w:fldCharType="end"/>
      </w:r>
      <w:bookmarkEnd w:id="7"/>
      <w:r w:rsidRPr="00C80F33">
        <w:t xml:space="preserve">: Import penetration </w:t>
      </w:r>
      <w:r w:rsidR="00294BB9" w:rsidRPr="00C80F33">
        <w:t>ratio</w:t>
      </w:r>
      <w:r w:rsidR="0083397A" w:rsidRPr="00C80F33">
        <w:t xml:space="preserve"> </w:t>
      </w:r>
      <w:r w:rsidR="00294BB9" w:rsidRPr="00C80F33">
        <w:t>vs relative import price</w:t>
      </w:r>
      <w:r w:rsidR="00C57AD5" w:rsidRPr="00C80F33">
        <w:t xml:space="preserve"> (log scale)</w:t>
      </w:r>
    </w:p>
    <w:p w14:paraId="01B9CBD4" w14:textId="7730B105" w:rsidR="00F11672" w:rsidRPr="00C80F33" w:rsidRDefault="00F11672" w:rsidP="00F11672">
      <w:pPr>
        <w:pStyle w:val="ChartGraphic"/>
      </w:pPr>
      <w:r w:rsidRPr="00C80F33">
        <w:object w:dxaOrig="10066" w:dyaOrig="6901" w14:anchorId="780D8AEA">
          <v:shape id="_x0000_i1056" type="#_x0000_t75" alt="This chart plots the import penetration ratio of each category, consumption, capital, intermediate and services, and the relative import price of each category.  The data show that relative import price has fallen over the sample for all four import categories. Consistent with the theory derived above, these data show that the import penetration ratios of all four import categories have increased over the same period." style="width:464.1pt;height:317.25pt" o:ole="">
            <v:imagedata r:id="rId87" o:title=""/>
          </v:shape>
          <o:OLEObject Type="Embed" ProgID="EViews.Workfile.2" ShapeID="_x0000_i1056" DrawAspect="Content" ObjectID="_1495870626" r:id="rId88"/>
        </w:object>
      </w:r>
    </w:p>
    <w:p w14:paraId="174AE901" w14:textId="4FCD3E62" w:rsidR="009265CC" w:rsidRPr="00C80F33" w:rsidRDefault="009265CC" w:rsidP="00F11672">
      <w:pPr>
        <w:pStyle w:val="Source"/>
      </w:pPr>
      <w:r w:rsidRPr="00C80F33">
        <w:t>Source: Authors’ calculations based on ABS Cat 5302.0.</w:t>
      </w:r>
    </w:p>
    <w:p w14:paraId="2FD98642" w14:textId="77777777" w:rsidR="001F3A11" w:rsidRPr="00C80F33" w:rsidRDefault="001F3A11" w:rsidP="001F3A11">
      <w:pPr>
        <w:pStyle w:val="Heading3"/>
        <w:rPr>
          <w:lang w:val="en-AU"/>
        </w:rPr>
      </w:pPr>
      <w:r w:rsidRPr="00C80F33">
        <w:rPr>
          <w:lang w:val="en-AU"/>
        </w:rPr>
        <w:t>Foreign exchange rate and foreign cost pass-through</w:t>
      </w:r>
    </w:p>
    <w:p w14:paraId="470062F9" w14:textId="77777777" w:rsidR="001F3A11" w:rsidRPr="00C80F33" w:rsidRDefault="001F3A11" w:rsidP="001F3A11">
      <w:r w:rsidRPr="00C80F33">
        <w:t xml:space="preserve">Dwyer and Lam (1994) </w:t>
      </w:r>
      <w:r w:rsidR="001672FB" w:rsidRPr="00C80F33">
        <w:t>find</w:t>
      </w:r>
      <w:r w:rsidRPr="00C80F33">
        <w:t xml:space="preserve"> that changes in nominal exchange rates and foreign costs are completely passed through to consumption import prices within a year. This paper extends their analysis of exchange rate and foreign cost pass-through to capital, intermediate and services import prices. For tractability we limit the modelling of disaggregated import prices to effectively modelling the pass</w:t>
      </w:r>
      <w:r w:rsidR="00C5340B" w:rsidRPr="00C80F33">
        <w:noBreakHyphen/>
      </w:r>
      <w:r w:rsidRPr="00C80F33">
        <w:t xml:space="preserve">through of a common a foreign aggregate price series and aggregate exchange rate index. The trade-weighted foreign price level index is calculated by weighting the consumer price index of Australia’s major trading partners by their share in total merchandise trade (the sum of exports and imports). </w:t>
      </w:r>
      <w:r w:rsidR="001672FB" w:rsidRPr="00C80F33">
        <w:t xml:space="preserve">This choice reflects the fact that the models estimated here will be used for forecasting and that the foreign price index must be forecastable. </w:t>
      </w:r>
      <w:r w:rsidRPr="00C80F33">
        <w:t xml:space="preserve">Again, we leave it to our future research to explore alternative foreign price variables. The trade-weighted exchange rate index (TWI) used in this paper is the quarterly average of the daily nominal trade-weighted index initially calculated by the Reserve Bank of Australia (see, Becker and Davies, 2002, for further details), which </w:t>
      </w:r>
      <w:r w:rsidR="00E05C54" w:rsidRPr="00C80F33">
        <w:t xml:space="preserve">is </w:t>
      </w:r>
      <w:r w:rsidRPr="00C80F33">
        <w:t>published on a quarterly basis by the ABS (ABS Cat. 5302.0.).</w:t>
      </w:r>
    </w:p>
    <w:p w14:paraId="74E1D1DB" w14:textId="77777777" w:rsidR="001F3A11" w:rsidRPr="00C80F33" w:rsidRDefault="001F3A11" w:rsidP="001F3A11">
      <w:r w:rsidRPr="00C80F33">
        <w:fldChar w:fldCharType="begin"/>
      </w:r>
      <w:r w:rsidRPr="00C80F33">
        <w:instrText xml:space="preserve"> REF _Ref353453851 \h  \* MERGEFORMAT </w:instrText>
      </w:r>
      <w:r w:rsidRPr="00C80F33">
        <w:fldChar w:fldCharType="separate"/>
      </w:r>
      <w:r w:rsidR="00025120" w:rsidRPr="00C80F33">
        <w:t xml:space="preserve">Chart </w:t>
      </w:r>
      <w:r w:rsidR="00025120">
        <w:t>5</w:t>
      </w:r>
      <w:r w:rsidRPr="00C80F33">
        <w:fldChar w:fldCharType="end"/>
      </w:r>
      <w:r w:rsidRPr="00C80F33">
        <w:t xml:space="preserve"> plots the ratio of import prices </w:t>
      </w:r>
      <w:r w:rsidR="00596DB9" w:rsidRPr="00C80F33">
        <w:t>(</w:t>
      </w:r>
      <w:r w:rsidRPr="00C80F33">
        <w:t xml:space="preserve">adjusted by the </w:t>
      </w:r>
      <w:r w:rsidR="001672FB" w:rsidRPr="00C80F33">
        <w:t>TWI</w:t>
      </w:r>
      <w:r w:rsidR="00596DB9" w:rsidRPr="00C80F33">
        <w:t>)</w:t>
      </w:r>
      <w:r w:rsidRPr="00C80F33">
        <w:t xml:space="preserve"> to the trade</w:t>
      </w:r>
      <w:r w:rsidR="00C5340B" w:rsidRPr="00C80F33">
        <w:noBreakHyphen/>
      </w:r>
      <w:r w:rsidRPr="00C80F33">
        <w:t>weighted foreign goods price. In contrast to Dwyer and Lam (1994)</w:t>
      </w:r>
      <w:r w:rsidR="001672FB" w:rsidRPr="00C80F33">
        <w:t>,</w:t>
      </w:r>
      <w:r w:rsidRPr="00C80F33">
        <w:t xml:space="preserve"> we find significant deviations from complete exchange rate and foreign cost pass-through, with all relative foreign prices displaying a downward trend from 1985 to 201</w:t>
      </w:r>
      <w:r w:rsidR="00C724EE" w:rsidRPr="00C80F33">
        <w:t>4</w:t>
      </w:r>
      <w:r w:rsidRPr="00C80F33">
        <w:t xml:space="preserve">. The relative price of capital goods </w:t>
      </w:r>
      <w:r w:rsidR="00596DB9" w:rsidRPr="00C80F33">
        <w:t xml:space="preserve">has </w:t>
      </w:r>
      <w:r w:rsidRPr="00C80F33">
        <w:t>the largest decline over the sample, followed by consumption and intermediate goods prices, while services prices declined over the early part of the sample and has remained roughly constant from there on.</w:t>
      </w:r>
    </w:p>
    <w:p w14:paraId="163CB1E0" w14:textId="77777777" w:rsidR="005C449F" w:rsidRPr="00C80F33" w:rsidRDefault="001F3A11" w:rsidP="001F3A11">
      <w:r w:rsidRPr="00C80F33">
        <w:lastRenderedPageBreak/>
        <w:t>One possible explanation for the vast</w:t>
      </w:r>
      <w:r w:rsidR="009963C5" w:rsidRPr="00C80F33">
        <w:t>ly</w:t>
      </w:r>
      <w:r w:rsidRPr="00C80F33">
        <w:t xml:space="preserve"> different trend results reported in Dwyer and Lam (1994) is the introduction of quality adjustments used by the ABS when measuring constant price volum</w:t>
      </w:r>
      <w:r w:rsidR="00C724EE" w:rsidRPr="00C80F33">
        <w:t>es and their associated prices.</w:t>
      </w:r>
    </w:p>
    <w:p w14:paraId="3180A6D5" w14:textId="77777777" w:rsidR="001F3A11" w:rsidRPr="00C80F33" w:rsidRDefault="001F3A11" w:rsidP="001F3A11">
      <w:r w:rsidRPr="00C80F33">
        <w:t xml:space="preserve">Goods imports tend </w:t>
      </w:r>
      <w:r w:rsidR="00E05C54" w:rsidRPr="00C80F33">
        <w:t xml:space="preserve">to </w:t>
      </w:r>
      <w:r w:rsidRPr="00C80F33">
        <w:t xml:space="preserve">be durable goods, while aggregate consumption is skewed towards nondurable goods and services, which suggests that the observed trend decline of relative foreign prices is largely a by-product of the fact that the numerator is </w:t>
      </w:r>
      <w:r w:rsidR="000B32B1" w:rsidRPr="00C80F33">
        <w:t xml:space="preserve">a </w:t>
      </w:r>
      <w:r w:rsidRPr="00C80F33">
        <w:t xml:space="preserve">durable good </w:t>
      </w:r>
      <w:r w:rsidR="000B32B1" w:rsidRPr="00C80F33">
        <w:t xml:space="preserve">price </w:t>
      </w:r>
      <w:r w:rsidRPr="00C80F33">
        <w:t xml:space="preserve">and the denominator is </w:t>
      </w:r>
      <w:r w:rsidR="000B32B1" w:rsidRPr="00C80F33">
        <w:t>an a</w:t>
      </w:r>
      <w:r w:rsidRPr="00C80F33">
        <w:t xml:space="preserve">ggregate </w:t>
      </w:r>
      <w:r w:rsidR="000B32B1" w:rsidRPr="00C80F33">
        <w:t>consumption good price</w:t>
      </w:r>
      <w:r w:rsidRPr="00C80F33">
        <w:t>, which includes both durable and non-durable</w:t>
      </w:r>
      <w:r w:rsidR="000B32B1" w:rsidRPr="00C80F33">
        <w:t xml:space="preserve"> goods</w:t>
      </w:r>
      <w:r w:rsidRPr="00C80F33">
        <w:t xml:space="preserve">. If the experience </w:t>
      </w:r>
      <w:r w:rsidR="000B32B1" w:rsidRPr="00C80F33">
        <w:t>of</w:t>
      </w:r>
      <w:r w:rsidRPr="00C80F33">
        <w:t xml:space="preserve"> foreign countries is similar to Australia, we would expect the relative price of durables to non-durables to </w:t>
      </w:r>
      <w:r w:rsidR="000B32B1" w:rsidRPr="00C80F33">
        <w:t>fall</w:t>
      </w:r>
      <w:r w:rsidRPr="00C80F33">
        <w:t xml:space="preserve"> over time. </w:t>
      </w:r>
      <w:r w:rsidR="000B32B1" w:rsidRPr="00C80F33">
        <w:t>This implies</w:t>
      </w:r>
      <w:r w:rsidRPr="00C80F33">
        <w:t xml:space="preserve"> our aggregate </w:t>
      </w:r>
      <w:r w:rsidR="000B32B1" w:rsidRPr="00C80F33">
        <w:t>consumption goods index</w:t>
      </w:r>
      <w:r w:rsidRPr="00C80F33">
        <w:t xml:space="preserve"> will overstate the true foreign </w:t>
      </w:r>
      <w:r w:rsidR="000B32B1" w:rsidRPr="00C80F33">
        <w:t>goods price</w:t>
      </w:r>
      <w:r w:rsidRPr="00C80F33">
        <w:t>.</w:t>
      </w:r>
    </w:p>
    <w:p w14:paraId="2F8D05A8" w14:textId="77777777" w:rsidR="006413C1" w:rsidRPr="00C80F33" w:rsidRDefault="006413C1" w:rsidP="006413C1">
      <w:pPr>
        <w:pStyle w:val="Caption1"/>
      </w:pPr>
      <w:bookmarkStart w:id="8" w:name="_Ref353453851"/>
      <w:r w:rsidRPr="00C80F33">
        <w:t xml:space="preserve">Chart </w:t>
      </w:r>
      <w:r w:rsidR="00BB0DB8">
        <w:fldChar w:fldCharType="begin"/>
      </w:r>
      <w:r w:rsidR="00BB0DB8">
        <w:instrText xml:space="preserve"> SEQ Chart \* ARABIC </w:instrText>
      </w:r>
      <w:r w:rsidR="00BB0DB8">
        <w:fldChar w:fldCharType="separate"/>
      </w:r>
      <w:r w:rsidR="00025120">
        <w:rPr>
          <w:noProof/>
        </w:rPr>
        <w:t>5</w:t>
      </w:r>
      <w:r w:rsidR="00BB0DB8">
        <w:rPr>
          <w:noProof/>
        </w:rPr>
        <w:fldChar w:fldCharType="end"/>
      </w:r>
      <w:bookmarkEnd w:id="8"/>
      <w:r w:rsidRPr="00C80F33">
        <w:t xml:space="preserve">: </w:t>
      </w:r>
      <w:r w:rsidR="00D45182" w:rsidRPr="00C80F33">
        <w:t>Relative foreign</w:t>
      </w:r>
      <w:r w:rsidRPr="00C80F33">
        <w:t xml:space="preserve"> price</w:t>
      </w:r>
      <w:r w:rsidR="00537545" w:rsidRPr="00C80F33">
        <w:t xml:space="preserve"> trends</w:t>
      </w:r>
      <w:r w:rsidR="00C57AD5" w:rsidRPr="00C80F33">
        <w:t xml:space="preserve"> (log scale)</w:t>
      </w:r>
    </w:p>
    <w:p w14:paraId="501ED46C" w14:textId="77777777" w:rsidR="006413C1" w:rsidRPr="00C80F33" w:rsidRDefault="006C3CE5" w:rsidP="00F11672">
      <w:pPr>
        <w:pStyle w:val="ChartGraphic"/>
      </w:pPr>
      <w:r w:rsidRPr="00C80F33">
        <w:object w:dxaOrig="10051" w:dyaOrig="6826" w14:anchorId="3A971AC9">
          <v:shape id="_x0000_i1057" type="#_x0000_t75" alt="This chart plots the ratio of import prices (adjusted by the TWI) to the trade weighted foreign goods price. The chart shows that all relative foreign prices displaying a downward trend from 1985 to 2013. The relative price of capital goods has the largest decline over the sample, followed by consumption and intermediate goods prices, while services prices declined over the early part of the sample and has remained roughly constant from there on." style="width:464.8pt;height:315.8pt" o:ole="">
            <v:imagedata r:id="rId89" o:title=""/>
          </v:shape>
          <o:OLEObject Type="Embed" ProgID="EViews.Workfile.2" ShapeID="_x0000_i1057" DrawAspect="Content" ObjectID="_1495870627" r:id="rId90"/>
        </w:object>
      </w:r>
    </w:p>
    <w:p w14:paraId="49C81DA2" w14:textId="77777777" w:rsidR="009265CC" w:rsidRPr="00C80F33" w:rsidRDefault="009265CC" w:rsidP="00F11672">
      <w:pPr>
        <w:pStyle w:val="Source"/>
      </w:pPr>
      <w:r w:rsidRPr="00C80F33">
        <w:t>Source: Authors’ calculations based on ABS Cat 5302.0.</w:t>
      </w:r>
    </w:p>
    <w:p w14:paraId="1D25A6FF" w14:textId="77777777" w:rsidR="00CE79A0" w:rsidRPr="00C80F33" w:rsidRDefault="00AF6FC7" w:rsidP="00C80F33">
      <w:pPr>
        <w:pStyle w:val="Heading2"/>
      </w:pPr>
      <w:r w:rsidRPr="00C80F33">
        <w:t>Results</w:t>
      </w:r>
    </w:p>
    <w:p w14:paraId="488441A1" w14:textId="77777777" w:rsidR="00C30D73" w:rsidRPr="00C80F33" w:rsidRDefault="00C30D73" w:rsidP="007525E4">
      <w:pPr>
        <w:pStyle w:val="Heading3"/>
        <w:rPr>
          <w:lang w:val="en-AU"/>
        </w:rPr>
      </w:pPr>
      <w:r w:rsidRPr="00C80F33">
        <w:rPr>
          <w:lang w:val="en-AU"/>
        </w:rPr>
        <w:t>Econometric method</w:t>
      </w:r>
      <w:r w:rsidR="00A402E2" w:rsidRPr="00C80F33">
        <w:rPr>
          <w:lang w:val="en-AU"/>
        </w:rPr>
        <w:t xml:space="preserve">: </w:t>
      </w:r>
      <w:r w:rsidR="004C6870" w:rsidRPr="00C80F33">
        <w:rPr>
          <w:lang w:val="en-AU"/>
        </w:rPr>
        <w:t>d</w:t>
      </w:r>
      <w:r w:rsidR="00A402E2" w:rsidRPr="00C80F33">
        <w:rPr>
          <w:lang w:val="en-AU"/>
        </w:rPr>
        <w:t>emand</w:t>
      </w:r>
    </w:p>
    <w:p w14:paraId="14D691C9" w14:textId="77777777" w:rsidR="006753C6" w:rsidRPr="00C80F33" w:rsidRDefault="006753C6" w:rsidP="006753C6">
      <w:r w:rsidRPr="00C80F33">
        <w:t xml:space="preserve">We estimate the demand for imports using an error-correction model </w:t>
      </w:r>
      <w:r w:rsidR="00583783" w:rsidRPr="00C80F33">
        <w:t>which allows for the</w:t>
      </w:r>
      <w:r w:rsidRPr="00C80F33">
        <w:t xml:space="preserve"> </w:t>
      </w:r>
      <w:r w:rsidR="005C449F" w:rsidRPr="00C80F33">
        <w:t>short</w:t>
      </w:r>
      <w:r w:rsidR="00677F70" w:rsidRPr="00C80F33">
        <w:t>-</w:t>
      </w:r>
      <w:r w:rsidR="00C5340B" w:rsidRPr="00C80F33">
        <w:t xml:space="preserve"> </w:t>
      </w:r>
      <w:r w:rsidRPr="00C80F33">
        <w:t xml:space="preserve">and </w:t>
      </w:r>
      <w:r w:rsidR="005C449F" w:rsidRPr="00C80F33">
        <w:t>long</w:t>
      </w:r>
      <w:r w:rsidR="005C449F" w:rsidRPr="00C80F33">
        <w:noBreakHyphen/>
      </w:r>
      <w:r w:rsidRPr="00C80F33">
        <w:t xml:space="preserve">run </w:t>
      </w:r>
      <w:r w:rsidR="00583783" w:rsidRPr="00C80F33">
        <w:t>to be</w:t>
      </w:r>
      <w:r w:rsidRPr="00C80F33">
        <w:t xml:space="preserve"> </w:t>
      </w:r>
      <w:r w:rsidR="008A35D5" w:rsidRPr="00C80F33">
        <w:t xml:space="preserve">jointly </w:t>
      </w:r>
      <w:r w:rsidRPr="00C80F33">
        <w:t>estimated. Short-run dynamics are estimated via a general error-correcting model, which includes contemporaneous and lagged first differences of log aggregate consumption and the log relative price, lagged first differences of log imports, and the error correcting term is consistent with</w:t>
      </w:r>
      <w:r w:rsidR="00E05C54" w:rsidRPr="00C80F33">
        <w:t xml:space="preserve"> the</w:t>
      </w:r>
      <w:r w:rsidRPr="00C80F33">
        <w:t xml:space="preserve"> long-run desired level of imports</w:t>
      </w:r>
      <w:r w:rsidR="00774249" w:rsidRPr="00C80F33">
        <w:t xml:space="preserve"> described by equation (14)</w:t>
      </w:r>
      <w:r w:rsidRPr="00C80F33">
        <w:t>. The resulting general error correcting model is:</w:t>
      </w:r>
    </w:p>
    <w:p w14:paraId="06A38CC3" w14:textId="2606DEF2" w:rsidR="006753C6" w:rsidRPr="00C80F33" w:rsidRDefault="0092073E" w:rsidP="0092073E">
      <w:pPr>
        <w:pStyle w:val="MTDisplayEquation"/>
      </w:pPr>
      <w:r w:rsidRPr="00C80F33">
        <w:object w:dxaOrig="9180" w:dyaOrig="2000" w14:anchorId="51EB5A86">
          <v:shape id="_x0000_i1058" type="#_x0000_t75" alt="The log difference of imports is equal to the speed of adjustment multiplied by the long-run desired level in the previous period plus the sum of log differences of total consumption, the relative price and imports, all lagged by various periods and multiplied by their respective coefficients. This is added to the sum of the various intercept and slope shifting dummies, with their coefficients restricted to be the same as those in the long-run model.  The long-run is the log of consumption imports minus the log of total consumption minus sigma multiplied by the relative price minus a constant minus various dummy variables and deterministic trends included to shift the level and slope of the demand function." style="width:421.3pt;height:91.95pt" o:ole="">
            <v:imagedata r:id="rId91" o:title=""/>
          </v:shape>
          <o:OLEObject Type="Embed" ProgID="Equation.DSMT4" ShapeID="_x0000_i1058" DrawAspect="Content" ObjectID="_1495870628" r:id="rId92"/>
        </w:object>
      </w:r>
      <w:r w:rsidR="006753C6" w:rsidRPr="00C80F33">
        <w:tab/>
      </w:r>
      <w:r w:rsidR="006753C6" w:rsidRPr="00C80F33">
        <w:fldChar w:fldCharType="begin"/>
      </w:r>
      <w:r w:rsidR="006753C6" w:rsidRPr="00C80F33">
        <w:instrText xml:space="preserve"> MACROBUTTON MTPlaceRef \* MERGEFORMAT </w:instrText>
      </w:r>
      <w:r w:rsidR="006753C6" w:rsidRPr="00C80F33">
        <w:fldChar w:fldCharType="begin"/>
      </w:r>
      <w:r w:rsidR="006753C6" w:rsidRPr="00C80F33">
        <w:instrText xml:space="preserve"> SEQ MTEqn \h \* MERGEFORMAT </w:instrText>
      </w:r>
      <w:r w:rsidR="006753C6" w:rsidRPr="00C80F33">
        <w:fldChar w:fldCharType="end"/>
      </w:r>
      <w:r w:rsidR="006753C6"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29</w:instrText>
      </w:r>
      <w:r w:rsidR="00BB0DB8">
        <w:rPr>
          <w:noProof/>
        </w:rPr>
        <w:fldChar w:fldCharType="end"/>
      </w:r>
      <w:r w:rsidR="006753C6" w:rsidRPr="00C80F33">
        <w:instrText>)</w:instrText>
      </w:r>
      <w:r w:rsidR="006753C6" w:rsidRPr="00C80F33">
        <w:fldChar w:fldCharType="end"/>
      </w:r>
    </w:p>
    <w:p w14:paraId="4B5BC5EB" w14:textId="77777777" w:rsidR="006753C6" w:rsidRPr="00C80F33" w:rsidRDefault="006753C6" w:rsidP="006753C6">
      <w:r w:rsidRPr="00C80F33">
        <w:t>where:</w:t>
      </w:r>
      <w:r w:rsidR="002671A1" w:rsidRPr="00C80F33">
        <w:t xml:space="preserve"> </w:t>
      </w:r>
      <w:r w:rsidR="002671A1" w:rsidRPr="00C80F33">
        <w:rPr>
          <w:rFonts w:ascii="Symbol" w:hAnsi="Symbol"/>
        </w:rPr>
        <w:t></w:t>
      </w:r>
      <w:r w:rsidR="00E4750E" w:rsidRPr="00C80F33">
        <w:t xml:space="preserve"> </w:t>
      </w:r>
      <w:r w:rsidR="002671A1" w:rsidRPr="00C80F33">
        <w:t xml:space="preserve">is a constant; </w:t>
      </w:r>
      <w:r w:rsidR="002671A1" w:rsidRPr="00C80F33">
        <w:rPr>
          <w:rFonts w:ascii="Symbol" w:hAnsi="Symbol"/>
        </w:rPr>
        <w:t></w:t>
      </w:r>
      <w:r w:rsidR="002671A1" w:rsidRPr="00C80F33">
        <w:t xml:space="preserve"> </w:t>
      </w:r>
      <w:r w:rsidR="00E4750E" w:rsidRPr="00C80F33">
        <w:t>is the coefficient on a linear time trend;</w:t>
      </w:r>
      <w:r w:rsidR="002671A1" w:rsidRPr="00C80F33">
        <w:rPr>
          <w:rFonts w:ascii="Symbol" w:hAnsi="Symbol"/>
        </w:rPr>
        <w:t></w:t>
      </w:r>
      <w:r w:rsidR="002671A1" w:rsidRPr="00C80F33">
        <w:rPr>
          <w:rFonts w:ascii="Symbol" w:hAnsi="Symbol"/>
        </w:rPr>
        <w:t></w:t>
      </w:r>
      <w:proofErr w:type="spellStart"/>
      <w:r w:rsidR="002671A1" w:rsidRPr="00C80F33">
        <w:rPr>
          <w:rFonts w:ascii="Times New Roman" w:hAnsi="Times New Roman" w:cs="Times New Roman"/>
          <w:i/>
          <w:vertAlign w:val="subscript"/>
        </w:rPr>
        <w:t>i</w:t>
      </w:r>
      <w:proofErr w:type="spellEnd"/>
      <w:r w:rsidR="002671A1" w:rsidRPr="00C80F33">
        <w:rPr>
          <w:rFonts w:ascii="Times New Roman" w:hAnsi="Times New Roman" w:cs="Times New Roman"/>
          <w:i/>
          <w:vertAlign w:val="subscript"/>
        </w:rPr>
        <w:t xml:space="preserve"> </w:t>
      </w:r>
      <w:r w:rsidR="00E4750E" w:rsidRPr="00C80F33">
        <w:t>captures</w:t>
      </w:r>
      <w:r w:rsidRPr="00C80F33">
        <w:t xml:space="preserve"> </w:t>
      </w:r>
      <w:r w:rsidR="00E95708" w:rsidRPr="00C80F33">
        <w:t xml:space="preserve">permanent </w:t>
      </w:r>
      <w:r w:rsidRPr="00C80F33">
        <w:t xml:space="preserve">level shifts; </w:t>
      </w:r>
      <w:r w:rsidR="002671A1" w:rsidRPr="00C80F33">
        <w:rPr>
          <w:rFonts w:ascii="Symbol" w:hAnsi="Symbol" w:cs="Times New Roman"/>
        </w:rPr>
        <w:t></w:t>
      </w:r>
      <w:proofErr w:type="spellStart"/>
      <w:r w:rsidR="002671A1" w:rsidRPr="00C80F33">
        <w:rPr>
          <w:rFonts w:ascii="Times New Roman" w:hAnsi="Times New Roman" w:cs="Times New Roman"/>
          <w:i/>
          <w:vertAlign w:val="subscript"/>
        </w:rPr>
        <w:t>i</w:t>
      </w:r>
      <w:proofErr w:type="spellEnd"/>
      <w:r w:rsidR="002671A1" w:rsidRPr="00C80F33">
        <w:rPr>
          <w:rFonts w:ascii="Times New Roman" w:hAnsi="Times New Roman" w:cs="Times New Roman"/>
          <w:i/>
          <w:vertAlign w:val="subscript"/>
        </w:rPr>
        <w:t xml:space="preserve"> </w:t>
      </w:r>
      <w:r w:rsidR="00E4750E" w:rsidRPr="00C80F33">
        <w:t>captures</w:t>
      </w:r>
      <w:r w:rsidRPr="00C80F33">
        <w:t xml:space="preserve"> </w:t>
      </w:r>
      <w:r w:rsidR="00E95708" w:rsidRPr="00C80F33">
        <w:t xml:space="preserve">permanent </w:t>
      </w:r>
      <w:r w:rsidRPr="00C80F33">
        <w:t xml:space="preserve">slope shifts; </w:t>
      </w:r>
      <w:r w:rsidR="002671A1" w:rsidRPr="00C80F33">
        <w:rPr>
          <w:rFonts w:ascii="Times New Roman" w:hAnsi="Times New Roman" w:cs="Times New Roman"/>
          <w:i/>
        </w:rPr>
        <w:t>D</w:t>
      </w:r>
      <w:r w:rsidR="002671A1" w:rsidRPr="00C80F33">
        <w:rPr>
          <w:rFonts w:ascii="Times New Roman" w:hAnsi="Times New Roman" w:cs="Times New Roman"/>
          <w:i/>
          <w:vertAlign w:val="subscript"/>
        </w:rPr>
        <w:t>i</w:t>
      </w:r>
      <w:r w:rsidR="002671A1" w:rsidRPr="00C80F33">
        <w:rPr>
          <w:vertAlign w:val="subscript"/>
        </w:rPr>
        <w:t xml:space="preserve"> </w:t>
      </w:r>
      <w:r w:rsidRPr="00C80F33">
        <w:t xml:space="preserve">denotes a dummy variable that is 0 for time </w:t>
      </w:r>
      <w:r w:rsidR="00E95708" w:rsidRPr="00C80F33">
        <w:t xml:space="preserve">periods </w:t>
      </w:r>
      <w:r w:rsidRPr="00C80F33">
        <w:t xml:space="preserve">less than </w:t>
      </w:r>
      <w:proofErr w:type="spellStart"/>
      <w:r w:rsidRPr="00C80F33">
        <w:rPr>
          <w:rFonts w:ascii="Times New Roman" w:hAnsi="Times New Roman" w:cs="Times New Roman"/>
          <w:i/>
        </w:rPr>
        <w:t>i</w:t>
      </w:r>
      <w:proofErr w:type="spellEnd"/>
      <w:r w:rsidRPr="00C80F33">
        <w:t xml:space="preserve"> and </w:t>
      </w:r>
      <w:r w:rsidR="008A502B" w:rsidRPr="00C80F33">
        <w:t>one</w:t>
      </w:r>
      <w:r w:rsidRPr="00C80F33">
        <w:t xml:space="preserve"> otherwise; </w:t>
      </w:r>
      <w:r w:rsidRPr="00C80F33">
        <w:rPr>
          <w:rFonts w:ascii="Times New Roman" w:hAnsi="Times New Roman" w:cs="Times New Roman"/>
          <w:i/>
        </w:rPr>
        <w:t xml:space="preserve">t </w:t>
      </w:r>
      <w:r w:rsidRPr="00C80F33">
        <w:t xml:space="preserve">is a linear time trend; and </w:t>
      </w:r>
      <w:proofErr w:type="spellStart"/>
      <w:r w:rsidRPr="00C80F33">
        <w:rPr>
          <w:rFonts w:ascii="Times New Roman" w:hAnsi="Times New Roman" w:cs="Times New Roman"/>
          <w:i/>
        </w:rPr>
        <w:t>t</w:t>
      </w:r>
      <w:r w:rsidRPr="00C80F33">
        <w:rPr>
          <w:rFonts w:ascii="Times New Roman" w:hAnsi="Times New Roman" w:cs="Times New Roman"/>
          <w:i/>
          <w:vertAlign w:val="subscript"/>
        </w:rPr>
        <w:t>i</w:t>
      </w:r>
      <w:proofErr w:type="spellEnd"/>
      <w:r w:rsidRPr="00C80F33">
        <w:rPr>
          <w:rFonts w:ascii="Times New Roman" w:hAnsi="Times New Roman" w:cs="Times New Roman"/>
          <w:i/>
        </w:rPr>
        <w:t xml:space="preserve"> </w:t>
      </w:r>
      <w:r w:rsidRPr="00C80F33">
        <w:t xml:space="preserve">is the value of the linear time trend at time </w:t>
      </w:r>
      <w:proofErr w:type="spellStart"/>
      <w:r w:rsidRPr="00C80F33">
        <w:rPr>
          <w:rFonts w:ascii="Times New Roman" w:hAnsi="Times New Roman" w:cs="Times New Roman"/>
          <w:i/>
        </w:rPr>
        <w:t>i</w:t>
      </w:r>
      <w:proofErr w:type="spellEnd"/>
      <w:r w:rsidRPr="00C80F33">
        <w:t>; the speed at which actual imports approaches its long-run level is determined by</w:t>
      </w:r>
      <w:r w:rsidR="002671A1" w:rsidRPr="00C80F33">
        <w:t xml:space="preserve"> -1 &lt; </w:t>
      </w:r>
      <w:r w:rsidR="002671A1" w:rsidRPr="00C80F33">
        <w:rPr>
          <w:rFonts w:ascii="Symbol" w:hAnsi="Symbol"/>
        </w:rPr>
        <w:t></w:t>
      </w:r>
      <w:r w:rsidR="002671A1" w:rsidRPr="00C80F33">
        <w:rPr>
          <w:rFonts w:ascii="Symbol" w:hAnsi="Symbol"/>
        </w:rPr>
        <w:t></w:t>
      </w:r>
      <w:r w:rsidR="002671A1" w:rsidRPr="00C80F33">
        <w:t>&lt; 0</w:t>
      </w:r>
      <w:r w:rsidRPr="00C80F33">
        <w:t xml:space="preserve">; </w:t>
      </w:r>
      <w:r w:rsidR="002671A1" w:rsidRPr="00C80F33">
        <w:rPr>
          <w:rFonts w:ascii="Symbol" w:hAnsi="Symbol"/>
        </w:rPr>
        <w:t></w:t>
      </w:r>
      <w:r w:rsidR="002671A1" w:rsidRPr="00C80F33">
        <w:rPr>
          <w:rFonts w:ascii="Times New Roman" w:hAnsi="Times New Roman" w:cs="Times New Roman"/>
          <w:i/>
          <w:vertAlign w:val="subscript"/>
        </w:rPr>
        <w:t>l</w:t>
      </w:r>
      <w:r w:rsidR="002671A1" w:rsidRPr="00C80F33">
        <w:t xml:space="preserve"> </w:t>
      </w:r>
      <w:r w:rsidR="00E95708" w:rsidRPr="00C80F33">
        <w:t>captures short</w:t>
      </w:r>
      <w:r w:rsidR="00C5340B" w:rsidRPr="00C80F33">
        <w:noBreakHyphen/>
      </w:r>
      <w:r w:rsidR="002671A1" w:rsidRPr="00C80F33">
        <w:t xml:space="preserve">run outliers; </w:t>
      </w:r>
      <w:r w:rsidR="002671A1" w:rsidRPr="00C80F33">
        <w:rPr>
          <w:rFonts w:ascii="Times New Roman" w:hAnsi="Times New Roman" w:cs="Times New Roman"/>
          <w:i/>
        </w:rPr>
        <w:t>D</w:t>
      </w:r>
      <w:r w:rsidR="002671A1" w:rsidRPr="00C80F33">
        <w:rPr>
          <w:rFonts w:ascii="Times New Roman" w:hAnsi="Times New Roman" w:cs="Times New Roman"/>
          <w:i/>
          <w:vertAlign w:val="subscript"/>
        </w:rPr>
        <w:t xml:space="preserve">l </w:t>
      </w:r>
      <w:r w:rsidR="00E95708" w:rsidRPr="00C80F33">
        <w:t xml:space="preserve">denotes a dummy variable that is </w:t>
      </w:r>
      <w:r w:rsidR="008A502B" w:rsidRPr="00C80F33">
        <w:t>one</w:t>
      </w:r>
      <w:r w:rsidR="00E95708" w:rsidRPr="00C80F33">
        <w:t xml:space="preserve"> </w:t>
      </w:r>
      <w:r w:rsidR="00E4750E" w:rsidRPr="00C80F33">
        <w:t xml:space="preserve">at time </w:t>
      </w:r>
      <w:r w:rsidR="0055598D" w:rsidRPr="00C80F33">
        <w:rPr>
          <w:rFonts w:ascii="Times New Roman" w:hAnsi="Times New Roman" w:cs="Times New Roman"/>
          <w:i/>
        </w:rPr>
        <w:t>l</w:t>
      </w:r>
      <w:r w:rsidR="0055598D" w:rsidRPr="00C80F33">
        <w:t xml:space="preserve"> </w:t>
      </w:r>
      <w:r w:rsidR="00E4750E" w:rsidRPr="00C80F33">
        <w:t>and 0</w:t>
      </w:r>
      <w:r w:rsidR="00E95708" w:rsidRPr="00C80F33">
        <w:t xml:space="preserve"> otherwise</w:t>
      </w:r>
      <w:r w:rsidR="00E4750E" w:rsidRPr="00C80F33">
        <w:t>;</w:t>
      </w:r>
      <w:r w:rsidR="00E95708" w:rsidRPr="00C80F33">
        <w:t xml:space="preserve"> </w:t>
      </w:r>
      <w:r w:rsidRPr="00C80F33">
        <w:t xml:space="preserve">and </w:t>
      </w:r>
      <w:r w:rsidR="002671A1" w:rsidRPr="00C80F33">
        <w:rPr>
          <w:rFonts w:ascii="Symbol" w:hAnsi="Symbol"/>
        </w:rPr>
        <w:t></w:t>
      </w:r>
      <w:r w:rsidR="002671A1" w:rsidRPr="00C80F33">
        <w:rPr>
          <w:rFonts w:ascii="Times New Roman" w:hAnsi="Times New Roman" w:cs="Times New Roman"/>
          <w:i/>
          <w:vertAlign w:val="subscript"/>
        </w:rPr>
        <w:t>t</w:t>
      </w:r>
      <w:r w:rsidR="002671A1" w:rsidRPr="00C80F33">
        <w:t xml:space="preserve"> </w:t>
      </w:r>
      <w:r w:rsidRPr="00C80F33">
        <w:t xml:space="preserve">is an error term, which </w:t>
      </w:r>
      <w:r w:rsidR="00E05C54" w:rsidRPr="00C80F33">
        <w:t xml:space="preserve">is </w:t>
      </w:r>
      <w:r w:rsidRPr="00C80F33">
        <w:t>assumed to be distributed with a mean of zero and constant variance.</w:t>
      </w:r>
    </w:p>
    <w:p w14:paraId="1AC4A13D" w14:textId="77777777" w:rsidR="009C3BFE" w:rsidRPr="00C80F33" w:rsidRDefault="00C30D73" w:rsidP="009C3BFE">
      <w:pPr>
        <w:pStyle w:val="Heading3"/>
        <w:rPr>
          <w:lang w:val="en-AU"/>
        </w:rPr>
      </w:pPr>
      <w:r w:rsidRPr="00C80F33">
        <w:rPr>
          <w:lang w:val="en-AU"/>
        </w:rPr>
        <w:t>Estimation results</w:t>
      </w:r>
      <w:r w:rsidR="00A402E2" w:rsidRPr="00C80F33">
        <w:rPr>
          <w:lang w:val="en-AU"/>
        </w:rPr>
        <w:t xml:space="preserve">: </w:t>
      </w:r>
      <w:r w:rsidR="001C015A" w:rsidRPr="00C80F33">
        <w:rPr>
          <w:lang w:val="en-AU"/>
        </w:rPr>
        <w:t>d</w:t>
      </w:r>
      <w:r w:rsidR="00A402E2" w:rsidRPr="00C80F33">
        <w:rPr>
          <w:lang w:val="en-AU"/>
        </w:rPr>
        <w:t>emand</w:t>
      </w:r>
      <w:r w:rsidRPr="00C80F33">
        <w:rPr>
          <w:lang w:val="en-AU"/>
        </w:rPr>
        <w:t xml:space="preserve"> </w:t>
      </w:r>
    </w:p>
    <w:p w14:paraId="046A64F9" w14:textId="40A1510F" w:rsidR="001D595F" w:rsidRPr="00C80F33" w:rsidRDefault="001A4076" w:rsidP="00E95C97">
      <w:pPr>
        <w:rPr>
          <w:rFonts w:asciiTheme="minorHAnsi" w:hAnsiTheme="minorHAnsi"/>
          <w:lang w:eastAsia="en-AU"/>
        </w:rPr>
      </w:pPr>
      <w:r w:rsidRPr="00C80F33">
        <w:rPr>
          <w:rFonts w:asciiTheme="minorHAnsi" w:hAnsiTheme="minorHAnsi"/>
        </w:rPr>
        <w:fldChar w:fldCharType="begin"/>
      </w:r>
      <w:r w:rsidRPr="00C80F33">
        <w:rPr>
          <w:rFonts w:asciiTheme="minorHAnsi" w:hAnsiTheme="minorHAnsi"/>
        </w:rPr>
        <w:instrText xml:space="preserve"> REF _Ref399831918 \h </w:instrText>
      </w:r>
      <w:r w:rsidRPr="00C80F33">
        <w:rPr>
          <w:rFonts w:asciiTheme="minorHAnsi" w:hAnsiTheme="minorHAnsi"/>
        </w:rPr>
      </w:r>
      <w:r w:rsidRPr="00C80F33">
        <w:rPr>
          <w:rFonts w:asciiTheme="minorHAnsi" w:hAnsiTheme="minorHAnsi"/>
        </w:rPr>
        <w:fldChar w:fldCharType="separate"/>
      </w:r>
      <w:r w:rsidR="00025120" w:rsidRPr="00C80F33">
        <w:t xml:space="preserve">Table </w:t>
      </w:r>
      <w:proofErr w:type="gramStart"/>
      <w:r w:rsidR="00025120">
        <w:rPr>
          <w:noProof/>
        </w:rPr>
        <w:t>1</w:t>
      </w:r>
      <w:r w:rsidRPr="00C80F33">
        <w:rPr>
          <w:rFonts w:asciiTheme="minorHAnsi" w:hAnsiTheme="minorHAnsi"/>
        </w:rPr>
        <w:fldChar w:fldCharType="end"/>
      </w:r>
      <w:r w:rsidR="00EB2FAF" w:rsidRPr="00C80F33">
        <w:rPr>
          <w:rFonts w:asciiTheme="minorHAnsi" w:hAnsiTheme="minorHAnsi"/>
        </w:rPr>
        <w:t xml:space="preserve"> reports</w:t>
      </w:r>
      <w:proofErr w:type="gramEnd"/>
      <w:r w:rsidR="00EB2FAF" w:rsidRPr="00C80F33">
        <w:rPr>
          <w:rFonts w:asciiTheme="minorHAnsi" w:hAnsiTheme="minorHAnsi"/>
        </w:rPr>
        <w:t xml:space="preserve"> the estimation results for the import demand </w:t>
      </w:r>
      <w:r w:rsidR="00E043F9" w:rsidRPr="00C80F33">
        <w:rPr>
          <w:rFonts w:asciiTheme="minorHAnsi" w:hAnsiTheme="minorHAnsi"/>
        </w:rPr>
        <w:t>(</w:t>
      </w:r>
      <w:r w:rsidR="005B49D8" w:rsidRPr="00C80F33">
        <w:rPr>
          <w:rFonts w:asciiTheme="minorHAnsi" w:hAnsiTheme="minorHAnsi"/>
        </w:rPr>
        <w:t xml:space="preserve">or import </w:t>
      </w:r>
      <w:r w:rsidR="00E043F9" w:rsidRPr="00C80F33">
        <w:rPr>
          <w:rFonts w:asciiTheme="minorHAnsi" w:hAnsiTheme="minorHAnsi"/>
        </w:rPr>
        <w:t xml:space="preserve">volume) </w:t>
      </w:r>
      <w:r w:rsidR="00EB2FAF" w:rsidRPr="00C80F33">
        <w:rPr>
          <w:rFonts w:asciiTheme="minorHAnsi" w:hAnsiTheme="minorHAnsi"/>
        </w:rPr>
        <w:t>equations.</w:t>
      </w:r>
      <w:r w:rsidR="00752D6A" w:rsidRPr="00C80F33">
        <w:rPr>
          <w:rFonts w:asciiTheme="minorHAnsi" w:hAnsiTheme="minorHAnsi"/>
          <w:lang w:eastAsia="en-AU"/>
        </w:rPr>
        <w:t xml:space="preserve"> </w:t>
      </w:r>
      <w:r w:rsidR="003449AA" w:rsidRPr="00C80F33">
        <w:rPr>
          <w:rFonts w:asciiTheme="minorHAnsi" w:hAnsiTheme="minorHAnsi"/>
          <w:lang w:eastAsia="en-AU"/>
        </w:rPr>
        <w:t>T</w:t>
      </w:r>
      <w:r w:rsidR="006C6BDE" w:rsidRPr="00C80F33">
        <w:rPr>
          <w:rFonts w:asciiTheme="minorHAnsi" w:hAnsiTheme="minorHAnsi"/>
          <w:lang w:eastAsia="en-AU"/>
        </w:rPr>
        <w:t xml:space="preserve">he </w:t>
      </w:r>
      <w:r w:rsidR="003449AA" w:rsidRPr="00C80F33">
        <w:rPr>
          <w:rFonts w:asciiTheme="minorHAnsi" w:hAnsiTheme="minorHAnsi"/>
          <w:lang w:eastAsia="en-AU"/>
        </w:rPr>
        <w:t>long</w:t>
      </w:r>
      <w:r w:rsidR="00513930" w:rsidRPr="00C80F33">
        <w:rPr>
          <w:rFonts w:asciiTheme="minorHAnsi" w:hAnsiTheme="minorHAnsi"/>
          <w:lang w:eastAsia="en-AU"/>
        </w:rPr>
        <w:noBreakHyphen/>
      </w:r>
      <w:r w:rsidR="003449AA" w:rsidRPr="00C80F33">
        <w:rPr>
          <w:rFonts w:asciiTheme="minorHAnsi" w:hAnsiTheme="minorHAnsi"/>
          <w:lang w:eastAsia="en-AU"/>
        </w:rPr>
        <w:t xml:space="preserve">run </w:t>
      </w:r>
      <w:r w:rsidR="00752D6A" w:rsidRPr="00C80F33">
        <w:rPr>
          <w:rFonts w:asciiTheme="minorHAnsi" w:hAnsiTheme="minorHAnsi"/>
          <w:lang w:eastAsia="en-AU"/>
        </w:rPr>
        <w:t>elasticity of substitution between domestic and imported varieties of consumption, capital and intermediate go</w:t>
      </w:r>
      <w:r w:rsidR="003449AA" w:rsidRPr="00C80F33">
        <w:rPr>
          <w:rFonts w:asciiTheme="minorHAnsi" w:hAnsiTheme="minorHAnsi"/>
          <w:lang w:eastAsia="en-AU"/>
        </w:rPr>
        <w:t>ods range</w:t>
      </w:r>
      <w:r w:rsidR="00C5340B" w:rsidRPr="00C80F33">
        <w:rPr>
          <w:rFonts w:asciiTheme="minorHAnsi" w:hAnsiTheme="minorHAnsi"/>
          <w:lang w:eastAsia="en-AU"/>
        </w:rPr>
        <w:t>s</w:t>
      </w:r>
      <w:r w:rsidR="003449AA" w:rsidRPr="00C80F33">
        <w:rPr>
          <w:rFonts w:asciiTheme="minorHAnsi" w:hAnsiTheme="minorHAnsi"/>
          <w:lang w:eastAsia="en-AU"/>
        </w:rPr>
        <w:t xml:space="preserve"> between 0.4 and 0.6. </w:t>
      </w:r>
      <w:r w:rsidR="00752D6A" w:rsidRPr="00C80F33">
        <w:rPr>
          <w:rFonts w:asciiTheme="minorHAnsi" w:hAnsiTheme="minorHAnsi"/>
          <w:lang w:eastAsia="en-AU"/>
        </w:rPr>
        <w:t xml:space="preserve">This suggests </w:t>
      </w:r>
      <w:r w:rsidR="00513930" w:rsidRPr="00C80F33">
        <w:rPr>
          <w:rFonts w:asciiTheme="minorHAnsi" w:hAnsiTheme="minorHAnsi"/>
          <w:lang w:eastAsia="en-AU"/>
        </w:rPr>
        <w:t xml:space="preserve">that </w:t>
      </w:r>
      <w:r w:rsidR="00752D6A" w:rsidRPr="00C80F33">
        <w:rPr>
          <w:rFonts w:asciiTheme="minorHAnsi" w:hAnsiTheme="minorHAnsi"/>
          <w:lang w:eastAsia="en-AU"/>
        </w:rPr>
        <w:t xml:space="preserve">domestic and imported varieties of these categories of imports are gross complements, which means a </w:t>
      </w:r>
      <w:r w:rsidR="003449AA" w:rsidRPr="00C80F33">
        <w:rPr>
          <w:rFonts w:asciiTheme="minorHAnsi" w:hAnsiTheme="minorHAnsi"/>
          <w:lang w:eastAsia="en-AU"/>
        </w:rPr>
        <w:t>rise</w:t>
      </w:r>
      <w:r w:rsidR="00752D6A" w:rsidRPr="00C80F33">
        <w:rPr>
          <w:rFonts w:asciiTheme="minorHAnsi" w:hAnsiTheme="minorHAnsi"/>
          <w:lang w:eastAsia="en-AU"/>
        </w:rPr>
        <w:t xml:space="preserve"> in the price of </w:t>
      </w:r>
      <w:r w:rsidR="003449AA" w:rsidRPr="00C80F33">
        <w:rPr>
          <w:rFonts w:asciiTheme="minorHAnsi" w:hAnsiTheme="minorHAnsi"/>
          <w:lang w:eastAsia="en-AU"/>
        </w:rPr>
        <w:t>either the domestic or imported</w:t>
      </w:r>
      <w:r w:rsidR="00752D6A" w:rsidRPr="00C80F33">
        <w:rPr>
          <w:rFonts w:asciiTheme="minorHAnsi" w:hAnsiTheme="minorHAnsi"/>
          <w:lang w:eastAsia="en-AU"/>
        </w:rPr>
        <w:t xml:space="preserve"> good </w:t>
      </w:r>
      <w:r w:rsidR="00513930" w:rsidRPr="00C80F33">
        <w:rPr>
          <w:rFonts w:asciiTheme="minorHAnsi" w:hAnsiTheme="minorHAnsi"/>
          <w:lang w:eastAsia="en-AU"/>
        </w:rPr>
        <w:t>will lower</w:t>
      </w:r>
      <w:r w:rsidR="00752D6A" w:rsidRPr="00C80F33">
        <w:rPr>
          <w:rFonts w:asciiTheme="minorHAnsi" w:hAnsiTheme="minorHAnsi"/>
          <w:lang w:eastAsia="en-AU"/>
        </w:rPr>
        <w:t xml:space="preserve"> the demand for both goods (</w:t>
      </w:r>
      <w:r w:rsidR="00C12CD2" w:rsidRPr="00C80F33">
        <w:rPr>
          <w:rFonts w:asciiTheme="minorHAnsi" w:hAnsiTheme="minorHAnsi"/>
          <w:lang w:eastAsia="en-AU"/>
        </w:rPr>
        <w:t>that is</w:t>
      </w:r>
      <w:r w:rsidR="00752D6A" w:rsidRPr="00C80F33">
        <w:rPr>
          <w:rFonts w:asciiTheme="minorHAnsi" w:hAnsiTheme="minorHAnsi"/>
          <w:lang w:eastAsia="en-AU"/>
        </w:rPr>
        <w:t>, income effects dominate substitution effects). The elasticity of substitution between domestic and imported services is considerably</w:t>
      </w:r>
      <w:r w:rsidR="00F32790" w:rsidRPr="00C80F33">
        <w:rPr>
          <w:rFonts w:asciiTheme="minorHAnsi" w:hAnsiTheme="minorHAnsi"/>
          <w:lang w:eastAsia="en-AU"/>
        </w:rPr>
        <w:t xml:space="preserve"> higher</w:t>
      </w:r>
      <w:r w:rsidR="003449AA" w:rsidRPr="00C80F33">
        <w:rPr>
          <w:rFonts w:asciiTheme="minorHAnsi" w:hAnsiTheme="minorHAnsi"/>
          <w:lang w:eastAsia="en-AU"/>
        </w:rPr>
        <w:t xml:space="preserve"> </w:t>
      </w:r>
      <w:r w:rsidR="00752D6A" w:rsidRPr="00C80F33">
        <w:rPr>
          <w:rFonts w:asciiTheme="minorHAnsi" w:hAnsiTheme="minorHAnsi"/>
          <w:lang w:eastAsia="en-AU"/>
        </w:rPr>
        <w:t xml:space="preserve">at 1.2. This suggests that domestic and imported services are </w:t>
      </w:r>
      <w:r w:rsidR="003449AA" w:rsidRPr="00C80F33">
        <w:rPr>
          <w:rFonts w:asciiTheme="minorHAnsi" w:hAnsiTheme="minorHAnsi"/>
          <w:lang w:eastAsia="en-AU"/>
        </w:rPr>
        <w:t xml:space="preserve">gross </w:t>
      </w:r>
      <w:r w:rsidR="00752D6A" w:rsidRPr="00C80F33">
        <w:rPr>
          <w:rFonts w:asciiTheme="minorHAnsi" w:hAnsiTheme="minorHAnsi"/>
          <w:lang w:eastAsia="en-AU"/>
        </w:rPr>
        <w:t>substitutes, with substitution ef</w:t>
      </w:r>
      <w:r w:rsidR="003449AA" w:rsidRPr="00C80F33">
        <w:rPr>
          <w:rFonts w:asciiTheme="minorHAnsi" w:hAnsiTheme="minorHAnsi"/>
          <w:lang w:eastAsia="en-AU"/>
        </w:rPr>
        <w:t>fects dominating income effects, so that a rise in the</w:t>
      </w:r>
      <w:r w:rsidR="00C5340B" w:rsidRPr="00C80F33">
        <w:rPr>
          <w:rFonts w:asciiTheme="minorHAnsi" w:hAnsiTheme="minorHAnsi"/>
          <w:lang w:eastAsia="en-AU"/>
        </w:rPr>
        <w:t xml:space="preserve"> </w:t>
      </w:r>
      <w:r w:rsidR="003449AA" w:rsidRPr="00C80F33">
        <w:rPr>
          <w:rFonts w:asciiTheme="minorHAnsi" w:hAnsiTheme="minorHAnsi"/>
          <w:lang w:eastAsia="en-AU"/>
        </w:rPr>
        <w:t>price</w:t>
      </w:r>
      <w:r w:rsidR="00C5340B" w:rsidRPr="00C80F33">
        <w:rPr>
          <w:rFonts w:asciiTheme="minorHAnsi" w:hAnsiTheme="minorHAnsi"/>
          <w:lang w:eastAsia="en-AU"/>
        </w:rPr>
        <w:t xml:space="preserve"> of imported services</w:t>
      </w:r>
      <w:r w:rsidR="003449AA" w:rsidRPr="00C80F33">
        <w:rPr>
          <w:rFonts w:asciiTheme="minorHAnsi" w:hAnsiTheme="minorHAnsi"/>
          <w:lang w:eastAsia="en-AU"/>
        </w:rPr>
        <w:t xml:space="preserve"> implies greater demand for domestic services.</w:t>
      </w:r>
    </w:p>
    <w:p w14:paraId="00B066B3" w14:textId="77777777" w:rsidR="00754F73" w:rsidRPr="00C80F33" w:rsidRDefault="00754F73" w:rsidP="00E95C97">
      <w:pPr>
        <w:rPr>
          <w:rFonts w:asciiTheme="minorHAnsi" w:hAnsiTheme="minorHAnsi"/>
          <w:lang w:eastAsia="en-AU"/>
        </w:rPr>
      </w:pPr>
      <w:r w:rsidRPr="00C80F33">
        <w:rPr>
          <w:rFonts w:asciiTheme="minorHAnsi" w:hAnsiTheme="minorHAnsi"/>
          <w:lang w:eastAsia="en-AU"/>
        </w:rPr>
        <w:t xml:space="preserve">The </w:t>
      </w:r>
      <w:r w:rsidR="00423544" w:rsidRPr="00C80F33">
        <w:rPr>
          <w:rFonts w:asciiTheme="minorHAnsi" w:hAnsiTheme="minorHAnsi"/>
          <w:lang w:eastAsia="en-AU"/>
        </w:rPr>
        <w:t>finding</w:t>
      </w:r>
      <w:r w:rsidRPr="00C80F33">
        <w:rPr>
          <w:rFonts w:asciiTheme="minorHAnsi" w:hAnsiTheme="minorHAnsi"/>
          <w:lang w:eastAsia="en-AU"/>
        </w:rPr>
        <w:t xml:space="preserve"> that import</w:t>
      </w:r>
      <w:r w:rsidR="00513930" w:rsidRPr="00C80F33">
        <w:rPr>
          <w:rFonts w:asciiTheme="minorHAnsi" w:hAnsiTheme="minorHAnsi"/>
          <w:lang w:eastAsia="en-AU"/>
        </w:rPr>
        <w:t>ed</w:t>
      </w:r>
      <w:r w:rsidRPr="00C80F33">
        <w:rPr>
          <w:rFonts w:asciiTheme="minorHAnsi" w:hAnsiTheme="minorHAnsi"/>
          <w:lang w:eastAsia="en-AU"/>
        </w:rPr>
        <w:t xml:space="preserve"> </w:t>
      </w:r>
      <w:r w:rsidR="00A34D53" w:rsidRPr="00C80F33">
        <w:rPr>
          <w:rFonts w:asciiTheme="minorHAnsi" w:hAnsiTheme="minorHAnsi"/>
          <w:lang w:eastAsia="en-AU"/>
        </w:rPr>
        <w:t>good</w:t>
      </w:r>
      <w:r w:rsidR="00513930" w:rsidRPr="00C80F33">
        <w:rPr>
          <w:rFonts w:asciiTheme="minorHAnsi" w:hAnsiTheme="minorHAnsi"/>
          <w:lang w:eastAsia="en-AU"/>
        </w:rPr>
        <w:t>s</w:t>
      </w:r>
      <w:r w:rsidR="00A34D53" w:rsidRPr="00C80F33">
        <w:rPr>
          <w:rFonts w:asciiTheme="minorHAnsi" w:hAnsiTheme="minorHAnsi"/>
          <w:lang w:eastAsia="en-AU"/>
        </w:rPr>
        <w:t xml:space="preserve"> </w:t>
      </w:r>
      <w:r w:rsidRPr="00C80F33">
        <w:rPr>
          <w:rFonts w:asciiTheme="minorHAnsi" w:hAnsiTheme="minorHAnsi"/>
          <w:lang w:eastAsia="en-AU"/>
        </w:rPr>
        <w:t xml:space="preserve">are complementary to domestically produced varieties is consistent with previous </w:t>
      </w:r>
      <w:r w:rsidR="00DC5876" w:rsidRPr="00C80F33">
        <w:rPr>
          <w:rFonts w:asciiTheme="minorHAnsi" w:hAnsiTheme="minorHAnsi"/>
          <w:lang w:eastAsia="en-AU"/>
        </w:rPr>
        <w:t xml:space="preserve">Australian </w:t>
      </w:r>
      <w:r w:rsidRPr="00C80F33">
        <w:rPr>
          <w:rFonts w:asciiTheme="minorHAnsi" w:hAnsiTheme="minorHAnsi"/>
          <w:lang w:eastAsia="en-AU"/>
        </w:rPr>
        <w:t>research</w:t>
      </w:r>
      <w:r w:rsidR="00423544" w:rsidRPr="00C80F33">
        <w:rPr>
          <w:rFonts w:asciiTheme="minorHAnsi" w:hAnsiTheme="minorHAnsi"/>
          <w:lang w:eastAsia="en-AU"/>
        </w:rPr>
        <w:t xml:space="preserve">. </w:t>
      </w:r>
      <w:r w:rsidR="00511A87" w:rsidRPr="00C80F33">
        <w:rPr>
          <w:rFonts w:asciiTheme="minorHAnsi" w:hAnsiTheme="minorHAnsi"/>
          <w:lang w:eastAsia="en-AU"/>
        </w:rPr>
        <w:t xml:space="preserve">Wilkinson (1992) and </w:t>
      </w:r>
      <w:r w:rsidRPr="00C80F33">
        <w:rPr>
          <w:rFonts w:asciiTheme="minorHAnsi" w:hAnsiTheme="minorHAnsi"/>
          <w:lang w:eastAsia="en-AU"/>
        </w:rPr>
        <w:t xml:space="preserve">Dwyer and Kent (1993) estimate </w:t>
      </w:r>
      <w:r w:rsidR="00511A87" w:rsidRPr="00C80F33">
        <w:rPr>
          <w:rFonts w:asciiTheme="minorHAnsi" w:hAnsiTheme="minorHAnsi"/>
          <w:lang w:eastAsia="en-AU"/>
        </w:rPr>
        <w:t>an</w:t>
      </w:r>
      <w:r w:rsidRPr="00C80F33">
        <w:rPr>
          <w:rFonts w:asciiTheme="minorHAnsi" w:hAnsiTheme="minorHAnsi"/>
          <w:lang w:eastAsia="en-AU"/>
        </w:rPr>
        <w:t xml:space="preserve"> elasticity of substitution of </w:t>
      </w:r>
      <w:r w:rsidR="00A34D53" w:rsidRPr="00C80F33">
        <w:rPr>
          <w:rFonts w:asciiTheme="minorHAnsi" w:hAnsiTheme="minorHAnsi"/>
          <w:lang w:eastAsia="en-AU"/>
        </w:rPr>
        <w:t>between 0.</w:t>
      </w:r>
      <w:r w:rsidR="00511A87" w:rsidRPr="00C80F33">
        <w:rPr>
          <w:rFonts w:asciiTheme="minorHAnsi" w:hAnsiTheme="minorHAnsi"/>
          <w:lang w:eastAsia="en-AU"/>
        </w:rPr>
        <w:t>3 and 0.8</w:t>
      </w:r>
      <w:r w:rsidR="00A34D53" w:rsidRPr="00C80F33">
        <w:rPr>
          <w:rFonts w:asciiTheme="minorHAnsi" w:hAnsiTheme="minorHAnsi"/>
          <w:lang w:eastAsia="en-AU"/>
        </w:rPr>
        <w:t xml:space="preserve"> </w:t>
      </w:r>
      <w:r w:rsidR="00511A87" w:rsidRPr="00C80F33">
        <w:rPr>
          <w:rFonts w:asciiTheme="minorHAnsi" w:hAnsiTheme="minorHAnsi"/>
          <w:lang w:eastAsia="en-AU"/>
        </w:rPr>
        <w:t xml:space="preserve">for aggregate imports, </w:t>
      </w:r>
      <w:r w:rsidR="00A34D53" w:rsidRPr="00C80F33">
        <w:rPr>
          <w:rFonts w:asciiTheme="minorHAnsi" w:hAnsiTheme="minorHAnsi"/>
          <w:lang w:eastAsia="en-AU"/>
        </w:rPr>
        <w:t>depending on whether the long-run equations are augmented with measures of trade openness</w:t>
      </w:r>
      <w:r w:rsidR="00511A87" w:rsidRPr="00C80F33">
        <w:rPr>
          <w:rFonts w:asciiTheme="minorHAnsi" w:hAnsiTheme="minorHAnsi"/>
          <w:lang w:eastAsia="en-AU"/>
        </w:rPr>
        <w:t xml:space="preserve"> and </w:t>
      </w:r>
      <w:r w:rsidR="00A34D53" w:rsidRPr="00C80F33">
        <w:rPr>
          <w:rFonts w:asciiTheme="minorHAnsi" w:hAnsiTheme="minorHAnsi"/>
          <w:lang w:eastAsia="en-AU"/>
        </w:rPr>
        <w:t>export prices (to capture the increased capacity to import when revenue from exports rises)</w:t>
      </w:r>
      <w:r w:rsidRPr="00C80F33">
        <w:rPr>
          <w:rFonts w:asciiTheme="minorHAnsi" w:hAnsiTheme="minorHAnsi"/>
          <w:lang w:eastAsia="en-AU"/>
        </w:rPr>
        <w:t>.</w:t>
      </w:r>
      <w:r w:rsidR="00423544" w:rsidRPr="00C80F33">
        <w:rPr>
          <w:rFonts w:asciiTheme="minorHAnsi" w:hAnsiTheme="minorHAnsi"/>
          <w:lang w:eastAsia="en-AU"/>
        </w:rPr>
        <w:t xml:space="preserve"> </w:t>
      </w:r>
      <w:r w:rsidR="00CD6B19" w:rsidRPr="00C80F33">
        <w:rPr>
          <w:rFonts w:asciiTheme="minorHAnsi" w:hAnsiTheme="minorHAnsi"/>
          <w:lang w:eastAsia="en-AU"/>
        </w:rPr>
        <w:t xml:space="preserve">At a disaggregated level, Dwyer and Kent (1993) </w:t>
      </w:r>
      <w:r w:rsidR="00423544" w:rsidRPr="00C80F33">
        <w:rPr>
          <w:rFonts w:asciiTheme="minorHAnsi" w:hAnsiTheme="minorHAnsi"/>
          <w:lang w:eastAsia="en-AU"/>
        </w:rPr>
        <w:t>report</w:t>
      </w:r>
      <w:r w:rsidR="00CD6B19" w:rsidRPr="00C80F33">
        <w:rPr>
          <w:rFonts w:asciiTheme="minorHAnsi" w:hAnsiTheme="minorHAnsi"/>
          <w:lang w:eastAsia="en-AU"/>
        </w:rPr>
        <w:t xml:space="preserve"> similar elasticities</w:t>
      </w:r>
      <w:r w:rsidR="00423544" w:rsidRPr="00C80F33">
        <w:rPr>
          <w:rFonts w:asciiTheme="minorHAnsi" w:hAnsiTheme="minorHAnsi"/>
          <w:lang w:eastAsia="en-AU"/>
        </w:rPr>
        <w:t xml:space="preserve"> of substitution</w:t>
      </w:r>
      <w:r w:rsidR="00CD6B19" w:rsidRPr="00C80F33">
        <w:rPr>
          <w:rFonts w:asciiTheme="minorHAnsi" w:hAnsiTheme="minorHAnsi"/>
          <w:lang w:eastAsia="en-AU"/>
        </w:rPr>
        <w:t>, with the exception of intermediate goods</w:t>
      </w:r>
      <w:r w:rsidR="00423544" w:rsidRPr="00C80F33">
        <w:rPr>
          <w:rFonts w:asciiTheme="minorHAnsi" w:hAnsiTheme="minorHAnsi"/>
          <w:lang w:eastAsia="en-AU"/>
        </w:rPr>
        <w:t xml:space="preserve"> </w:t>
      </w:r>
      <w:r w:rsidR="00CD6B19" w:rsidRPr="00C80F33">
        <w:rPr>
          <w:rFonts w:asciiTheme="minorHAnsi" w:hAnsiTheme="minorHAnsi"/>
          <w:lang w:eastAsia="en-AU"/>
        </w:rPr>
        <w:t xml:space="preserve">where the estimated elasticity is </w:t>
      </w:r>
      <w:r w:rsidR="00DC5876" w:rsidRPr="00C80F33">
        <w:rPr>
          <w:rFonts w:asciiTheme="minorHAnsi" w:hAnsiTheme="minorHAnsi"/>
          <w:lang w:eastAsia="en-AU"/>
        </w:rPr>
        <w:t xml:space="preserve">found to be </w:t>
      </w:r>
      <w:r w:rsidR="00CD6B19" w:rsidRPr="00C80F33">
        <w:rPr>
          <w:rFonts w:asciiTheme="minorHAnsi" w:hAnsiTheme="minorHAnsi"/>
          <w:lang w:eastAsia="en-AU"/>
        </w:rPr>
        <w:t xml:space="preserve">not </w:t>
      </w:r>
      <w:r w:rsidR="00423544" w:rsidRPr="00C80F33">
        <w:rPr>
          <w:rFonts w:asciiTheme="minorHAnsi" w:hAnsiTheme="minorHAnsi"/>
          <w:lang w:eastAsia="en-AU"/>
        </w:rPr>
        <w:t xml:space="preserve">significantly different </w:t>
      </w:r>
      <w:r w:rsidR="00C5340B" w:rsidRPr="00C80F33">
        <w:rPr>
          <w:rFonts w:asciiTheme="minorHAnsi" w:hAnsiTheme="minorHAnsi"/>
          <w:lang w:eastAsia="en-AU"/>
        </w:rPr>
        <w:t xml:space="preserve">from </w:t>
      </w:r>
      <w:r w:rsidR="00423544" w:rsidRPr="00C80F33">
        <w:rPr>
          <w:rFonts w:asciiTheme="minorHAnsi" w:hAnsiTheme="minorHAnsi"/>
          <w:lang w:eastAsia="en-AU"/>
        </w:rPr>
        <w:t>zero.</w:t>
      </w:r>
    </w:p>
    <w:p w14:paraId="0A608406" w14:textId="77777777" w:rsidR="000705E0" w:rsidRPr="00C80F33" w:rsidRDefault="00B975D1" w:rsidP="00E95C97">
      <w:pPr>
        <w:rPr>
          <w:rFonts w:asciiTheme="minorHAnsi" w:hAnsiTheme="minorHAnsi"/>
        </w:rPr>
      </w:pPr>
      <w:r w:rsidRPr="00C80F33">
        <w:rPr>
          <w:rFonts w:asciiTheme="minorHAnsi" w:hAnsiTheme="minorHAnsi"/>
        </w:rPr>
        <w:t>After controlling for movements in relative prices, it is necessary to introduce a linear time trend over the full sample to account for rising import penetration</w:t>
      </w:r>
      <w:r w:rsidR="00EB2FAF" w:rsidRPr="00C80F33">
        <w:rPr>
          <w:rFonts w:asciiTheme="minorHAnsi" w:hAnsiTheme="minorHAnsi"/>
        </w:rPr>
        <w:t xml:space="preserve"> for each of the four </w:t>
      </w:r>
      <w:r w:rsidR="003449AA" w:rsidRPr="00C80F33">
        <w:rPr>
          <w:rFonts w:asciiTheme="minorHAnsi" w:hAnsiTheme="minorHAnsi"/>
        </w:rPr>
        <w:t xml:space="preserve">imports </w:t>
      </w:r>
      <w:r w:rsidR="00EB2FAF" w:rsidRPr="00C80F33">
        <w:rPr>
          <w:rFonts w:asciiTheme="minorHAnsi" w:hAnsiTheme="minorHAnsi"/>
        </w:rPr>
        <w:t>categories</w:t>
      </w:r>
      <w:r w:rsidR="003449AA" w:rsidRPr="00C80F33">
        <w:rPr>
          <w:rFonts w:asciiTheme="minorHAnsi" w:hAnsiTheme="minorHAnsi"/>
        </w:rPr>
        <w:t xml:space="preserve">. </w:t>
      </w:r>
      <w:r w:rsidRPr="00C80F33">
        <w:rPr>
          <w:rFonts w:asciiTheme="minorHAnsi" w:hAnsiTheme="minorHAnsi"/>
        </w:rPr>
        <w:t xml:space="preserve">The coefficient on the time trend is estimated to be </w:t>
      </w:r>
      <w:r w:rsidR="001D595F" w:rsidRPr="00C80F33">
        <w:rPr>
          <w:rFonts w:asciiTheme="minorHAnsi" w:hAnsiTheme="minorHAnsi"/>
        </w:rPr>
        <w:t xml:space="preserve">roughly </w:t>
      </w:r>
      <w:r w:rsidR="00EB2FAF" w:rsidRPr="00C80F33">
        <w:rPr>
          <w:rFonts w:asciiTheme="minorHAnsi" w:hAnsiTheme="minorHAnsi"/>
        </w:rPr>
        <w:t>0.01 in the case of consumption and capital goods, and</w:t>
      </w:r>
      <w:r w:rsidR="001D595F" w:rsidRPr="00C80F33">
        <w:rPr>
          <w:rFonts w:asciiTheme="minorHAnsi" w:hAnsiTheme="minorHAnsi"/>
        </w:rPr>
        <w:t xml:space="preserve"> roughly</w:t>
      </w:r>
      <w:r w:rsidR="00EB2FAF" w:rsidRPr="00C80F33">
        <w:rPr>
          <w:rFonts w:asciiTheme="minorHAnsi" w:hAnsiTheme="minorHAnsi"/>
        </w:rPr>
        <w:t xml:space="preserve"> 0.003 in the case of in</w:t>
      </w:r>
      <w:r w:rsidR="00134203" w:rsidRPr="00C80F33">
        <w:rPr>
          <w:rFonts w:asciiTheme="minorHAnsi" w:hAnsiTheme="minorHAnsi"/>
        </w:rPr>
        <w:t xml:space="preserve">termediate goods and services. </w:t>
      </w:r>
      <w:r w:rsidRPr="00C80F33">
        <w:rPr>
          <w:rFonts w:asciiTheme="minorHAnsi" w:hAnsiTheme="minorHAnsi"/>
        </w:rPr>
        <w:t xml:space="preserve">This suggests </w:t>
      </w:r>
      <w:r w:rsidR="00513930" w:rsidRPr="00C80F33">
        <w:rPr>
          <w:rFonts w:asciiTheme="minorHAnsi" w:hAnsiTheme="minorHAnsi"/>
        </w:rPr>
        <w:t xml:space="preserve">that </w:t>
      </w:r>
      <w:r w:rsidRPr="00C80F33">
        <w:rPr>
          <w:rFonts w:asciiTheme="minorHAnsi" w:hAnsiTheme="minorHAnsi"/>
        </w:rPr>
        <w:t xml:space="preserve">imports </w:t>
      </w:r>
      <w:r w:rsidR="001D595F" w:rsidRPr="00C80F33">
        <w:rPr>
          <w:rFonts w:asciiTheme="minorHAnsi" w:hAnsiTheme="minorHAnsi"/>
        </w:rPr>
        <w:t xml:space="preserve">have grown beyond the rate </w:t>
      </w:r>
      <w:r w:rsidRPr="00C80F33">
        <w:rPr>
          <w:rFonts w:asciiTheme="minorHAnsi" w:hAnsiTheme="minorHAnsi"/>
        </w:rPr>
        <w:t xml:space="preserve">predicted by the explanatory variables identified in </w:t>
      </w:r>
      <w:r w:rsidR="001D595F" w:rsidRPr="00C80F33">
        <w:rPr>
          <w:rFonts w:asciiTheme="minorHAnsi" w:hAnsiTheme="minorHAnsi"/>
        </w:rPr>
        <w:t xml:space="preserve">the </w:t>
      </w:r>
      <w:r w:rsidRPr="00C80F33">
        <w:rPr>
          <w:rFonts w:asciiTheme="minorHAnsi" w:hAnsiTheme="minorHAnsi"/>
        </w:rPr>
        <w:t>theoretical model b</w:t>
      </w:r>
      <w:r w:rsidR="001D595F" w:rsidRPr="00C80F33">
        <w:rPr>
          <w:rFonts w:asciiTheme="minorHAnsi" w:hAnsiTheme="minorHAnsi"/>
        </w:rPr>
        <w:t xml:space="preserve">y around </w:t>
      </w:r>
      <w:r w:rsidR="008E430E" w:rsidRPr="00C80F33">
        <w:rPr>
          <w:rFonts w:asciiTheme="minorHAnsi" w:hAnsiTheme="minorHAnsi"/>
        </w:rPr>
        <w:t>four </w:t>
      </w:r>
      <w:r w:rsidR="001D595F" w:rsidRPr="00C80F33">
        <w:rPr>
          <w:rFonts w:asciiTheme="minorHAnsi" w:hAnsiTheme="minorHAnsi"/>
        </w:rPr>
        <w:t>per</w:t>
      </w:r>
      <w:r w:rsidR="008E430E" w:rsidRPr="00C80F33">
        <w:rPr>
          <w:rFonts w:asciiTheme="minorHAnsi" w:hAnsiTheme="minorHAnsi"/>
        </w:rPr>
        <w:t> </w:t>
      </w:r>
      <w:r w:rsidR="001D595F" w:rsidRPr="00C80F33">
        <w:rPr>
          <w:rFonts w:asciiTheme="minorHAnsi" w:hAnsiTheme="minorHAnsi"/>
        </w:rPr>
        <w:t>cent per</w:t>
      </w:r>
      <w:r w:rsidR="008E430E" w:rsidRPr="00C80F33">
        <w:rPr>
          <w:rFonts w:asciiTheme="minorHAnsi" w:hAnsiTheme="minorHAnsi"/>
        </w:rPr>
        <w:t> </w:t>
      </w:r>
      <w:r w:rsidR="001D595F" w:rsidRPr="00C80F33">
        <w:rPr>
          <w:rFonts w:asciiTheme="minorHAnsi" w:hAnsiTheme="minorHAnsi"/>
        </w:rPr>
        <w:t xml:space="preserve">annum in the case of consumption and capital goods, and by around </w:t>
      </w:r>
      <w:r w:rsidR="008A502B" w:rsidRPr="00C80F33">
        <w:rPr>
          <w:rFonts w:asciiTheme="minorHAnsi" w:hAnsiTheme="minorHAnsi"/>
        </w:rPr>
        <w:t>one </w:t>
      </w:r>
      <w:r w:rsidR="001D595F" w:rsidRPr="00C80F33">
        <w:rPr>
          <w:rFonts w:asciiTheme="minorHAnsi" w:hAnsiTheme="minorHAnsi"/>
        </w:rPr>
        <w:t>per</w:t>
      </w:r>
      <w:r w:rsidR="008A502B" w:rsidRPr="00C80F33">
        <w:rPr>
          <w:rFonts w:asciiTheme="minorHAnsi" w:hAnsiTheme="minorHAnsi"/>
        </w:rPr>
        <w:t> </w:t>
      </w:r>
      <w:r w:rsidR="001D595F" w:rsidRPr="00C80F33">
        <w:rPr>
          <w:rFonts w:asciiTheme="minorHAnsi" w:hAnsiTheme="minorHAnsi"/>
        </w:rPr>
        <w:t>cent per</w:t>
      </w:r>
      <w:r w:rsidR="008A502B" w:rsidRPr="00C80F33">
        <w:rPr>
          <w:rFonts w:asciiTheme="minorHAnsi" w:hAnsiTheme="minorHAnsi"/>
        </w:rPr>
        <w:t> </w:t>
      </w:r>
      <w:r w:rsidR="001D595F" w:rsidRPr="00C80F33">
        <w:rPr>
          <w:rFonts w:asciiTheme="minorHAnsi" w:hAnsiTheme="minorHAnsi"/>
        </w:rPr>
        <w:t xml:space="preserve">annum in the case of intermediate goods </w:t>
      </w:r>
      <w:r w:rsidR="003449AA" w:rsidRPr="00C80F33">
        <w:rPr>
          <w:rFonts w:asciiTheme="minorHAnsi" w:hAnsiTheme="minorHAnsi"/>
        </w:rPr>
        <w:t>and services.</w:t>
      </w:r>
    </w:p>
    <w:p w14:paraId="33B586FD" w14:textId="77777777" w:rsidR="005C5F7F" w:rsidRPr="00C80F33" w:rsidRDefault="00B975D1" w:rsidP="00E95C97">
      <w:pPr>
        <w:rPr>
          <w:rFonts w:asciiTheme="minorHAnsi" w:hAnsiTheme="minorHAnsi"/>
        </w:rPr>
      </w:pPr>
      <w:r w:rsidRPr="00C80F33">
        <w:rPr>
          <w:rFonts w:asciiTheme="minorHAnsi" w:hAnsiTheme="minorHAnsi"/>
        </w:rPr>
        <w:t xml:space="preserve">The rate of penetration </w:t>
      </w:r>
      <w:r w:rsidR="000705E0" w:rsidRPr="00C80F33">
        <w:rPr>
          <w:rFonts w:asciiTheme="minorHAnsi" w:hAnsiTheme="minorHAnsi"/>
        </w:rPr>
        <w:t xml:space="preserve">for consumption goods </w:t>
      </w:r>
      <w:r w:rsidRPr="00C80F33">
        <w:rPr>
          <w:rFonts w:asciiTheme="minorHAnsi" w:hAnsiTheme="minorHAnsi"/>
        </w:rPr>
        <w:t xml:space="preserve">appears to have moderated somewhat since the </w:t>
      </w:r>
      <w:r w:rsidR="000705E0" w:rsidRPr="00C80F33">
        <w:rPr>
          <w:rFonts w:asciiTheme="minorHAnsi" w:hAnsiTheme="minorHAnsi"/>
        </w:rPr>
        <w:t>G</w:t>
      </w:r>
      <w:r w:rsidRPr="00C80F33">
        <w:rPr>
          <w:rFonts w:asciiTheme="minorHAnsi" w:hAnsiTheme="minorHAnsi"/>
        </w:rPr>
        <w:t>loba</w:t>
      </w:r>
      <w:r w:rsidR="000705E0" w:rsidRPr="00C80F33">
        <w:rPr>
          <w:rFonts w:asciiTheme="minorHAnsi" w:hAnsiTheme="minorHAnsi"/>
        </w:rPr>
        <w:t>l Financial C</w:t>
      </w:r>
      <w:r w:rsidRPr="00C80F33">
        <w:rPr>
          <w:rFonts w:asciiTheme="minorHAnsi" w:hAnsiTheme="minorHAnsi"/>
        </w:rPr>
        <w:t>risis (GFC), with the annual penetr</w:t>
      </w:r>
      <w:r w:rsidR="000705E0" w:rsidRPr="00C80F33">
        <w:rPr>
          <w:rFonts w:asciiTheme="minorHAnsi" w:hAnsiTheme="minorHAnsi"/>
        </w:rPr>
        <w:t>ation rate falling to around 0.3</w:t>
      </w:r>
      <w:r w:rsidRPr="00C80F33">
        <w:rPr>
          <w:rFonts w:asciiTheme="minorHAnsi" w:hAnsiTheme="minorHAnsi"/>
        </w:rPr>
        <w:t xml:space="preserve"> per cent</w:t>
      </w:r>
      <w:r w:rsidR="00455B3D" w:rsidRPr="00C80F33">
        <w:rPr>
          <w:rFonts w:asciiTheme="minorHAnsi" w:hAnsiTheme="minorHAnsi"/>
        </w:rPr>
        <w:t xml:space="preserve">. </w:t>
      </w:r>
      <w:r w:rsidR="005C5F7F" w:rsidRPr="00C80F33">
        <w:rPr>
          <w:rFonts w:asciiTheme="minorHAnsi" w:hAnsiTheme="minorHAnsi"/>
        </w:rPr>
        <w:t xml:space="preserve">The GFC also </w:t>
      </w:r>
      <w:r w:rsidR="00513930" w:rsidRPr="00C80F33">
        <w:rPr>
          <w:rFonts w:asciiTheme="minorHAnsi" w:hAnsiTheme="minorHAnsi"/>
        </w:rPr>
        <w:t xml:space="preserve">appears to have </w:t>
      </w:r>
      <w:r w:rsidR="005C5F7F" w:rsidRPr="00C80F33">
        <w:rPr>
          <w:rFonts w:asciiTheme="minorHAnsi" w:hAnsiTheme="minorHAnsi"/>
        </w:rPr>
        <w:t>had</w:t>
      </w:r>
      <w:r w:rsidR="00F32790" w:rsidRPr="00C80F33">
        <w:rPr>
          <w:rFonts w:asciiTheme="minorHAnsi" w:hAnsiTheme="minorHAnsi"/>
        </w:rPr>
        <w:t xml:space="preserve"> a</w:t>
      </w:r>
      <w:r w:rsidR="005C5F7F" w:rsidRPr="00C80F33">
        <w:rPr>
          <w:rFonts w:asciiTheme="minorHAnsi" w:hAnsiTheme="minorHAnsi"/>
        </w:rPr>
        <w:t xml:space="preserve"> large short-run impact on imports of consumption, c</w:t>
      </w:r>
      <w:r w:rsidR="00455B3D" w:rsidRPr="00C80F33">
        <w:rPr>
          <w:rFonts w:asciiTheme="minorHAnsi" w:hAnsiTheme="minorHAnsi"/>
        </w:rPr>
        <w:t xml:space="preserve">apital and intermediate goods. </w:t>
      </w:r>
      <w:r w:rsidR="00513930" w:rsidRPr="00C80F33">
        <w:rPr>
          <w:rFonts w:asciiTheme="minorHAnsi" w:hAnsiTheme="minorHAnsi"/>
        </w:rPr>
        <w:t>In particular, t</w:t>
      </w:r>
      <w:r w:rsidR="005C5F7F" w:rsidRPr="00C80F33">
        <w:rPr>
          <w:rFonts w:asciiTheme="minorHAnsi" w:hAnsiTheme="minorHAnsi"/>
        </w:rPr>
        <w:t xml:space="preserve">he </w:t>
      </w:r>
      <w:r w:rsidR="00513930" w:rsidRPr="00C80F33">
        <w:rPr>
          <w:rFonts w:asciiTheme="minorHAnsi" w:hAnsiTheme="minorHAnsi"/>
        </w:rPr>
        <w:t xml:space="preserve">GFC related </w:t>
      </w:r>
      <w:r w:rsidR="005C5F7F" w:rsidRPr="00C80F33">
        <w:rPr>
          <w:rFonts w:asciiTheme="minorHAnsi" w:hAnsiTheme="minorHAnsi"/>
        </w:rPr>
        <w:t xml:space="preserve">estimates reported in </w:t>
      </w:r>
      <w:r w:rsidR="001A4076" w:rsidRPr="00C80F33">
        <w:rPr>
          <w:rFonts w:asciiTheme="minorHAnsi" w:hAnsiTheme="minorHAnsi"/>
        </w:rPr>
        <w:fldChar w:fldCharType="begin"/>
      </w:r>
      <w:r w:rsidR="001A4076" w:rsidRPr="00C80F33">
        <w:rPr>
          <w:rFonts w:asciiTheme="minorHAnsi" w:hAnsiTheme="minorHAnsi"/>
        </w:rPr>
        <w:instrText xml:space="preserve"> REF _Ref399831918 \h </w:instrText>
      </w:r>
      <w:r w:rsidR="001A4076" w:rsidRPr="00C80F33">
        <w:rPr>
          <w:rFonts w:asciiTheme="minorHAnsi" w:hAnsiTheme="minorHAnsi"/>
        </w:rPr>
      </w:r>
      <w:r w:rsidR="001A4076" w:rsidRPr="00C80F33">
        <w:rPr>
          <w:rFonts w:asciiTheme="minorHAnsi" w:hAnsiTheme="minorHAnsi"/>
        </w:rPr>
        <w:fldChar w:fldCharType="separate"/>
      </w:r>
      <w:r w:rsidR="00025120" w:rsidRPr="00C80F33">
        <w:t xml:space="preserve">Table </w:t>
      </w:r>
      <w:r w:rsidR="00025120">
        <w:rPr>
          <w:noProof/>
        </w:rPr>
        <w:t>1</w:t>
      </w:r>
      <w:r w:rsidR="001A4076" w:rsidRPr="00C80F33">
        <w:rPr>
          <w:rFonts w:asciiTheme="minorHAnsi" w:hAnsiTheme="minorHAnsi"/>
        </w:rPr>
        <w:fldChar w:fldCharType="end"/>
      </w:r>
      <w:r w:rsidR="005C5F7F" w:rsidRPr="00C80F33">
        <w:rPr>
          <w:rFonts w:asciiTheme="minorHAnsi" w:hAnsiTheme="minorHAnsi"/>
        </w:rPr>
        <w:t xml:space="preserve"> suggest large, one-off falls of </w:t>
      </w:r>
      <w:r w:rsidR="005C5F7F" w:rsidRPr="00C80F33">
        <w:rPr>
          <w:rFonts w:asciiTheme="minorHAnsi" w:hAnsiTheme="minorHAnsi"/>
        </w:rPr>
        <w:lastRenderedPageBreak/>
        <w:t xml:space="preserve">between 8 and 20 per cent for these categories of imports </w:t>
      </w:r>
      <w:r w:rsidR="00F32790" w:rsidRPr="00C80F33">
        <w:rPr>
          <w:rFonts w:asciiTheme="minorHAnsi" w:hAnsiTheme="minorHAnsi"/>
        </w:rPr>
        <w:t xml:space="preserve">that cannot be explained </w:t>
      </w:r>
      <w:r w:rsidR="00513930" w:rsidRPr="00C80F33">
        <w:rPr>
          <w:rFonts w:asciiTheme="minorHAnsi" w:hAnsiTheme="minorHAnsi"/>
        </w:rPr>
        <w:t xml:space="preserve">by </w:t>
      </w:r>
      <w:r w:rsidR="00F32790" w:rsidRPr="00C80F33">
        <w:rPr>
          <w:rFonts w:asciiTheme="minorHAnsi" w:hAnsiTheme="minorHAnsi"/>
        </w:rPr>
        <w:t xml:space="preserve">movements in aggregate consumption or relative prices </w:t>
      </w:r>
      <w:r w:rsidR="001A4076" w:rsidRPr="00C80F33">
        <w:rPr>
          <w:rFonts w:asciiTheme="minorHAnsi" w:hAnsiTheme="minorHAnsi"/>
        </w:rPr>
        <w:t>in the first half of 2009.</w:t>
      </w:r>
    </w:p>
    <w:p w14:paraId="56086EB7" w14:textId="77777777" w:rsidR="00C1776A" w:rsidRPr="00C80F33" w:rsidRDefault="00C1776A" w:rsidP="00C1776A">
      <w:pPr>
        <w:pStyle w:val="Caption1"/>
      </w:pPr>
      <w:bookmarkStart w:id="9" w:name="_Ref399831918"/>
      <w:r w:rsidRPr="00C80F33">
        <w:t xml:space="preserve">Table </w:t>
      </w:r>
      <w:r w:rsidR="00BB0DB8">
        <w:fldChar w:fldCharType="begin"/>
      </w:r>
      <w:r w:rsidR="00BB0DB8">
        <w:instrText xml:space="preserve"> SEQ Table \* ARABIC </w:instrText>
      </w:r>
      <w:r w:rsidR="00BB0DB8">
        <w:fldChar w:fldCharType="separate"/>
      </w:r>
      <w:r w:rsidR="00025120">
        <w:rPr>
          <w:noProof/>
        </w:rPr>
        <w:t>1</w:t>
      </w:r>
      <w:r w:rsidR="00BB0DB8">
        <w:rPr>
          <w:noProof/>
        </w:rPr>
        <w:fldChar w:fldCharType="end"/>
      </w:r>
      <w:bookmarkEnd w:id="9"/>
      <w:r w:rsidRPr="00C80F33">
        <w:t xml:space="preserve">: Estimation results </w:t>
      </w:r>
      <w:r w:rsidR="003449AA" w:rsidRPr="00C80F33">
        <w:t>–</w:t>
      </w:r>
      <w:r w:rsidRPr="00C80F33">
        <w:t xml:space="preserve"> </w:t>
      </w:r>
      <w:r w:rsidR="001C015A" w:rsidRPr="00C80F33">
        <w:t>D</w:t>
      </w:r>
      <w:r w:rsidRPr="00C80F33">
        <w:t>emand</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1858"/>
        <w:gridCol w:w="1858"/>
        <w:gridCol w:w="1858"/>
        <w:gridCol w:w="1858"/>
      </w:tblGrid>
      <w:tr w:rsidR="00EC68CA" w:rsidRPr="00C80F33" w14:paraId="125A296D" w14:textId="77777777" w:rsidTr="009E24AF">
        <w:tc>
          <w:tcPr>
            <w:tcW w:w="1857" w:type="dxa"/>
            <w:tcBorders>
              <w:bottom w:val="dotted" w:sz="4" w:space="0" w:color="auto"/>
            </w:tcBorders>
          </w:tcPr>
          <w:p w14:paraId="1C8C39A9" w14:textId="77777777" w:rsidR="00EC68CA" w:rsidRPr="00C80F33" w:rsidRDefault="00EC68CA" w:rsidP="007B27C9">
            <w:pPr>
              <w:pStyle w:val="Caption1"/>
              <w:rPr>
                <w:rFonts w:asciiTheme="minorHAnsi" w:hAnsiTheme="minorHAnsi"/>
                <w:color w:val="000000" w:themeColor="text1"/>
                <w:sz w:val="22"/>
                <w:szCs w:val="22"/>
              </w:rPr>
            </w:pPr>
          </w:p>
        </w:tc>
        <w:tc>
          <w:tcPr>
            <w:tcW w:w="1858" w:type="dxa"/>
            <w:tcBorders>
              <w:bottom w:val="dotted" w:sz="4" w:space="0" w:color="auto"/>
            </w:tcBorders>
          </w:tcPr>
          <w:p w14:paraId="4A8CDC17" w14:textId="77777777" w:rsidR="00EC68CA" w:rsidRPr="00C80F33" w:rsidRDefault="00446D7B" w:rsidP="007B27C9">
            <w:pPr>
              <w:pStyle w:val="Caption1"/>
              <w:rPr>
                <w:rFonts w:asciiTheme="minorHAnsi" w:hAnsiTheme="minorHAnsi"/>
                <w:b/>
                <w:color w:val="000000" w:themeColor="text1"/>
                <w:sz w:val="22"/>
                <w:szCs w:val="22"/>
              </w:rPr>
            </w:pPr>
            <w:r w:rsidRPr="00C80F33">
              <w:rPr>
                <w:rFonts w:asciiTheme="minorHAnsi" w:hAnsiTheme="minorHAnsi"/>
                <w:b/>
                <w:color w:val="000000" w:themeColor="text1"/>
                <w:sz w:val="22"/>
                <w:szCs w:val="22"/>
              </w:rPr>
              <w:t>Consumption</w:t>
            </w:r>
          </w:p>
        </w:tc>
        <w:tc>
          <w:tcPr>
            <w:tcW w:w="1858" w:type="dxa"/>
            <w:tcBorders>
              <w:bottom w:val="dotted" w:sz="4" w:space="0" w:color="auto"/>
            </w:tcBorders>
          </w:tcPr>
          <w:p w14:paraId="18E43413" w14:textId="77777777" w:rsidR="00EC68CA" w:rsidRPr="00C80F33" w:rsidRDefault="00446D7B" w:rsidP="007B27C9">
            <w:pPr>
              <w:pStyle w:val="Caption1"/>
              <w:rPr>
                <w:rFonts w:asciiTheme="minorHAnsi" w:hAnsiTheme="minorHAnsi"/>
                <w:b/>
                <w:color w:val="000000" w:themeColor="text1"/>
                <w:sz w:val="22"/>
                <w:szCs w:val="22"/>
              </w:rPr>
            </w:pPr>
            <w:r w:rsidRPr="00C80F33">
              <w:rPr>
                <w:rFonts w:asciiTheme="minorHAnsi" w:hAnsiTheme="minorHAnsi"/>
                <w:b/>
                <w:color w:val="000000" w:themeColor="text1"/>
                <w:sz w:val="22"/>
                <w:szCs w:val="22"/>
              </w:rPr>
              <w:t>Capital</w:t>
            </w:r>
          </w:p>
        </w:tc>
        <w:tc>
          <w:tcPr>
            <w:tcW w:w="1858" w:type="dxa"/>
            <w:tcBorders>
              <w:bottom w:val="dotted" w:sz="4" w:space="0" w:color="auto"/>
            </w:tcBorders>
          </w:tcPr>
          <w:p w14:paraId="05AE8EF4" w14:textId="77777777" w:rsidR="00EC68CA" w:rsidRPr="00C80F33" w:rsidRDefault="00446D7B" w:rsidP="007B27C9">
            <w:pPr>
              <w:pStyle w:val="Caption1"/>
              <w:rPr>
                <w:rFonts w:asciiTheme="minorHAnsi" w:hAnsiTheme="minorHAnsi"/>
                <w:b/>
                <w:color w:val="000000" w:themeColor="text1"/>
                <w:sz w:val="22"/>
                <w:szCs w:val="22"/>
              </w:rPr>
            </w:pPr>
            <w:r w:rsidRPr="00C80F33">
              <w:rPr>
                <w:rFonts w:asciiTheme="minorHAnsi" w:hAnsiTheme="minorHAnsi"/>
                <w:b/>
                <w:color w:val="000000" w:themeColor="text1"/>
                <w:sz w:val="22"/>
                <w:szCs w:val="22"/>
              </w:rPr>
              <w:t>Intermediate</w:t>
            </w:r>
          </w:p>
        </w:tc>
        <w:tc>
          <w:tcPr>
            <w:tcW w:w="1858" w:type="dxa"/>
            <w:tcBorders>
              <w:bottom w:val="dotted" w:sz="4" w:space="0" w:color="auto"/>
            </w:tcBorders>
          </w:tcPr>
          <w:p w14:paraId="14AED626" w14:textId="77777777" w:rsidR="00EC68CA" w:rsidRPr="00C80F33" w:rsidRDefault="00446D7B" w:rsidP="007B27C9">
            <w:pPr>
              <w:pStyle w:val="Caption1"/>
              <w:rPr>
                <w:rFonts w:asciiTheme="minorHAnsi" w:hAnsiTheme="minorHAnsi"/>
                <w:b/>
                <w:color w:val="000000" w:themeColor="text1"/>
                <w:sz w:val="22"/>
                <w:szCs w:val="22"/>
              </w:rPr>
            </w:pPr>
            <w:r w:rsidRPr="00C80F33">
              <w:rPr>
                <w:rFonts w:asciiTheme="minorHAnsi" w:hAnsiTheme="minorHAnsi"/>
                <w:b/>
                <w:color w:val="000000" w:themeColor="text1"/>
                <w:sz w:val="22"/>
                <w:szCs w:val="22"/>
              </w:rPr>
              <w:t>Services</w:t>
            </w:r>
          </w:p>
        </w:tc>
      </w:tr>
      <w:tr w:rsidR="004D3F0D" w:rsidRPr="00C80F33" w14:paraId="545886F1" w14:textId="77777777" w:rsidTr="009E24AF">
        <w:tc>
          <w:tcPr>
            <w:tcW w:w="1857" w:type="dxa"/>
            <w:tcBorders>
              <w:top w:val="dotted" w:sz="4" w:space="0" w:color="auto"/>
              <w:bottom w:val="nil"/>
            </w:tcBorders>
            <w:vAlign w:val="center"/>
          </w:tcPr>
          <w:p w14:paraId="27F4083A" w14:textId="77777777" w:rsidR="004D3F0D" w:rsidRPr="00C80F33" w:rsidRDefault="004D3F0D" w:rsidP="00B13F5F">
            <w:pPr>
              <w:pStyle w:val="Caption1"/>
              <w:jc w:val="left"/>
              <w:rPr>
                <w:rFonts w:asciiTheme="minorHAnsi" w:hAnsiTheme="minorHAnsi"/>
                <w:b/>
                <w:color w:val="000000" w:themeColor="text1"/>
                <w:sz w:val="20"/>
                <w:szCs w:val="20"/>
              </w:rPr>
            </w:pPr>
            <w:r w:rsidRPr="00C80F33">
              <w:rPr>
                <w:rFonts w:asciiTheme="minorHAnsi" w:hAnsiTheme="minorHAnsi"/>
                <w:b/>
                <w:color w:val="000000" w:themeColor="text1"/>
                <w:sz w:val="20"/>
                <w:szCs w:val="20"/>
              </w:rPr>
              <w:t>Long-run</w:t>
            </w:r>
          </w:p>
        </w:tc>
        <w:tc>
          <w:tcPr>
            <w:tcW w:w="1858" w:type="dxa"/>
            <w:tcBorders>
              <w:top w:val="dotted" w:sz="4" w:space="0" w:color="auto"/>
              <w:bottom w:val="nil"/>
            </w:tcBorders>
            <w:vAlign w:val="center"/>
          </w:tcPr>
          <w:p w14:paraId="57EC5370" w14:textId="77777777" w:rsidR="004D3F0D" w:rsidRPr="00C80F33" w:rsidRDefault="004D3F0D" w:rsidP="004D3F0D">
            <w:pPr>
              <w:pStyle w:val="Caption1"/>
              <w:jc w:val="left"/>
              <w:rPr>
                <w:rFonts w:asciiTheme="minorHAnsi" w:hAnsiTheme="minorHAnsi"/>
                <w:b/>
                <w:color w:val="000000" w:themeColor="text1"/>
                <w:sz w:val="22"/>
                <w:szCs w:val="22"/>
              </w:rPr>
            </w:pPr>
          </w:p>
        </w:tc>
        <w:tc>
          <w:tcPr>
            <w:tcW w:w="1858" w:type="dxa"/>
            <w:tcBorders>
              <w:top w:val="dotted" w:sz="4" w:space="0" w:color="auto"/>
              <w:bottom w:val="nil"/>
            </w:tcBorders>
            <w:vAlign w:val="center"/>
          </w:tcPr>
          <w:p w14:paraId="2049DCA3" w14:textId="77777777" w:rsidR="004D3F0D" w:rsidRPr="00C80F33" w:rsidRDefault="004D3F0D" w:rsidP="004D3F0D">
            <w:pPr>
              <w:pStyle w:val="Caption1"/>
              <w:jc w:val="left"/>
              <w:rPr>
                <w:rFonts w:asciiTheme="minorHAnsi" w:hAnsiTheme="minorHAnsi"/>
                <w:b/>
                <w:color w:val="000000" w:themeColor="text1"/>
                <w:sz w:val="22"/>
                <w:szCs w:val="22"/>
              </w:rPr>
            </w:pPr>
          </w:p>
        </w:tc>
        <w:tc>
          <w:tcPr>
            <w:tcW w:w="1858" w:type="dxa"/>
            <w:tcBorders>
              <w:top w:val="dotted" w:sz="4" w:space="0" w:color="auto"/>
              <w:bottom w:val="nil"/>
            </w:tcBorders>
            <w:vAlign w:val="center"/>
          </w:tcPr>
          <w:p w14:paraId="4CA210BC" w14:textId="77777777" w:rsidR="004D3F0D" w:rsidRPr="00C80F33" w:rsidRDefault="004D3F0D" w:rsidP="004D3F0D">
            <w:pPr>
              <w:pStyle w:val="Caption1"/>
              <w:jc w:val="left"/>
              <w:rPr>
                <w:rFonts w:asciiTheme="minorHAnsi" w:hAnsiTheme="minorHAnsi"/>
                <w:b/>
                <w:color w:val="000000" w:themeColor="text1"/>
                <w:sz w:val="22"/>
                <w:szCs w:val="22"/>
              </w:rPr>
            </w:pPr>
          </w:p>
        </w:tc>
        <w:tc>
          <w:tcPr>
            <w:tcW w:w="1858" w:type="dxa"/>
            <w:tcBorders>
              <w:top w:val="dotted" w:sz="4" w:space="0" w:color="auto"/>
              <w:bottom w:val="nil"/>
            </w:tcBorders>
            <w:vAlign w:val="center"/>
          </w:tcPr>
          <w:p w14:paraId="0068ECFE" w14:textId="77777777" w:rsidR="004D3F0D" w:rsidRPr="00C80F33" w:rsidRDefault="004D3F0D" w:rsidP="004D3F0D">
            <w:pPr>
              <w:pStyle w:val="Caption1"/>
              <w:jc w:val="left"/>
              <w:rPr>
                <w:rFonts w:asciiTheme="minorHAnsi" w:hAnsiTheme="minorHAnsi"/>
                <w:b/>
                <w:color w:val="000000" w:themeColor="text1"/>
                <w:sz w:val="22"/>
                <w:szCs w:val="22"/>
              </w:rPr>
            </w:pPr>
          </w:p>
        </w:tc>
      </w:tr>
      <w:tr w:rsidR="00446D7B" w:rsidRPr="00C80F33" w14:paraId="4F6D17AC" w14:textId="77777777" w:rsidTr="009E24AF">
        <w:tc>
          <w:tcPr>
            <w:tcW w:w="1857" w:type="dxa"/>
            <w:vMerge w:val="restart"/>
            <w:tcBorders>
              <w:top w:val="nil"/>
            </w:tcBorders>
            <w:vAlign w:val="center"/>
          </w:tcPr>
          <w:p w14:paraId="633DAE02" w14:textId="77777777" w:rsidR="00446D7B" w:rsidRPr="00C80F33" w:rsidRDefault="00E4750E"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position w:val="-6"/>
                <w:sz w:val="20"/>
                <w:szCs w:val="20"/>
              </w:rPr>
              <w:object w:dxaOrig="240" w:dyaOrig="220" w14:anchorId="4CFCA7C9">
                <v:shape id="_x0000_i1059" type="#_x0000_t75" style="width:12.1pt;height:10.7pt" o:ole="">
                  <v:imagedata r:id="rId93" o:title=""/>
                </v:shape>
                <o:OLEObject Type="Embed" ProgID="Equation.DSMT4" ShapeID="_x0000_i1059" DrawAspect="Content" ObjectID="_1495870629" r:id="rId94"/>
              </w:object>
            </w:r>
          </w:p>
        </w:tc>
        <w:tc>
          <w:tcPr>
            <w:tcW w:w="1858" w:type="dxa"/>
            <w:tcBorders>
              <w:top w:val="nil"/>
            </w:tcBorders>
          </w:tcPr>
          <w:p w14:paraId="50495E83" w14:textId="77777777" w:rsidR="00446D7B" w:rsidRPr="00C80F33" w:rsidRDefault="00F03EB4"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-0.6114</w:t>
            </w:r>
          </w:p>
        </w:tc>
        <w:tc>
          <w:tcPr>
            <w:tcW w:w="1858" w:type="dxa"/>
            <w:tcBorders>
              <w:top w:val="nil"/>
            </w:tcBorders>
          </w:tcPr>
          <w:p w14:paraId="29BBB4FD" w14:textId="77777777" w:rsidR="00446D7B" w:rsidRPr="00C80F33" w:rsidRDefault="00F03EB4"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-0.4720</w:t>
            </w:r>
          </w:p>
        </w:tc>
        <w:tc>
          <w:tcPr>
            <w:tcW w:w="1858" w:type="dxa"/>
            <w:tcBorders>
              <w:top w:val="nil"/>
            </w:tcBorders>
          </w:tcPr>
          <w:p w14:paraId="211B08E2" w14:textId="77777777" w:rsidR="00446D7B" w:rsidRPr="00C80F33" w:rsidRDefault="00F03EB4"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-0.6413</w:t>
            </w:r>
          </w:p>
        </w:tc>
        <w:tc>
          <w:tcPr>
            <w:tcW w:w="1858" w:type="dxa"/>
            <w:tcBorders>
              <w:top w:val="nil"/>
            </w:tcBorders>
          </w:tcPr>
          <w:p w14:paraId="253077B5" w14:textId="77777777" w:rsidR="00446D7B" w:rsidRPr="00C80F33" w:rsidRDefault="00F03EB4"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-1.2160</w:t>
            </w:r>
          </w:p>
        </w:tc>
      </w:tr>
      <w:tr w:rsidR="00446D7B" w:rsidRPr="00C80F33" w14:paraId="05E6EF79" w14:textId="77777777" w:rsidTr="00CC5A1E">
        <w:tc>
          <w:tcPr>
            <w:tcW w:w="1857" w:type="dxa"/>
            <w:vMerge/>
            <w:vAlign w:val="center"/>
          </w:tcPr>
          <w:p w14:paraId="2731EED0" w14:textId="77777777" w:rsidR="00446D7B" w:rsidRPr="00C80F33" w:rsidRDefault="00446D7B" w:rsidP="007B27C9">
            <w:pPr>
              <w:pStyle w:val="Caption1"/>
              <w:rPr>
                <w:rFonts w:asciiTheme="minorHAnsi" w:hAnsiTheme="minorHAnsi"/>
                <w:color w:val="000000" w:themeColor="text1"/>
                <w:sz w:val="20"/>
                <w:szCs w:val="20"/>
              </w:rPr>
            </w:pPr>
          </w:p>
        </w:tc>
        <w:tc>
          <w:tcPr>
            <w:tcW w:w="1858" w:type="dxa"/>
          </w:tcPr>
          <w:p w14:paraId="41A3666C" w14:textId="77777777" w:rsidR="00446D7B" w:rsidRPr="00C80F33" w:rsidRDefault="00F03EB4"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(0.1557)</w:t>
            </w:r>
          </w:p>
        </w:tc>
        <w:tc>
          <w:tcPr>
            <w:tcW w:w="1858" w:type="dxa"/>
          </w:tcPr>
          <w:p w14:paraId="349D144D" w14:textId="77777777" w:rsidR="00446D7B" w:rsidRPr="00C80F33" w:rsidRDefault="00903192"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w:t>
            </w:r>
            <w:r w:rsidR="00F03EB4" w:rsidRPr="00C80F33">
              <w:rPr>
                <w:rFonts w:asciiTheme="minorHAnsi" w:hAnsiTheme="minorHAnsi"/>
                <w:color w:val="000000" w:themeColor="text1"/>
                <w:sz w:val="20"/>
                <w:szCs w:val="20"/>
              </w:rPr>
              <w:t>0.2820</w:t>
            </w:r>
            <w:r w:rsidRPr="00C80F33">
              <w:rPr>
                <w:rFonts w:asciiTheme="minorHAnsi" w:hAnsiTheme="minorHAnsi"/>
                <w:color w:val="000000" w:themeColor="text1"/>
                <w:sz w:val="20"/>
                <w:szCs w:val="20"/>
              </w:rPr>
              <w:t>)</w:t>
            </w:r>
          </w:p>
        </w:tc>
        <w:tc>
          <w:tcPr>
            <w:tcW w:w="1858" w:type="dxa"/>
          </w:tcPr>
          <w:p w14:paraId="0920AA5D" w14:textId="77777777" w:rsidR="00446D7B" w:rsidRPr="00C80F33" w:rsidRDefault="00903192"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w:t>
            </w:r>
            <w:r w:rsidR="00F03EB4" w:rsidRPr="00C80F33">
              <w:rPr>
                <w:rFonts w:asciiTheme="minorHAnsi" w:hAnsiTheme="minorHAnsi"/>
                <w:color w:val="000000" w:themeColor="text1"/>
                <w:sz w:val="20"/>
                <w:szCs w:val="20"/>
              </w:rPr>
              <w:t>0.2209</w:t>
            </w:r>
            <w:r w:rsidRPr="00C80F33">
              <w:rPr>
                <w:rFonts w:asciiTheme="minorHAnsi" w:hAnsiTheme="minorHAnsi"/>
                <w:color w:val="000000" w:themeColor="text1"/>
                <w:sz w:val="20"/>
                <w:szCs w:val="20"/>
              </w:rPr>
              <w:t>)</w:t>
            </w:r>
          </w:p>
        </w:tc>
        <w:tc>
          <w:tcPr>
            <w:tcW w:w="1858" w:type="dxa"/>
          </w:tcPr>
          <w:p w14:paraId="453463D6" w14:textId="77777777" w:rsidR="00446D7B" w:rsidRPr="00C80F33" w:rsidRDefault="00903192"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w:t>
            </w:r>
            <w:r w:rsidR="00F03EB4" w:rsidRPr="00C80F33">
              <w:rPr>
                <w:rFonts w:asciiTheme="minorHAnsi" w:hAnsiTheme="minorHAnsi"/>
                <w:color w:val="000000" w:themeColor="text1"/>
                <w:sz w:val="20"/>
                <w:szCs w:val="20"/>
              </w:rPr>
              <w:t>0.0962</w:t>
            </w:r>
            <w:r w:rsidRPr="00C80F33">
              <w:rPr>
                <w:rFonts w:asciiTheme="minorHAnsi" w:hAnsiTheme="minorHAnsi"/>
                <w:color w:val="000000" w:themeColor="text1"/>
                <w:sz w:val="20"/>
                <w:szCs w:val="20"/>
              </w:rPr>
              <w:t>)</w:t>
            </w:r>
          </w:p>
        </w:tc>
      </w:tr>
      <w:tr w:rsidR="00446D7B" w:rsidRPr="00C80F33" w14:paraId="7CD2535C" w14:textId="77777777" w:rsidTr="00CC5A1E">
        <w:tc>
          <w:tcPr>
            <w:tcW w:w="1857" w:type="dxa"/>
            <w:vMerge w:val="restart"/>
            <w:vAlign w:val="center"/>
          </w:tcPr>
          <w:p w14:paraId="077DA98F" w14:textId="77777777" w:rsidR="00446D7B" w:rsidRPr="00C80F33" w:rsidRDefault="00E4750E"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279" w:dyaOrig="360" w14:anchorId="13BDB372">
                <v:shape id="_x0000_i1060" type="#_x0000_t75" style="width:13.55pt;height:17.8pt" o:ole="">
                  <v:imagedata r:id="rId95" o:title=""/>
                </v:shape>
                <o:OLEObject Type="Embed" ProgID="Equation.DSMT4" ShapeID="_x0000_i1060" DrawAspect="Content" ObjectID="_1495870630" r:id="rId96"/>
              </w:object>
            </w:r>
          </w:p>
        </w:tc>
        <w:tc>
          <w:tcPr>
            <w:tcW w:w="1858" w:type="dxa"/>
          </w:tcPr>
          <w:p w14:paraId="7ADE9A0E" w14:textId="77777777" w:rsidR="00446D7B" w:rsidRPr="00C80F33" w:rsidRDefault="00F03EB4"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-4.0400</w:t>
            </w:r>
          </w:p>
        </w:tc>
        <w:tc>
          <w:tcPr>
            <w:tcW w:w="1858" w:type="dxa"/>
          </w:tcPr>
          <w:p w14:paraId="48C8F363" w14:textId="77777777" w:rsidR="00446D7B" w:rsidRPr="00C80F33" w:rsidRDefault="00F03EB4"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-2.5366</w:t>
            </w:r>
          </w:p>
        </w:tc>
        <w:tc>
          <w:tcPr>
            <w:tcW w:w="1858" w:type="dxa"/>
          </w:tcPr>
          <w:p w14:paraId="602DF0CF" w14:textId="77777777" w:rsidR="00446D7B" w:rsidRPr="00C80F33" w:rsidRDefault="00F03EB4"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-2.4304</w:t>
            </w:r>
          </w:p>
        </w:tc>
        <w:tc>
          <w:tcPr>
            <w:tcW w:w="1858" w:type="dxa"/>
          </w:tcPr>
          <w:p w14:paraId="5D7C18DA" w14:textId="77777777" w:rsidR="00446D7B" w:rsidRPr="00C80F33" w:rsidRDefault="00F03EB4"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-3.3783</w:t>
            </w:r>
          </w:p>
        </w:tc>
      </w:tr>
      <w:tr w:rsidR="00446D7B" w:rsidRPr="00C80F33" w14:paraId="55C6FC27" w14:textId="77777777" w:rsidTr="00CC5A1E">
        <w:tc>
          <w:tcPr>
            <w:tcW w:w="1857" w:type="dxa"/>
            <w:vMerge/>
            <w:vAlign w:val="center"/>
          </w:tcPr>
          <w:p w14:paraId="2BD4ED67" w14:textId="77777777" w:rsidR="00446D7B" w:rsidRPr="00C80F33" w:rsidRDefault="00446D7B" w:rsidP="007B27C9">
            <w:pPr>
              <w:pStyle w:val="Caption1"/>
              <w:rPr>
                <w:rFonts w:asciiTheme="minorHAnsi" w:hAnsiTheme="minorHAnsi"/>
                <w:color w:val="000000" w:themeColor="text1"/>
                <w:sz w:val="20"/>
                <w:szCs w:val="20"/>
              </w:rPr>
            </w:pPr>
          </w:p>
        </w:tc>
        <w:tc>
          <w:tcPr>
            <w:tcW w:w="1858" w:type="dxa"/>
          </w:tcPr>
          <w:p w14:paraId="22A4615C" w14:textId="77777777" w:rsidR="00446D7B" w:rsidRPr="00C80F33" w:rsidRDefault="00F03EB4"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(0.2171)</w:t>
            </w:r>
          </w:p>
        </w:tc>
        <w:tc>
          <w:tcPr>
            <w:tcW w:w="1858" w:type="dxa"/>
          </w:tcPr>
          <w:p w14:paraId="1737D134" w14:textId="77777777" w:rsidR="00446D7B" w:rsidRPr="00C80F33" w:rsidRDefault="00903192"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w:t>
            </w:r>
            <w:r w:rsidR="00F03EB4" w:rsidRPr="00C80F33">
              <w:rPr>
                <w:rFonts w:asciiTheme="minorHAnsi" w:hAnsiTheme="minorHAnsi"/>
                <w:color w:val="000000" w:themeColor="text1"/>
                <w:sz w:val="20"/>
                <w:szCs w:val="20"/>
              </w:rPr>
              <w:t>0.4924</w:t>
            </w:r>
            <w:r w:rsidRPr="00C80F33">
              <w:rPr>
                <w:rFonts w:asciiTheme="minorHAnsi" w:hAnsiTheme="minorHAnsi"/>
                <w:color w:val="000000" w:themeColor="text1"/>
                <w:sz w:val="20"/>
                <w:szCs w:val="20"/>
              </w:rPr>
              <w:t>)</w:t>
            </w:r>
          </w:p>
        </w:tc>
        <w:tc>
          <w:tcPr>
            <w:tcW w:w="1858" w:type="dxa"/>
          </w:tcPr>
          <w:p w14:paraId="53617601" w14:textId="77777777" w:rsidR="00446D7B" w:rsidRPr="00C80F33" w:rsidRDefault="00903192"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w:t>
            </w:r>
            <w:r w:rsidR="00F03EB4" w:rsidRPr="00C80F33">
              <w:rPr>
                <w:rFonts w:asciiTheme="minorHAnsi" w:hAnsiTheme="minorHAnsi"/>
                <w:color w:val="000000" w:themeColor="text1"/>
                <w:sz w:val="20"/>
                <w:szCs w:val="20"/>
              </w:rPr>
              <w:t>0.1939</w:t>
            </w:r>
            <w:r w:rsidRPr="00C80F33">
              <w:rPr>
                <w:rFonts w:asciiTheme="minorHAnsi" w:hAnsiTheme="minorHAnsi"/>
                <w:color w:val="000000" w:themeColor="text1"/>
                <w:sz w:val="20"/>
                <w:szCs w:val="20"/>
              </w:rPr>
              <w:t>)</w:t>
            </w:r>
          </w:p>
        </w:tc>
        <w:tc>
          <w:tcPr>
            <w:tcW w:w="1858" w:type="dxa"/>
          </w:tcPr>
          <w:p w14:paraId="5CF8F474" w14:textId="77777777" w:rsidR="00446D7B" w:rsidRPr="00C80F33" w:rsidRDefault="00903192"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w:t>
            </w:r>
            <w:r w:rsidR="00F03EB4" w:rsidRPr="00C80F33">
              <w:rPr>
                <w:rFonts w:asciiTheme="minorHAnsi" w:hAnsiTheme="minorHAnsi"/>
                <w:color w:val="000000" w:themeColor="text1"/>
                <w:sz w:val="20"/>
                <w:szCs w:val="20"/>
              </w:rPr>
              <w:t>0.0722</w:t>
            </w:r>
            <w:r w:rsidRPr="00C80F33">
              <w:rPr>
                <w:rFonts w:asciiTheme="minorHAnsi" w:hAnsiTheme="minorHAnsi"/>
                <w:color w:val="000000" w:themeColor="text1"/>
                <w:sz w:val="20"/>
                <w:szCs w:val="20"/>
              </w:rPr>
              <w:t>)</w:t>
            </w:r>
          </w:p>
        </w:tc>
      </w:tr>
      <w:tr w:rsidR="00446D7B" w:rsidRPr="00C80F33" w14:paraId="4A1C11D5" w14:textId="77777777" w:rsidTr="00CC5A1E">
        <w:tc>
          <w:tcPr>
            <w:tcW w:w="1857" w:type="dxa"/>
            <w:vMerge w:val="restart"/>
            <w:vAlign w:val="center"/>
          </w:tcPr>
          <w:p w14:paraId="4DC4413A" w14:textId="77777777" w:rsidR="00446D7B" w:rsidRPr="00C80F33" w:rsidRDefault="00E4750E"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260" w:dyaOrig="360" w14:anchorId="6F99E5B1">
                <v:shape id="_x0000_i1061" type="#_x0000_t75" style="width:13.55pt;height:17.8pt" o:ole="">
                  <v:imagedata r:id="rId97" o:title=""/>
                </v:shape>
                <o:OLEObject Type="Embed" ProgID="Equation.DSMT4" ShapeID="_x0000_i1061" DrawAspect="Content" ObjectID="_1495870631" r:id="rId98"/>
              </w:object>
            </w:r>
          </w:p>
        </w:tc>
        <w:tc>
          <w:tcPr>
            <w:tcW w:w="1858" w:type="dxa"/>
          </w:tcPr>
          <w:p w14:paraId="7D073ED6" w14:textId="77777777" w:rsidR="00446D7B" w:rsidRPr="00C80F33" w:rsidRDefault="00F03EB4"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0.0096</w:t>
            </w:r>
          </w:p>
        </w:tc>
        <w:tc>
          <w:tcPr>
            <w:tcW w:w="1858" w:type="dxa"/>
          </w:tcPr>
          <w:p w14:paraId="1A027FBF" w14:textId="77777777" w:rsidR="00446D7B" w:rsidRPr="00C80F33" w:rsidRDefault="00F03EB4"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0.0092</w:t>
            </w:r>
          </w:p>
        </w:tc>
        <w:tc>
          <w:tcPr>
            <w:tcW w:w="1858" w:type="dxa"/>
          </w:tcPr>
          <w:p w14:paraId="6CEB7A5B" w14:textId="77777777" w:rsidR="00446D7B" w:rsidRPr="00C80F33" w:rsidRDefault="00F03EB4"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0.0027</w:t>
            </w:r>
          </w:p>
        </w:tc>
        <w:tc>
          <w:tcPr>
            <w:tcW w:w="1858" w:type="dxa"/>
          </w:tcPr>
          <w:p w14:paraId="20C1E933" w14:textId="77777777" w:rsidR="00446D7B" w:rsidRPr="00C80F33" w:rsidRDefault="00F03EB4"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0.0027</w:t>
            </w:r>
          </w:p>
        </w:tc>
      </w:tr>
      <w:tr w:rsidR="00446D7B" w:rsidRPr="00C80F33" w14:paraId="0C2D3849" w14:textId="77777777" w:rsidTr="00CC5A1E">
        <w:tc>
          <w:tcPr>
            <w:tcW w:w="1857" w:type="dxa"/>
            <w:vMerge/>
            <w:vAlign w:val="center"/>
          </w:tcPr>
          <w:p w14:paraId="31E4FD15" w14:textId="77777777" w:rsidR="00446D7B" w:rsidRPr="00C80F33" w:rsidRDefault="00446D7B" w:rsidP="007B27C9">
            <w:pPr>
              <w:pStyle w:val="Caption1"/>
              <w:rPr>
                <w:rFonts w:asciiTheme="minorHAnsi" w:hAnsiTheme="minorHAnsi"/>
                <w:color w:val="000000" w:themeColor="text1"/>
                <w:sz w:val="20"/>
                <w:szCs w:val="20"/>
              </w:rPr>
            </w:pPr>
          </w:p>
        </w:tc>
        <w:tc>
          <w:tcPr>
            <w:tcW w:w="1858" w:type="dxa"/>
          </w:tcPr>
          <w:p w14:paraId="38CDED44" w14:textId="77777777" w:rsidR="00446D7B" w:rsidRPr="00C80F33" w:rsidRDefault="00F03EB4"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(0.0010)</w:t>
            </w:r>
          </w:p>
        </w:tc>
        <w:tc>
          <w:tcPr>
            <w:tcW w:w="1858" w:type="dxa"/>
          </w:tcPr>
          <w:p w14:paraId="4F140CFD" w14:textId="77777777" w:rsidR="00446D7B" w:rsidRPr="00C80F33" w:rsidRDefault="00903192"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w:t>
            </w:r>
            <w:r w:rsidR="00F03EB4" w:rsidRPr="00C80F33">
              <w:rPr>
                <w:rFonts w:asciiTheme="minorHAnsi" w:hAnsiTheme="minorHAnsi"/>
                <w:color w:val="000000" w:themeColor="text1"/>
                <w:sz w:val="20"/>
                <w:szCs w:val="20"/>
              </w:rPr>
              <w:t>0.0023</w:t>
            </w:r>
            <w:r w:rsidRPr="00C80F33">
              <w:rPr>
                <w:rFonts w:asciiTheme="minorHAnsi" w:hAnsiTheme="minorHAnsi"/>
                <w:color w:val="000000" w:themeColor="text1"/>
                <w:sz w:val="20"/>
                <w:szCs w:val="20"/>
              </w:rPr>
              <w:t>)</w:t>
            </w:r>
          </w:p>
        </w:tc>
        <w:tc>
          <w:tcPr>
            <w:tcW w:w="1858" w:type="dxa"/>
          </w:tcPr>
          <w:p w14:paraId="4F432418" w14:textId="77777777" w:rsidR="00446D7B" w:rsidRPr="00C80F33" w:rsidRDefault="00903192"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w:t>
            </w:r>
            <w:r w:rsidR="00F03EB4" w:rsidRPr="00C80F33">
              <w:rPr>
                <w:rFonts w:asciiTheme="minorHAnsi" w:hAnsiTheme="minorHAnsi"/>
                <w:color w:val="000000" w:themeColor="text1"/>
                <w:sz w:val="20"/>
                <w:szCs w:val="20"/>
              </w:rPr>
              <w:t>0.0009</w:t>
            </w:r>
            <w:r w:rsidRPr="00C80F33">
              <w:rPr>
                <w:rFonts w:asciiTheme="minorHAnsi" w:hAnsiTheme="minorHAnsi"/>
                <w:color w:val="000000" w:themeColor="text1"/>
                <w:sz w:val="20"/>
                <w:szCs w:val="20"/>
              </w:rPr>
              <w:t>)</w:t>
            </w:r>
          </w:p>
        </w:tc>
        <w:tc>
          <w:tcPr>
            <w:tcW w:w="1858" w:type="dxa"/>
          </w:tcPr>
          <w:p w14:paraId="5DCC92EB" w14:textId="77777777" w:rsidR="00446D7B" w:rsidRPr="00C80F33" w:rsidRDefault="00903192" w:rsidP="007B27C9">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w:t>
            </w:r>
            <w:r w:rsidR="00F03EB4" w:rsidRPr="00C80F33">
              <w:rPr>
                <w:rFonts w:asciiTheme="minorHAnsi" w:hAnsiTheme="minorHAnsi"/>
                <w:color w:val="000000" w:themeColor="text1"/>
                <w:sz w:val="20"/>
                <w:szCs w:val="20"/>
              </w:rPr>
              <w:t>0.0004</w:t>
            </w:r>
            <w:r w:rsidRPr="00C80F33">
              <w:rPr>
                <w:rFonts w:asciiTheme="minorHAnsi" w:hAnsiTheme="minorHAnsi"/>
                <w:color w:val="000000" w:themeColor="text1"/>
                <w:sz w:val="20"/>
                <w:szCs w:val="20"/>
              </w:rPr>
              <w:t>)</w:t>
            </w:r>
          </w:p>
        </w:tc>
      </w:tr>
      <w:tr w:rsidR="00B13F5F" w:rsidRPr="00C80F33" w14:paraId="38D7CC73" w14:textId="77777777" w:rsidTr="00B13F5F">
        <w:tc>
          <w:tcPr>
            <w:tcW w:w="1857" w:type="dxa"/>
            <w:vMerge w:val="restart"/>
            <w:vAlign w:val="center"/>
          </w:tcPr>
          <w:p w14:paraId="3DD5061C" w14:textId="77777777" w:rsidR="00B13F5F" w:rsidRPr="00C80F33" w:rsidRDefault="00B13F5F" w:rsidP="00B13F5F">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600" w:dyaOrig="360" w14:anchorId="7E0DA9DD">
                <v:shape id="_x0000_i1062" type="#_x0000_t75" style="width:29.95pt;height:17.8pt" o:ole="">
                  <v:imagedata r:id="rId99" o:title=""/>
                </v:shape>
                <o:OLEObject Type="Embed" ProgID="Equation.DSMT4" ShapeID="_x0000_i1062" DrawAspect="Content" ObjectID="_1495870632" r:id="rId100"/>
              </w:object>
            </w:r>
          </w:p>
        </w:tc>
        <w:tc>
          <w:tcPr>
            <w:tcW w:w="1858" w:type="dxa"/>
          </w:tcPr>
          <w:p w14:paraId="305845DA"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Pr>
          <w:p w14:paraId="457C8254" w14:textId="77777777" w:rsidR="00B13F5F" w:rsidRPr="00C80F33" w:rsidRDefault="00B13F5F" w:rsidP="00B13F5F">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-0.0783</w:t>
            </w:r>
          </w:p>
        </w:tc>
        <w:tc>
          <w:tcPr>
            <w:tcW w:w="1858" w:type="dxa"/>
          </w:tcPr>
          <w:p w14:paraId="54A0AAF4"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Pr>
          <w:p w14:paraId="32CB35B2" w14:textId="77777777" w:rsidR="00B13F5F" w:rsidRPr="00C80F33" w:rsidRDefault="00B13F5F" w:rsidP="00B13F5F">
            <w:pPr>
              <w:pStyle w:val="Caption1"/>
              <w:rPr>
                <w:rFonts w:asciiTheme="minorHAnsi" w:hAnsiTheme="minorHAnsi"/>
                <w:color w:val="000000" w:themeColor="text1"/>
                <w:sz w:val="20"/>
                <w:szCs w:val="20"/>
              </w:rPr>
            </w:pPr>
          </w:p>
        </w:tc>
      </w:tr>
      <w:tr w:rsidR="00B13F5F" w:rsidRPr="00C80F33" w14:paraId="385CDE0A" w14:textId="77777777" w:rsidTr="00B13F5F">
        <w:tc>
          <w:tcPr>
            <w:tcW w:w="1857" w:type="dxa"/>
            <w:vMerge/>
          </w:tcPr>
          <w:p w14:paraId="49CB2900"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Pr>
          <w:p w14:paraId="11F0BAF2"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Pr>
          <w:p w14:paraId="5B409680" w14:textId="77777777" w:rsidR="00B13F5F" w:rsidRPr="00C80F33" w:rsidRDefault="00B13F5F" w:rsidP="00B13F5F">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(0.0422)</w:t>
            </w:r>
          </w:p>
        </w:tc>
        <w:tc>
          <w:tcPr>
            <w:tcW w:w="1858" w:type="dxa"/>
          </w:tcPr>
          <w:p w14:paraId="57DA9C5E"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Pr>
          <w:p w14:paraId="78ADA341" w14:textId="77777777" w:rsidR="00B13F5F" w:rsidRPr="00C80F33" w:rsidRDefault="00B13F5F" w:rsidP="00B13F5F">
            <w:pPr>
              <w:pStyle w:val="Caption1"/>
              <w:rPr>
                <w:rFonts w:asciiTheme="minorHAnsi" w:hAnsiTheme="minorHAnsi"/>
                <w:color w:val="000000" w:themeColor="text1"/>
                <w:sz w:val="20"/>
                <w:szCs w:val="20"/>
              </w:rPr>
            </w:pPr>
          </w:p>
        </w:tc>
      </w:tr>
      <w:tr w:rsidR="00B13F5F" w:rsidRPr="00C80F33" w14:paraId="11E110CC" w14:textId="77777777" w:rsidTr="00B13F5F">
        <w:tc>
          <w:tcPr>
            <w:tcW w:w="1857" w:type="dxa"/>
            <w:vMerge w:val="restart"/>
            <w:vAlign w:val="center"/>
          </w:tcPr>
          <w:p w14:paraId="5DBEEEFC" w14:textId="77777777" w:rsidR="00B13F5F" w:rsidRPr="00C80F33" w:rsidRDefault="00B13F5F" w:rsidP="00B13F5F">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600" w:dyaOrig="360" w14:anchorId="6D3A7925">
                <v:shape id="_x0000_i1063" type="#_x0000_t75" style="width:29.95pt;height:17.8pt" o:ole="">
                  <v:imagedata r:id="rId101" o:title=""/>
                </v:shape>
                <o:OLEObject Type="Embed" ProgID="Equation.DSMT4" ShapeID="_x0000_i1063" DrawAspect="Content" ObjectID="_1495870633" r:id="rId102"/>
              </w:object>
            </w:r>
          </w:p>
        </w:tc>
        <w:tc>
          <w:tcPr>
            <w:tcW w:w="1858" w:type="dxa"/>
          </w:tcPr>
          <w:p w14:paraId="00E33316"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Pr>
          <w:p w14:paraId="272B77EF"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Pr>
          <w:p w14:paraId="49A4D45B"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Pr>
          <w:p w14:paraId="537385CE" w14:textId="77777777" w:rsidR="00B13F5F" w:rsidRPr="00C80F33" w:rsidRDefault="00B13F5F" w:rsidP="00B13F5F">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-0.0908</w:t>
            </w:r>
          </w:p>
        </w:tc>
      </w:tr>
      <w:tr w:rsidR="00B13F5F" w:rsidRPr="00C80F33" w14:paraId="02E4F410" w14:textId="77777777" w:rsidTr="00B13F5F">
        <w:tc>
          <w:tcPr>
            <w:tcW w:w="1857" w:type="dxa"/>
            <w:vMerge/>
            <w:tcBorders>
              <w:bottom w:val="nil"/>
            </w:tcBorders>
          </w:tcPr>
          <w:p w14:paraId="024E173D"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bottom w:val="nil"/>
            </w:tcBorders>
          </w:tcPr>
          <w:p w14:paraId="08DE2A53"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bottom w:val="nil"/>
            </w:tcBorders>
          </w:tcPr>
          <w:p w14:paraId="4E0A573E"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bottom w:val="nil"/>
            </w:tcBorders>
          </w:tcPr>
          <w:p w14:paraId="7DC1D2FB"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bottom w:val="nil"/>
            </w:tcBorders>
          </w:tcPr>
          <w:p w14:paraId="0FC7E691" w14:textId="77777777" w:rsidR="00B13F5F" w:rsidRPr="00C80F33" w:rsidRDefault="00B13F5F" w:rsidP="00B13F5F">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(0.0186)</w:t>
            </w:r>
          </w:p>
        </w:tc>
      </w:tr>
      <w:tr w:rsidR="00B13F5F" w:rsidRPr="00C80F33" w14:paraId="1D1575A0" w14:textId="77777777" w:rsidTr="00B13F5F">
        <w:tc>
          <w:tcPr>
            <w:tcW w:w="1857" w:type="dxa"/>
            <w:vMerge w:val="restart"/>
            <w:tcBorders>
              <w:top w:val="nil"/>
              <w:bottom w:val="nil"/>
            </w:tcBorders>
            <w:vAlign w:val="center"/>
          </w:tcPr>
          <w:p w14:paraId="2473C3CF" w14:textId="77777777" w:rsidR="00B13F5F" w:rsidRPr="00C80F33" w:rsidRDefault="00B13F5F" w:rsidP="00B13F5F">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600" w:dyaOrig="360" w14:anchorId="77467600">
                <v:shape id="_x0000_i1064" type="#_x0000_t75" style="width:29.95pt;height:17.8pt" o:ole="">
                  <v:imagedata r:id="rId103" o:title=""/>
                </v:shape>
                <o:OLEObject Type="Embed" ProgID="Equation.DSMT4" ShapeID="_x0000_i1064" DrawAspect="Content" ObjectID="_1495870634" r:id="rId104"/>
              </w:object>
            </w:r>
          </w:p>
        </w:tc>
        <w:tc>
          <w:tcPr>
            <w:tcW w:w="1858" w:type="dxa"/>
            <w:tcBorders>
              <w:top w:val="nil"/>
              <w:bottom w:val="nil"/>
            </w:tcBorders>
          </w:tcPr>
          <w:p w14:paraId="082BA64F"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top w:val="nil"/>
              <w:bottom w:val="nil"/>
            </w:tcBorders>
          </w:tcPr>
          <w:p w14:paraId="0D97E178"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top w:val="nil"/>
              <w:bottom w:val="nil"/>
            </w:tcBorders>
          </w:tcPr>
          <w:p w14:paraId="16B177FC"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top w:val="nil"/>
              <w:bottom w:val="nil"/>
            </w:tcBorders>
          </w:tcPr>
          <w:p w14:paraId="3154CBA6" w14:textId="77777777" w:rsidR="00B13F5F" w:rsidRPr="00C80F33" w:rsidRDefault="00B13F5F" w:rsidP="00B13F5F">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-0.0910</w:t>
            </w:r>
          </w:p>
        </w:tc>
      </w:tr>
      <w:tr w:rsidR="00B13F5F" w:rsidRPr="00C80F33" w14:paraId="48C3A5AD" w14:textId="77777777" w:rsidTr="00B13F5F">
        <w:tc>
          <w:tcPr>
            <w:tcW w:w="1857" w:type="dxa"/>
            <w:vMerge/>
            <w:tcBorders>
              <w:top w:val="nil"/>
              <w:bottom w:val="nil"/>
            </w:tcBorders>
          </w:tcPr>
          <w:p w14:paraId="5B4E3831" w14:textId="77777777" w:rsidR="00B13F5F" w:rsidRPr="00C80F33" w:rsidRDefault="00B13F5F" w:rsidP="00B13F5F">
            <w:pPr>
              <w:pStyle w:val="Caption1"/>
              <w:rPr>
                <w:rFonts w:asciiTheme="minorHAnsi" w:hAnsiTheme="minorHAnsi"/>
                <w:color w:val="000000" w:themeColor="text1"/>
                <w:sz w:val="22"/>
                <w:szCs w:val="22"/>
              </w:rPr>
            </w:pPr>
          </w:p>
        </w:tc>
        <w:tc>
          <w:tcPr>
            <w:tcW w:w="1858" w:type="dxa"/>
            <w:tcBorders>
              <w:top w:val="nil"/>
              <w:bottom w:val="nil"/>
            </w:tcBorders>
          </w:tcPr>
          <w:p w14:paraId="62CE8B10"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top w:val="nil"/>
              <w:bottom w:val="nil"/>
            </w:tcBorders>
          </w:tcPr>
          <w:p w14:paraId="28B9C7CB"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top w:val="nil"/>
              <w:bottom w:val="nil"/>
            </w:tcBorders>
          </w:tcPr>
          <w:p w14:paraId="7A328E8F"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top w:val="nil"/>
              <w:bottom w:val="nil"/>
            </w:tcBorders>
          </w:tcPr>
          <w:p w14:paraId="0093FFA9" w14:textId="77777777" w:rsidR="00B13F5F" w:rsidRPr="00C80F33" w:rsidRDefault="00B13F5F" w:rsidP="00B13F5F">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(0.0192)</w:t>
            </w:r>
          </w:p>
        </w:tc>
      </w:tr>
      <w:tr w:rsidR="00224C38" w:rsidRPr="00C80F33" w14:paraId="3F657DD4" w14:textId="77777777" w:rsidTr="00B13F5F">
        <w:tc>
          <w:tcPr>
            <w:tcW w:w="1857" w:type="dxa"/>
            <w:vMerge w:val="restart"/>
            <w:tcBorders>
              <w:top w:val="nil"/>
            </w:tcBorders>
            <w:vAlign w:val="center"/>
          </w:tcPr>
          <w:p w14:paraId="14B7A8EE" w14:textId="77777777" w:rsidR="00224C38" w:rsidRPr="00C80F33" w:rsidRDefault="00E4750E"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600" w:dyaOrig="360" w14:anchorId="6529DE0D">
                <v:shape id="_x0000_i1065" type="#_x0000_t75" style="width:29.95pt;height:17.8pt" o:ole="">
                  <v:imagedata r:id="rId105" o:title=""/>
                </v:shape>
                <o:OLEObject Type="Embed" ProgID="Equation.DSMT4" ShapeID="_x0000_i1065" DrawAspect="Content" ObjectID="_1495870635" r:id="rId106"/>
              </w:object>
            </w:r>
          </w:p>
        </w:tc>
        <w:tc>
          <w:tcPr>
            <w:tcW w:w="1858" w:type="dxa"/>
            <w:tcBorders>
              <w:top w:val="nil"/>
            </w:tcBorders>
          </w:tcPr>
          <w:p w14:paraId="64D8718C" w14:textId="77777777" w:rsidR="00224C38" w:rsidRPr="00C80F33" w:rsidRDefault="00224C38" w:rsidP="00224C38">
            <w:pPr>
              <w:pStyle w:val="Caption1"/>
              <w:rPr>
                <w:rFonts w:asciiTheme="minorHAnsi" w:hAnsiTheme="minorHAnsi"/>
                <w:color w:val="000000" w:themeColor="text1"/>
                <w:sz w:val="20"/>
                <w:szCs w:val="20"/>
              </w:rPr>
            </w:pPr>
          </w:p>
        </w:tc>
        <w:tc>
          <w:tcPr>
            <w:tcW w:w="1858" w:type="dxa"/>
            <w:tcBorders>
              <w:top w:val="nil"/>
            </w:tcBorders>
          </w:tcPr>
          <w:p w14:paraId="5E8905D0" w14:textId="77777777" w:rsidR="00224C38" w:rsidRPr="00C80F33" w:rsidRDefault="00224C38" w:rsidP="00224C38">
            <w:pPr>
              <w:pStyle w:val="Caption1"/>
              <w:rPr>
                <w:rFonts w:asciiTheme="minorHAnsi" w:hAnsiTheme="minorHAnsi"/>
                <w:color w:val="000000" w:themeColor="text1"/>
                <w:sz w:val="20"/>
                <w:szCs w:val="20"/>
              </w:rPr>
            </w:pPr>
          </w:p>
        </w:tc>
        <w:tc>
          <w:tcPr>
            <w:tcW w:w="1858" w:type="dxa"/>
            <w:tcBorders>
              <w:top w:val="nil"/>
            </w:tcBorders>
          </w:tcPr>
          <w:p w14:paraId="49B0E35D" w14:textId="77777777" w:rsidR="00224C38" w:rsidRPr="00C80F33" w:rsidRDefault="00224C38" w:rsidP="00224C38">
            <w:pPr>
              <w:pStyle w:val="Caption1"/>
              <w:rPr>
                <w:rFonts w:asciiTheme="minorHAnsi" w:hAnsiTheme="minorHAnsi"/>
                <w:color w:val="000000" w:themeColor="text1"/>
                <w:sz w:val="20"/>
                <w:szCs w:val="20"/>
              </w:rPr>
            </w:pPr>
          </w:p>
        </w:tc>
        <w:tc>
          <w:tcPr>
            <w:tcW w:w="1858" w:type="dxa"/>
            <w:tcBorders>
              <w:top w:val="nil"/>
            </w:tcBorders>
          </w:tcPr>
          <w:p w14:paraId="220F48B8" w14:textId="77777777" w:rsidR="00224C38" w:rsidRPr="00C80F33" w:rsidRDefault="00224C38"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-0.0501</w:t>
            </w:r>
          </w:p>
        </w:tc>
      </w:tr>
      <w:tr w:rsidR="00224C38" w:rsidRPr="00C80F33" w14:paraId="74BECE39" w14:textId="77777777" w:rsidTr="00030F60">
        <w:tc>
          <w:tcPr>
            <w:tcW w:w="1857" w:type="dxa"/>
            <w:vMerge/>
          </w:tcPr>
          <w:p w14:paraId="339916B1" w14:textId="77777777" w:rsidR="00224C38" w:rsidRPr="00C80F33" w:rsidRDefault="00224C38" w:rsidP="00224C38">
            <w:pPr>
              <w:pStyle w:val="Caption1"/>
              <w:rPr>
                <w:rFonts w:asciiTheme="minorHAnsi" w:hAnsiTheme="minorHAnsi"/>
                <w:color w:val="000000" w:themeColor="text1"/>
                <w:sz w:val="22"/>
                <w:szCs w:val="22"/>
              </w:rPr>
            </w:pPr>
          </w:p>
        </w:tc>
        <w:tc>
          <w:tcPr>
            <w:tcW w:w="1858" w:type="dxa"/>
          </w:tcPr>
          <w:p w14:paraId="130854A1" w14:textId="77777777" w:rsidR="00224C38" w:rsidRPr="00C80F33" w:rsidRDefault="00224C38" w:rsidP="00224C38">
            <w:pPr>
              <w:pStyle w:val="Caption1"/>
              <w:rPr>
                <w:rFonts w:asciiTheme="minorHAnsi" w:hAnsiTheme="minorHAnsi"/>
                <w:color w:val="000000" w:themeColor="text1"/>
                <w:sz w:val="20"/>
                <w:szCs w:val="20"/>
              </w:rPr>
            </w:pPr>
          </w:p>
        </w:tc>
        <w:tc>
          <w:tcPr>
            <w:tcW w:w="1858" w:type="dxa"/>
          </w:tcPr>
          <w:p w14:paraId="41A34D2D" w14:textId="77777777" w:rsidR="00224C38" w:rsidRPr="00C80F33" w:rsidRDefault="00224C38" w:rsidP="00224C38">
            <w:pPr>
              <w:pStyle w:val="Caption1"/>
              <w:rPr>
                <w:rFonts w:asciiTheme="minorHAnsi" w:hAnsiTheme="minorHAnsi"/>
                <w:color w:val="000000" w:themeColor="text1"/>
                <w:sz w:val="20"/>
                <w:szCs w:val="20"/>
              </w:rPr>
            </w:pPr>
          </w:p>
        </w:tc>
        <w:tc>
          <w:tcPr>
            <w:tcW w:w="1858" w:type="dxa"/>
          </w:tcPr>
          <w:p w14:paraId="30D48307" w14:textId="77777777" w:rsidR="00224C38" w:rsidRPr="00C80F33" w:rsidRDefault="00224C38" w:rsidP="00224C38">
            <w:pPr>
              <w:pStyle w:val="Caption1"/>
              <w:rPr>
                <w:rFonts w:asciiTheme="minorHAnsi" w:hAnsiTheme="minorHAnsi"/>
                <w:color w:val="000000" w:themeColor="text1"/>
                <w:sz w:val="20"/>
                <w:szCs w:val="20"/>
              </w:rPr>
            </w:pPr>
          </w:p>
        </w:tc>
        <w:tc>
          <w:tcPr>
            <w:tcW w:w="1858" w:type="dxa"/>
          </w:tcPr>
          <w:p w14:paraId="63B3688D" w14:textId="77777777" w:rsidR="00224C38" w:rsidRPr="00C80F33" w:rsidRDefault="00224C38"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(0.0204)</w:t>
            </w:r>
          </w:p>
        </w:tc>
      </w:tr>
      <w:tr w:rsidR="00224C38" w:rsidRPr="00C80F33" w14:paraId="51F5C331" w14:textId="77777777" w:rsidTr="00CC5A1E">
        <w:tc>
          <w:tcPr>
            <w:tcW w:w="1857" w:type="dxa"/>
            <w:vMerge w:val="restart"/>
            <w:vAlign w:val="center"/>
          </w:tcPr>
          <w:p w14:paraId="56FA5B37" w14:textId="77777777" w:rsidR="00224C38" w:rsidRPr="00C80F33" w:rsidRDefault="00E4750E"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560" w:dyaOrig="360" w14:anchorId="123882E6">
                <v:shape id="_x0000_i1066" type="#_x0000_t75" style="width:28.5pt;height:17.8pt" o:ole="">
                  <v:imagedata r:id="rId107" o:title=""/>
                </v:shape>
                <o:OLEObject Type="Embed" ProgID="Equation.DSMT4" ShapeID="_x0000_i1066" DrawAspect="Content" ObjectID="_1495870636" r:id="rId108"/>
              </w:object>
            </w:r>
          </w:p>
        </w:tc>
        <w:tc>
          <w:tcPr>
            <w:tcW w:w="1858" w:type="dxa"/>
          </w:tcPr>
          <w:p w14:paraId="5D8A2638" w14:textId="77777777" w:rsidR="00224C38" w:rsidRPr="00C80F33" w:rsidRDefault="00224C38"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-0.0088</w:t>
            </w:r>
          </w:p>
        </w:tc>
        <w:tc>
          <w:tcPr>
            <w:tcW w:w="1858" w:type="dxa"/>
          </w:tcPr>
          <w:p w14:paraId="17E91900" w14:textId="77777777" w:rsidR="00224C38" w:rsidRPr="00C80F33" w:rsidRDefault="00224C38" w:rsidP="00224C38">
            <w:pPr>
              <w:pStyle w:val="Caption1"/>
              <w:rPr>
                <w:rFonts w:asciiTheme="minorHAnsi" w:hAnsiTheme="minorHAnsi"/>
                <w:color w:val="000000" w:themeColor="text1"/>
                <w:sz w:val="20"/>
                <w:szCs w:val="20"/>
              </w:rPr>
            </w:pPr>
          </w:p>
        </w:tc>
        <w:tc>
          <w:tcPr>
            <w:tcW w:w="1858" w:type="dxa"/>
          </w:tcPr>
          <w:p w14:paraId="6470C2A1" w14:textId="77777777" w:rsidR="00224C38" w:rsidRPr="00C80F33" w:rsidRDefault="00224C38" w:rsidP="00224C38">
            <w:pPr>
              <w:pStyle w:val="Caption1"/>
              <w:rPr>
                <w:rFonts w:asciiTheme="minorHAnsi" w:hAnsiTheme="minorHAnsi"/>
                <w:color w:val="000000" w:themeColor="text1"/>
                <w:sz w:val="20"/>
                <w:szCs w:val="20"/>
              </w:rPr>
            </w:pPr>
          </w:p>
        </w:tc>
        <w:tc>
          <w:tcPr>
            <w:tcW w:w="1858" w:type="dxa"/>
          </w:tcPr>
          <w:p w14:paraId="54E78C14" w14:textId="77777777" w:rsidR="00224C38" w:rsidRPr="00C80F33" w:rsidRDefault="00224C38"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-0.0055</w:t>
            </w:r>
          </w:p>
        </w:tc>
      </w:tr>
      <w:tr w:rsidR="00224C38" w:rsidRPr="00C80F33" w14:paraId="4E3BC4EB" w14:textId="77777777" w:rsidTr="00CC5A1E">
        <w:tc>
          <w:tcPr>
            <w:tcW w:w="1857" w:type="dxa"/>
            <w:vMerge/>
          </w:tcPr>
          <w:p w14:paraId="5C4E062A" w14:textId="77777777" w:rsidR="00224C38" w:rsidRPr="00C80F33" w:rsidRDefault="00224C38" w:rsidP="00224C38">
            <w:pPr>
              <w:pStyle w:val="Caption1"/>
              <w:rPr>
                <w:rFonts w:asciiTheme="minorHAnsi" w:hAnsiTheme="minorHAnsi"/>
                <w:color w:val="000000" w:themeColor="text1"/>
                <w:sz w:val="20"/>
                <w:szCs w:val="20"/>
              </w:rPr>
            </w:pPr>
          </w:p>
        </w:tc>
        <w:tc>
          <w:tcPr>
            <w:tcW w:w="1858" w:type="dxa"/>
          </w:tcPr>
          <w:p w14:paraId="384F7185" w14:textId="77777777" w:rsidR="00224C38" w:rsidRPr="00C80F33" w:rsidRDefault="00224C38"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(0.0024)</w:t>
            </w:r>
          </w:p>
        </w:tc>
        <w:tc>
          <w:tcPr>
            <w:tcW w:w="1858" w:type="dxa"/>
          </w:tcPr>
          <w:p w14:paraId="5AC2C33F" w14:textId="77777777" w:rsidR="00224C38" w:rsidRPr="00C80F33" w:rsidRDefault="00224C38" w:rsidP="00224C38">
            <w:pPr>
              <w:pStyle w:val="Caption1"/>
              <w:rPr>
                <w:rFonts w:asciiTheme="minorHAnsi" w:hAnsiTheme="minorHAnsi"/>
                <w:color w:val="000000" w:themeColor="text1"/>
                <w:sz w:val="20"/>
                <w:szCs w:val="20"/>
              </w:rPr>
            </w:pPr>
          </w:p>
        </w:tc>
        <w:tc>
          <w:tcPr>
            <w:tcW w:w="1858" w:type="dxa"/>
          </w:tcPr>
          <w:p w14:paraId="7CC9301C" w14:textId="77777777" w:rsidR="00224C38" w:rsidRPr="00C80F33" w:rsidRDefault="00224C38" w:rsidP="00224C38">
            <w:pPr>
              <w:pStyle w:val="Caption1"/>
              <w:rPr>
                <w:rFonts w:asciiTheme="minorHAnsi" w:hAnsiTheme="minorHAnsi"/>
                <w:color w:val="000000" w:themeColor="text1"/>
                <w:sz w:val="20"/>
                <w:szCs w:val="20"/>
              </w:rPr>
            </w:pPr>
          </w:p>
        </w:tc>
        <w:tc>
          <w:tcPr>
            <w:tcW w:w="1858" w:type="dxa"/>
          </w:tcPr>
          <w:p w14:paraId="4D479569" w14:textId="77777777" w:rsidR="00224C38" w:rsidRPr="00C80F33" w:rsidRDefault="00224C38"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(0.0020)</w:t>
            </w:r>
          </w:p>
        </w:tc>
      </w:tr>
      <w:tr w:rsidR="00224C38" w:rsidRPr="00C80F33" w14:paraId="22544396" w14:textId="77777777" w:rsidTr="009E24AF">
        <w:tc>
          <w:tcPr>
            <w:tcW w:w="1857" w:type="dxa"/>
            <w:tcBorders>
              <w:top w:val="dotted" w:sz="4" w:space="0" w:color="auto"/>
              <w:bottom w:val="nil"/>
            </w:tcBorders>
          </w:tcPr>
          <w:p w14:paraId="65FE5B2A" w14:textId="77777777" w:rsidR="00224C38" w:rsidRPr="00C80F33" w:rsidRDefault="00224C38" w:rsidP="00B13F5F">
            <w:pPr>
              <w:pStyle w:val="Caption1"/>
              <w:jc w:val="left"/>
              <w:rPr>
                <w:rFonts w:asciiTheme="minorHAnsi" w:hAnsiTheme="minorHAnsi"/>
                <w:b/>
                <w:color w:val="000000" w:themeColor="text1"/>
                <w:sz w:val="20"/>
                <w:szCs w:val="20"/>
              </w:rPr>
            </w:pPr>
            <w:r w:rsidRPr="00C80F33">
              <w:rPr>
                <w:rFonts w:asciiTheme="minorHAnsi" w:hAnsiTheme="minorHAnsi"/>
                <w:b/>
                <w:color w:val="000000" w:themeColor="text1"/>
                <w:sz w:val="20"/>
                <w:szCs w:val="20"/>
              </w:rPr>
              <w:t>Short-run</w:t>
            </w:r>
          </w:p>
        </w:tc>
        <w:tc>
          <w:tcPr>
            <w:tcW w:w="1858" w:type="dxa"/>
            <w:tcBorders>
              <w:top w:val="dotted" w:sz="4" w:space="0" w:color="auto"/>
              <w:bottom w:val="nil"/>
            </w:tcBorders>
          </w:tcPr>
          <w:p w14:paraId="69FC3465" w14:textId="77777777" w:rsidR="00224C38" w:rsidRPr="00C80F33" w:rsidRDefault="00224C38" w:rsidP="00224C38">
            <w:pPr>
              <w:pStyle w:val="Caption1"/>
              <w:rPr>
                <w:rFonts w:asciiTheme="minorHAnsi" w:hAnsiTheme="minorHAnsi"/>
                <w:b/>
                <w:color w:val="000000" w:themeColor="text1"/>
                <w:sz w:val="20"/>
                <w:szCs w:val="20"/>
              </w:rPr>
            </w:pPr>
          </w:p>
        </w:tc>
        <w:tc>
          <w:tcPr>
            <w:tcW w:w="1858" w:type="dxa"/>
            <w:tcBorders>
              <w:top w:val="dotted" w:sz="4" w:space="0" w:color="auto"/>
              <w:bottom w:val="nil"/>
            </w:tcBorders>
          </w:tcPr>
          <w:p w14:paraId="0B72F43D" w14:textId="77777777" w:rsidR="00224C38" w:rsidRPr="00C80F33" w:rsidRDefault="00224C38" w:rsidP="00224C38">
            <w:pPr>
              <w:pStyle w:val="Caption1"/>
              <w:rPr>
                <w:rFonts w:asciiTheme="minorHAnsi" w:hAnsiTheme="minorHAnsi"/>
                <w:b/>
                <w:color w:val="000000" w:themeColor="text1"/>
                <w:sz w:val="20"/>
                <w:szCs w:val="20"/>
              </w:rPr>
            </w:pPr>
          </w:p>
        </w:tc>
        <w:tc>
          <w:tcPr>
            <w:tcW w:w="1858" w:type="dxa"/>
            <w:tcBorders>
              <w:top w:val="dotted" w:sz="4" w:space="0" w:color="auto"/>
              <w:bottom w:val="nil"/>
            </w:tcBorders>
          </w:tcPr>
          <w:p w14:paraId="54109111" w14:textId="77777777" w:rsidR="00224C38" w:rsidRPr="00C80F33" w:rsidRDefault="00224C38" w:rsidP="00224C38">
            <w:pPr>
              <w:pStyle w:val="Caption1"/>
              <w:rPr>
                <w:rFonts w:asciiTheme="minorHAnsi" w:hAnsiTheme="minorHAnsi"/>
                <w:b/>
                <w:color w:val="000000" w:themeColor="text1"/>
                <w:sz w:val="20"/>
                <w:szCs w:val="20"/>
              </w:rPr>
            </w:pPr>
          </w:p>
        </w:tc>
        <w:tc>
          <w:tcPr>
            <w:tcW w:w="1858" w:type="dxa"/>
            <w:tcBorders>
              <w:top w:val="dotted" w:sz="4" w:space="0" w:color="auto"/>
              <w:bottom w:val="nil"/>
            </w:tcBorders>
          </w:tcPr>
          <w:p w14:paraId="1A9A08E7" w14:textId="77777777" w:rsidR="00224C38" w:rsidRPr="00C80F33" w:rsidRDefault="00224C38" w:rsidP="00224C38">
            <w:pPr>
              <w:pStyle w:val="Caption1"/>
              <w:rPr>
                <w:rFonts w:asciiTheme="minorHAnsi" w:hAnsiTheme="minorHAnsi"/>
                <w:b/>
                <w:color w:val="000000" w:themeColor="text1"/>
                <w:sz w:val="20"/>
                <w:szCs w:val="20"/>
              </w:rPr>
            </w:pPr>
          </w:p>
        </w:tc>
      </w:tr>
      <w:tr w:rsidR="00224C38" w:rsidRPr="00C80F33" w14:paraId="252DC81E" w14:textId="77777777" w:rsidTr="009E24AF">
        <w:tc>
          <w:tcPr>
            <w:tcW w:w="1857" w:type="dxa"/>
            <w:vMerge w:val="restart"/>
            <w:tcBorders>
              <w:top w:val="nil"/>
            </w:tcBorders>
            <w:vAlign w:val="center"/>
          </w:tcPr>
          <w:p w14:paraId="15B197C7" w14:textId="77777777" w:rsidR="00224C38" w:rsidRPr="00C80F33" w:rsidRDefault="009756E7"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position w:val="-6"/>
                <w:sz w:val="20"/>
                <w:szCs w:val="20"/>
              </w:rPr>
              <w:object w:dxaOrig="220" w:dyaOrig="279" w14:anchorId="1D0273CB">
                <v:shape id="_x0000_i1067" type="#_x0000_t75" style="width:10.7pt;height:13.55pt" o:ole="">
                  <v:imagedata r:id="rId109" o:title=""/>
                </v:shape>
                <o:OLEObject Type="Embed" ProgID="Equation.DSMT4" ShapeID="_x0000_i1067" DrawAspect="Content" ObjectID="_1495870637" r:id="rId110"/>
              </w:object>
            </w:r>
          </w:p>
        </w:tc>
        <w:tc>
          <w:tcPr>
            <w:tcW w:w="1858" w:type="dxa"/>
            <w:tcBorders>
              <w:top w:val="nil"/>
            </w:tcBorders>
            <w:vAlign w:val="center"/>
          </w:tcPr>
          <w:p w14:paraId="59186F4E" w14:textId="77777777" w:rsidR="00224C38" w:rsidRPr="00C80F33" w:rsidRDefault="00224C38"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-0.2817</w:t>
            </w:r>
          </w:p>
        </w:tc>
        <w:tc>
          <w:tcPr>
            <w:tcW w:w="1858" w:type="dxa"/>
            <w:tcBorders>
              <w:top w:val="nil"/>
            </w:tcBorders>
          </w:tcPr>
          <w:p w14:paraId="1972DE27" w14:textId="77777777" w:rsidR="00224C38" w:rsidRPr="00C80F33" w:rsidRDefault="00224C38"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-0.3249</w:t>
            </w:r>
          </w:p>
        </w:tc>
        <w:tc>
          <w:tcPr>
            <w:tcW w:w="1858" w:type="dxa"/>
            <w:tcBorders>
              <w:top w:val="nil"/>
            </w:tcBorders>
          </w:tcPr>
          <w:p w14:paraId="66C13756" w14:textId="77777777" w:rsidR="00224C38" w:rsidRPr="00C80F33" w:rsidRDefault="00224C38"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-0.1441</w:t>
            </w:r>
          </w:p>
        </w:tc>
        <w:tc>
          <w:tcPr>
            <w:tcW w:w="1858" w:type="dxa"/>
            <w:tcBorders>
              <w:top w:val="nil"/>
            </w:tcBorders>
          </w:tcPr>
          <w:p w14:paraId="1D74CEC9" w14:textId="77777777" w:rsidR="00224C38" w:rsidRPr="00C80F33" w:rsidRDefault="00224C38"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-0.3622</w:t>
            </w:r>
          </w:p>
        </w:tc>
      </w:tr>
      <w:tr w:rsidR="00224C38" w:rsidRPr="00C80F33" w14:paraId="085F7C38" w14:textId="77777777" w:rsidTr="00CC5A1E">
        <w:tc>
          <w:tcPr>
            <w:tcW w:w="1857" w:type="dxa"/>
            <w:vMerge/>
            <w:vAlign w:val="center"/>
          </w:tcPr>
          <w:p w14:paraId="6862EB3B" w14:textId="77777777" w:rsidR="00224C38" w:rsidRPr="00C80F33" w:rsidRDefault="00224C38" w:rsidP="00224C38">
            <w:pPr>
              <w:pStyle w:val="Caption1"/>
              <w:rPr>
                <w:rFonts w:asciiTheme="minorHAnsi" w:hAnsiTheme="minorHAnsi"/>
                <w:color w:val="000000" w:themeColor="text1"/>
                <w:sz w:val="20"/>
                <w:szCs w:val="20"/>
              </w:rPr>
            </w:pPr>
          </w:p>
        </w:tc>
        <w:tc>
          <w:tcPr>
            <w:tcW w:w="1858" w:type="dxa"/>
            <w:vAlign w:val="center"/>
          </w:tcPr>
          <w:p w14:paraId="35E72973" w14:textId="77777777" w:rsidR="00224C38" w:rsidRPr="00C80F33" w:rsidRDefault="00224C38"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(0.0585)</w:t>
            </w:r>
          </w:p>
        </w:tc>
        <w:tc>
          <w:tcPr>
            <w:tcW w:w="1858" w:type="dxa"/>
          </w:tcPr>
          <w:p w14:paraId="002DF3A7" w14:textId="77777777" w:rsidR="00224C38" w:rsidRPr="00C80F33" w:rsidRDefault="00224C38"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(0.0612)</w:t>
            </w:r>
          </w:p>
        </w:tc>
        <w:tc>
          <w:tcPr>
            <w:tcW w:w="1858" w:type="dxa"/>
          </w:tcPr>
          <w:p w14:paraId="7DE8FD18" w14:textId="77777777" w:rsidR="00224C38" w:rsidRPr="00C80F33" w:rsidRDefault="00224C38"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(0.0471)</w:t>
            </w:r>
          </w:p>
        </w:tc>
        <w:tc>
          <w:tcPr>
            <w:tcW w:w="1858" w:type="dxa"/>
          </w:tcPr>
          <w:p w14:paraId="6E428119" w14:textId="77777777" w:rsidR="00224C38" w:rsidRPr="00C80F33" w:rsidRDefault="00224C38" w:rsidP="00224C38">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(0.0577)</w:t>
            </w:r>
          </w:p>
        </w:tc>
      </w:tr>
      <w:tr w:rsidR="009756E7" w:rsidRPr="00C80F33" w14:paraId="0BC69C2D" w14:textId="77777777" w:rsidTr="00CC5A1E">
        <w:tc>
          <w:tcPr>
            <w:tcW w:w="1857" w:type="dxa"/>
            <w:vMerge w:val="restart"/>
            <w:vAlign w:val="center"/>
          </w:tcPr>
          <w:p w14:paraId="522D259E" w14:textId="77777777" w:rsidR="009756E7" w:rsidRPr="00C80F33" w:rsidRDefault="009756E7" w:rsidP="009756E7">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340" w:dyaOrig="360" w14:anchorId="0220FC1B">
                <v:shape id="_x0000_i1068" type="#_x0000_t75" style="width:17.1pt;height:17.8pt" o:ole="">
                  <v:imagedata r:id="rId111" o:title=""/>
                </v:shape>
                <o:OLEObject Type="Embed" ProgID="Equation.DSMT4" ShapeID="_x0000_i1068" DrawAspect="Content" ObjectID="_1495870638" r:id="rId112"/>
              </w:object>
            </w:r>
          </w:p>
        </w:tc>
        <w:tc>
          <w:tcPr>
            <w:tcW w:w="1858" w:type="dxa"/>
            <w:vAlign w:val="center"/>
          </w:tcPr>
          <w:p w14:paraId="2908FDDC" w14:textId="77777777" w:rsidR="009756E7" w:rsidRPr="00C80F33" w:rsidRDefault="009756E7" w:rsidP="009756E7">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1.3001</w:t>
            </w:r>
          </w:p>
        </w:tc>
        <w:tc>
          <w:tcPr>
            <w:tcW w:w="1858" w:type="dxa"/>
          </w:tcPr>
          <w:p w14:paraId="58FFA422" w14:textId="77777777" w:rsidR="009756E7" w:rsidRPr="00C80F33" w:rsidRDefault="009756E7" w:rsidP="009756E7">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0.2835</w:t>
            </w:r>
          </w:p>
        </w:tc>
        <w:tc>
          <w:tcPr>
            <w:tcW w:w="1858" w:type="dxa"/>
          </w:tcPr>
          <w:p w14:paraId="62488391" w14:textId="77777777" w:rsidR="009756E7" w:rsidRPr="00C80F33" w:rsidRDefault="009756E7" w:rsidP="009756E7">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0.8561</w:t>
            </w:r>
          </w:p>
        </w:tc>
        <w:tc>
          <w:tcPr>
            <w:tcW w:w="1858" w:type="dxa"/>
          </w:tcPr>
          <w:p w14:paraId="12EC3C01" w14:textId="77777777" w:rsidR="009756E7" w:rsidRPr="00C80F33" w:rsidRDefault="009756E7" w:rsidP="009756E7">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0.6283</w:t>
            </w:r>
          </w:p>
        </w:tc>
      </w:tr>
      <w:tr w:rsidR="009756E7" w:rsidRPr="00C80F33" w14:paraId="30361651" w14:textId="77777777" w:rsidTr="00CC5A1E">
        <w:tc>
          <w:tcPr>
            <w:tcW w:w="1857" w:type="dxa"/>
            <w:vMerge/>
            <w:vAlign w:val="center"/>
          </w:tcPr>
          <w:p w14:paraId="5D622B75" w14:textId="77777777" w:rsidR="009756E7" w:rsidRPr="00C80F33" w:rsidRDefault="009756E7" w:rsidP="009756E7">
            <w:pPr>
              <w:pStyle w:val="Caption1"/>
              <w:rPr>
                <w:rFonts w:asciiTheme="minorHAnsi" w:hAnsiTheme="minorHAnsi"/>
                <w:color w:val="000000" w:themeColor="text1"/>
                <w:sz w:val="20"/>
                <w:szCs w:val="20"/>
              </w:rPr>
            </w:pPr>
          </w:p>
        </w:tc>
        <w:tc>
          <w:tcPr>
            <w:tcW w:w="1858" w:type="dxa"/>
            <w:vAlign w:val="center"/>
          </w:tcPr>
          <w:p w14:paraId="1A2A21CA" w14:textId="77777777" w:rsidR="009756E7" w:rsidRPr="00C80F33" w:rsidRDefault="009756E7" w:rsidP="009756E7">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(0.3762)</w:t>
            </w:r>
          </w:p>
        </w:tc>
        <w:tc>
          <w:tcPr>
            <w:tcW w:w="1858" w:type="dxa"/>
          </w:tcPr>
          <w:p w14:paraId="5D5F06A4" w14:textId="77777777" w:rsidR="009756E7" w:rsidRPr="00C80F33" w:rsidRDefault="009756E7" w:rsidP="009756E7">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(0.0875)</w:t>
            </w:r>
          </w:p>
        </w:tc>
        <w:tc>
          <w:tcPr>
            <w:tcW w:w="1858" w:type="dxa"/>
          </w:tcPr>
          <w:p w14:paraId="218EADA0" w14:textId="77777777" w:rsidR="009756E7" w:rsidRPr="00C80F33" w:rsidRDefault="009756E7" w:rsidP="009756E7">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(0.2917)</w:t>
            </w:r>
          </w:p>
        </w:tc>
        <w:tc>
          <w:tcPr>
            <w:tcW w:w="1858" w:type="dxa"/>
          </w:tcPr>
          <w:p w14:paraId="79A7AA1D" w14:textId="77777777" w:rsidR="009756E7" w:rsidRPr="00C80F33" w:rsidRDefault="009756E7" w:rsidP="009756E7">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(0.2183)</w:t>
            </w:r>
          </w:p>
        </w:tc>
      </w:tr>
      <w:tr w:rsidR="00586A7C" w:rsidRPr="00C80F33" w14:paraId="793DEB96" w14:textId="77777777" w:rsidTr="00030F60">
        <w:tc>
          <w:tcPr>
            <w:tcW w:w="1857" w:type="dxa"/>
            <w:vMerge w:val="restart"/>
            <w:vAlign w:val="center"/>
          </w:tcPr>
          <w:p w14:paraId="2602FDF7" w14:textId="77777777" w:rsidR="00586A7C" w:rsidRPr="00C80F33" w:rsidRDefault="009756E7" w:rsidP="00586A7C">
            <w:pPr>
              <w:pStyle w:val="Caption1"/>
              <w:rPr>
                <w:rFonts w:ascii="Cambria Math" w:hAnsi="Cambria Math"/>
                <w:color w:val="000000" w:themeColor="text1"/>
                <w:sz w:val="20"/>
                <w:szCs w:val="20"/>
              </w:rPr>
            </w:pPr>
            <w:r w:rsidRPr="00C80F33">
              <w:rPr>
                <w:rFonts w:ascii="Cambria Math" w:hAnsi="Cambria Math"/>
                <w:color w:val="000000" w:themeColor="text1"/>
                <w:position w:val="-12"/>
                <w:sz w:val="20"/>
                <w:szCs w:val="20"/>
              </w:rPr>
              <w:object w:dxaOrig="360" w:dyaOrig="360" w14:anchorId="4674449E">
                <v:shape id="_x0000_i1069" type="#_x0000_t75" style="width:17.8pt;height:17.8pt" o:ole="">
                  <v:imagedata r:id="rId113" o:title=""/>
                </v:shape>
                <o:OLEObject Type="Embed" ProgID="Equation.DSMT4" ShapeID="_x0000_i1069" DrawAspect="Content" ObjectID="_1495870639" r:id="rId114"/>
              </w:object>
            </w:r>
          </w:p>
        </w:tc>
        <w:tc>
          <w:tcPr>
            <w:tcW w:w="1858" w:type="dxa"/>
            <w:vAlign w:val="center"/>
          </w:tcPr>
          <w:p w14:paraId="5BD5ACB8"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-0.5449</w:t>
            </w:r>
          </w:p>
        </w:tc>
        <w:tc>
          <w:tcPr>
            <w:tcW w:w="1858" w:type="dxa"/>
          </w:tcPr>
          <w:p w14:paraId="2F4FED54"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-0.8471</w:t>
            </w:r>
          </w:p>
        </w:tc>
        <w:tc>
          <w:tcPr>
            <w:tcW w:w="1858" w:type="dxa"/>
          </w:tcPr>
          <w:p w14:paraId="28508B3B"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-0.2651</w:t>
            </w:r>
          </w:p>
        </w:tc>
        <w:tc>
          <w:tcPr>
            <w:tcW w:w="1858" w:type="dxa"/>
          </w:tcPr>
          <w:p w14:paraId="34FA1680"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-0.6800</w:t>
            </w:r>
          </w:p>
        </w:tc>
      </w:tr>
      <w:tr w:rsidR="00586A7C" w:rsidRPr="00C80F33" w14:paraId="69EC36F8" w14:textId="77777777" w:rsidTr="00CC5A1E">
        <w:tc>
          <w:tcPr>
            <w:tcW w:w="1857" w:type="dxa"/>
            <w:vMerge/>
          </w:tcPr>
          <w:p w14:paraId="5783D772" w14:textId="77777777" w:rsidR="00586A7C" w:rsidRPr="00C80F33" w:rsidRDefault="00586A7C" w:rsidP="00586A7C">
            <w:pPr>
              <w:pStyle w:val="Caption1"/>
              <w:rPr>
                <w:rFonts w:asciiTheme="minorHAnsi" w:hAnsiTheme="minorHAnsi"/>
                <w:color w:val="000000" w:themeColor="text1"/>
                <w:sz w:val="20"/>
                <w:szCs w:val="20"/>
              </w:rPr>
            </w:pPr>
          </w:p>
        </w:tc>
        <w:tc>
          <w:tcPr>
            <w:tcW w:w="1858" w:type="dxa"/>
            <w:vAlign w:val="center"/>
          </w:tcPr>
          <w:p w14:paraId="77ED174A"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(0.1060)</w:t>
            </w:r>
          </w:p>
        </w:tc>
        <w:tc>
          <w:tcPr>
            <w:tcW w:w="1858" w:type="dxa"/>
          </w:tcPr>
          <w:p w14:paraId="5DA35AC8"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(0.1205)</w:t>
            </w:r>
          </w:p>
        </w:tc>
        <w:tc>
          <w:tcPr>
            <w:tcW w:w="1858" w:type="dxa"/>
          </w:tcPr>
          <w:p w14:paraId="5EDE8FE2"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(0.0740)</w:t>
            </w:r>
          </w:p>
        </w:tc>
        <w:tc>
          <w:tcPr>
            <w:tcW w:w="1858" w:type="dxa"/>
          </w:tcPr>
          <w:p w14:paraId="1B42BA27"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(0.0698)</w:t>
            </w:r>
          </w:p>
        </w:tc>
      </w:tr>
      <w:tr w:rsidR="00586A7C" w:rsidRPr="00C80F33" w14:paraId="4016B191" w14:textId="77777777" w:rsidTr="00F92A85">
        <w:tc>
          <w:tcPr>
            <w:tcW w:w="1857" w:type="dxa"/>
            <w:vMerge w:val="restart"/>
            <w:vAlign w:val="center"/>
          </w:tcPr>
          <w:p w14:paraId="2605A8E7" w14:textId="77777777" w:rsidR="00586A7C" w:rsidRPr="00C80F33" w:rsidRDefault="009756E7" w:rsidP="00586A7C">
            <w:pPr>
              <w:pStyle w:val="Caption1"/>
              <w:rPr>
                <w:rFonts w:ascii="Cambria Math" w:hAnsi="Cambria Math"/>
                <w:color w:val="000000" w:themeColor="text1"/>
                <w:sz w:val="20"/>
                <w:szCs w:val="20"/>
              </w:rPr>
            </w:pPr>
            <w:r w:rsidRPr="00C80F33">
              <w:rPr>
                <w:rFonts w:ascii="Cambria Math" w:hAnsi="Cambria Math"/>
                <w:color w:val="000000" w:themeColor="text1"/>
                <w:position w:val="-12"/>
                <w:sz w:val="20"/>
                <w:szCs w:val="20"/>
              </w:rPr>
              <w:object w:dxaOrig="540" w:dyaOrig="360" w14:anchorId="75792CB3">
                <v:shape id="_x0000_i1070" type="#_x0000_t75" style="width:27.1pt;height:17.8pt" o:ole="">
                  <v:imagedata r:id="rId115" o:title=""/>
                </v:shape>
                <o:OLEObject Type="Embed" ProgID="Equation.DSMT4" ShapeID="_x0000_i1070" DrawAspect="Content" ObjectID="_1495870640" r:id="rId116"/>
              </w:object>
            </w:r>
          </w:p>
        </w:tc>
        <w:tc>
          <w:tcPr>
            <w:tcW w:w="1858" w:type="dxa"/>
            <w:vAlign w:val="center"/>
          </w:tcPr>
          <w:p w14:paraId="422D7378"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-0.0779</w:t>
            </w:r>
          </w:p>
        </w:tc>
        <w:tc>
          <w:tcPr>
            <w:tcW w:w="1858" w:type="dxa"/>
          </w:tcPr>
          <w:p w14:paraId="64B39C5B"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-0.1140</w:t>
            </w:r>
          </w:p>
        </w:tc>
        <w:tc>
          <w:tcPr>
            <w:tcW w:w="1858" w:type="dxa"/>
          </w:tcPr>
          <w:p w14:paraId="59824020"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-0.1450</w:t>
            </w:r>
          </w:p>
        </w:tc>
        <w:tc>
          <w:tcPr>
            <w:tcW w:w="1858" w:type="dxa"/>
          </w:tcPr>
          <w:p w14:paraId="74E2E922" w14:textId="77777777" w:rsidR="00586A7C" w:rsidRPr="00C80F33" w:rsidRDefault="00586A7C" w:rsidP="00586A7C">
            <w:pPr>
              <w:pStyle w:val="Caption1"/>
              <w:rPr>
                <w:rFonts w:asciiTheme="minorHAnsi" w:hAnsiTheme="minorHAnsi"/>
                <w:color w:val="000000" w:themeColor="text1"/>
                <w:sz w:val="20"/>
                <w:szCs w:val="20"/>
              </w:rPr>
            </w:pPr>
          </w:p>
        </w:tc>
      </w:tr>
      <w:tr w:rsidR="00586A7C" w:rsidRPr="00C80F33" w14:paraId="6643154E" w14:textId="77777777" w:rsidTr="00F92A85">
        <w:tc>
          <w:tcPr>
            <w:tcW w:w="1857" w:type="dxa"/>
            <w:vMerge/>
            <w:vAlign w:val="center"/>
          </w:tcPr>
          <w:p w14:paraId="41A6D706" w14:textId="77777777" w:rsidR="00586A7C" w:rsidRPr="00C80F33" w:rsidRDefault="00586A7C" w:rsidP="00586A7C">
            <w:pPr>
              <w:pStyle w:val="Caption1"/>
              <w:rPr>
                <w:rFonts w:ascii="Calibri" w:eastAsia="Calibri" w:hAnsi="Calibri" w:cs="Arial"/>
                <w:color w:val="000000" w:themeColor="text1"/>
                <w:sz w:val="20"/>
                <w:szCs w:val="20"/>
              </w:rPr>
            </w:pPr>
          </w:p>
        </w:tc>
        <w:tc>
          <w:tcPr>
            <w:tcW w:w="1858" w:type="dxa"/>
            <w:vAlign w:val="center"/>
          </w:tcPr>
          <w:p w14:paraId="3893E8BB"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(0.0303)</w:t>
            </w:r>
          </w:p>
        </w:tc>
        <w:tc>
          <w:tcPr>
            <w:tcW w:w="1858" w:type="dxa"/>
          </w:tcPr>
          <w:p w14:paraId="1D5428D3"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(0.0512)</w:t>
            </w:r>
          </w:p>
        </w:tc>
        <w:tc>
          <w:tcPr>
            <w:tcW w:w="1858" w:type="dxa"/>
          </w:tcPr>
          <w:p w14:paraId="40AEE6CB"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(0.0276)</w:t>
            </w:r>
          </w:p>
        </w:tc>
        <w:tc>
          <w:tcPr>
            <w:tcW w:w="1858" w:type="dxa"/>
          </w:tcPr>
          <w:p w14:paraId="10D8BFCF" w14:textId="77777777" w:rsidR="00586A7C" w:rsidRPr="00C80F33" w:rsidRDefault="00586A7C" w:rsidP="00586A7C">
            <w:pPr>
              <w:pStyle w:val="Caption1"/>
              <w:rPr>
                <w:rFonts w:asciiTheme="minorHAnsi" w:hAnsiTheme="minorHAnsi"/>
                <w:color w:val="000000" w:themeColor="text1"/>
                <w:sz w:val="20"/>
                <w:szCs w:val="20"/>
              </w:rPr>
            </w:pPr>
          </w:p>
        </w:tc>
      </w:tr>
      <w:tr w:rsidR="00586A7C" w:rsidRPr="00C80F33" w14:paraId="0DDA7F17" w14:textId="77777777" w:rsidTr="00F92A85">
        <w:tc>
          <w:tcPr>
            <w:tcW w:w="1857" w:type="dxa"/>
            <w:vMerge w:val="restart"/>
            <w:vAlign w:val="center"/>
          </w:tcPr>
          <w:p w14:paraId="36953883" w14:textId="77777777" w:rsidR="00586A7C" w:rsidRPr="00C80F33" w:rsidRDefault="009756E7"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580" w:dyaOrig="360" w14:anchorId="44B4D4ED">
                <v:shape id="_x0000_i1071" type="#_x0000_t75" style="width:28.5pt;height:17.8pt" o:ole="">
                  <v:imagedata r:id="rId117" o:title=""/>
                </v:shape>
                <o:OLEObject Type="Embed" ProgID="Equation.DSMT4" ShapeID="_x0000_i1071" DrawAspect="Content" ObjectID="_1495870641" r:id="rId118"/>
              </w:object>
            </w:r>
          </w:p>
        </w:tc>
        <w:tc>
          <w:tcPr>
            <w:tcW w:w="1858" w:type="dxa"/>
            <w:vAlign w:val="center"/>
          </w:tcPr>
          <w:p w14:paraId="15A5D801" w14:textId="77777777" w:rsidR="00586A7C" w:rsidRPr="00C80F33" w:rsidRDefault="00586A7C" w:rsidP="00586A7C">
            <w:pPr>
              <w:pStyle w:val="Caption1"/>
              <w:rPr>
                <w:rFonts w:ascii="Cambria Math" w:hAnsi="Cambria Math"/>
                <w:i/>
                <w:color w:val="000000" w:themeColor="text1"/>
                <w:sz w:val="20"/>
                <w:szCs w:val="20"/>
              </w:rPr>
            </w:pPr>
          </w:p>
        </w:tc>
        <w:tc>
          <w:tcPr>
            <w:tcW w:w="1858" w:type="dxa"/>
          </w:tcPr>
          <w:p w14:paraId="165C4CBF"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-0.2008</w:t>
            </w:r>
          </w:p>
        </w:tc>
        <w:tc>
          <w:tcPr>
            <w:tcW w:w="1858" w:type="dxa"/>
          </w:tcPr>
          <w:p w14:paraId="6DF8FF92" w14:textId="77777777" w:rsidR="00586A7C" w:rsidRPr="00C80F33" w:rsidRDefault="00586A7C" w:rsidP="00586A7C">
            <w:pPr>
              <w:pStyle w:val="Caption1"/>
              <w:rPr>
                <w:rFonts w:asciiTheme="minorHAnsi" w:hAnsiTheme="minorHAnsi"/>
                <w:color w:val="000000" w:themeColor="text1"/>
                <w:sz w:val="20"/>
                <w:szCs w:val="20"/>
              </w:rPr>
            </w:pPr>
          </w:p>
        </w:tc>
        <w:tc>
          <w:tcPr>
            <w:tcW w:w="1858" w:type="dxa"/>
          </w:tcPr>
          <w:p w14:paraId="0471691F" w14:textId="77777777" w:rsidR="00586A7C" w:rsidRPr="00C80F33" w:rsidRDefault="00586A7C" w:rsidP="00586A7C">
            <w:pPr>
              <w:pStyle w:val="Caption1"/>
              <w:rPr>
                <w:rFonts w:asciiTheme="minorHAnsi" w:hAnsiTheme="minorHAnsi"/>
                <w:color w:val="000000" w:themeColor="text1"/>
                <w:sz w:val="20"/>
                <w:szCs w:val="20"/>
              </w:rPr>
            </w:pPr>
          </w:p>
        </w:tc>
      </w:tr>
      <w:tr w:rsidR="00586A7C" w:rsidRPr="00C80F33" w14:paraId="22F9627C" w14:textId="77777777" w:rsidTr="00F92A85">
        <w:tc>
          <w:tcPr>
            <w:tcW w:w="1857" w:type="dxa"/>
            <w:vMerge/>
            <w:vAlign w:val="center"/>
          </w:tcPr>
          <w:p w14:paraId="124A4B02" w14:textId="77777777" w:rsidR="00586A7C" w:rsidRPr="00C80F33" w:rsidRDefault="00586A7C" w:rsidP="00586A7C">
            <w:pPr>
              <w:pStyle w:val="Caption1"/>
              <w:rPr>
                <w:rFonts w:ascii="Calibri" w:eastAsia="Calibri" w:hAnsi="Calibri" w:cs="Arial"/>
                <w:color w:val="000000" w:themeColor="text1"/>
                <w:sz w:val="20"/>
                <w:szCs w:val="20"/>
              </w:rPr>
            </w:pPr>
          </w:p>
        </w:tc>
        <w:tc>
          <w:tcPr>
            <w:tcW w:w="1858" w:type="dxa"/>
            <w:vAlign w:val="center"/>
          </w:tcPr>
          <w:p w14:paraId="472C414D" w14:textId="77777777" w:rsidR="00586A7C" w:rsidRPr="00C80F33" w:rsidRDefault="00586A7C" w:rsidP="00586A7C">
            <w:pPr>
              <w:pStyle w:val="Caption1"/>
              <w:rPr>
                <w:rFonts w:ascii="Cambria Math" w:hAnsi="Cambria Math"/>
                <w:i/>
                <w:color w:val="000000" w:themeColor="text1"/>
                <w:sz w:val="20"/>
                <w:szCs w:val="20"/>
              </w:rPr>
            </w:pPr>
          </w:p>
        </w:tc>
        <w:tc>
          <w:tcPr>
            <w:tcW w:w="1858" w:type="dxa"/>
          </w:tcPr>
          <w:p w14:paraId="07D1FBF2"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(0.0516)</w:t>
            </w:r>
          </w:p>
        </w:tc>
        <w:tc>
          <w:tcPr>
            <w:tcW w:w="1858" w:type="dxa"/>
          </w:tcPr>
          <w:p w14:paraId="1DBB25A5" w14:textId="77777777" w:rsidR="00586A7C" w:rsidRPr="00C80F33" w:rsidRDefault="00586A7C" w:rsidP="00586A7C">
            <w:pPr>
              <w:pStyle w:val="Caption1"/>
              <w:rPr>
                <w:rFonts w:asciiTheme="minorHAnsi" w:hAnsiTheme="minorHAnsi"/>
                <w:color w:val="000000" w:themeColor="text1"/>
                <w:sz w:val="20"/>
                <w:szCs w:val="20"/>
              </w:rPr>
            </w:pPr>
          </w:p>
        </w:tc>
        <w:tc>
          <w:tcPr>
            <w:tcW w:w="1858" w:type="dxa"/>
          </w:tcPr>
          <w:p w14:paraId="2F9FDD4B" w14:textId="77777777" w:rsidR="00586A7C" w:rsidRPr="00C80F33" w:rsidRDefault="00586A7C" w:rsidP="00586A7C">
            <w:pPr>
              <w:pStyle w:val="Caption1"/>
              <w:rPr>
                <w:rFonts w:asciiTheme="minorHAnsi" w:hAnsiTheme="minorHAnsi"/>
                <w:color w:val="000000" w:themeColor="text1"/>
                <w:sz w:val="20"/>
                <w:szCs w:val="20"/>
              </w:rPr>
            </w:pPr>
          </w:p>
        </w:tc>
      </w:tr>
      <w:tr w:rsidR="00586A7C" w:rsidRPr="00C80F33" w14:paraId="0A482F49" w14:textId="77777777" w:rsidTr="009E24AF">
        <w:tc>
          <w:tcPr>
            <w:tcW w:w="1857" w:type="dxa"/>
            <w:tcBorders>
              <w:top w:val="dotted" w:sz="4" w:space="0" w:color="auto"/>
              <w:bottom w:val="nil"/>
            </w:tcBorders>
            <w:vAlign w:val="center"/>
          </w:tcPr>
          <w:p w14:paraId="5443F986" w14:textId="77777777" w:rsidR="00586A7C" w:rsidRPr="00C80F33" w:rsidRDefault="00586A7C" w:rsidP="00B13F5F">
            <w:pPr>
              <w:pStyle w:val="Caption1"/>
              <w:jc w:val="left"/>
              <w:rPr>
                <w:rFonts w:asciiTheme="minorHAnsi" w:hAnsiTheme="minorHAnsi"/>
                <w:b/>
                <w:color w:val="000000" w:themeColor="text1"/>
                <w:sz w:val="20"/>
                <w:szCs w:val="20"/>
              </w:rPr>
            </w:pPr>
            <w:r w:rsidRPr="00C80F33">
              <w:rPr>
                <w:rFonts w:asciiTheme="minorHAnsi" w:hAnsiTheme="minorHAnsi"/>
                <w:b/>
                <w:color w:val="000000" w:themeColor="text1"/>
                <w:sz w:val="20"/>
                <w:szCs w:val="20"/>
              </w:rPr>
              <w:t>Summary statistics</w:t>
            </w:r>
          </w:p>
        </w:tc>
        <w:tc>
          <w:tcPr>
            <w:tcW w:w="1858" w:type="dxa"/>
            <w:tcBorders>
              <w:top w:val="dotted" w:sz="4" w:space="0" w:color="auto"/>
              <w:bottom w:val="nil"/>
            </w:tcBorders>
            <w:vAlign w:val="bottom"/>
          </w:tcPr>
          <w:p w14:paraId="4EC878A6" w14:textId="77777777" w:rsidR="00586A7C" w:rsidRPr="00C80F33" w:rsidRDefault="00586A7C" w:rsidP="00586A7C">
            <w:pPr>
              <w:pStyle w:val="Caption1"/>
              <w:rPr>
                <w:rFonts w:asciiTheme="minorHAnsi" w:hAnsiTheme="minorHAnsi"/>
                <w:b/>
                <w:color w:val="000000" w:themeColor="text1"/>
                <w:sz w:val="20"/>
                <w:szCs w:val="20"/>
              </w:rPr>
            </w:pPr>
          </w:p>
        </w:tc>
        <w:tc>
          <w:tcPr>
            <w:tcW w:w="1858" w:type="dxa"/>
            <w:tcBorders>
              <w:top w:val="dotted" w:sz="4" w:space="0" w:color="auto"/>
              <w:bottom w:val="nil"/>
            </w:tcBorders>
          </w:tcPr>
          <w:p w14:paraId="7BC95284" w14:textId="77777777" w:rsidR="00586A7C" w:rsidRPr="00C80F33" w:rsidRDefault="00586A7C" w:rsidP="00586A7C">
            <w:pPr>
              <w:pStyle w:val="Caption1"/>
              <w:rPr>
                <w:rFonts w:asciiTheme="minorHAnsi" w:hAnsiTheme="minorHAnsi"/>
                <w:b/>
                <w:color w:val="000000" w:themeColor="text1"/>
                <w:sz w:val="20"/>
                <w:szCs w:val="20"/>
              </w:rPr>
            </w:pPr>
          </w:p>
        </w:tc>
        <w:tc>
          <w:tcPr>
            <w:tcW w:w="1858" w:type="dxa"/>
            <w:tcBorders>
              <w:top w:val="dotted" w:sz="4" w:space="0" w:color="auto"/>
              <w:bottom w:val="nil"/>
            </w:tcBorders>
          </w:tcPr>
          <w:p w14:paraId="756F8677" w14:textId="77777777" w:rsidR="00586A7C" w:rsidRPr="00C80F33" w:rsidRDefault="00586A7C" w:rsidP="00586A7C">
            <w:pPr>
              <w:pStyle w:val="Caption1"/>
              <w:rPr>
                <w:rFonts w:asciiTheme="minorHAnsi" w:hAnsiTheme="minorHAnsi"/>
                <w:b/>
                <w:color w:val="000000" w:themeColor="text1"/>
                <w:sz w:val="20"/>
                <w:szCs w:val="20"/>
              </w:rPr>
            </w:pPr>
          </w:p>
        </w:tc>
        <w:tc>
          <w:tcPr>
            <w:tcW w:w="1858" w:type="dxa"/>
            <w:tcBorders>
              <w:top w:val="dotted" w:sz="4" w:space="0" w:color="auto"/>
              <w:bottom w:val="nil"/>
            </w:tcBorders>
          </w:tcPr>
          <w:p w14:paraId="52866E74" w14:textId="77777777" w:rsidR="00586A7C" w:rsidRPr="00C80F33" w:rsidRDefault="00586A7C" w:rsidP="00586A7C">
            <w:pPr>
              <w:pStyle w:val="Caption1"/>
              <w:rPr>
                <w:rFonts w:asciiTheme="minorHAnsi" w:hAnsiTheme="minorHAnsi"/>
                <w:b/>
                <w:color w:val="000000" w:themeColor="text1"/>
                <w:sz w:val="20"/>
                <w:szCs w:val="20"/>
              </w:rPr>
            </w:pPr>
          </w:p>
        </w:tc>
      </w:tr>
      <w:tr w:rsidR="00586A7C" w:rsidRPr="00C80F33" w14:paraId="01FAB412" w14:textId="77777777" w:rsidTr="009E24AF">
        <w:tc>
          <w:tcPr>
            <w:tcW w:w="1857" w:type="dxa"/>
            <w:tcBorders>
              <w:top w:val="nil"/>
            </w:tcBorders>
            <w:vAlign w:val="center"/>
          </w:tcPr>
          <w:p w14:paraId="0E4AC084" w14:textId="77777777" w:rsidR="00586A7C" w:rsidRPr="00C80F33" w:rsidRDefault="00586A7C" w:rsidP="00B13F5F">
            <w:pPr>
              <w:pStyle w:val="Caption1"/>
              <w:jc w:val="left"/>
              <w:rPr>
                <w:rFonts w:asciiTheme="minorHAnsi" w:hAnsiTheme="minorHAnsi"/>
                <w:color w:val="000000" w:themeColor="text1"/>
                <w:sz w:val="20"/>
                <w:szCs w:val="20"/>
              </w:rPr>
            </w:pPr>
            <w:r w:rsidRPr="00C80F33">
              <w:rPr>
                <w:rFonts w:asciiTheme="minorHAnsi" w:hAnsiTheme="minorHAnsi"/>
                <w:color w:val="000000" w:themeColor="text1"/>
                <w:sz w:val="20"/>
                <w:szCs w:val="20"/>
              </w:rPr>
              <w:t>R-sq</w:t>
            </w:r>
            <w:r w:rsidR="009756E7" w:rsidRPr="00C80F33">
              <w:rPr>
                <w:rFonts w:asciiTheme="minorHAnsi" w:hAnsiTheme="minorHAnsi"/>
                <w:color w:val="000000" w:themeColor="text1"/>
                <w:sz w:val="20"/>
                <w:szCs w:val="20"/>
              </w:rPr>
              <w:t>uared</w:t>
            </w:r>
          </w:p>
        </w:tc>
        <w:tc>
          <w:tcPr>
            <w:tcW w:w="1858" w:type="dxa"/>
            <w:tcBorders>
              <w:top w:val="nil"/>
            </w:tcBorders>
            <w:vAlign w:val="bottom"/>
          </w:tcPr>
          <w:p w14:paraId="64C835E2"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0.4721</w:t>
            </w:r>
          </w:p>
        </w:tc>
        <w:tc>
          <w:tcPr>
            <w:tcW w:w="1858" w:type="dxa"/>
            <w:tcBorders>
              <w:top w:val="nil"/>
            </w:tcBorders>
          </w:tcPr>
          <w:p w14:paraId="6FC80633"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0.5779</w:t>
            </w:r>
          </w:p>
        </w:tc>
        <w:tc>
          <w:tcPr>
            <w:tcW w:w="1858" w:type="dxa"/>
            <w:tcBorders>
              <w:top w:val="nil"/>
            </w:tcBorders>
          </w:tcPr>
          <w:p w14:paraId="67A2D054"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0.4220</w:t>
            </w:r>
          </w:p>
        </w:tc>
        <w:tc>
          <w:tcPr>
            <w:tcW w:w="1858" w:type="dxa"/>
            <w:tcBorders>
              <w:top w:val="nil"/>
            </w:tcBorders>
          </w:tcPr>
          <w:p w14:paraId="6C1F25D1"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0.7279</w:t>
            </w:r>
          </w:p>
        </w:tc>
      </w:tr>
      <w:tr w:rsidR="00586A7C" w:rsidRPr="00C80F33" w14:paraId="569878D8" w14:textId="77777777" w:rsidTr="00CC5A1E">
        <w:tc>
          <w:tcPr>
            <w:tcW w:w="1857" w:type="dxa"/>
          </w:tcPr>
          <w:p w14:paraId="09DAD4A9" w14:textId="77777777" w:rsidR="00586A7C" w:rsidRPr="00C80F33" w:rsidRDefault="00586A7C" w:rsidP="00B13F5F">
            <w:pPr>
              <w:pStyle w:val="Caption1"/>
              <w:jc w:val="left"/>
              <w:rPr>
                <w:rFonts w:asciiTheme="minorHAnsi" w:hAnsiTheme="minorHAnsi"/>
                <w:color w:val="000000" w:themeColor="text1"/>
                <w:sz w:val="20"/>
                <w:szCs w:val="20"/>
              </w:rPr>
            </w:pPr>
            <w:r w:rsidRPr="00C80F33">
              <w:rPr>
                <w:rFonts w:asciiTheme="minorHAnsi" w:hAnsiTheme="minorHAnsi"/>
                <w:color w:val="000000" w:themeColor="text1"/>
                <w:sz w:val="20"/>
                <w:szCs w:val="20"/>
              </w:rPr>
              <w:t>Adj</w:t>
            </w:r>
            <w:r w:rsidR="00A52758" w:rsidRPr="00C80F33">
              <w:rPr>
                <w:rFonts w:asciiTheme="minorHAnsi" w:hAnsiTheme="minorHAnsi"/>
                <w:color w:val="000000" w:themeColor="text1"/>
                <w:sz w:val="20"/>
                <w:szCs w:val="20"/>
              </w:rPr>
              <w:t>usted</w:t>
            </w:r>
            <w:r w:rsidRPr="00C80F33">
              <w:rPr>
                <w:rFonts w:asciiTheme="minorHAnsi" w:hAnsiTheme="minorHAnsi"/>
                <w:color w:val="000000" w:themeColor="text1"/>
                <w:sz w:val="20"/>
                <w:szCs w:val="20"/>
              </w:rPr>
              <w:t xml:space="preserve"> R-sq</w:t>
            </w:r>
            <w:r w:rsidR="009756E7" w:rsidRPr="00C80F33">
              <w:rPr>
                <w:rFonts w:asciiTheme="minorHAnsi" w:hAnsiTheme="minorHAnsi"/>
                <w:color w:val="000000" w:themeColor="text1"/>
                <w:sz w:val="20"/>
                <w:szCs w:val="20"/>
              </w:rPr>
              <w:t>uared</w:t>
            </w:r>
          </w:p>
        </w:tc>
        <w:tc>
          <w:tcPr>
            <w:tcW w:w="1858" w:type="dxa"/>
            <w:vAlign w:val="bottom"/>
          </w:tcPr>
          <w:p w14:paraId="2B1CFAC4"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0.4372</w:t>
            </w:r>
          </w:p>
        </w:tc>
        <w:tc>
          <w:tcPr>
            <w:tcW w:w="1858" w:type="dxa"/>
          </w:tcPr>
          <w:p w14:paraId="11CCF17C"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0.5458</w:t>
            </w:r>
          </w:p>
        </w:tc>
        <w:tc>
          <w:tcPr>
            <w:tcW w:w="1858" w:type="dxa"/>
          </w:tcPr>
          <w:p w14:paraId="7E58E6CA"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0.3897</w:t>
            </w:r>
          </w:p>
        </w:tc>
        <w:tc>
          <w:tcPr>
            <w:tcW w:w="1858" w:type="dxa"/>
          </w:tcPr>
          <w:p w14:paraId="339AD98B"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0.7046</w:t>
            </w:r>
          </w:p>
        </w:tc>
      </w:tr>
      <w:tr w:rsidR="00586A7C" w:rsidRPr="00C80F33" w14:paraId="7FC2A604" w14:textId="77777777" w:rsidTr="00CC5A1E">
        <w:tc>
          <w:tcPr>
            <w:tcW w:w="1857" w:type="dxa"/>
          </w:tcPr>
          <w:p w14:paraId="3260DE05" w14:textId="77777777" w:rsidR="00586A7C" w:rsidRPr="00C80F33" w:rsidRDefault="00586A7C" w:rsidP="00B13F5F">
            <w:pPr>
              <w:pStyle w:val="Caption1"/>
              <w:jc w:val="left"/>
              <w:rPr>
                <w:rFonts w:asciiTheme="minorHAnsi" w:hAnsiTheme="minorHAnsi"/>
                <w:color w:val="000000" w:themeColor="text1"/>
                <w:sz w:val="20"/>
                <w:szCs w:val="20"/>
              </w:rPr>
            </w:pPr>
            <w:r w:rsidRPr="00C80F33">
              <w:rPr>
                <w:rFonts w:asciiTheme="minorHAnsi" w:hAnsiTheme="minorHAnsi"/>
                <w:color w:val="000000" w:themeColor="text1"/>
                <w:sz w:val="20"/>
                <w:szCs w:val="20"/>
              </w:rPr>
              <w:t>D</w:t>
            </w:r>
            <w:r w:rsidR="009756E7" w:rsidRPr="00C80F33">
              <w:rPr>
                <w:rFonts w:asciiTheme="minorHAnsi" w:hAnsiTheme="minorHAnsi"/>
                <w:color w:val="000000" w:themeColor="text1"/>
                <w:sz w:val="20"/>
                <w:szCs w:val="20"/>
              </w:rPr>
              <w:t xml:space="preserve">urbin </w:t>
            </w:r>
            <w:r w:rsidRPr="00C80F33">
              <w:rPr>
                <w:rFonts w:asciiTheme="minorHAnsi" w:hAnsiTheme="minorHAnsi"/>
                <w:color w:val="000000" w:themeColor="text1"/>
                <w:sz w:val="20"/>
                <w:szCs w:val="20"/>
              </w:rPr>
              <w:t>W</w:t>
            </w:r>
            <w:r w:rsidR="009756E7" w:rsidRPr="00C80F33">
              <w:rPr>
                <w:rFonts w:asciiTheme="minorHAnsi" w:hAnsiTheme="minorHAnsi"/>
                <w:color w:val="000000" w:themeColor="text1"/>
                <w:sz w:val="20"/>
                <w:szCs w:val="20"/>
              </w:rPr>
              <w:t>atson</w:t>
            </w:r>
          </w:p>
        </w:tc>
        <w:tc>
          <w:tcPr>
            <w:tcW w:w="1858" w:type="dxa"/>
          </w:tcPr>
          <w:p w14:paraId="493240B4"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1.7801</w:t>
            </w:r>
          </w:p>
        </w:tc>
        <w:tc>
          <w:tcPr>
            <w:tcW w:w="1858" w:type="dxa"/>
          </w:tcPr>
          <w:p w14:paraId="27E91FE5"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1.8512</w:t>
            </w:r>
          </w:p>
        </w:tc>
        <w:tc>
          <w:tcPr>
            <w:tcW w:w="1858" w:type="dxa"/>
          </w:tcPr>
          <w:p w14:paraId="35795A40"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1.7245</w:t>
            </w:r>
          </w:p>
        </w:tc>
        <w:tc>
          <w:tcPr>
            <w:tcW w:w="1858" w:type="dxa"/>
          </w:tcPr>
          <w:p w14:paraId="0B881CB9"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1.9044</w:t>
            </w:r>
          </w:p>
        </w:tc>
      </w:tr>
      <w:tr w:rsidR="00586A7C" w:rsidRPr="00C80F33" w14:paraId="1D3ABCD5" w14:textId="77777777" w:rsidTr="00CC5A1E">
        <w:tc>
          <w:tcPr>
            <w:tcW w:w="1857" w:type="dxa"/>
          </w:tcPr>
          <w:p w14:paraId="6967EC39" w14:textId="77777777" w:rsidR="00586A7C" w:rsidRPr="00C80F33" w:rsidRDefault="00586A7C" w:rsidP="00B13F5F">
            <w:pPr>
              <w:pStyle w:val="Caption1"/>
              <w:jc w:val="left"/>
              <w:rPr>
                <w:rFonts w:asciiTheme="minorHAnsi" w:hAnsiTheme="minorHAnsi"/>
                <w:color w:val="000000" w:themeColor="text1"/>
                <w:sz w:val="20"/>
                <w:szCs w:val="20"/>
              </w:rPr>
            </w:pPr>
            <w:r w:rsidRPr="00C80F33">
              <w:rPr>
                <w:rFonts w:asciiTheme="minorHAnsi" w:hAnsiTheme="minorHAnsi"/>
                <w:color w:val="000000" w:themeColor="text1"/>
                <w:sz w:val="20"/>
                <w:szCs w:val="20"/>
              </w:rPr>
              <w:t>ADF statistic</w:t>
            </w:r>
          </w:p>
        </w:tc>
        <w:tc>
          <w:tcPr>
            <w:tcW w:w="1858" w:type="dxa"/>
          </w:tcPr>
          <w:p w14:paraId="52DE41D0"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-4.8701</w:t>
            </w:r>
          </w:p>
        </w:tc>
        <w:tc>
          <w:tcPr>
            <w:tcW w:w="1858" w:type="dxa"/>
          </w:tcPr>
          <w:p w14:paraId="338FB31D"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-5.5338</w:t>
            </w:r>
          </w:p>
        </w:tc>
        <w:tc>
          <w:tcPr>
            <w:tcW w:w="1858" w:type="dxa"/>
          </w:tcPr>
          <w:p w14:paraId="2AD71E40"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-4.6083</w:t>
            </w:r>
          </w:p>
        </w:tc>
        <w:tc>
          <w:tcPr>
            <w:tcW w:w="1858" w:type="dxa"/>
          </w:tcPr>
          <w:p w14:paraId="19B0585E"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-4.2890</w:t>
            </w:r>
          </w:p>
        </w:tc>
      </w:tr>
      <w:tr w:rsidR="00586A7C" w:rsidRPr="00C80F33" w14:paraId="1A1E3744" w14:textId="77777777" w:rsidTr="002B4B93">
        <w:tc>
          <w:tcPr>
            <w:tcW w:w="1857" w:type="dxa"/>
            <w:tcBorders>
              <w:bottom w:val="single" w:sz="4" w:space="0" w:color="auto"/>
            </w:tcBorders>
          </w:tcPr>
          <w:p w14:paraId="716AF112" w14:textId="77777777" w:rsidR="00586A7C" w:rsidRPr="00C80F33" w:rsidRDefault="00586A7C" w:rsidP="00B13F5F">
            <w:pPr>
              <w:pStyle w:val="Caption1"/>
              <w:jc w:val="left"/>
              <w:rPr>
                <w:rFonts w:asciiTheme="minorHAnsi" w:hAnsiTheme="minorHAnsi"/>
                <w:color w:val="000000" w:themeColor="text1"/>
                <w:sz w:val="20"/>
                <w:szCs w:val="20"/>
              </w:rPr>
            </w:pPr>
            <w:r w:rsidRPr="00C80F33">
              <w:rPr>
                <w:rFonts w:asciiTheme="minorHAnsi" w:hAnsiTheme="minorHAnsi"/>
                <w:color w:val="000000" w:themeColor="text1"/>
                <w:sz w:val="20"/>
                <w:szCs w:val="20"/>
              </w:rPr>
              <w:t>Sample</w:t>
            </w:r>
          </w:p>
        </w:tc>
        <w:tc>
          <w:tcPr>
            <w:tcW w:w="1858" w:type="dxa"/>
            <w:tcBorders>
              <w:bottom w:val="single" w:sz="4" w:space="0" w:color="auto"/>
            </w:tcBorders>
          </w:tcPr>
          <w:p w14:paraId="2EAF3A7F" w14:textId="77777777" w:rsidR="00586A7C" w:rsidRPr="00C80F33" w:rsidRDefault="00586A7C" w:rsidP="009756E7">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1985:</w:t>
            </w:r>
            <w:r w:rsidR="009756E7" w:rsidRPr="00C80F33">
              <w:rPr>
                <w:rFonts w:asciiTheme="minorHAnsi" w:hAnsiTheme="minorHAnsi"/>
                <w:color w:val="000000" w:themeColor="text1"/>
                <w:sz w:val="20"/>
                <w:szCs w:val="20"/>
              </w:rPr>
              <w:t>3</w:t>
            </w:r>
            <w:r w:rsidRPr="00C80F33">
              <w:rPr>
                <w:rFonts w:asciiTheme="minorHAnsi" w:hAnsiTheme="minorHAnsi"/>
                <w:color w:val="000000" w:themeColor="text1"/>
                <w:sz w:val="20"/>
                <w:szCs w:val="20"/>
              </w:rPr>
              <w:t>-2014:1</w:t>
            </w:r>
          </w:p>
        </w:tc>
        <w:tc>
          <w:tcPr>
            <w:tcW w:w="1858" w:type="dxa"/>
            <w:tcBorders>
              <w:bottom w:val="single" w:sz="4" w:space="0" w:color="auto"/>
            </w:tcBorders>
          </w:tcPr>
          <w:p w14:paraId="1363F6D3" w14:textId="77777777" w:rsidR="00586A7C" w:rsidRPr="00C80F33" w:rsidRDefault="00586A7C" w:rsidP="009756E7">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1985:</w:t>
            </w:r>
            <w:r w:rsidR="009756E7" w:rsidRPr="00C80F33">
              <w:rPr>
                <w:rFonts w:asciiTheme="minorHAnsi" w:hAnsiTheme="minorHAnsi"/>
                <w:color w:val="000000" w:themeColor="text1"/>
                <w:sz w:val="20"/>
                <w:szCs w:val="20"/>
              </w:rPr>
              <w:t>3</w:t>
            </w:r>
            <w:r w:rsidRPr="00C80F33">
              <w:rPr>
                <w:rFonts w:asciiTheme="minorHAnsi" w:hAnsiTheme="minorHAnsi"/>
                <w:color w:val="000000" w:themeColor="text1"/>
                <w:sz w:val="20"/>
                <w:szCs w:val="20"/>
              </w:rPr>
              <w:t>-2014:1</w:t>
            </w:r>
          </w:p>
        </w:tc>
        <w:tc>
          <w:tcPr>
            <w:tcW w:w="1858" w:type="dxa"/>
            <w:tcBorders>
              <w:bottom w:val="single" w:sz="4" w:space="0" w:color="auto"/>
            </w:tcBorders>
          </w:tcPr>
          <w:p w14:paraId="7D00CA93" w14:textId="77777777" w:rsidR="00586A7C" w:rsidRPr="00C80F33" w:rsidRDefault="00586A7C" w:rsidP="009756E7">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1985:</w:t>
            </w:r>
            <w:r w:rsidR="009756E7" w:rsidRPr="00C80F33">
              <w:rPr>
                <w:rFonts w:asciiTheme="minorHAnsi" w:hAnsiTheme="minorHAnsi"/>
                <w:color w:val="000000" w:themeColor="text1"/>
                <w:sz w:val="20"/>
                <w:szCs w:val="20"/>
              </w:rPr>
              <w:t>3</w:t>
            </w:r>
            <w:r w:rsidRPr="00C80F33">
              <w:rPr>
                <w:rFonts w:asciiTheme="minorHAnsi" w:hAnsiTheme="minorHAnsi"/>
                <w:color w:val="000000" w:themeColor="text1"/>
                <w:sz w:val="20"/>
                <w:szCs w:val="20"/>
              </w:rPr>
              <w:t>-2014:1</w:t>
            </w:r>
          </w:p>
        </w:tc>
        <w:tc>
          <w:tcPr>
            <w:tcW w:w="1858" w:type="dxa"/>
            <w:tcBorders>
              <w:bottom w:val="single" w:sz="4" w:space="0" w:color="auto"/>
            </w:tcBorders>
          </w:tcPr>
          <w:p w14:paraId="22686603" w14:textId="77777777" w:rsidR="00586A7C" w:rsidRPr="00C80F33" w:rsidRDefault="00586A7C" w:rsidP="00586A7C">
            <w:pPr>
              <w:pStyle w:val="Caption1"/>
              <w:rPr>
                <w:rFonts w:asciiTheme="minorHAnsi" w:hAnsiTheme="minorHAnsi"/>
                <w:color w:val="000000" w:themeColor="text1"/>
                <w:sz w:val="20"/>
                <w:szCs w:val="20"/>
              </w:rPr>
            </w:pPr>
            <w:r w:rsidRPr="00C80F33">
              <w:rPr>
                <w:rFonts w:asciiTheme="minorHAnsi" w:hAnsiTheme="minorHAnsi"/>
                <w:color w:val="000000" w:themeColor="text1"/>
                <w:sz w:val="20"/>
                <w:szCs w:val="20"/>
              </w:rPr>
              <w:t>1985:3-2014:1</w:t>
            </w:r>
          </w:p>
        </w:tc>
      </w:tr>
    </w:tbl>
    <w:p w14:paraId="5D6E0A73" w14:textId="7AFD78D6" w:rsidR="00116BFB" w:rsidRPr="00C80F33" w:rsidRDefault="00116BFB" w:rsidP="00116BFB">
      <w:pPr>
        <w:pStyle w:val="Source"/>
        <w:rPr>
          <w:rFonts w:asciiTheme="minorHAnsi" w:hAnsiTheme="minorHAnsi"/>
        </w:rPr>
      </w:pPr>
      <w:r w:rsidRPr="00C80F33">
        <w:rPr>
          <w:rFonts w:eastAsiaTheme="minorEastAsia"/>
        </w:rPr>
        <w:t>Note:</w:t>
      </w:r>
      <w:r w:rsidRPr="00C80F33">
        <w:t xml:space="preserve"> Standard errors in parentheses. The aggregate consumption variable (that is, </w:t>
      </w:r>
      <w:proofErr w:type="spellStart"/>
      <w:r w:rsidRPr="00C80F33">
        <w:rPr>
          <w:i/>
        </w:rPr>
        <w:t>c</w:t>
      </w:r>
      <w:r w:rsidRPr="00C80F33">
        <w:rPr>
          <w:i/>
          <w:vertAlign w:val="subscript"/>
        </w:rPr>
        <w:t>t</w:t>
      </w:r>
      <w:proofErr w:type="spellEnd"/>
      <w:r w:rsidRPr="00C80F33">
        <w:t>) used in the estimation of the four imports categories is as follows: consumption imports uses non-rental consumption; capital imports uses machinery and equipment investment; intermediate imports uses an aggregate of non-rental consumption and machinery and equipment investment; and services imports uses gross national expenditure.</w:t>
      </w:r>
    </w:p>
    <w:p w14:paraId="7B61D95B" w14:textId="77777777" w:rsidR="00CD1E71" w:rsidRPr="00C80F33" w:rsidRDefault="00CD1E71" w:rsidP="00CD1E71">
      <w:pPr>
        <w:rPr>
          <w:rFonts w:asciiTheme="minorHAnsi" w:hAnsiTheme="minorHAnsi"/>
        </w:rPr>
      </w:pPr>
      <w:r w:rsidRPr="00C80F33">
        <w:rPr>
          <w:rFonts w:asciiTheme="minorHAnsi" w:hAnsiTheme="minorHAnsi"/>
        </w:rPr>
        <w:t xml:space="preserve">The rate of penetration for services has </w:t>
      </w:r>
      <w:r w:rsidR="00BD3CA2" w:rsidRPr="00C80F33">
        <w:rPr>
          <w:rFonts w:asciiTheme="minorHAnsi" w:hAnsiTheme="minorHAnsi"/>
        </w:rPr>
        <w:t xml:space="preserve">also </w:t>
      </w:r>
      <w:r w:rsidRPr="00C80F33">
        <w:rPr>
          <w:rFonts w:asciiTheme="minorHAnsi" w:hAnsiTheme="minorHAnsi"/>
        </w:rPr>
        <w:t xml:space="preserve">reversed since the GFC, with services now falling by around one per cent beyond the rate predicted by the explanatory variables in the model. How much of this is due to the GFC and how much is due to a general change in preferences is a topic of further research. The September 11 terrorist attacks, SARs virus, and GFC are </w:t>
      </w:r>
      <w:r w:rsidR="00900BF1" w:rsidRPr="00C80F33">
        <w:rPr>
          <w:rFonts w:asciiTheme="minorHAnsi" w:hAnsiTheme="minorHAnsi"/>
        </w:rPr>
        <w:t xml:space="preserve">also </w:t>
      </w:r>
      <w:r w:rsidRPr="00C80F33">
        <w:rPr>
          <w:rFonts w:asciiTheme="minorHAnsi" w:hAnsiTheme="minorHAnsi"/>
        </w:rPr>
        <w:t xml:space="preserve">estimated to have had a permanent negative </w:t>
      </w:r>
      <w:r w:rsidR="00900BF1" w:rsidRPr="00C80F33">
        <w:rPr>
          <w:rFonts w:asciiTheme="minorHAnsi" w:hAnsiTheme="minorHAnsi"/>
        </w:rPr>
        <w:t>effect</w:t>
      </w:r>
      <w:r w:rsidRPr="00C80F33">
        <w:rPr>
          <w:rFonts w:asciiTheme="minorHAnsi" w:hAnsiTheme="minorHAnsi"/>
        </w:rPr>
        <w:t xml:space="preserve"> on the level of service imports in the order of 10, 10 and 5 per cent respectively. </w:t>
      </w:r>
    </w:p>
    <w:p w14:paraId="73DC83DF" w14:textId="77777777" w:rsidR="00455B3D" w:rsidRPr="00C80F33" w:rsidRDefault="00455B3D" w:rsidP="009265CC">
      <w:pPr>
        <w:rPr>
          <w:rFonts w:asciiTheme="minorHAnsi" w:hAnsiTheme="minorHAnsi"/>
        </w:rPr>
      </w:pPr>
      <w:r w:rsidRPr="00C80F33">
        <w:rPr>
          <w:rFonts w:asciiTheme="minorHAnsi" w:hAnsiTheme="minorHAnsi"/>
        </w:rPr>
        <w:t xml:space="preserve">Adjustment to the long-run via the error correcting term is </w:t>
      </w:r>
      <w:r w:rsidR="00322207" w:rsidRPr="00C80F33">
        <w:rPr>
          <w:rFonts w:asciiTheme="minorHAnsi" w:hAnsiTheme="minorHAnsi"/>
        </w:rPr>
        <w:t xml:space="preserve">estimated to be </w:t>
      </w:r>
      <w:r w:rsidRPr="00C80F33">
        <w:rPr>
          <w:rFonts w:asciiTheme="minorHAnsi" w:hAnsiTheme="minorHAnsi"/>
        </w:rPr>
        <w:t xml:space="preserve">relatively fast for consumption goods, capital goods and services, with the coefficient on the error correcting term suggesting it takes between 3 and 4 quarters to adjust back towards the long-run level of imports </w:t>
      </w:r>
      <w:r w:rsidRPr="00C80F33">
        <w:rPr>
          <w:rFonts w:asciiTheme="minorHAnsi" w:hAnsiTheme="minorHAnsi"/>
        </w:rPr>
        <w:lastRenderedPageBreak/>
        <w:t>demand. Adjustment towards the long-run desired level of intermediate goods is relatively slow, and takes around 7 quarters.</w:t>
      </w:r>
    </w:p>
    <w:p w14:paraId="6DBBFFF7" w14:textId="77777777" w:rsidR="0099082A" w:rsidRPr="00C80F33" w:rsidRDefault="009265CC" w:rsidP="006753C6">
      <w:pPr>
        <w:rPr>
          <w:rFonts w:asciiTheme="minorHAnsi" w:hAnsiTheme="minorHAnsi"/>
        </w:rPr>
      </w:pPr>
      <w:r w:rsidRPr="00C80F33">
        <w:rPr>
          <w:rFonts w:asciiTheme="minorHAnsi" w:hAnsiTheme="minorHAnsi"/>
        </w:rPr>
        <w:t xml:space="preserve">The coefficient estimates reported in </w:t>
      </w:r>
      <w:r w:rsidR="00C1776A" w:rsidRPr="00C80F33">
        <w:rPr>
          <w:rFonts w:asciiTheme="minorHAnsi" w:hAnsiTheme="minorHAnsi"/>
        </w:rPr>
        <w:fldChar w:fldCharType="begin"/>
      </w:r>
      <w:r w:rsidR="00C1776A" w:rsidRPr="00C80F33">
        <w:rPr>
          <w:rFonts w:asciiTheme="minorHAnsi" w:hAnsiTheme="minorHAnsi"/>
        </w:rPr>
        <w:instrText xml:space="preserve"> REF _Ref399831918 \h </w:instrText>
      </w:r>
      <w:r w:rsidR="00C1776A" w:rsidRPr="00C80F33">
        <w:rPr>
          <w:rFonts w:asciiTheme="minorHAnsi" w:hAnsiTheme="minorHAnsi"/>
        </w:rPr>
      </w:r>
      <w:r w:rsidR="00C1776A" w:rsidRPr="00C80F33">
        <w:rPr>
          <w:rFonts w:asciiTheme="minorHAnsi" w:hAnsiTheme="minorHAnsi"/>
        </w:rPr>
        <w:fldChar w:fldCharType="separate"/>
      </w:r>
      <w:r w:rsidR="00025120" w:rsidRPr="00C80F33">
        <w:t xml:space="preserve">Table </w:t>
      </w:r>
      <w:r w:rsidR="00025120">
        <w:rPr>
          <w:noProof/>
        </w:rPr>
        <w:t>1</w:t>
      </w:r>
      <w:r w:rsidR="00C1776A" w:rsidRPr="00C80F33">
        <w:rPr>
          <w:rFonts w:asciiTheme="minorHAnsi" w:hAnsiTheme="minorHAnsi"/>
        </w:rPr>
        <w:fldChar w:fldCharType="end"/>
      </w:r>
      <w:r w:rsidR="00C1776A" w:rsidRPr="00C80F33">
        <w:rPr>
          <w:rFonts w:asciiTheme="minorHAnsi" w:hAnsiTheme="minorHAnsi"/>
        </w:rPr>
        <w:t xml:space="preserve"> </w:t>
      </w:r>
      <w:r w:rsidRPr="00C80F33">
        <w:rPr>
          <w:rFonts w:asciiTheme="minorHAnsi" w:hAnsiTheme="minorHAnsi"/>
        </w:rPr>
        <w:t>indicate imports of consumption goods are highly sensitive to fluctuations in the aggregate consumption variable in the short-run, with imports of services and capital and intermediate goods less sensitive</w:t>
      </w:r>
      <w:r w:rsidR="006777C5" w:rsidRPr="00C80F33">
        <w:rPr>
          <w:rFonts w:asciiTheme="minorHAnsi" w:hAnsiTheme="minorHAnsi"/>
        </w:rPr>
        <w:t xml:space="preserve">. </w:t>
      </w:r>
      <w:r w:rsidRPr="00C80F33">
        <w:rPr>
          <w:rFonts w:asciiTheme="minorHAnsi" w:hAnsiTheme="minorHAnsi"/>
        </w:rPr>
        <w:t xml:space="preserve">A </w:t>
      </w:r>
      <w:r w:rsidR="00322207" w:rsidRPr="00C80F33">
        <w:rPr>
          <w:rFonts w:asciiTheme="minorHAnsi" w:hAnsiTheme="minorHAnsi"/>
        </w:rPr>
        <w:t>one</w:t>
      </w:r>
      <w:r w:rsidRPr="00C80F33">
        <w:rPr>
          <w:rFonts w:asciiTheme="minorHAnsi" w:hAnsiTheme="minorHAnsi"/>
        </w:rPr>
        <w:t xml:space="preserve"> per cent increase in aggregate consumption leads to a 1.3 per cent increase in imports of consumption goods, and a 0.6, 0.3 and 0.9 per cent increase in imports of services and capital and in</w:t>
      </w:r>
      <w:r w:rsidR="006777C5" w:rsidRPr="00C80F33">
        <w:rPr>
          <w:rFonts w:asciiTheme="minorHAnsi" w:hAnsiTheme="minorHAnsi"/>
        </w:rPr>
        <w:t xml:space="preserve">termediate goods respectively. </w:t>
      </w:r>
      <w:r w:rsidRPr="00C80F33">
        <w:rPr>
          <w:rFonts w:asciiTheme="minorHAnsi" w:hAnsiTheme="minorHAnsi"/>
        </w:rPr>
        <w:t>The short</w:t>
      </w:r>
      <w:r w:rsidRPr="00C80F33">
        <w:rPr>
          <w:rFonts w:asciiTheme="minorHAnsi" w:hAnsiTheme="minorHAnsi"/>
        </w:rPr>
        <w:noBreakHyphen/>
        <w:t xml:space="preserve">run </w:t>
      </w:r>
      <w:r w:rsidR="00DF1AD3" w:rsidRPr="00C80F33">
        <w:rPr>
          <w:rFonts w:asciiTheme="minorHAnsi" w:hAnsiTheme="minorHAnsi"/>
        </w:rPr>
        <w:t xml:space="preserve">elasticity (or </w:t>
      </w:r>
      <w:r w:rsidRPr="00C80F33">
        <w:rPr>
          <w:rFonts w:asciiTheme="minorHAnsi" w:hAnsiTheme="minorHAnsi"/>
        </w:rPr>
        <w:t>price effect</w:t>
      </w:r>
      <w:r w:rsidR="00DF1AD3" w:rsidRPr="00C80F33">
        <w:rPr>
          <w:rFonts w:asciiTheme="minorHAnsi" w:hAnsiTheme="minorHAnsi"/>
        </w:rPr>
        <w:t>)</w:t>
      </w:r>
      <w:r w:rsidRPr="00C80F33">
        <w:rPr>
          <w:rFonts w:asciiTheme="minorHAnsi" w:hAnsiTheme="minorHAnsi"/>
        </w:rPr>
        <w:t xml:space="preserve"> is lower than the long-run elasticity for consumption goods, in</w:t>
      </w:r>
      <w:r w:rsidR="008A77F7" w:rsidRPr="00C80F33">
        <w:rPr>
          <w:rFonts w:asciiTheme="minorHAnsi" w:hAnsiTheme="minorHAnsi"/>
        </w:rPr>
        <w:t xml:space="preserve">termediate goods and services. </w:t>
      </w:r>
      <w:r w:rsidRPr="00C80F33">
        <w:rPr>
          <w:rFonts w:asciiTheme="minorHAnsi" w:hAnsiTheme="minorHAnsi"/>
        </w:rPr>
        <w:t xml:space="preserve">This suggests that these varieties of imports are less substitutable for domestic varieties </w:t>
      </w:r>
      <w:r w:rsidR="008A77F7" w:rsidRPr="00C80F33">
        <w:rPr>
          <w:rFonts w:asciiTheme="minorHAnsi" w:hAnsiTheme="minorHAnsi"/>
        </w:rPr>
        <w:t>in</w:t>
      </w:r>
      <w:r w:rsidRPr="00C80F33">
        <w:rPr>
          <w:rFonts w:asciiTheme="minorHAnsi" w:hAnsiTheme="minorHAnsi"/>
        </w:rPr>
        <w:t xml:space="preserve"> the short-run. </w:t>
      </w:r>
    </w:p>
    <w:p w14:paraId="60578D9B" w14:textId="77777777" w:rsidR="009265CC" w:rsidRPr="00C80F33" w:rsidRDefault="009265CC" w:rsidP="009265CC">
      <w:pPr>
        <w:pStyle w:val="Caption1"/>
      </w:pPr>
      <w:bookmarkStart w:id="10" w:name="_Ref399831624"/>
      <w:r w:rsidRPr="00C80F33">
        <w:t xml:space="preserve">Chart </w:t>
      </w:r>
      <w:r w:rsidR="00BB0DB8">
        <w:fldChar w:fldCharType="begin"/>
      </w:r>
      <w:r w:rsidR="00BB0DB8">
        <w:instrText xml:space="preserve"> SEQ Chart \</w:instrText>
      </w:r>
      <w:r w:rsidR="00BB0DB8">
        <w:instrText xml:space="preserve">* ARABIC </w:instrText>
      </w:r>
      <w:r w:rsidR="00BB0DB8">
        <w:fldChar w:fldCharType="separate"/>
      </w:r>
      <w:r w:rsidR="00025120">
        <w:rPr>
          <w:noProof/>
        </w:rPr>
        <w:t>6</w:t>
      </w:r>
      <w:r w:rsidR="00BB0DB8">
        <w:rPr>
          <w:noProof/>
        </w:rPr>
        <w:fldChar w:fldCharType="end"/>
      </w:r>
      <w:bookmarkEnd w:id="10"/>
      <w:r w:rsidRPr="00C80F33">
        <w:t xml:space="preserve">: Long-run residuals </w:t>
      </w:r>
      <w:r w:rsidR="00480B63" w:rsidRPr="00C80F33">
        <w:t>–</w:t>
      </w:r>
      <w:r w:rsidRPr="00C80F33">
        <w:t xml:space="preserve"> </w:t>
      </w:r>
      <w:r w:rsidR="001C015A" w:rsidRPr="00C80F33">
        <w:t>D</w:t>
      </w:r>
      <w:r w:rsidRPr="00C80F33">
        <w:t>emand</w:t>
      </w:r>
    </w:p>
    <w:p w14:paraId="19E05C49" w14:textId="77777777" w:rsidR="008A7B9C" w:rsidRPr="00C80F33" w:rsidRDefault="00F70AEE" w:rsidP="00F11672">
      <w:pPr>
        <w:pStyle w:val="ChartGraphic"/>
      </w:pPr>
      <w:r w:rsidRPr="00C80F33">
        <w:rPr>
          <w:noProof/>
        </w:rPr>
        <w:drawing>
          <wp:inline distT="0" distB="0" distL="0" distR="0" wp14:anchorId="68595259" wp14:editId="11635A68">
            <wp:extent cx="5904000" cy="4098404"/>
            <wp:effectExtent l="0" t="0" r="1905" b="0"/>
            <wp:docPr id="14" name="Picture 14" descr="The long-run residuals of the four models are plotted in Chart 6.  They are characterised by large cyclical fluctuations over the full sample, although are found to be stationary." title="Long-run residuals - De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rotWithShape="1">
                    <a:blip r:embed="rId119" cstate="print">
                      <a:extLst>
                        <a:ext uri="{28A0092B-C50C-407E-A947-70E740481C1C}">
                          <a14:useLocalDpi xmlns:a14="http://schemas.microsoft.com/office/drawing/2010/main" val="0"/>
                        </a:ext>
                      </a:extLst>
                    </a:blip>
                    <a:srcRect l="2608" t="2868" r="2608" b="2516"/>
                    <a:stretch/>
                  </pic:blipFill>
                  <pic:spPr bwMode="auto">
                    <a:xfrm>
                      <a:off x="0" y="0"/>
                      <a:ext cx="5904000" cy="4098404"/>
                    </a:xfrm>
                    <a:prstGeom prst="rect">
                      <a:avLst/>
                    </a:prstGeom>
                    <a:noFill/>
                    <a:ln>
                      <a:noFill/>
                    </a:ln>
                    <a:extLst>
                      <a:ext uri="{53640926-AAD7-44D8-BBD7-CCE9431645EC}">
                        <a14:shadowObscured xmlns:a14="http://schemas.microsoft.com/office/drawing/2010/main"/>
                      </a:ext>
                    </a:extLst>
                  </pic:spPr>
                </pic:pic>
              </a:graphicData>
            </a:graphic>
          </wp:inline>
        </w:drawing>
      </w:r>
    </w:p>
    <w:p w14:paraId="4F41225A" w14:textId="77777777" w:rsidR="009265CC" w:rsidRPr="00C80F33" w:rsidRDefault="009265CC" w:rsidP="00F11672">
      <w:pPr>
        <w:pStyle w:val="Source"/>
      </w:pPr>
      <w:r w:rsidRPr="00C80F33">
        <w:t>Source: Authors’ calculations based on ABS Cat 5302.0.</w:t>
      </w:r>
    </w:p>
    <w:p w14:paraId="10CFBBA0" w14:textId="7249E75D" w:rsidR="00CD1E71" w:rsidRPr="00C80F33" w:rsidRDefault="00CD1E71" w:rsidP="00CD1E71">
      <w:r w:rsidRPr="00C80F33">
        <w:t xml:space="preserve">The long-run residuals of the four models are plotted in </w:t>
      </w:r>
      <w:r w:rsidRPr="00C80F33">
        <w:fldChar w:fldCharType="begin"/>
      </w:r>
      <w:r w:rsidRPr="00C80F33">
        <w:instrText xml:space="preserve"> REF _Ref399831624 \h </w:instrText>
      </w:r>
      <w:r w:rsidRPr="00C80F33">
        <w:fldChar w:fldCharType="separate"/>
      </w:r>
      <w:r w:rsidR="00025120" w:rsidRPr="00C80F33">
        <w:t xml:space="preserve">Chart </w:t>
      </w:r>
      <w:r w:rsidR="00025120">
        <w:rPr>
          <w:noProof/>
        </w:rPr>
        <w:t>6</w:t>
      </w:r>
      <w:r w:rsidRPr="00C80F33">
        <w:fldChar w:fldCharType="end"/>
      </w:r>
      <w:r w:rsidRPr="00C80F33">
        <w:t>. They are characterised by large cyclical fluctuations over the full sample. Applying the Augmented Dickey-Fuller (ADF) test to the long-run residuals for each of the categories of imports yields test statistics of between -4.3 and -5.6. This leads us to reject the null of a unit root (</w:t>
      </w:r>
      <w:r w:rsidR="00C12CD2" w:rsidRPr="00C80F33">
        <w:t>that is</w:t>
      </w:r>
      <w:r w:rsidRPr="00C80F33">
        <w:t xml:space="preserve">, reject the null of no </w:t>
      </w:r>
      <w:proofErr w:type="spellStart"/>
      <w:r w:rsidRPr="00C80F33">
        <w:t>cointegration</w:t>
      </w:r>
      <w:proofErr w:type="spellEnd"/>
      <w:r w:rsidRPr="00C80F33">
        <w:t>) at conventional levels of significance.</w:t>
      </w:r>
    </w:p>
    <w:p w14:paraId="0C5DB64E" w14:textId="77777777" w:rsidR="00EB2FAF" w:rsidRPr="00C80F33" w:rsidRDefault="00EB2FAF" w:rsidP="006753C6">
      <w:pPr>
        <w:rPr>
          <w:rFonts w:asciiTheme="minorHAnsi" w:hAnsiTheme="minorHAnsi"/>
        </w:rPr>
      </w:pPr>
      <w:r w:rsidRPr="00C80F33">
        <w:rPr>
          <w:rFonts w:asciiTheme="minorHAnsi" w:hAnsiTheme="minorHAnsi"/>
        </w:rPr>
        <w:t xml:space="preserve">Finally, </w:t>
      </w:r>
      <w:r w:rsidR="009265CC" w:rsidRPr="00C80F33">
        <w:rPr>
          <w:rFonts w:asciiTheme="minorHAnsi" w:hAnsiTheme="minorHAnsi"/>
        </w:rPr>
        <w:fldChar w:fldCharType="begin"/>
      </w:r>
      <w:r w:rsidR="009265CC" w:rsidRPr="00C80F33">
        <w:rPr>
          <w:rFonts w:asciiTheme="minorHAnsi" w:hAnsiTheme="minorHAnsi"/>
        </w:rPr>
        <w:instrText xml:space="preserve"> REF _Ref399831663 \h </w:instrText>
      </w:r>
      <w:r w:rsidR="009265CC" w:rsidRPr="00C80F33">
        <w:rPr>
          <w:rFonts w:asciiTheme="minorHAnsi" w:hAnsiTheme="minorHAnsi"/>
        </w:rPr>
      </w:r>
      <w:r w:rsidR="009265CC" w:rsidRPr="00C80F33">
        <w:rPr>
          <w:rFonts w:asciiTheme="minorHAnsi" w:hAnsiTheme="minorHAnsi"/>
        </w:rPr>
        <w:fldChar w:fldCharType="separate"/>
      </w:r>
      <w:r w:rsidR="00025120" w:rsidRPr="00C80F33">
        <w:t xml:space="preserve">Chart </w:t>
      </w:r>
      <w:r w:rsidR="00025120">
        <w:rPr>
          <w:noProof/>
        </w:rPr>
        <w:t>7</w:t>
      </w:r>
      <w:r w:rsidR="009265CC" w:rsidRPr="00C80F33">
        <w:rPr>
          <w:rFonts w:asciiTheme="minorHAnsi" w:hAnsiTheme="minorHAnsi"/>
        </w:rPr>
        <w:fldChar w:fldCharType="end"/>
      </w:r>
      <w:r w:rsidR="009265CC" w:rsidRPr="00C80F33">
        <w:rPr>
          <w:rFonts w:asciiTheme="minorHAnsi" w:hAnsiTheme="minorHAnsi"/>
        </w:rPr>
        <w:t xml:space="preserve"> </w:t>
      </w:r>
      <w:r w:rsidRPr="00C80F33">
        <w:rPr>
          <w:rFonts w:asciiTheme="minorHAnsi" w:hAnsiTheme="minorHAnsi"/>
        </w:rPr>
        <w:t>highlights the volatility of the quarterly growth rates of the</w:t>
      </w:r>
      <w:r w:rsidR="008E06E0" w:rsidRPr="00C80F33">
        <w:rPr>
          <w:rFonts w:asciiTheme="minorHAnsi" w:hAnsiTheme="minorHAnsi"/>
        </w:rPr>
        <w:t xml:space="preserve"> four </w:t>
      </w:r>
      <w:r w:rsidR="00480B63" w:rsidRPr="00C80F33">
        <w:rPr>
          <w:rFonts w:asciiTheme="minorHAnsi" w:hAnsiTheme="minorHAnsi"/>
        </w:rPr>
        <w:t xml:space="preserve">imports </w:t>
      </w:r>
      <w:r w:rsidR="008E06E0" w:rsidRPr="00C80F33">
        <w:rPr>
          <w:rFonts w:asciiTheme="minorHAnsi" w:hAnsiTheme="minorHAnsi"/>
        </w:rPr>
        <w:t>categories</w:t>
      </w:r>
      <w:r w:rsidR="00480B63" w:rsidRPr="00C80F33">
        <w:rPr>
          <w:rFonts w:asciiTheme="minorHAnsi" w:hAnsiTheme="minorHAnsi"/>
        </w:rPr>
        <w:t>; t</w:t>
      </w:r>
      <w:r w:rsidRPr="00C80F33">
        <w:rPr>
          <w:rFonts w:asciiTheme="minorHAnsi" w:hAnsiTheme="minorHAnsi"/>
        </w:rPr>
        <w:t>he overall fit of the model</w:t>
      </w:r>
      <w:r w:rsidR="00480B63" w:rsidRPr="00C80F33">
        <w:rPr>
          <w:rFonts w:asciiTheme="minorHAnsi" w:hAnsiTheme="minorHAnsi"/>
        </w:rPr>
        <w:t>;</w:t>
      </w:r>
      <w:r w:rsidRPr="00C80F33">
        <w:rPr>
          <w:rFonts w:asciiTheme="minorHAnsi" w:hAnsiTheme="minorHAnsi"/>
        </w:rPr>
        <w:t xml:space="preserve"> and the extent to which the </w:t>
      </w:r>
      <w:r w:rsidR="00480B63" w:rsidRPr="00C80F33">
        <w:rPr>
          <w:rFonts w:asciiTheme="minorHAnsi" w:hAnsiTheme="minorHAnsi"/>
        </w:rPr>
        <w:t xml:space="preserve">exogenous </w:t>
      </w:r>
      <w:r w:rsidRPr="00C80F33">
        <w:rPr>
          <w:rFonts w:asciiTheme="minorHAnsi" w:hAnsiTheme="minorHAnsi"/>
        </w:rPr>
        <w:t xml:space="preserve">shift terms capture </w:t>
      </w:r>
      <w:r w:rsidR="009265CC" w:rsidRPr="00C80F33">
        <w:rPr>
          <w:rFonts w:asciiTheme="minorHAnsi" w:hAnsiTheme="minorHAnsi"/>
        </w:rPr>
        <w:t>the downturn caused by the GFC</w:t>
      </w:r>
      <w:r w:rsidR="0037491F" w:rsidRPr="00C80F33">
        <w:rPr>
          <w:rFonts w:asciiTheme="minorHAnsi" w:hAnsiTheme="minorHAnsi"/>
        </w:rPr>
        <w:t>, September 11 terrorist attacks and SARs virus.</w:t>
      </w:r>
    </w:p>
    <w:p w14:paraId="02278543" w14:textId="77777777" w:rsidR="009265CC" w:rsidRPr="00C80F33" w:rsidRDefault="009265CC" w:rsidP="009265CC">
      <w:pPr>
        <w:pStyle w:val="Caption1"/>
      </w:pPr>
      <w:bookmarkStart w:id="11" w:name="_Ref399831663"/>
      <w:r w:rsidRPr="00C80F33">
        <w:lastRenderedPageBreak/>
        <w:t xml:space="preserve">Chart </w:t>
      </w:r>
      <w:r w:rsidR="00BB0DB8">
        <w:fldChar w:fldCharType="begin"/>
      </w:r>
      <w:r w:rsidR="00BB0DB8">
        <w:instrText xml:space="preserve"> SEQ Chart \* ARABIC </w:instrText>
      </w:r>
      <w:r w:rsidR="00BB0DB8">
        <w:fldChar w:fldCharType="separate"/>
      </w:r>
      <w:r w:rsidR="00025120">
        <w:rPr>
          <w:noProof/>
        </w:rPr>
        <w:t>7</w:t>
      </w:r>
      <w:r w:rsidR="00BB0DB8">
        <w:rPr>
          <w:noProof/>
        </w:rPr>
        <w:fldChar w:fldCharType="end"/>
      </w:r>
      <w:bookmarkEnd w:id="11"/>
      <w:r w:rsidRPr="00C80F33">
        <w:t xml:space="preserve">: Short-run residuals – </w:t>
      </w:r>
      <w:r w:rsidR="001C015A" w:rsidRPr="00C80F33">
        <w:t>D</w:t>
      </w:r>
      <w:r w:rsidRPr="00C80F33">
        <w:t>emand</w:t>
      </w:r>
    </w:p>
    <w:p w14:paraId="41301449" w14:textId="77777777" w:rsidR="00A65F87" w:rsidRPr="00C80F33" w:rsidRDefault="00A65F87" w:rsidP="00F11672">
      <w:pPr>
        <w:pStyle w:val="ChartGraphic"/>
      </w:pPr>
      <w:r w:rsidRPr="00C80F33">
        <w:rPr>
          <w:noProof/>
        </w:rPr>
        <w:drawing>
          <wp:inline distT="0" distB="0" distL="0" distR="0" wp14:anchorId="6A2A990D" wp14:editId="21563879">
            <wp:extent cx="5904000" cy="4473600"/>
            <wp:effectExtent l="0" t="0" r="1905" b="3175"/>
            <wp:docPr id="16" name="Picture 16" descr="Chart 7 plots actual growth rates of the four import categories, consumption, capital, intermediate and services, and the fitted values from the models for each of these categories.  Chart 7 highlights the volatility of the quarterly growth rates of the four imports categories; the overall fit of the model; and the extent to which the exogenous shift terms capture the downturn caused by the GFC, September 11 terrorist attacks and SARs virus." title="Short-run residuals - De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120" cstate="print">
                      <a:extLst>
                        <a:ext uri="{28A0092B-C50C-407E-A947-70E740481C1C}">
                          <a14:useLocalDpi xmlns:a14="http://schemas.microsoft.com/office/drawing/2010/main" val="0"/>
                        </a:ext>
                      </a:extLst>
                    </a:blip>
                    <a:srcRect l="2916" t="2640" r="2761" b="2722"/>
                    <a:stretch/>
                  </pic:blipFill>
                  <pic:spPr bwMode="auto">
                    <a:xfrm>
                      <a:off x="0" y="0"/>
                      <a:ext cx="5904000" cy="4473600"/>
                    </a:xfrm>
                    <a:prstGeom prst="rect">
                      <a:avLst/>
                    </a:prstGeom>
                    <a:noFill/>
                    <a:ln>
                      <a:noFill/>
                    </a:ln>
                    <a:extLst>
                      <a:ext uri="{53640926-AAD7-44D8-BBD7-CCE9431645EC}">
                        <a14:shadowObscured xmlns:a14="http://schemas.microsoft.com/office/drawing/2010/main"/>
                      </a:ext>
                    </a:extLst>
                  </pic:spPr>
                </pic:pic>
              </a:graphicData>
            </a:graphic>
          </wp:inline>
        </w:drawing>
      </w:r>
    </w:p>
    <w:p w14:paraId="6C871028" w14:textId="77777777" w:rsidR="009265CC" w:rsidRPr="00C80F33" w:rsidRDefault="009265CC" w:rsidP="00F11672">
      <w:pPr>
        <w:pStyle w:val="Source"/>
      </w:pPr>
      <w:r w:rsidRPr="00C80F33">
        <w:t>Source: Authors’ calculations based on ABS Cat 5302.0.</w:t>
      </w:r>
    </w:p>
    <w:p w14:paraId="1483C4FF" w14:textId="77777777" w:rsidR="006753C6" w:rsidRPr="00C80F33" w:rsidRDefault="006753C6" w:rsidP="006753C6">
      <w:pPr>
        <w:pStyle w:val="Heading3"/>
        <w:rPr>
          <w:lang w:val="en-AU"/>
        </w:rPr>
      </w:pPr>
      <w:r w:rsidRPr="00C80F33">
        <w:rPr>
          <w:lang w:val="en-AU"/>
        </w:rPr>
        <w:t xml:space="preserve">Econometric method: </w:t>
      </w:r>
      <w:r w:rsidR="001C015A" w:rsidRPr="00C80F33">
        <w:rPr>
          <w:lang w:val="en-AU"/>
        </w:rPr>
        <w:t>s</w:t>
      </w:r>
      <w:r w:rsidRPr="00C80F33">
        <w:rPr>
          <w:lang w:val="en-AU"/>
        </w:rPr>
        <w:t>upply</w:t>
      </w:r>
    </w:p>
    <w:p w14:paraId="1E2924DC" w14:textId="77777777" w:rsidR="006753C6" w:rsidRPr="00C80F33" w:rsidRDefault="00AD521A" w:rsidP="006753C6">
      <w:r w:rsidRPr="00C80F33">
        <w:t xml:space="preserve">Following the approach for demand, </w:t>
      </w:r>
      <w:r w:rsidR="006753C6" w:rsidRPr="00C80F33">
        <w:t xml:space="preserve">the supply of imports </w:t>
      </w:r>
      <w:r w:rsidRPr="00C80F33">
        <w:t xml:space="preserve">is estimated </w:t>
      </w:r>
      <w:r w:rsidR="006753C6" w:rsidRPr="00C80F33">
        <w:t xml:space="preserve">using an error-correction model </w:t>
      </w:r>
      <w:r w:rsidR="00583783" w:rsidRPr="00C80F33">
        <w:t>which allows for</w:t>
      </w:r>
      <w:r w:rsidR="006753C6" w:rsidRPr="00C80F33">
        <w:t xml:space="preserve"> the </w:t>
      </w:r>
      <w:r w:rsidR="00342010" w:rsidRPr="00C80F33">
        <w:t>short</w:t>
      </w:r>
      <w:r w:rsidR="00677F70" w:rsidRPr="00C80F33">
        <w:t>-</w:t>
      </w:r>
      <w:r w:rsidR="00C5340B" w:rsidRPr="00C80F33">
        <w:t xml:space="preserve"> </w:t>
      </w:r>
      <w:r w:rsidR="006753C6" w:rsidRPr="00C80F33">
        <w:t xml:space="preserve">and </w:t>
      </w:r>
      <w:r w:rsidR="00342010" w:rsidRPr="00C80F33">
        <w:t>long</w:t>
      </w:r>
      <w:r w:rsidR="00677F70" w:rsidRPr="00C80F33">
        <w:t>-</w:t>
      </w:r>
      <w:r w:rsidR="006753C6" w:rsidRPr="00C80F33">
        <w:t xml:space="preserve">run </w:t>
      </w:r>
      <w:r w:rsidR="00583783" w:rsidRPr="00C80F33">
        <w:t>to be</w:t>
      </w:r>
      <w:r w:rsidR="006753C6" w:rsidRPr="00C80F33">
        <w:t xml:space="preserve"> </w:t>
      </w:r>
      <w:r w:rsidR="008A35D5" w:rsidRPr="00C80F33">
        <w:t xml:space="preserve">jointly </w:t>
      </w:r>
      <w:r w:rsidR="006753C6" w:rsidRPr="00C80F33">
        <w:t>estimated. Short-run dynamics are estimated via a general error-correcting model, which includes contemporaneous and lagged first differences of log trade-weighted foreign prices</w:t>
      </w:r>
      <w:r w:rsidR="00211B3B" w:rsidRPr="00C80F33">
        <w:t xml:space="preserve"> (which is a weighted average of </w:t>
      </w:r>
      <w:r w:rsidR="00772B0D" w:rsidRPr="00C80F33">
        <w:t>log foreign consumption and log oil prices)</w:t>
      </w:r>
      <w:r w:rsidR="006753C6" w:rsidRPr="00C80F33">
        <w:t xml:space="preserve"> and the log nominal trade-weighted exchange rate, lagged first differences of log imports prices, and the error correcting term is consistent with the long-run imports price assumption </w:t>
      </w:r>
      <w:r w:rsidRPr="00C80F33">
        <w:t>described by equation (</w:t>
      </w:r>
      <w:r w:rsidR="006753C6" w:rsidRPr="00C80F33">
        <w:t>28</w:t>
      </w:r>
      <w:r w:rsidR="00B44147" w:rsidRPr="00C80F33">
        <w:t xml:space="preserve">). </w:t>
      </w:r>
      <w:r w:rsidR="006753C6" w:rsidRPr="00C80F33">
        <w:t>The resulting general error correcting model is:</w:t>
      </w:r>
    </w:p>
    <w:p w14:paraId="2B77C492" w14:textId="77777777" w:rsidR="006753C6" w:rsidRPr="00C80F33" w:rsidRDefault="006C3CE5" w:rsidP="0092073E">
      <w:pPr>
        <w:pStyle w:val="MTDisplayEquation"/>
      </w:pPr>
      <w:r w:rsidRPr="00C80F33">
        <w:object w:dxaOrig="8240" w:dyaOrig="2400" w14:anchorId="1B05D6E3">
          <v:shape id="_x0000_i1072" type="#_x0000_t75" alt="The log difference of the price of imports is equal to the speed of adjustment multiplied by the long-run desired level in the previous period plus the sum of log differences of the price of foreign consumption, the exchange rate, the price of oil and the price of imports, all lagged by various periods and multiplied by their respective coefficients. The sum of the various intercept and slope shifting dummies, with their coefficients restricted to be the same as those in the long-run model are also added to the right-hand side of the equation.  The long-run desired level of imports is the log of the price of consumption imports minus the log of total consumption minus a weighted averages of the logs of the foreign price of oil and consumption plus the log of the nominal exchange rate minus various dummy variables and deterministic trends included to shift the level and slope of the demand function." style="width:412.05pt;height:119.05pt" o:ole="">
            <v:imagedata r:id="rId121" o:title=""/>
          </v:shape>
          <o:OLEObject Type="Embed" ProgID="Equation.DSMT4" ShapeID="_x0000_i1072" DrawAspect="Content" ObjectID="_1495870642" r:id="rId122"/>
        </w:object>
      </w:r>
      <w:r w:rsidR="006753C6" w:rsidRPr="00C80F33">
        <w:tab/>
      </w:r>
      <w:r w:rsidR="006753C6" w:rsidRPr="00C80F33">
        <w:fldChar w:fldCharType="begin"/>
      </w:r>
      <w:r w:rsidR="006753C6" w:rsidRPr="00C80F33">
        <w:instrText xml:space="preserve"> MACROBUTTON MTPlaceRef \* MERGEFORMAT </w:instrText>
      </w:r>
      <w:r w:rsidR="006753C6" w:rsidRPr="00C80F33">
        <w:fldChar w:fldCharType="begin"/>
      </w:r>
      <w:r w:rsidR="006753C6" w:rsidRPr="00C80F33">
        <w:instrText xml:space="preserve"> SEQ MTEqn \h \* MERGEFORMAT </w:instrText>
      </w:r>
      <w:r w:rsidR="006753C6" w:rsidRPr="00C80F33">
        <w:fldChar w:fldCharType="end"/>
      </w:r>
      <w:r w:rsidR="006753C6" w:rsidRPr="00C80F33">
        <w:instrText>(</w:instrText>
      </w:r>
      <w:r w:rsidR="00BB0DB8">
        <w:fldChar w:fldCharType="begin"/>
      </w:r>
      <w:r w:rsidR="00BB0DB8">
        <w:instrText xml:space="preserve"> SEQ MTEqn \c \* Arabic \* MERGEFORMAT </w:instrText>
      </w:r>
      <w:r w:rsidR="00BB0DB8">
        <w:fldChar w:fldCharType="separate"/>
      </w:r>
      <w:r w:rsidR="00025120">
        <w:rPr>
          <w:noProof/>
        </w:rPr>
        <w:instrText>30</w:instrText>
      </w:r>
      <w:r w:rsidR="00BB0DB8">
        <w:rPr>
          <w:noProof/>
        </w:rPr>
        <w:fldChar w:fldCharType="end"/>
      </w:r>
      <w:r w:rsidR="006753C6" w:rsidRPr="00C80F33">
        <w:instrText>)</w:instrText>
      </w:r>
      <w:r w:rsidR="006753C6" w:rsidRPr="00C80F33">
        <w:fldChar w:fldCharType="end"/>
      </w:r>
    </w:p>
    <w:p w14:paraId="2CBCD4CE" w14:textId="77777777" w:rsidR="002671A1" w:rsidRPr="00C80F33" w:rsidRDefault="00211B3B" w:rsidP="007A78F9">
      <w:r w:rsidRPr="00C80F33">
        <w:lastRenderedPageBreak/>
        <w:t>where:</w:t>
      </w:r>
      <w:r w:rsidR="00772B0D" w:rsidRPr="00C80F33">
        <w:t xml:space="preserve"> </w:t>
      </w:r>
      <w:proofErr w:type="spellStart"/>
      <w:r w:rsidR="00772B0D" w:rsidRPr="00C80F33">
        <w:rPr>
          <w:rFonts w:ascii="Times New Roman" w:hAnsi="Times New Roman" w:cs="Times New Roman"/>
          <w:i/>
        </w:rPr>
        <w:t>poil</w:t>
      </w:r>
      <w:proofErr w:type="spellEnd"/>
      <w:r w:rsidR="00772B0D" w:rsidRPr="00C80F33">
        <w:rPr>
          <w:rFonts w:ascii="Times New Roman" w:hAnsi="Times New Roman" w:cs="Times New Roman"/>
          <w:i/>
        </w:rPr>
        <w:t>*</w:t>
      </w:r>
      <w:r w:rsidR="00772B0D" w:rsidRPr="00C80F33">
        <w:t xml:space="preserve"> is the foreign dollar oil price;</w:t>
      </w:r>
      <w:r w:rsidRPr="00C80F33">
        <w:t xml:space="preserve"> </w:t>
      </w:r>
      <w:r w:rsidR="002671A1" w:rsidRPr="00C80F33">
        <w:rPr>
          <w:rFonts w:ascii="Symbol" w:hAnsi="Symbol"/>
        </w:rPr>
        <w:t></w:t>
      </w:r>
      <w:r w:rsidR="002671A1" w:rsidRPr="00C80F33">
        <w:t xml:space="preserve"> </w:t>
      </w:r>
      <w:r w:rsidR="007A78F9" w:rsidRPr="00C80F33">
        <w:t xml:space="preserve">is a constant; </w:t>
      </w:r>
      <w:r w:rsidR="002671A1" w:rsidRPr="00C80F33">
        <w:rPr>
          <w:rFonts w:ascii="Symbol" w:hAnsi="Symbol"/>
        </w:rPr>
        <w:t></w:t>
      </w:r>
      <w:r w:rsidR="002671A1" w:rsidRPr="00C80F33">
        <w:t xml:space="preserve"> </w:t>
      </w:r>
      <w:r w:rsidR="007A78F9" w:rsidRPr="00C80F33">
        <w:t>is the coefficient on a linear time trend;</w:t>
      </w:r>
      <w:r w:rsidR="002671A1" w:rsidRPr="00C80F33">
        <w:rPr>
          <w:rFonts w:ascii="Symbol" w:hAnsi="Symbol"/>
        </w:rPr>
        <w:t></w:t>
      </w:r>
      <w:r w:rsidR="002671A1" w:rsidRPr="00C80F33">
        <w:rPr>
          <w:rFonts w:ascii="Symbol" w:hAnsi="Symbol"/>
        </w:rPr>
        <w:t></w:t>
      </w:r>
      <w:proofErr w:type="spellStart"/>
      <w:r w:rsidR="002671A1" w:rsidRPr="00C80F33">
        <w:rPr>
          <w:rFonts w:ascii="Times New Roman" w:hAnsi="Times New Roman" w:cs="Times New Roman"/>
          <w:i/>
          <w:vertAlign w:val="subscript"/>
        </w:rPr>
        <w:t>i</w:t>
      </w:r>
      <w:proofErr w:type="spellEnd"/>
      <w:r w:rsidR="002671A1" w:rsidRPr="00C80F33">
        <w:t xml:space="preserve"> </w:t>
      </w:r>
      <w:r w:rsidR="007A78F9" w:rsidRPr="00C80F33">
        <w:t xml:space="preserve">captures permanent level shifts; </w:t>
      </w:r>
      <w:r w:rsidR="002671A1" w:rsidRPr="00C80F33">
        <w:rPr>
          <w:rFonts w:ascii="Symbol" w:hAnsi="Symbol" w:cs="Times New Roman"/>
        </w:rPr>
        <w:t></w:t>
      </w:r>
      <w:proofErr w:type="spellStart"/>
      <w:r w:rsidR="003733A6" w:rsidRPr="00C80F33">
        <w:rPr>
          <w:rFonts w:ascii="Times New Roman" w:hAnsi="Times New Roman" w:cs="Times New Roman"/>
          <w:i/>
          <w:vertAlign w:val="subscript"/>
        </w:rPr>
        <w:t>i</w:t>
      </w:r>
      <w:proofErr w:type="spellEnd"/>
      <w:r w:rsidR="002671A1" w:rsidRPr="00C80F33">
        <w:rPr>
          <w:rFonts w:ascii="Times New Roman" w:hAnsi="Times New Roman" w:cs="Times New Roman"/>
          <w:i/>
          <w:vertAlign w:val="subscript"/>
        </w:rPr>
        <w:t xml:space="preserve"> </w:t>
      </w:r>
      <w:r w:rsidR="007A78F9" w:rsidRPr="00C80F33">
        <w:t xml:space="preserve">captures permanent slope shifts; </w:t>
      </w:r>
      <w:r w:rsidR="002671A1" w:rsidRPr="00C80F33">
        <w:rPr>
          <w:rFonts w:ascii="Times New Roman" w:hAnsi="Times New Roman" w:cs="Times New Roman"/>
          <w:i/>
        </w:rPr>
        <w:t>D</w:t>
      </w:r>
      <w:r w:rsidR="002671A1" w:rsidRPr="00C80F33">
        <w:rPr>
          <w:rFonts w:ascii="Times New Roman" w:hAnsi="Times New Roman" w:cs="Times New Roman"/>
          <w:i/>
          <w:vertAlign w:val="subscript"/>
        </w:rPr>
        <w:t>i</w:t>
      </w:r>
      <w:r w:rsidR="002671A1" w:rsidRPr="00C80F33">
        <w:rPr>
          <w:vertAlign w:val="subscript"/>
        </w:rPr>
        <w:t xml:space="preserve"> </w:t>
      </w:r>
      <w:r w:rsidR="007A78F9" w:rsidRPr="00C80F33">
        <w:t xml:space="preserve">denotes a dummy variable that is 0 for time periods less than </w:t>
      </w:r>
      <w:proofErr w:type="spellStart"/>
      <w:r w:rsidR="007A78F9" w:rsidRPr="00C80F33">
        <w:rPr>
          <w:rFonts w:ascii="Times New Roman" w:hAnsi="Times New Roman" w:cs="Times New Roman"/>
          <w:i/>
        </w:rPr>
        <w:t>i</w:t>
      </w:r>
      <w:proofErr w:type="spellEnd"/>
      <w:r w:rsidR="007A78F9" w:rsidRPr="00C80F33">
        <w:t xml:space="preserve"> and </w:t>
      </w:r>
      <w:r w:rsidR="008A502B" w:rsidRPr="00C80F33">
        <w:t>one</w:t>
      </w:r>
      <w:r w:rsidR="007A78F9" w:rsidRPr="00C80F33">
        <w:t xml:space="preserve"> otherwise; </w:t>
      </w:r>
      <w:r w:rsidR="007A78F9" w:rsidRPr="00C80F33">
        <w:rPr>
          <w:rFonts w:ascii="Times New Roman" w:hAnsi="Times New Roman" w:cs="Times New Roman"/>
          <w:i/>
        </w:rPr>
        <w:t xml:space="preserve">t </w:t>
      </w:r>
      <w:r w:rsidR="007A78F9" w:rsidRPr="00C80F33">
        <w:t xml:space="preserve">is a linear time trend; and </w:t>
      </w:r>
      <w:proofErr w:type="spellStart"/>
      <w:r w:rsidR="007A78F9" w:rsidRPr="00C80F33">
        <w:rPr>
          <w:rFonts w:ascii="Times New Roman" w:hAnsi="Times New Roman" w:cs="Times New Roman"/>
          <w:i/>
        </w:rPr>
        <w:t>t</w:t>
      </w:r>
      <w:r w:rsidR="007A78F9" w:rsidRPr="00C80F33">
        <w:rPr>
          <w:rFonts w:ascii="Times New Roman" w:hAnsi="Times New Roman" w:cs="Times New Roman"/>
          <w:i/>
          <w:vertAlign w:val="subscript"/>
        </w:rPr>
        <w:t>i</w:t>
      </w:r>
      <w:proofErr w:type="spellEnd"/>
      <w:r w:rsidR="007A78F9" w:rsidRPr="00C80F33">
        <w:rPr>
          <w:rFonts w:ascii="Times New Roman" w:hAnsi="Times New Roman" w:cs="Times New Roman"/>
          <w:i/>
        </w:rPr>
        <w:t xml:space="preserve"> </w:t>
      </w:r>
      <w:r w:rsidR="007A78F9" w:rsidRPr="00C80F33">
        <w:t xml:space="preserve">is the value of the linear time trend at time </w:t>
      </w:r>
      <w:proofErr w:type="spellStart"/>
      <w:r w:rsidR="007A78F9" w:rsidRPr="00C80F33">
        <w:rPr>
          <w:rFonts w:ascii="Times New Roman" w:hAnsi="Times New Roman" w:cs="Times New Roman"/>
          <w:i/>
        </w:rPr>
        <w:t>i</w:t>
      </w:r>
      <w:proofErr w:type="spellEnd"/>
      <w:r w:rsidR="007A78F9" w:rsidRPr="00C80F33">
        <w:t xml:space="preserve">; the speed at which actual imports approaches its long-run level is determined by </w:t>
      </w:r>
      <w:r w:rsidR="002671A1" w:rsidRPr="00C80F33">
        <w:t xml:space="preserve">-1 &lt; </w:t>
      </w:r>
      <w:r w:rsidR="002671A1" w:rsidRPr="00C80F33">
        <w:rPr>
          <w:rFonts w:ascii="Symbol" w:hAnsi="Symbol"/>
        </w:rPr>
        <w:t></w:t>
      </w:r>
      <w:r w:rsidR="002671A1" w:rsidRPr="00C80F33">
        <w:rPr>
          <w:rFonts w:ascii="Symbol" w:hAnsi="Symbol"/>
        </w:rPr>
        <w:t></w:t>
      </w:r>
      <w:r w:rsidR="002671A1" w:rsidRPr="00C80F33">
        <w:t>&lt; 0</w:t>
      </w:r>
      <w:r w:rsidR="007A78F9" w:rsidRPr="00C80F33">
        <w:t xml:space="preserve">; </w:t>
      </w:r>
      <w:r w:rsidR="002671A1" w:rsidRPr="00C80F33">
        <w:rPr>
          <w:rFonts w:ascii="Symbol" w:hAnsi="Symbol"/>
        </w:rPr>
        <w:t></w:t>
      </w:r>
      <w:r w:rsidR="002671A1" w:rsidRPr="00C80F33">
        <w:rPr>
          <w:rFonts w:ascii="Times New Roman" w:hAnsi="Times New Roman" w:cs="Times New Roman"/>
          <w:i/>
          <w:vertAlign w:val="subscript"/>
        </w:rPr>
        <w:t>l</w:t>
      </w:r>
      <w:r w:rsidR="002671A1" w:rsidRPr="00C80F33">
        <w:t xml:space="preserve"> </w:t>
      </w:r>
      <w:r w:rsidR="007A78F9" w:rsidRPr="00C80F33">
        <w:t xml:space="preserve">captures short-run outliers; </w:t>
      </w:r>
      <w:r w:rsidR="002671A1" w:rsidRPr="00C80F33">
        <w:rPr>
          <w:rFonts w:ascii="Times New Roman" w:hAnsi="Times New Roman" w:cs="Times New Roman"/>
          <w:i/>
        </w:rPr>
        <w:t>D</w:t>
      </w:r>
      <w:r w:rsidR="002671A1" w:rsidRPr="00C80F33">
        <w:rPr>
          <w:rFonts w:ascii="Times New Roman" w:hAnsi="Times New Roman" w:cs="Times New Roman"/>
          <w:i/>
          <w:vertAlign w:val="subscript"/>
        </w:rPr>
        <w:t xml:space="preserve">l </w:t>
      </w:r>
      <w:r w:rsidR="007A78F9" w:rsidRPr="00C80F33">
        <w:t xml:space="preserve">denotes a dummy variable that is </w:t>
      </w:r>
      <w:r w:rsidR="008A502B" w:rsidRPr="00C80F33">
        <w:t>one</w:t>
      </w:r>
      <w:r w:rsidR="007A78F9" w:rsidRPr="00C80F33">
        <w:t xml:space="preserve"> at time </w:t>
      </w:r>
      <w:r w:rsidR="0055598D" w:rsidRPr="00C80F33">
        <w:rPr>
          <w:rFonts w:ascii="Times New Roman" w:hAnsi="Times New Roman" w:cs="Times New Roman"/>
          <w:i/>
        </w:rPr>
        <w:t>l</w:t>
      </w:r>
      <w:r w:rsidR="0055598D" w:rsidRPr="00C80F33">
        <w:t xml:space="preserve"> </w:t>
      </w:r>
      <w:r w:rsidR="007A78F9" w:rsidRPr="00C80F33">
        <w:t xml:space="preserve">and </w:t>
      </w:r>
      <w:r w:rsidR="0055598D" w:rsidRPr="00C80F33">
        <w:t>0</w:t>
      </w:r>
      <w:r w:rsidR="007A78F9" w:rsidRPr="00C80F33">
        <w:t xml:space="preserve"> otherwise; and </w:t>
      </w:r>
      <w:r w:rsidR="002671A1" w:rsidRPr="00C80F33">
        <w:rPr>
          <w:rFonts w:ascii="Symbol" w:hAnsi="Symbol"/>
        </w:rPr>
        <w:t></w:t>
      </w:r>
      <w:r w:rsidR="002671A1" w:rsidRPr="00C80F33">
        <w:rPr>
          <w:rFonts w:ascii="Times New Roman" w:hAnsi="Times New Roman" w:cs="Times New Roman"/>
          <w:i/>
          <w:vertAlign w:val="subscript"/>
        </w:rPr>
        <w:t>t</w:t>
      </w:r>
      <w:r w:rsidR="002671A1" w:rsidRPr="00C80F33">
        <w:t xml:space="preserve"> </w:t>
      </w:r>
      <w:r w:rsidR="007A78F9" w:rsidRPr="00C80F33">
        <w:t>is an error term, which assumed to be distributed with a mean of zero and constant variance.</w:t>
      </w:r>
    </w:p>
    <w:p w14:paraId="633CAC6A" w14:textId="77777777" w:rsidR="00FC56B3" w:rsidRPr="00C80F33" w:rsidRDefault="00FC56B3" w:rsidP="00FC56B3">
      <w:pPr>
        <w:pStyle w:val="Heading3"/>
        <w:rPr>
          <w:lang w:val="en-AU"/>
        </w:rPr>
      </w:pPr>
      <w:r w:rsidRPr="00C80F33">
        <w:rPr>
          <w:lang w:val="en-AU"/>
        </w:rPr>
        <w:t xml:space="preserve">Estimation results: supply </w:t>
      </w:r>
    </w:p>
    <w:p w14:paraId="29AF4696" w14:textId="77777777" w:rsidR="00C73D16" w:rsidRPr="00C80F33" w:rsidRDefault="00FC56B3" w:rsidP="00C73D16">
      <w:r w:rsidRPr="00C80F33">
        <w:fldChar w:fldCharType="begin"/>
      </w:r>
      <w:r w:rsidRPr="00C80F33">
        <w:instrText xml:space="preserve"> REF _Ref399831937 \h </w:instrText>
      </w:r>
      <w:r w:rsidRPr="00C80F33">
        <w:fldChar w:fldCharType="separate"/>
      </w:r>
      <w:r w:rsidR="00025120" w:rsidRPr="00C80F33">
        <w:t xml:space="preserve">Table </w:t>
      </w:r>
      <w:r w:rsidR="00025120">
        <w:rPr>
          <w:noProof/>
        </w:rPr>
        <w:t>2</w:t>
      </w:r>
      <w:r w:rsidRPr="00C80F33">
        <w:fldChar w:fldCharType="end"/>
      </w:r>
      <w:r w:rsidRPr="00C80F33">
        <w:t xml:space="preserve"> </w:t>
      </w:r>
      <w:r w:rsidR="00C73D16" w:rsidRPr="00C80F33">
        <w:t>reports the estimation res</w:t>
      </w:r>
      <w:r w:rsidR="004E34B2" w:rsidRPr="00C80F33">
        <w:t xml:space="preserve">ults for the </w:t>
      </w:r>
      <w:r w:rsidR="00E043F9" w:rsidRPr="00C80F33">
        <w:t xml:space="preserve">imports </w:t>
      </w:r>
      <w:r w:rsidR="004E34B2" w:rsidRPr="00C80F33">
        <w:t xml:space="preserve">supply </w:t>
      </w:r>
      <w:r w:rsidR="00E043F9" w:rsidRPr="00C80F33">
        <w:t>(</w:t>
      </w:r>
      <w:r w:rsidR="009F6A1B" w:rsidRPr="00C80F33">
        <w:t xml:space="preserve">or </w:t>
      </w:r>
      <w:r w:rsidR="00BC046E" w:rsidRPr="00C80F33">
        <w:t xml:space="preserve">import </w:t>
      </w:r>
      <w:r w:rsidR="00E043F9" w:rsidRPr="00C80F33">
        <w:t xml:space="preserve">price) </w:t>
      </w:r>
      <w:r w:rsidR="004E34B2" w:rsidRPr="00C80F33">
        <w:t xml:space="preserve">equations. </w:t>
      </w:r>
      <w:r w:rsidR="00C73D16" w:rsidRPr="00C80F33">
        <w:t>The measure of foreign prices used in estimation is a trade weighted index of foreign consumer prices, which includes the prices of both durable</w:t>
      </w:r>
      <w:r w:rsidR="008840D8" w:rsidRPr="00C80F33">
        <w:t xml:space="preserve"> and non-durable goods. G</w:t>
      </w:r>
      <w:r w:rsidR="00C73D16" w:rsidRPr="00C80F33">
        <w:t xml:space="preserve">oods imports </w:t>
      </w:r>
      <w:r w:rsidR="008840D8" w:rsidRPr="00C80F33">
        <w:t>are largely durable goods so a</w:t>
      </w:r>
      <w:r w:rsidR="00C73D16" w:rsidRPr="00C80F33">
        <w:t xml:space="preserve">fter controlling for movements in foreign prices and exchange rate, it is necessary to introduce a linear time trend over the full sample to account for </w:t>
      </w:r>
      <w:r w:rsidR="008840D8" w:rsidRPr="00C80F33">
        <w:t>faster pace of</w:t>
      </w:r>
      <w:r w:rsidR="00C73D16" w:rsidRPr="00C80F33">
        <w:t xml:space="preserve"> technological for </w:t>
      </w:r>
      <w:r w:rsidR="008840D8" w:rsidRPr="00C80F33">
        <w:t xml:space="preserve">durable goods, which is reflected by </w:t>
      </w:r>
      <w:r w:rsidR="00A3744E" w:rsidRPr="00C80F33">
        <w:t>steady</w:t>
      </w:r>
      <w:r w:rsidR="008840D8" w:rsidRPr="00C80F33">
        <w:t xml:space="preserve"> fall in the ratio of the price</w:t>
      </w:r>
      <w:r w:rsidR="00A3744E" w:rsidRPr="00C80F33">
        <w:t>s</w:t>
      </w:r>
      <w:r w:rsidR="008840D8" w:rsidRPr="00C80F33">
        <w:t xml:space="preserve"> of durable to non-durable goods</w:t>
      </w:r>
      <w:r w:rsidR="00C73D16" w:rsidRPr="00C80F33">
        <w:t xml:space="preserve">. </w:t>
      </w:r>
    </w:p>
    <w:p w14:paraId="4433A76F" w14:textId="77777777" w:rsidR="00C73D16" w:rsidRPr="00C80F33" w:rsidRDefault="00C73D16" w:rsidP="00C73D16">
      <w:r w:rsidRPr="00C80F33">
        <w:t>The coefficient on the deterministic trend for consumption goods is estimated to be around -0.</w:t>
      </w:r>
      <w:r w:rsidR="001C7631" w:rsidRPr="00C80F33">
        <w:t xml:space="preserve">0036. </w:t>
      </w:r>
      <w:r w:rsidRPr="00C80F33">
        <w:t>This implies that the price of imported consumption goods has fallen relative to foreign consumption prices by around 1.4 per cent each year</w:t>
      </w:r>
      <w:r w:rsidR="00E21FCB" w:rsidRPr="00C80F33">
        <w:t xml:space="preserve"> due to technological change</w:t>
      </w:r>
      <w:r w:rsidRPr="00C80F33">
        <w:t>. The effect of technological change on the prices of imported capital goods is much larger, with an estimated coefficient of -</w:t>
      </w:r>
      <w:r w:rsidR="001C7631" w:rsidRPr="00C80F33">
        <w:t>0.0179</w:t>
      </w:r>
      <w:r w:rsidRPr="00C80F33">
        <w:t>, equating to fall of around 7.2 per cent</w:t>
      </w:r>
      <w:r w:rsidR="00E043F9" w:rsidRPr="00C80F33">
        <w:t> </w:t>
      </w:r>
      <w:r w:rsidRPr="00C80F33">
        <w:t>per</w:t>
      </w:r>
      <w:r w:rsidR="00E043F9" w:rsidRPr="00C80F33">
        <w:t> </w:t>
      </w:r>
      <w:r w:rsidR="00123CC3" w:rsidRPr="00C80F33">
        <w:t xml:space="preserve">year. </w:t>
      </w:r>
      <w:r w:rsidRPr="00C80F33">
        <w:t xml:space="preserve">The estimated equation suggests that this effect </w:t>
      </w:r>
      <w:r w:rsidR="00123CC3" w:rsidRPr="00C80F33">
        <w:t xml:space="preserve">has </w:t>
      </w:r>
      <w:r w:rsidRPr="00C80F33">
        <w:t xml:space="preserve">moderated </w:t>
      </w:r>
      <w:r w:rsidR="00123CC3" w:rsidRPr="00C80F33">
        <w:t xml:space="preserve">post-GFC </w:t>
      </w:r>
      <w:r w:rsidRPr="00C80F33">
        <w:t>to roughly a 2.7</w:t>
      </w:r>
      <w:r w:rsidR="00E043F9" w:rsidRPr="00C80F33">
        <w:t> </w:t>
      </w:r>
      <w:r w:rsidRPr="00C80F33">
        <w:t>per</w:t>
      </w:r>
      <w:r w:rsidR="00E043F9" w:rsidRPr="00C80F33">
        <w:t> </w:t>
      </w:r>
      <w:r w:rsidRPr="00C80F33">
        <w:t>cent</w:t>
      </w:r>
      <w:r w:rsidR="00E043F9" w:rsidRPr="00C80F33">
        <w:t> </w:t>
      </w:r>
      <w:r w:rsidR="001C7631" w:rsidRPr="00C80F33">
        <w:t>per</w:t>
      </w:r>
      <w:r w:rsidR="00E043F9" w:rsidRPr="00C80F33">
        <w:t> </w:t>
      </w:r>
      <w:r w:rsidR="001C7631" w:rsidRPr="00C80F33">
        <w:t xml:space="preserve">year </w:t>
      </w:r>
      <w:r w:rsidR="00123CC3" w:rsidRPr="00C80F33">
        <w:t>fall in capital goods prices.</w:t>
      </w:r>
    </w:p>
    <w:p w14:paraId="0CAB16FB" w14:textId="77777777" w:rsidR="00C73D16" w:rsidRPr="00C80F33" w:rsidRDefault="00C73D16" w:rsidP="00C73D16">
      <w:r w:rsidRPr="00C80F33">
        <w:t>Intermediate goods include imported petroleum products, so the foreign price term is augmented by the foreign price of oil. The estimated weight on oil prices is roughly 0.1</w:t>
      </w:r>
      <w:r w:rsidR="00E043F9" w:rsidRPr="00C80F33">
        <w:t>8</w:t>
      </w:r>
      <w:r w:rsidRPr="00C80F33">
        <w:t>, which is roughly equal to the average share of fuel and lubricants in intermediate goods imports over the sample period.</w:t>
      </w:r>
    </w:p>
    <w:p w14:paraId="1A9D63DE" w14:textId="77777777" w:rsidR="00C73D16" w:rsidRPr="00C80F33" w:rsidRDefault="00C73D16" w:rsidP="00C623A1">
      <w:r w:rsidRPr="00C80F33">
        <w:t xml:space="preserve">The coefficient estimates reported in </w:t>
      </w:r>
      <w:r w:rsidR="00A541F8" w:rsidRPr="00C80F33">
        <w:fldChar w:fldCharType="begin"/>
      </w:r>
      <w:r w:rsidR="00A541F8" w:rsidRPr="00C80F33">
        <w:instrText xml:space="preserve"> REF _Ref405209424 \h </w:instrText>
      </w:r>
      <w:r w:rsidR="00A541F8" w:rsidRPr="00C80F33">
        <w:fldChar w:fldCharType="separate"/>
      </w:r>
      <w:r w:rsidR="00025120" w:rsidRPr="00C80F33">
        <w:t xml:space="preserve">Table </w:t>
      </w:r>
      <w:r w:rsidR="00025120">
        <w:rPr>
          <w:noProof/>
        </w:rPr>
        <w:t>2</w:t>
      </w:r>
      <w:r w:rsidR="00A541F8" w:rsidRPr="00C80F33">
        <w:fldChar w:fldCharType="end"/>
      </w:r>
      <w:r w:rsidRPr="00C80F33">
        <w:t xml:space="preserve"> indicate that the </w:t>
      </w:r>
      <w:r w:rsidR="00E043F9" w:rsidRPr="00C80F33">
        <w:t>price</w:t>
      </w:r>
      <w:r w:rsidRPr="00C80F33">
        <w:t xml:space="preserve"> of capital and intermediate goods is very sensitive to fluctuations in fo</w:t>
      </w:r>
      <w:r w:rsidR="00E043F9" w:rsidRPr="00C80F33">
        <w:t xml:space="preserve">reign prices in the short-run. </w:t>
      </w:r>
      <w:r w:rsidRPr="00C80F33">
        <w:t xml:space="preserve">If foreign prices increase by </w:t>
      </w:r>
      <w:r w:rsidR="00713300" w:rsidRPr="00C80F33">
        <w:t>one</w:t>
      </w:r>
      <w:r w:rsidR="004D4D0D" w:rsidRPr="00C80F33">
        <w:t> </w:t>
      </w:r>
      <w:r w:rsidRPr="00C80F33">
        <w:t>per</w:t>
      </w:r>
      <w:r w:rsidR="004D4D0D" w:rsidRPr="00C80F33">
        <w:t> </w:t>
      </w:r>
      <w:r w:rsidRPr="00C80F33">
        <w:t>cent, this is estimated to lead to a 2 per cent increase in the price of capital imports, and a 5.5</w:t>
      </w:r>
      <w:r w:rsidR="004D4D0D" w:rsidRPr="00C80F33">
        <w:t> </w:t>
      </w:r>
      <w:r w:rsidRPr="00C80F33">
        <w:t>per</w:t>
      </w:r>
      <w:r w:rsidR="004D4D0D" w:rsidRPr="00C80F33">
        <w:t> </w:t>
      </w:r>
      <w:r w:rsidRPr="00C80F33">
        <w:t>cent increase in the price of intermediate impor</w:t>
      </w:r>
      <w:r w:rsidR="00E043F9" w:rsidRPr="00C80F33">
        <w:t xml:space="preserve">ts. </w:t>
      </w:r>
      <w:r w:rsidRPr="00C80F33">
        <w:t>The supply of consumption goods and services are less sensitive to short-run movements in foreign prices, with bo</w:t>
      </w:r>
      <w:r w:rsidR="00E043F9" w:rsidRPr="00C80F33">
        <w:t xml:space="preserve">th </w:t>
      </w:r>
      <w:r w:rsidR="009968C2" w:rsidRPr="00C80F33">
        <w:t xml:space="preserve">the foreign price and exchange rate coefficients </w:t>
      </w:r>
      <w:r w:rsidR="00E043F9" w:rsidRPr="00C80F33">
        <w:t>less than one</w:t>
      </w:r>
      <w:r w:rsidR="009968C2" w:rsidRPr="00C80F33">
        <w:t xml:space="preserve"> (in absolute terms)</w:t>
      </w:r>
      <w:r w:rsidR="00E043F9" w:rsidRPr="00C80F33">
        <w:t>. The coefficients on the short-</w:t>
      </w:r>
      <w:r w:rsidR="0000345D" w:rsidRPr="00C80F33">
        <w:t xml:space="preserve">run exchange rate term, suggests </w:t>
      </w:r>
      <w:r w:rsidR="00086286" w:rsidRPr="00C80F33">
        <w:t xml:space="preserve">that </w:t>
      </w:r>
      <w:r w:rsidR="0000345D" w:rsidRPr="00C80F33">
        <w:t xml:space="preserve">all import </w:t>
      </w:r>
      <w:r w:rsidR="00E043F9" w:rsidRPr="00C80F33">
        <w:t xml:space="preserve">prices will fall by less than </w:t>
      </w:r>
      <w:r w:rsidR="0000345D" w:rsidRPr="00C80F33">
        <w:t>one</w:t>
      </w:r>
      <w:r w:rsidR="00E043F9" w:rsidRPr="00C80F33">
        <w:t xml:space="preserve"> per cent in response to a nominal</w:t>
      </w:r>
      <w:r w:rsidRPr="00C80F33">
        <w:t xml:space="preserve"> appreciat</w:t>
      </w:r>
      <w:r w:rsidR="00E043F9" w:rsidRPr="00C80F33">
        <w:t>ion</w:t>
      </w:r>
      <w:r w:rsidRPr="00C80F33">
        <w:t xml:space="preserve"> </w:t>
      </w:r>
      <w:r w:rsidR="00E043F9" w:rsidRPr="00C80F33">
        <w:t xml:space="preserve">of </w:t>
      </w:r>
      <w:r w:rsidR="0000345D" w:rsidRPr="00C80F33">
        <w:t>one</w:t>
      </w:r>
      <w:r w:rsidR="00E043F9" w:rsidRPr="00C80F33">
        <w:t xml:space="preserve"> per cent.</w:t>
      </w:r>
    </w:p>
    <w:p w14:paraId="230CF678" w14:textId="77777777" w:rsidR="00FC56B3" w:rsidRPr="00C80F33" w:rsidRDefault="00C73D16" w:rsidP="00C73D16">
      <w:r w:rsidRPr="00C80F33">
        <w:t xml:space="preserve">Adjustment to the long-run desired </w:t>
      </w:r>
      <w:r w:rsidR="00E043F9" w:rsidRPr="00C80F33">
        <w:t xml:space="preserve">price </w:t>
      </w:r>
      <w:r w:rsidRPr="00C80F33">
        <w:t xml:space="preserve">level ranges from around 1.5 quarters in the case of imports of capital goods, to 7 quarters in the case of imports of services. </w:t>
      </w:r>
      <w:r w:rsidR="002F6322" w:rsidRPr="00C80F33">
        <w:t>Coefficients on dummy variables suggest that t</w:t>
      </w:r>
      <w:r w:rsidRPr="00C80F33">
        <w:t xml:space="preserve">he </w:t>
      </w:r>
      <w:r w:rsidR="00E043F9" w:rsidRPr="00C80F33">
        <w:t>price</w:t>
      </w:r>
      <w:r w:rsidRPr="00C80F33">
        <w:t xml:space="preserve"> of capital goods rose by around 5 per cent in 2008:4 and 11.5 per cent in 2009:1, over </w:t>
      </w:r>
      <w:r w:rsidR="004D4D0D" w:rsidRPr="00C80F33">
        <w:t xml:space="preserve">and above </w:t>
      </w:r>
      <w:r w:rsidRPr="00C80F33">
        <w:t xml:space="preserve">what can be explained by </w:t>
      </w:r>
      <w:r w:rsidR="00E043F9" w:rsidRPr="00C80F33">
        <w:t xml:space="preserve">movements in </w:t>
      </w:r>
      <w:r w:rsidRPr="00C80F33">
        <w:t>foreign prices and the nominal exchange rate</w:t>
      </w:r>
      <w:r w:rsidR="00E043F9" w:rsidRPr="00C80F33">
        <w:t xml:space="preserve"> at the time of the GFC</w:t>
      </w:r>
      <w:r w:rsidRPr="00C80F33">
        <w:t>.</w:t>
      </w:r>
    </w:p>
    <w:p w14:paraId="4358239F" w14:textId="77777777" w:rsidR="00C1776A" w:rsidRPr="00C80F33" w:rsidRDefault="00C1776A" w:rsidP="00FC56B3">
      <w:pPr>
        <w:pStyle w:val="Caption1"/>
      </w:pPr>
      <w:bookmarkStart w:id="12" w:name="_Ref399831937"/>
      <w:bookmarkStart w:id="13" w:name="_Ref405209424"/>
      <w:r w:rsidRPr="00C80F33">
        <w:lastRenderedPageBreak/>
        <w:t xml:space="preserve">Table </w:t>
      </w:r>
      <w:r w:rsidR="00BB0DB8">
        <w:fldChar w:fldCharType="begin"/>
      </w:r>
      <w:r w:rsidR="00BB0DB8">
        <w:instrText xml:space="preserve"> SEQ Table \* ARABIC </w:instrText>
      </w:r>
      <w:r w:rsidR="00BB0DB8">
        <w:fldChar w:fldCharType="separate"/>
      </w:r>
      <w:r w:rsidR="00025120">
        <w:rPr>
          <w:noProof/>
        </w:rPr>
        <w:t>2</w:t>
      </w:r>
      <w:r w:rsidR="00BB0DB8">
        <w:rPr>
          <w:noProof/>
        </w:rPr>
        <w:fldChar w:fldCharType="end"/>
      </w:r>
      <w:bookmarkEnd w:id="12"/>
      <w:bookmarkEnd w:id="13"/>
      <w:r w:rsidRPr="00C80F33">
        <w:t xml:space="preserve">: Estimation results – </w:t>
      </w:r>
      <w:r w:rsidR="001C015A" w:rsidRPr="00C80F33">
        <w:t>S</w:t>
      </w:r>
      <w:r w:rsidRPr="00C80F33">
        <w:t>upply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1858"/>
        <w:gridCol w:w="1858"/>
        <w:gridCol w:w="1858"/>
        <w:gridCol w:w="1858"/>
      </w:tblGrid>
      <w:tr w:rsidR="00C73D16" w:rsidRPr="00C80F33" w14:paraId="12142742" w14:textId="77777777" w:rsidTr="009344C3">
        <w:trPr>
          <w:jc w:val="center"/>
        </w:trPr>
        <w:tc>
          <w:tcPr>
            <w:tcW w:w="1857" w:type="dxa"/>
            <w:tcBorders>
              <w:bottom w:val="dotted" w:sz="4" w:space="0" w:color="auto"/>
            </w:tcBorders>
            <w:vAlign w:val="center"/>
          </w:tcPr>
          <w:p w14:paraId="275B7649" w14:textId="77777777" w:rsidR="00C73D16" w:rsidRPr="00C80F33" w:rsidRDefault="00C73D16" w:rsidP="009344C3">
            <w:pPr>
              <w:pStyle w:val="Caption1"/>
              <w:rPr>
                <w:rFonts w:asciiTheme="minorHAnsi" w:hAnsiTheme="minorHAnsi"/>
                <w:b/>
                <w:color w:val="000000" w:themeColor="text1"/>
                <w:sz w:val="20"/>
                <w:szCs w:val="20"/>
              </w:rPr>
            </w:pPr>
          </w:p>
        </w:tc>
        <w:tc>
          <w:tcPr>
            <w:tcW w:w="1858" w:type="dxa"/>
            <w:tcBorders>
              <w:bottom w:val="dotted" w:sz="4" w:space="0" w:color="auto"/>
            </w:tcBorders>
            <w:vAlign w:val="center"/>
          </w:tcPr>
          <w:p w14:paraId="7AD59B18" w14:textId="77777777" w:rsidR="00C73D16" w:rsidRPr="00C80F33" w:rsidRDefault="00C73D16" w:rsidP="009344C3">
            <w:pPr>
              <w:pStyle w:val="Caption1"/>
              <w:rPr>
                <w:rFonts w:asciiTheme="minorHAnsi" w:hAnsiTheme="minorHAnsi"/>
                <w:b/>
                <w:color w:val="000000" w:themeColor="text1"/>
                <w:sz w:val="20"/>
                <w:szCs w:val="20"/>
              </w:rPr>
            </w:pPr>
            <w:r w:rsidRPr="00C80F33">
              <w:rPr>
                <w:rFonts w:asciiTheme="minorHAnsi" w:hAnsiTheme="minorHAnsi"/>
                <w:b/>
                <w:color w:val="000000" w:themeColor="text1"/>
                <w:sz w:val="20"/>
                <w:szCs w:val="20"/>
              </w:rPr>
              <w:t>Consumption</w:t>
            </w:r>
          </w:p>
        </w:tc>
        <w:tc>
          <w:tcPr>
            <w:tcW w:w="1858" w:type="dxa"/>
            <w:tcBorders>
              <w:bottom w:val="dotted" w:sz="4" w:space="0" w:color="auto"/>
            </w:tcBorders>
            <w:vAlign w:val="center"/>
          </w:tcPr>
          <w:p w14:paraId="6FABD9FB" w14:textId="77777777" w:rsidR="00C73D16" w:rsidRPr="00C80F33" w:rsidRDefault="00C73D16" w:rsidP="009344C3">
            <w:pPr>
              <w:pStyle w:val="Caption1"/>
              <w:rPr>
                <w:rFonts w:asciiTheme="minorHAnsi" w:hAnsiTheme="minorHAnsi"/>
                <w:b/>
                <w:color w:val="000000" w:themeColor="text1"/>
                <w:sz w:val="20"/>
                <w:szCs w:val="20"/>
              </w:rPr>
            </w:pPr>
            <w:r w:rsidRPr="00C80F33">
              <w:rPr>
                <w:rFonts w:asciiTheme="minorHAnsi" w:hAnsiTheme="minorHAnsi"/>
                <w:b/>
                <w:color w:val="000000" w:themeColor="text1"/>
                <w:sz w:val="20"/>
                <w:szCs w:val="20"/>
              </w:rPr>
              <w:t>Capital</w:t>
            </w:r>
          </w:p>
        </w:tc>
        <w:tc>
          <w:tcPr>
            <w:tcW w:w="1858" w:type="dxa"/>
            <w:tcBorders>
              <w:bottom w:val="dotted" w:sz="4" w:space="0" w:color="auto"/>
            </w:tcBorders>
            <w:vAlign w:val="center"/>
          </w:tcPr>
          <w:p w14:paraId="2ED6728A" w14:textId="77777777" w:rsidR="00C73D16" w:rsidRPr="00C80F33" w:rsidRDefault="00C73D16" w:rsidP="009344C3">
            <w:pPr>
              <w:pStyle w:val="Caption1"/>
              <w:rPr>
                <w:rFonts w:asciiTheme="minorHAnsi" w:hAnsiTheme="minorHAnsi"/>
                <w:b/>
                <w:color w:val="000000" w:themeColor="text1"/>
                <w:sz w:val="20"/>
                <w:szCs w:val="20"/>
              </w:rPr>
            </w:pPr>
            <w:r w:rsidRPr="00C80F33">
              <w:rPr>
                <w:rFonts w:asciiTheme="minorHAnsi" w:hAnsiTheme="minorHAnsi"/>
                <w:b/>
                <w:color w:val="000000" w:themeColor="text1"/>
                <w:sz w:val="20"/>
                <w:szCs w:val="20"/>
              </w:rPr>
              <w:t>Intermediate</w:t>
            </w:r>
          </w:p>
        </w:tc>
        <w:tc>
          <w:tcPr>
            <w:tcW w:w="1858" w:type="dxa"/>
            <w:tcBorders>
              <w:bottom w:val="dotted" w:sz="4" w:space="0" w:color="auto"/>
            </w:tcBorders>
            <w:vAlign w:val="center"/>
          </w:tcPr>
          <w:p w14:paraId="73F4D173" w14:textId="77777777" w:rsidR="00C73D16" w:rsidRPr="00C80F33" w:rsidRDefault="00C73D16" w:rsidP="009344C3">
            <w:pPr>
              <w:pStyle w:val="Caption1"/>
              <w:rPr>
                <w:rFonts w:asciiTheme="minorHAnsi" w:hAnsiTheme="minorHAnsi"/>
                <w:b/>
                <w:color w:val="000000" w:themeColor="text1"/>
                <w:sz w:val="20"/>
                <w:szCs w:val="20"/>
              </w:rPr>
            </w:pPr>
            <w:r w:rsidRPr="00C80F33">
              <w:rPr>
                <w:rFonts w:asciiTheme="minorHAnsi" w:hAnsiTheme="minorHAnsi"/>
                <w:b/>
                <w:color w:val="000000" w:themeColor="text1"/>
                <w:sz w:val="20"/>
                <w:szCs w:val="20"/>
              </w:rPr>
              <w:t>Services</w:t>
            </w:r>
          </w:p>
        </w:tc>
      </w:tr>
      <w:tr w:rsidR="00C73D16" w:rsidRPr="00C80F33" w14:paraId="7EE71F18" w14:textId="77777777" w:rsidTr="009344C3">
        <w:trPr>
          <w:jc w:val="center"/>
        </w:trPr>
        <w:tc>
          <w:tcPr>
            <w:tcW w:w="1857" w:type="dxa"/>
            <w:tcBorders>
              <w:top w:val="dotted" w:sz="4" w:space="0" w:color="auto"/>
              <w:left w:val="nil"/>
              <w:bottom w:val="nil"/>
            </w:tcBorders>
            <w:vAlign w:val="center"/>
          </w:tcPr>
          <w:p w14:paraId="2A32D9D5" w14:textId="77777777" w:rsidR="00C73D16" w:rsidRPr="00C80F33" w:rsidRDefault="00C73D16" w:rsidP="00B13F5F">
            <w:pPr>
              <w:pStyle w:val="Caption1"/>
              <w:jc w:val="left"/>
              <w:rPr>
                <w:rFonts w:asciiTheme="minorHAnsi" w:eastAsia="Calibri" w:hAnsiTheme="minorHAnsi" w:cs="Arial"/>
                <w:b/>
                <w:color w:val="000000" w:themeColor="text1"/>
                <w:sz w:val="20"/>
                <w:szCs w:val="20"/>
              </w:rPr>
            </w:pPr>
            <w:r w:rsidRPr="00C80F33">
              <w:rPr>
                <w:rFonts w:asciiTheme="minorHAnsi" w:eastAsia="Calibri" w:hAnsiTheme="minorHAnsi" w:cs="Arial"/>
                <w:b/>
                <w:color w:val="000000" w:themeColor="text1"/>
                <w:sz w:val="20"/>
                <w:szCs w:val="20"/>
              </w:rPr>
              <w:t>Long-run</w:t>
            </w:r>
          </w:p>
        </w:tc>
        <w:tc>
          <w:tcPr>
            <w:tcW w:w="1858" w:type="dxa"/>
            <w:tcBorders>
              <w:top w:val="dotted" w:sz="4" w:space="0" w:color="auto"/>
              <w:bottom w:val="nil"/>
            </w:tcBorders>
            <w:vAlign w:val="center"/>
          </w:tcPr>
          <w:p w14:paraId="7BDB8576" w14:textId="77777777" w:rsidR="00C73D16" w:rsidRPr="00C80F33" w:rsidRDefault="00C73D16" w:rsidP="009344C3">
            <w:pPr>
              <w:pStyle w:val="Caption1"/>
              <w:rPr>
                <w:rFonts w:asciiTheme="minorHAnsi" w:hAnsiTheme="minorHAnsi"/>
                <w:b/>
                <w:color w:val="000000" w:themeColor="text1"/>
                <w:sz w:val="20"/>
                <w:szCs w:val="20"/>
              </w:rPr>
            </w:pPr>
          </w:p>
        </w:tc>
        <w:tc>
          <w:tcPr>
            <w:tcW w:w="1858" w:type="dxa"/>
            <w:tcBorders>
              <w:top w:val="dotted" w:sz="4" w:space="0" w:color="auto"/>
              <w:bottom w:val="nil"/>
            </w:tcBorders>
            <w:vAlign w:val="center"/>
          </w:tcPr>
          <w:p w14:paraId="2F9BEBD7" w14:textId="77777777" w:rsidR="00C73D16" w:rsidRPr="00C80F33" w:rsidRDefault="00C73D16" w:rsidP="009344C3">
            <w:pPr>
              <w:pStyle w:val="Caption1"/>
              <w:rPr>
                <w:rFonts w:asciiTheme="minorHAnsi" w:hAnsiTheme="minorHAnsi"/>
                <w:b/>
                <w:color w:val="000000" w:themeColor="text1"/>
                <w:sz w:val="20"/>
                <w:szCs w:val="20"/>
              </w:rPr>
            </w:pPr>
          </w:p>
        </w:tc>
        <w:tc>
          <w:tcPr>
            <w:tcW w:w="1858" w:type="dxa"/>
            <w:tcBorders>
              <w:top w:val="dotted" w:sz="4" w:space="0" w:color="auto"/>
              <w:bottom w:val="nil"/>
            </w:tcBorders>
            <w:vAlign w:val="center"/>
          </w:tcPr>
          <w:p w14:paraId="0BB36735" w14:textId="77777777" w:rsidR="00C73D16" w:rsidRPr="00C80F33" w:rsidRDefault="00C73D16" w:rsidP="009344C3">
            <w:pPr>
              <w:pStyle w:val="Caption1"/>
              <w:rPr>
                <w:rFonts w:asciiTheme="minorHAnsi" w:hAnsiTheme="minorHAnsi"/>
                <w:b/>
                <w:color w:val="000000" w:themeColor="text1"/>
                <w:sz w:val="20"/>
                <w:szCs w:val="20"/>
              </w:rPr>
            </w:pPr>
          </w:p>
        </w:tc>
        <w:tc>
          <w:tcPr>
            <w:tcW w:w="1858" w:type="dxa"/>
            <w:tcBorders>
              <w:top w:val="dotted" w:sz="4" w:space="0" w:color="auto"/>
              <w:bottom w:val="nil"/>
              <w:right w:val="nil"/>
            </w:tcBorders>
            <w:vAlign w:val="center"/>
          </w:tcPr>
          <w:p w14:paraId="7C8B1665" w14:textId="77777777" w:rsidR="00C73D16" w:rsidRPr="00C80F33" w:rsidRDefault="00C73D16" w:rsidP="009344C3">
            <w:pPr>
              <w:pStyle w:val="Caption1"/>
              <w:rPr>
                <w:rFonts w:asciiTheme="minorHAnsi" w:hAnsiTheme="minorHAnsi"/>
                <w:b/>
                <w:color w:val="000000" w:themeColor="text1"/>
                <w:sz w:val="20"/>
                <w:szCs w:val="20"/>
              </w:rPr>
            </w:pPr>
          </w:p>
        </w:tc>
      </w:tr>
      <w:tr w:rsidR="00C73D16" w:rsidRPr="00C80F33" w14:paraId="332D652E" w14:textId="77777777" w:rsidTr="009344C3">
        <w:trPr>
          <w:jc w:val="center"/>
        </w:trPr>
        <w:tc>
          <w:tcPr>
            <w:tcW w:w="1857" w:type="dxa"/>
            <w:vMerge w:val="restart"/>
            <w:tcBorders>
              <w:top w:val="nil"/>
            </w:tcBorders>
            <w:vAlign w:val="center"/>
          </w:tcPr>
          <w:p w14:paraId="03A0C60C"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olor w:val="000000" w:themeColor="text1"/>
                <w:position w:val="-6"/>
                <w:sz w:val="20"/>
                <w:szCs w:val="20"/>
              </w:rPr>
              <w:object w:dxaOrig="240" w:dyaOrig="220" w14:anchorId="4A1183BA">
                <v:shape id="_x0000_i1073" type="#_x0000_t75" style="width:12.1pt;height:10.7pt" o:ole="">
                  <v:imagedata r:id="rId123" o:title=""/>
                </v:shape>
                <o:OLEObject Type="Embed" ProgID="Equation.DSMT4" ShapeID="_x0000_i1073" DrawAspect="Content" ObjectID="_1495870643" r:id="rId124"/>
              </w:object>
            </w:r>
          </w:p>
        </w:tc>
        <w:tc>
          <w:tcPr>
            <w:tcW w:w="1858" w:type="dxa"/>
            <w:tcBorders>
              <w:top w:val="nil"/>
            </w:tcBorders>
            <w:vAlign w:val="center"/>
          </w:tcPr>
          <w:p w14:paraId="49DA643E"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4.0947</w:t>
            </w:r>
          </w:p>
        </w:tc>
        <w:tc>
          <w:tcPr>
            <w:tcW w:w="1858" w:type="dxa"/>
            <w:tcBorders>
              <w:top w:val="nil"/>
            </w:tcBorders>
            <w:vAlign w:val="center"/>
          </w:tcPr>
          <w:p w14:paraId="5A448CF7"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6.9760</w:t>
            </w:r>
          </w:p>
        </w:tc>
        <w:tc>
          <w:tcPr>
            <w:tcW w:w="1858" w:type="dxa"/>
            <w:tcBorders>
              <w:top w:val="nil"/>
            </w:tcBorders>
            <w:vAlign w:val="center"/>
          </w:tcPr>
          <w:p w14:paraId="12E0D5E5"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1.7971</w:t>
            </w:r>
          </w:p>
        </w:tc>
        <w:tc>
          <w:tcPr>
            <w:tcW w:w="1858" w:type="dxa"/>
            <w:tcBorders>
              <w:top w:val="nil"/>
            </w:tcBorders>
            <w:vAlign w:val="center"/>
          </w:tcPr>
          <w:p w14:paraId="567A76D3"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3.4604</w:t>
            </w:r>
          </w:p>
        </w:tc>
      </w:tr>
      <w:tr w:rsidR="00C73D16" w:rsidRPr="00C80F33" w14:paraId="182C4908" w14:textId="77777777" w:rsidTr="009344C3">
        <w:trPr>
          <w:jc w:val="center"/>
        </w:trPr>
        <w:tc>
          <w:tcPr>
            <w:tcW w:w="1857" w:type="dxa"/>
            <w:vMerge/>
            <w:vAlign w:val="center"/>
          </w:tcPr>
          <w:p w14:paraId="6F8F5818" w14:textId="77777777" w:rsidR="00C73D16" w:rsidRPr="00C80F33" w:rsidRDefault="00C73D16" w:rsidP="009344C3">
            <w:pPr>
              <w:pStyle w:val="Caption1"/>
              <w:rPr>
                <w:rFonts w:asciiTheme="minorHAnsi" w:hAnsiTheme="minorHAnsi"/>
                <w:color w:val="000000" w:themeColor="text1"/>
                <w:sz w:val="20"/>
                <w:szCs w:val="20"/>
              </w:rPr>
            </w:pPr>
          </w:p>
        </w:tc>
        <w:tc>
          <w:tcPr>
            <w:tcW w:w="1858" w:type="dxa"/>
            <w:vAlign w:val="center"/>
          </w:tcPr>
          <w:p w14:paraId="69338E5F"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(0.0595)</w:t>
            </w:r>
          </w:p>
        </w:tc>
        <w:tc>
          <w:tcPr>
            <w:tcW w:w="1858" w:type="dxa"/>
            <w:vAlign w:val="center"/>
          </w:tcPr>
          <w:p w14:paraId="79E9C3E0"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(0.0500)</w:t>
            </w:r>
          </w:p>
        </w:tc>
        <w:tc>
          <w:tcPr>
            <w:tcW w:w="1858" w:type="dxa"/>
            <w:vAlign w:val="center"/>
          </w:tcPr>
          <w:p w14:paraId="180C61C3"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(0.1321)</w:t>
            </w:r>
          </w:p>
        </w:tc>
        <w:tc>
          <w:tcPr>
            <w:tcW w:w="1858" w:type="dxa"/>
            <w:vAlign w:val="center"/>
          </w:tcPr>
          <w:p w14:paraId="2E0F3335"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(0.0206)</w:t>
            </w:r>
          </w:p>
        </w:tc>
      </w:tr>
      <w:tr w:rsidR="00C73D16" w:rsidRPr="00C80F33" w14:paraId="2483B9E7" w14:textId="77777777" w:rsidTr="009344C3">
        <w:trPr>
          <w:jc w:val="center"/>
        </w:trPr>
        <w:tc>
          <w:tcPr>
            <w:tcW w:w="1857" w:type="dxa"/>
            <w:vMerge w:val="restart"/>
            <w:vAlign w:val="center"/>
          </w:tcPr>
          <w:p w14:paraId="75FA6409"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0"/>
                <w:sz w:val="20"/>
                <w:szCs w:val="20"/>
              </w:rPr>
              <w:object w:dxaOrig="200" w:dyaOrig="320" w14:anchorId="1CF7586E">
                <v:shape id="_x0000_i1074" type="#_x0000_t75" style="width:10pt;height:16.4pt" o:ole="">
                  <v:imagedata r:id="rId125" o:title=""/>
                </v:shape>
                <o:OLEObject Type="Embed" ProgID="Equation.DSMT4" ShapeID="_x0000_i1074" DrawAspect="Content" ObjectID="_1495870644" r:id="rId126"/>
              </w:object>
            </w:r>
          </w:p>
        </w:tc>
        <w:tc>
          <w:tcPr>
            <w:tcW w:w="1858" w:type="dxa"/>
            <w:vAlign w:val="center"/>
          </w:tcPr>
          <w:p w14:paraId="21DCACF3"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-0.0036</w:t>
            </w:r>
          </w:p>
        </w:tc>
        <w:tc>
          <w:tcPr>
            <w:tcW w:w="1858" w:type="dxa"/>
            <w:vAlign w:val="center"/>
          </w:tcPr>
          <w:p w14:paraId="29E3AD89"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-0.0179</w:t>
            </w:r>
          </w:p>
        </w:tc>
        <w:tc>
          <w:tcPr>
            <w:tcW w:w="1858" w:type="dxa"/>
            <w:vAlign w:val="center"/>
          </w:tcPr>
          <w:p w14:paraId="1E8530A5" w14:textId="77777777" w:rsidR="00C73D16" w:rsidRPr="00C80F33" w:rsidRDefault="00C73D16" w:rsidP="009344C3">
            <w:pPr>
              <w:pStyle w:val="Caption1"/>
              <w:rPr>
                <w:rFonts w:asciiTheme="minorHAnsi" w:hAnsiTheme="minorHAnsi"/>
                <w:color w:val="000000" w:themeColor="text1"/>
                <w:sz w:val="20"/>
                <w:szCs w:val="20"/>
              </w:rPr>
            </w:pPr>
          </w:p>
        </w:tc>
        <w:tc>
          <w:tcPr>
            <w:tcW w:w="1858" w:type="dxa"/>
            <w:vAlign w:val="center"/>
          </w:tcPr>
          <w:p w14:paraId="76A7F58B" w14:textId="77777777" w:rsidR="00C73D16" w:rsidRPr="00C80F33" w:rsidRDefault="00C73D16" w:rsidP="009344C3">
            <w:pPr>
              <w:pStyle w:val="Caption1"/>
              <w:rPr>
                <w:rFonts w:asciiTheme="minorHAnsi" w:hAnsiTheme="minorHAnsi"/>
                <w:color w:val="000000" w:themeColor="text1"/>
                <w:sz w:val="20"/>
                <w:szCs w:val="20"/>
              </w:rPr>
            </w:pPr>
          </w:p>
        </w:tc>
      </w:tr>
      <w:tr w:rsidR="00C73D16" w:rsidRPr="00C80F33" w14:paraId="13874751" w14:textId="77777777" w:rsidTr="00B13F5F">
        <w:trPr>
          <w:jc w:val="center"/>
        </w:trPr>
        <w:tc>
          <w:tcPr>
            <w:tcW w:w="1857" w:type="dxa"/>
            <w:vMerge/>
            <w:tcBorders>
              <w:bottom w:val="nil"/>
            </w:tcBorders>
            <w:vAlign w:val="center"/>
          </w:tcPr>
          <w:p w14:paraId="6C7F95AD" w14:textId="77777777" w:rsidR="00C73D16" w:rsidRPr="00C80F33" w:rsidRDefault="00C73D16" w:rsidP="009344C3">
            <w:pPr>
              <w:pStyle w:val="Caption1"/>
              <w:rPr>
                <w:rFonts w:asciiTheme="minorHAnsi" w:hAnsiTheme="minorHAnsi"/>
                <w:color w:val="000000" w:themeColor="text1"/>
                <w:sz w:val="20"/>
                <w:szCs w:val="20"/>
              </w:rPr>
            </w:pPr>
          </w:p>
        </w:tc>
        <w:tc>
          <w:tcPr>
            <w:tcW w:w="1858" w:type="dxa"/>
            <w:tcBorders>
              <w:bottom w:val="nil"/>
            </w:tcBorders>
            <w:vAlign w:val="center"/>
          </w:tcPr>
          <w:p w14:paraId="759E07FA"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(0.0003)</w:t>
            </w:r>
          </w:p>
        </w:tc>
        <w:tc>
          <w:tcPr>
            <w:tcW w:w="1858" w:type="dxa"/>
            <w:tcBorders>
              <w:bottom w:val="nil"/>
            </w:tcBorders>
            <w:vAlign w:val="center"/>
          </w:tcPr>
          <w:p w14:paraId="4AA504DF"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(0.0003)</w:t>
            </w:r>
          </w:p>
        </w:tc>
        <w:tc>
          <w:tcPr>
            <w:tcW w:w="1858" w:type="dxa"/>
            <w:tcBorders>
              <w:bottom w:val="nil"/>
            </w:tcBorders>
            <w:vAlign w:val="center"/>
          </w:tcPr>
          <w:p w14:paraId="37B8AD03" w14:textId="77777777" w:rsidR="00C73D16" w:rsidRPr="00C80F33" w:rsidRDefault="00C73D16" w:rsidP="009344C3">
            <w:pPr>
              <w:pStyle w:val="Caption1"/>
              <w:rPr>
                <w:rFonts w:asciiTheme="minorHAnsi" w:hAnsiTheme="minorHAnsi"/>
                <w:color w:val="000000" w:themeColor="text1"/>
                <w:sz w:val="20"/>
                <w:szCs w:val="20"/>
              </w:rPr>
            </w:pPr>
          </w:p>
        </w:tc>
        <w:tc>
          <w:tcPr>
            <w:tcW w:w="1858" w:type="dxa"/>
            <w:tcBorders>
              <w:bottom w:val="nil"/>
            </w:tcBorders>
            <w:vAlign w:val="center"/>
          </w:tcPr>
          <w:p w14:paraId="42D2294D" w14:textId="77777777" w:rsidR="00C73D16" w:rsidRPr="00C80F33" w:rsidRDefault="00C73D16" w:rsidP="009344C3">
            <w:pPr>
              <w:pStyle w:val="Caption1"/>
              <w:rPr>
                <w:rFonts w:asciiTheme="minorHAnsi" w:hAnsiTheme="minorHAnsi"/>
                <w:color w:val="000000" w:themeColor="text1"/>
                <w:sz w:val="20"/>
                <w:szCs w:val="20"/>
              </w:rPr>
            </w:pPr>
          </w:p>
        </w:tc>
      </w:tr>
      <w:tr w:rsidR="00B13F5F" w:rsidRPr="00C80F33" w14:paraId="75A32177" w14:textId="77777777" w:rsidTr="00B13F5F">
        <w:trPr>
          <w:jc w:val="center"/>
        </w:trPr>
        <w:tc>
          <w:tcPr>
            <w:tcW w:w="1857" w:type="dxa"/>
            <w:vMerge w:val="restart"/>
            <w:tcBorders>
              <w:top w:val="nil"/>
              <w:bottom w:val="nil"/>
            </w:tcBorders>
            <w:vAlign w:val="center"/>
          </w:tcPr>
          <w:p w14:paraId="47C7A7D2" w14:textId="77777777" w:rsidR="00B13F5F" w:rsidRPr="00C80F33" w:rsidRDefault="00B13F5F" w:rsidP="00B13F5F">
            <w:pPr>
              <w:pStyle w:val="Caption1"/>
              <w:rPr>
                <w:rFonts w:asciiTheme="minorHAnsi" w:hAnsiTheme="minorHAnsi"/>
                <w:color w:val="000000" w:themeColor="text1"/>
                <w:sz w:val="20"/>
                <w:szCs w:val="20"/>
              </w:rPr>
            </w:pPr>
            <w:r w:rsidRPr="00C80F33">
              <w:rPr>
                <w:rFonts w:asciiTheme="minorHAnsi" w:hAnsiTheme="minorHAnsi"/>
                <w:color w:val="000000" w:themeColor="text1"/>
                <w:position w:val="-4"/>
                <w:sz w:val="20"/>
                <w:szCs w:val="20"/>
              </w:rPr>
              <w:object w:dxaOrig="220" w:dyaOrig="200" w14:anchorId="58082FFA">
                <v:shape id="_x0000_i1075" type="#_x0000_t75" style="width:10.7pt;height:10pt" o:ole="">
                  <v:imagedata r:id="rId127" o:title=""/>
                </v:shape>
                <o:OLEObject Type="Embed" ProgID="Equation.DSMT4" ShapeID="_x0000_i1075" DrawAspect="Content" ObjectID="_1495870645" r:id="rId128"/>
              </w:object>
            </w:r>
          </w:p>
        </w:tc>
        <w:tc>
          <w:tcPr>
            <w:tcW w:w="1858" w:type="dxa"/>
            <w:tcBorders>
              <w:top w:val="nil"/>
              <w:bottom w:val="nil"/>
            </w:tcBorders>
            <w:vAlign w:val="center"/>
          </w:tcPr>
          <w:p w14:paraId="517E025F"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top w:val="nil"/>
              <w:bottom w:val="nil"/>
            </w:tcBorders>
            <w:vAlign w:val="center"/>
          </w:tcPr>
          <w:p w14:paraId="6A2DE39B"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top w:val="nil"/>
              <w:bottom w:val="nil"/>
            </w:tcBorders>
            <w:vAlign w:val="center"/>
          </w:tcPr>
          <w:p w14:paraId="7D819D21" w14:textId="77777777" w:rsidR="00B13F5F" w:rsidRPr="00C80F33" w:rsidRDefault="00B13F5F" w:rsidP="00B13F5F">
            <w:pPr>
              <w:pStyle w:val="Caption1"/>
              <w:rPr>
                <w:rFonts w:asciiTheme="minorHAnsi" w:hAnsiTheme="minorHAnsi" w:cs="Arial"/>
                <w:color w:val="000000"/>
                <w:sz w:val="20"/>
                <w:szCs w:val="20"/>
              </w:rPr>
            </w:pPr>
            <w:r w:rsidRPr="00C80F33">
              <w:rPr>
                <w:rFonts w:asciiTheme="minorHAnsi" w:hAnsiTheme="minorHAnsi" w:cs="Arial"/>
                <w:color w:val="000000"/>
                <w:sz w:val="20"/>
                <w:szCs w:val="20"/>
              </w:rPr>
              <w:t>0.1785</w:t>
            </w:r>
          </w:p>
        </w:tc>
        <w:tc>
          <w:tcPr>
            <w:tcW w:w="1858" w:type="dxa"/>
            <w:tcBorders>
              <w:top w:val="nil"/>
              <w:bottom w:val="nil"/>
            </w:tcBorders>
            <w:vAlign w:val="center"/>
          </w:tcPr>
          <w:p w14:paraId="7075E370" w14:textId="77777777" w:rsidR="00B13F5F" w:rsidRPr="00C80F33" w:rsidRDefault="00B13F5F" w:rsidP="00B13F5F">
            <w:pPr>
              <w:pStyle w:val="Caption1"/>
              <w:rPr>
                <w:rFonts w:asciiTheme="minorHAnsi" w:hAnsiTheme="minorHAnsi"/>
                <w:color w:val="000000" w:themeColor="text1"/>
                <w:sz w:val="20"/>
                <w:szCs w:val="20"/>
              </w:rPr>
            </w:pPr>
          </w:p>
        </w:tc>
      </w:tr>
      <w:tr w:rsidR="00B13F5F" w:rsidRPr="00C80F33" w14:paraId="4A3FE114" w14:textId="77777777" w:rsidTr="00B13F5F">
        <w:trPr>
          <w:jc w:val="center"/>
        </w:trPr>
        <w:tc>
          <w:tcPr>
            <w:tcW w:w="1857" w:type="dxa"/>
            <w:vMerge/>
            <w:tcBorders>
              <w:top w:val="nil"/>
              <w:bottom w:val="nil"/>
            </w:tcBorders>
            <w:vAlign w:val="center"/>
          </w:tcPr>
          <w:p w14:paraId="0E47D416"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top w:val="nil"/>
              <w:bottom w:val="nil"/>
            </w:tcBorders>
            <w:vAlign w:val="center"/>
          </w:tcPr>
          <w:p w14:paraId="749FFB39"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top w:val="nil"/>
              <w:bottom w:val="nil"/>
            </w:tcBorders>
            <w:vAlign w:val="center"/>
          </w:tcPr>
          <w:p w14:paraId="3875B27E"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top w:val="nil"/>
              <w:bottom w:val="nil"/>
            </w:tcBorders>
            <w:vAlign w:val="center"/>
          </w:tcPr>
          <w:p w14:paraId="164D5E1F" w14:textId="77777777" w:rsidR="00B13F5F" w:rsidRPr="00C80F33" w:rsidRDefault="00B13F5F" w:rsidP="00B13F5F">
            <w:pPr>
              <w:pStyle w:val="Caption1"/>
              <w:rPr>
                <w:rFonts w:asciiTheme="minorHAnsi" w:hAnsiTheme="minorHAnsi" w:cs="Arial"/>
                <w:color w:val="000000"/>
                <w:sz w:val="20"/>
                <w:szCs w:val="20"/>
              </w:rPr>
            </w:pPr>
            <w:r w:rsidRPr="00C80F33">
              <w:rPr>
                <w:rFonts w:asciiTheme="minorHAnsi" w:hAnsiTheme="minorHAnsi" w:cs="Arial"/>
                <w:color w:val="000000"/>
                <w:sz w:val="20"/>
                <w:szCs w:val="20"/>
              </w:rPr>
              <w:t>(0.0180)</w:t>
            </w:r>
          </w:p>
        </w:tc>
        <w:tc>
          <w:tcPr>
            <w:tcW w:w="1858" w:type="dxa"/>
            <w:tcBorders>
              <w:top w:val="nil"/>
              <w:bottom w:val="nil"/>
            </w:tcBorders>
            <w:vAlign w:val="center"/>
          </w:tcPr>
          <w:p w14:paraId="312096A4" w14:textId="77777777" w:rsidR="00B13F5F" w:rsidRPr="00C80F33" w:rsidRDefault="00B13F5F" w:rsidP="00B13F5F">
            <w:pPr>
              <w:pStyle w:val="Caption1"/>
              <w:rPr>
                <w:rFonts w:asciiTheme="minorHAnsi" w:hAnsiTheme="minorHAnsi"/>
                <w:color w:val="000000" w:themeColor="text1"/>
                <w:sz w:val="20"/>
                <w:szCs w:val="20"/>
              </w:rPr>
            </w:pPr>
          </w:p>
        </w:tc>
      </w:tr>
      <w:tr w:rsidR="00181980" w:rsidRPr="00C80F33" w14:paraId="14C24041" w14:textId="77777777" w:rsidTr="009C165C">
        <w:trPr>
          <w:jc w:val="center"/>
        </w:trPr>
        <w:tc>
          <w:tcPr>
            <w:tcW w:w="1857" w:type="dxa"/>
            <w:vMerge w:val="restart"/>
            <w:tcBorders>
              <w:top w:val="nil"/>
              <w:bottom w:val="nil"/>
            </w:tcBorders>
            <w:vAlign w:val="center"/>
          </w:tcPr>
          <w:p w14:paraId="0FAA8B65" w14:textId="77777777" w:rsidR="00181980" w:rsidRPr="00C80F33" w:rsidRDefault="00181980" w:rsidP="009C165C">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600" w:dyaOrig="360" w14:anchorId="4D25769E">
                <v:shape id="_x0000_i1076" type="#_x0000_t75" style="width:29.95pt;height:17.8pt" o:ole="">
                  <v:imagedata r:id="rId129" o:title=""/>
                </v:shape>
                <o:OLEObject Type="Embed" ProgID="Equation.DSMT4" ShapeID="_x0000_i1076" DrawAspect="Content" ObjectID="_1495870646" r:id="rId130"/>
              </w:object>
            </w:r>
          </w:p>
        </w:tc>
        <w:tc>
          <w:tcPr>
            <w:tcW w:w="1858" w:type="dxa"/>
            <w:tcBorders>
              <w:top w:val="nil"/>
              <w:bottom w:val="nil"/>
            </w:tcBorders>
            <w:vAlign w:val="center"/>
          </w:tcPr>
          <w:p w14:paraId="1CB24DFA" w14:textId="77777777" w:rsidR="00181980" w:rsidRPr="00C80F33" w:rsidRDefault="00181980" w:rsidP="009C165C">
            <w:pPr>
              <w:pStyle w:val="Caption1"/>
              <w:rPr>
                <w:rFonts w:asciiTheme="minorHAnsi" w:hAnsiTheme="minorHAnsi"/>
                <w:color w:val="000000" w:themeColor="text1"/>
                <w:sz w:val="20"/>
                <w:szCs w:val="20"/>
              </w:rPr>
            </w:pPr>
          </w:p>
        </w:tc>
        <w:tc>
          <w:tcPr>
            <w:tcW w:w="1858" w:type="dxa"/>
            <w:tcBorders>
              <w:top w:val="nil"/>
              <w:bottom w:val="nil"/>
            </w:tcBorders>
            <w:vAlign w:val="center"/>
          </w:tcPr>
          <w:p w14:paraId="7F6630B4" w14:textId="77777777" w:rsidR="00181980" w:rsidRPr="00C80F33" w:rsidRDefault="00181980" w:rsidP="009C165C">
            <w:pPr>
              <w:pStyle w:val="Caption1"/>
              <w:rPr>
                <w:rFonts w:asciiTheme="minorHAnsi" w:hAnsiTheme="minorHAnsi"/>
                <w:color w:val="000000" w:themeColor="text1"/>
                <w:sz w:val="20"/>
                <w:szCs w:val="20"/>
              </w:rPr>
            </w:pPr>
          </w:p>
        </w:tc>
        <w:tc>
          <w:tcPr>
            <w:tcW w:w="1858" w:type="dxa"/>
            <w:tcBorders>
              <w:top w:val="nil"/>
              <w:bottom w:val="nil"/>
            </w:tcBorders>
            <w:vAlign w:val="center"/>
          </w:tcPr>
          <w:p w14:paraId="0E677523" w14:textId="77777777" w:rsidR="00181980" w:rsidRPr="00C80F33" w:rsidRDefault="00181980" w:rsidP="009C165C">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0.0524</w:t>
            </w:r>
          </w:p>
        </w:tc>
        <w:tc>
          <w:tcPr>
            <w:tcW w:w="1858" w:type="dxa"/>
            <w:tcBorders>
              <w:top w:val="nil"/>
              <w:bottom w:val="nil"/>
            </w:tcBorders>
            <w:vAlign w:val="center"/>
          </w:tcPr>
          <w:p w14:paraId="32056A0D" w14:textId="77777777" w:rsidR="00181980" w:rsidRPr="00C80F33" w:rsidRDefault="00181980" w:rsidP="009C165C">
            <w:pPr>
              <w:pStyle w:val="Caption1"/>
              <w:rPr>
                <w:rFonts w:asciiTheme="minorHAnsi" w:hAnsiTheme="minorHAnsi"/>
                <w:color w:val="000000" w:themeColor="text1"/>
                <w:sz w:val="20"/>
                <w:szCs w:val="20"/>
              </w:rPr>
            </w:pPr>
          </w:p>
        </w:tc>
      </w:tr>
      <w:tr w:rsidR="00181980" w:rsidRPr="00C80F33" w14:paraId="4EF656CE" w14:textId="77777777" w:rsidTr="009C165C">
        <w:trPr>
          <w:jc w:val="center"/>
        </w:trPr>
        <w:tc>
          <w:tcPr>
            <w:tcW w:w="1857" w:type="dxa"/>
            <w:vMerge/>
            <w:tcBorders>
              <w:top w:val="nil"/>
              <w:bottom w:val="nil"/>
            </w:tcBorders>
            <w:vAlign w:val="center"/>
          </w:tcPr>
          <w:p w14:paraId="7B27B4AF" w14:textId="77777777" w:rsidR="00181980" w:rsidRPr="00C80F33" w:rsidRDefault="00181980" w:rsidP="009C165C">
            <w:pPr>
              <w:pStyle w:val="Caption1"/>
              <w:rPr>
                <w:rFonts w:asciiTheme="minorHAnsi" w:hAnsiTheme="minorHAnsi"/>
                <w:color w:val="000000" w:themeColor="text1"/>
                <w:sz w:val="20"/>
                <w:szCs w:val="20"/>
              </w:rPr>
            </w:pPr>
          </w:p>
        </w:tc>
        <w:tc>
          <w:tcPr>
            <w:tcW w:w="1858" w:type="dxa"/>
            <w:tcBorders>
              <w:top w:val="nil"/>
              <w:bottom w:val="nil"/>
            </w:tcBorders>
            <w:vAlign w:val="center"/>
          </w:tcPr>
          <w:p w14:paraId="3D4B8AD2" w14:textId="77777777" w:rsidR="00181980" w:rsidRPr="00C80F33" w:rsidRDefault="00181980" w:rsidP="009C165C">
            <w:pPr>
              <w:pStyle w:val="Caption1"/>
              <w:rPr>
                <w:rFonts w:asciiTheme="minorHAnsi" w:hAnsiTheme="minorHAnsi"/>
                <w:color w:val="000000" w:themeColor="text1"/>
                <w:sz w:val="20"/>
                <w:szCs w:val="20"/>
              </w:rPr>
            </w:pPr>
          </w:p>
        </w:tc>
        <w:tc>
          <w:tcPr>
            <w:tcW w:w="1858" w:type="dxa"/>
            <w:tcBorders>
              <w:top w:val="nil"/>
              <w:bottom w:val="nil"/>
            </w:tcBorders>
            <w:vAlign w:val="center"/>
          </w:tcPr>
          <w:p w14:paraId="16196DB0" w14:textId="77777777" w:rsidR="00181980" w:rsidRPr="00C80F33" w:rsidRDefault="00181980" w:rsidP="009C165C">
            <w:pPr>
              <w:pStyle w:val="Caption1"/>
              <w:rPr>
                <w:rFonts w:asciiTheme="minorHAnsi" w:hAnsiTheme="minorHAnsi"/>
                <w:color w:val="000000" w:themeColor="text1"/>
                <w:sz w:val="20"/>
                <w:szCs w:val="20"/>
              </w:rPr>
            </w:pPr>
          </w:p>
        </w:tc>
        <w:tc>
          <w:tcPr>
            <w:tcW w:w="1858" w:type="dxa"/>
            <w:tcBorders>
              <w:top w:val="nil"/>
              <w:bottom w:val="nil"/>
            </w:tcBorders>
            <w:vAlign w:val="center"/>
          </w:tcPr>
          <w:p w14:paraId="6891B2C8" w14:textId="77777777" w:rsidR="00181980" w:rsidRPr="00C80F33" w:rsidRDefault="00181980" w:rsidP="009C165C">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(0.0206)</w:t>
            </w:r>
          </w:p>
        </w:tc>
        <w:tc>
          <w:tcPr>
            <w:tcW w:w="1858" w:type="dxa"/>
            <w:tcBorders>
              <w:top w:val="nil"/>
              <w:bottom w:val="nil"/>
            </w:tcBorders>
            <w:vAlign w:val="center"/>
          </w:tcPr>
          <w:p w14:paraId="38848530" w14:textId="77777777" w:rsidR="00181980" w:rsidRPr="00C80F33" w:rsidRDefault="00181980" w:rsidP="009C165C">
            <w:pPr>
              <w:pStyle w:val="Caption1"/>
              <w:rPr>
                <w:rFonts w:asciiTheme="minorHAnsi" w:hAnsiTheme="minorHAnsi"/>
                <w:color w:val="000000" w:themeColor="text1"/>
                <w:sz w:val="20"/>
                <w:szCs w:val="20"/>
              </w:rPr>
            </w:pPr>
          </w:p>
        </w:tc>
      </w:tr>
      <w:tr w:rsidR="00B13F5F" w:rsidRPr="00C80F33" w14:paraId="7A8BBC1D" w14:textId="77777777" w:rsidTr="00B13F5F">
        <w:trPr>
          <w:jc w:val="center"/>
        </w:trPr>
        <w:tc>
          <w:tcPr>
            <w:tcW w:w="1857" w:type="dxa"/>
            <w:vMerge w:val="restart"/>
            <w:tcBorders>
              <w:top w:val="nil"/>
              <w:bottom w:val="nil"/>
            </w:tcBorders>
            <w:vAlign w:val="center"/>
          </w:tcPr>
          <w:p w14:paraId="5B6D0AE7" w14:textId="77777777" w:rsidR="00B13F5F" w:rsidRPr="00C80F33" w:rsidRDefault="00B13F5F" w:rsidP="00B13F5F">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580" w:dyaOrig="360" w14:anchorId="31445B59">
                <v:shape id="_x0000_i1077" type="#_x0000_t75" style="width:28.5pt;height:17.8pt" o:ole="">
                  <v:imagedata r:id="rId131" o:title=""/>
                </v:shape>
                <o:OLEObject Type="Embed" ProgID="Equation.DSMT4" ShapeID="_x0000_i1077" DrawAspect="Content" ObjectID="_1495870647" r:id="rId132"/>
              </w:object>
            </w:r>
          </w:p>
        </w:tc>
        <w:tc>
          <w:tcPr>
            <w:tcW w:w="1858" w:type="dxa"/>
            <w:tcBorders>
              <w:top w:val="nil"/>
              <w:bottom w:val="nil"/>
            </w:tcBorders>
            <w:vAlign w:val="center"/>
          </w:tcPr>
          <w:p w14:paraId="0148399B"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top w:val="nil"/>
              <w:bottom w:val="nil"/>
            </w:tcBorders>
            <w:vAlign w:val="center"/>
          </w:tcPr>
          <w:p w14:paraId="4AD6A22F"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top w:val="nil"/>
              <w:bottom w:val="nil"/>
            </w:tcBorders>
            <w:vAlign w:val="center"/>
          </w:tcPr>
          <w:p w14:paraId="2718CBBB" w14:textId="77777777" w:rsidR="00B13F5F" w:rsidRPr="00C80F33" w:rsidRDefault="00B13F5F" w:rsidP="00B13F5F">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-0.0076</w:t>
            </w:r>
          </w:p>
        </w:tc>
        <w:tc>
          <w:tcPr>
            <w:tcW w:w="1858" w:type="dxa"/>
            <w:tcBorders>
              <w:top w:val="nil"/>
              <w:bottom w:val="nil"/>
            </w:tcBorders>
            <w:vAlign w:val="center"/>
          </w:tcPr>
          <w:p w14:paraId="7D4C7E07" w14:textId="77777777" w:rsidR="00B13F5F" w:rsidRPr="00C80F33" w:rsidRDefault="00B13F5F" w:rsidP="00B13F5F">
            <w:pPr>
              <w:pStyle w:val="Caption1"/>
              <w:rPr>
                <w:rFonts w:asciiTheme="minorHAnsi" w:hAnsiTheme="minorHAnsi"/>
                <w:color w:val="000000" w:themeColor="text1"/>
                <w:sz w:val="20"/>
                <w:szCs w:val="20"/>
              </w:rPr>
            </w:pPr>
          </w:p>
        </w:tc>
      </w:tr>
      <w:tr w:rsidR="00B13F5F" w:rsidRPr="00C80F33" w14:paraId="0C7D3888" w14:textId="77777777" w:rsidTr="00B13F5F">
        <w:trPr>
          <w:jc w:val="center"/>
        </w:trPr>
        <w:tc>
          <w:tcPr>
            <w:tcW w:w="1857" w:type="dxa"/>
            <w:vMerge/>
            <w:tcBorders>
              <w:top w:val="nil"/>
              <w:bottom w:val="nil"/>
            </w:tcBorders>
            <w:vAlign w:val="center"/>
          </w:tcPr>
          <w:p w14:paraId="5DBCA230"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top w:val="nil"/>
              <w:bottom w:val="nil"/>
            </w:tcBorders>
            <w:vAlign w:val="center"/>
          </w:tcPr>
          <w:p w14:paraId="28A6FCCE"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top w:val="nil"/>
              <w:bottom w:val="nil"/>
            </w:tcBorders>
            <w:vAlign w:val="center"/>
          </w:tcPr>
          <w:p w14:paraId="293D3DDC" w14:textId="77777777" w:rsidR="00B13F5F" w:rsidRPr="00C80F33" w:rsidRDefault="00B13F5F" w:rsidP="00B13F5F">
            <w:pPr>
              <w:pStyle w:val="Caption1"/>
              <w:rPr>
                <w:rFonts w:asciiTheme="minorHAnsi" w:hAnsiTheme="minorHAnsi"/>
                <w:color w:val="000000" w:themeColor="text1"/>
                <w:sz w:val="20"/>
                <w:szCs w:val="20"/>
              </w:rPr>
            </w:pPr>
          </w:p>
        </w:tc>
        <w:tc>
          <w:tcPr>
            <w:tcW w:w="1858" w:type="dxa"/>
            <w:tcBorders>
              <w:top w:val="nil"/>
              <w:bottom w:val="nil"/>
            </w:tcBorders>
            <w:vAlign w:val="center"/>
          </w:tcPr>
          <w:p w14:paraId="2D7ADE4A" w14:textId="77777777" w:rsidR="00B13F5F" w:rsidRPr="00C80F33" w:rsidRDefault="00B13F5F" w:rsidP="00B13F5F">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(0.0022)</w:t>
            </w:r>
          </w:p>
        </w:tc>
        <w:tc>
          <w:tcPr>
            <w:tcW w:w="1858" w:type="dxa"/>
            <w:tcBorders>
              <w:top w:val="nil"/>
              <w:bottom w:val="nil"/>
            </w:tcBorders>
            <w:vAlign w:val="center"/>
          </w:tcPr>
          <w:p w14:paraId="5DAE8DA7" w14:textId="77777777" w:rsidR="00B13F5F" w:rsidRPr="00C80F33" w:rsidRDefault="00B13F5F" w:rsidP="00B13F5F">
            <w:pPr>
              <w:pStyle w:val="Caption1"/>
              <w:rPr>
                <w:rFonts w:asciiTheme="minorHAnsi" w:hAnsiTheme="minorHAnsi"/>
                <w:color w:val="000000" w:themeColor="text1"/>
                <w:sz w:val="20"/>
                <w:szCs w:val="20"/>
              </w:rPr>
            </w:pPr>
          </w:p>
        </w:tc>
      </w:tr>
      <w:tr w:rsidR="00181980" w:rsidRPr="00C80F33" w14:paraId="6CDCE5E3" w14:textId="77777777" w:rsidTr="009C165C">
        <w:trPr>
          <w:jc w:val="center"/>
        </w:trPr>
        <w:tc>
          <w:tcPr>
            <w:tcW w:w="1857" w:type="dxa"/>
            <w:vMerge w:val="restart"/>
            <w:tcBorders>
              <w:top w:val="nil"/>
              <w:bottom w:val="nil"/>
            </w:tcBorders>
            <w:vAlign w:val="center"/>
          </w:tcPr>
          <w:p w14:paraId="3AEE6C5C" w14:textId="77777777" w:rsidR="00181980" w:rsidRPr="00C80F33" w:rsidRDefault="00181980" w:rsidP="009C165C">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600" w:dyaOrig="360" w14:anchorId="267137E8">
                <v:shape id="_x0000_i1078" type="#_x0000_t75" style="width:29.95pt;height:17.8pt" o:ole="">
                  <v:imagedata r:id="rId133" o:title=""/>
                </v:shape>
                <o:OLEObject Type="Embed" ProgID="Equation.DSMT4" ShapeID="_x0000_i1078" DrawAspect="Content" ObjectID="_1495870648" r:id="rId134"/>
              </w:object>
            </w:r>
          </w:p>
        </w:tc>
        <w:tc>
          <w:tcPr>
            <w:tcW w:w="1858" w:type="dxa"/>
            <w:tcBorders>
              <w:top w:val="nil"/>
              <w:bottom w:val="nil"/>
            </w:tcBorders>
            <w:vAlign w:val="center"/>
          </w:tcPr>
          <w:p w14:paraId="67BFCCAD" w14:textId="77777777" w:rsidR="00181980" w:rsidRPr="00C80F33" w:rsidRDefault="00181980" w:rsidP="009C165C">
            <w:pPr>
              <w:pStyle w:val="Caption1"/>
              <w:rPr>
                <w:rFonts w:asciiTheme="minorHAnsi" w:hAnsiTheme="minorHAnsi"/>
                <w:color w:val="000000" w:themeColor="text1"/>
                <w:sz w:val="20"/>
                <w:szCs w:val="20"/>
              </w:rPr>
            </w:pPr>
          </w:p>
        </w:tc>
        <w:tc>
          <w:tcPr>
            <w:tcW w:w="1858" w:type="dxa"/>
            <w:tcBorders>
              <w:top w:val="nil"/>
              <w:bottom w:val="nil"/>
            </w:tcBorders>
            <w:vAlign w:val="center"/>
          </w:tcPr>
          <w:p w14:paraId="441BFF16" w14:textId="77777777" w:rsidR="00181980" w:rsidRPr="00C80F33" w:rsidRDefault="00181980" w:rsidP="009C165C">
            <w:pPr>
              <w:pStyle w:val="Caption1"/>
              <w:rPr>
                <w:rFonts w:asciiTheme="minorHAnsi" w:hAnsiTheme="minorHAnsi"/>
                <w:color w:val="000000" w:themeColor="text1"/>
                <w:sz w:val="20"/>
                <w:szCs w:val="20"/>
              </w:rPr>
            </w:pPr>
          </w:p>
        </w:tc>
        <w:tc>
          <w:tcPr>
            <w:tcW w:w="1858" w:type="dxa"/>
            <w:tcBorders>
              <w:top w:val="nil"/>
              <w:bottom w:val="nil"/>
            </w:tcBorders>
            <w:vAlign w:val="center"/>
          </w:tcPr>
          <w:p w14:paraId="0115BA99" w14:textId="77777777" w:rsidR="00181980" w:rsidRPr="00C80F33" w:rsidRDefault="00181980" w:rsidP="009C165C">
            <w:pPr>
              <w:pStyle w:val="Caption1"/>
              <w:rPr>
                <w:rFonts w:asciiTheme="minorHAnsi" w:hAnsiTheme="minorHAnsi"/>
                <w:color w:val="000000" w:themeColor="text1"/>
                <w:sz w:val="20"/>
                <w:szCs w:val="20"/>
              </w:rPr>
            </w:pPr>
          </w:p>
        </w:tc>
        <w:tc>
          <w:tcPr>
            <w:tcW w:w="1858" w:type="dxa"/>
            <w:tcBorders>
              <w:top w:val="nil"/>
              <w:bottom w:val="nil"/>
            </w:tcBorders>
            <w:vAlign w:val="center"/>
          </w:tcPr>
          <w:p w14:paraId="39A43DA0" w14:textId="77777777" w:rsidR="00181980" w:rsidRPr="00C80F33" w:rsidRDefault="00181980" w:rsidP="009C165C">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-0.0287</w:t>
            </w:r>
          </w:p>
        </w:tc>
      </w:tr>
      <w:tr w:rsidR="00181980" w:rsidRPr="00C80F33" w14:paraId="5557610D" w14:textId="77777777" w:rsidTr="009C165C">
        <w:trPr>
          <w:jc w:val="center"/>
        </w:trPr>
        <w:tc>
          <w:tcPr>
            <w:tcW w:w="1857" w:type="dxa"/>
            <w:vMerge/>
            <w:tcBorders>
              <w:top w:val="nil"/>
              <w:bottom w:val="nil"/>
            </w:tcBorders>
            <w:vAlign w:val="center"/>
          </w:tcPr>
          <w:p w14:paraId="716C14B2" w14:textId="77777777" w:rsidR="00181980" w:rsidRPr="00C80F33" w:rsidRDefault="00181980" w:rsidP="009C165C">
            <w:pPr>
              <w:pStyle w:val="Caption1"/>
              <w:rPr>
                <w:rFonts w:asciiTheme="minorHAnsi" w:hAnsiTheme="minorHAnsi"/>
                <w:color w:val="000000" w:themeColor="text1"/>
                <w:sz w:val="20"/>
                <w:szCs w:val="20"/>
              </w:rPr>
            </w:pPr>
          </w:p>
        </w:tc>
        <w:tc>
          <w:tcPr>
            <w:tcW w:w="1858" w:type="dxa"/>
            <w:tcBorders>
              <w:top w:val="nil"/>
              <w:bottom w:val="nil"/>
            </w:tcBorders>
            <w:vAlign w:val="center"/>
          </w:tcPr>
          <w:p w14:paraId="5A62EBC5" w14:textId="77777777" w:rsidR="00181980" w:rsidRPr="00C80F33" w:rsidRDefault="00181980" w:rsidP="009C165C">
            <w:pPr>
              <w:pStyle w:val="Caption1"/>
              <w:rPr>
                <w:rFonts w:asciiTheme="minorHAnsi" w:hAnsiTheme="minorHAnsi"/>
                <w:color w:val="000000" w:themeColor="text1"/>
                <w:sz w:val="20"/>
                <w:szCs w:val="20"/>
              </w:rPr>
            </w:pPr>
          </w:p>
        </w:tc>
        <w:tc>
          <w:tcPr>
            <w:tcW w:w="1858" w:type="dxa"/>
            <w:tcBorders>
              <w:top w:val="nil"/>
              <w:bottom w:val="nil"/>
            </w:tcBorders>
            <w:vAlign w:val="center"/>
          </w:tcPr>
          <w:p w14:paraId="1FFBCF31" w14:textId="77777777" w:rsidR="00181980" w:rsidRPr="00C80F33" w:rsidRDefault="00181980" w:rsidP="009C165C">
            <w:pPr>
              <w:pStyle w:val="Caption1"/>
              <w:rPr>
                <w:rFonts w:asciiTheme="minorHAnsi" w:hAnsiTheme="minorHAnsi"/>
                <w:color w:val="000000" w:themeColor="text1"/>
                <w:sz w:val="20"/>
                <w:szCs w:val="20"/>
              </w:rPr>
            </w:pPr>
          </w:p>
        </w:tc>
        <w:tc>
          <w:tcPr>
            <w:tcW w:w="1858" w:type="dxa"/>
            <w:tcBorders>
              <w:top w:val="nil"/>
              <w:bottom w:val="nil"/>
            </w:tcBorders>
            <w:vAlign w:val="center"/>
          </w:tcPr>
          <w:p w14:paraId="1A48507D" w14:textId="77777777" w:rsidR="00181980" w:rsidRPr="00C80F33" w:rsidRDefault="00181980" w:rsidP="009C165C">
            <w:pPr>
              <w:pStyle w:val="Caption1"/>
              <w:rPr>
                <w:rFonts w:asciiTheme="minorHAnsi" w:hAnsiTheme="minorHAnsi"/>
                <w:color w:val="000000" w:themeColor="text1"/>
                <w:sz w:val="20"/>
                <w:szCs w:val="20"/>
              </w:rPr>
            </w:pPr>
          </w:p>
        </w:tc>
        <w:tc>
          <w:tcPr>
            <w:tcW w:w="1858" w:type="dxa"/>
            <w:tcBorders>
              <w:top w:val="nil"/>
              <w:bottom w:val="nil"/>
            </w:tcBorders>
            <w:vAlign w:val="center"/>
          </w:tcPr>
          <w:p w14:paraId="63447C09" w14:textId="77777777" w:rsidR="00181980" w:rsidRPr="00C80F33" w:rsidRDefault="00181980" w:rsidP="009C165C">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(0.0128)</w:t>
            </w:r>
          </w:p>
        </w:tc>
      </w:tr>
      <w:tr w:rsidR="00C73D16" w:rsidRPr="00C80F33" w14:paraId="49E2F7F3" w14:textId="77777777" w:rsidTr="009344C3">
        <w:trPr>
          <w:jc w:val="center"/>
        </w:trPr>
        <w:tc>
          <w:tcPr>
            <w:tcW w:w="1857" w:type="dxa"/>
            <w:vMerge w:val="restart"/>
            <w:vAlign w:val="center"/>
          </w:tcPr>
          <w:p w14:paraId="14330C43"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560" w:dyaOrig="360" w14:anchorId="607A7933">
                <v:shape id="_x0000_i1079" type="#_x0000_t75" style="width:28.5pt;height:17.8pt" o:ole="">
                  <v:imagedata r:id="rId135" o:title=""/>
                </v:shape>
                <o:OLEObject Type="Embed" ProgID="Equation.DSMT4" ShapeID="_x0000_i1079" DrawAspect="Content" ObjectID="_1495870649" r:id="rId136"/>
              </w:object>
            </w:r>
          </w:p>
        </w:tc>
        <w:tc>
          <w:tcPr>
            <w:tcW w:w="1858" w:type="dxa"/>
            <w:vAlign w:val="center"/>
          </w:tcPr>
          <w:p w14:paraId="056A2655" w14:textId="77777777" w:rsidR="00C73D16" w:rsidRPr="00C80F33" w:rsidRDefault="00C73D16" w:rsidP="009344C3">
            <w:pPr>
              <w:pStyle w:val="Caption1"/>
              <w:rPr>
                <w:rFonts w:asciiTheme="minorHAnsi" w:hAnsiTheme="minorHAnsi"/>
                <w:color w:val="000000" w:themeColor="text1"/>
                <w:sz w:val="20"/>
                <w:szCs w:val="20"/>
              </w:rPr>
            </w:pPr>
          </w:p>
        </w:tc>
        <w:tc>
          <w:tcPr>
            <w:tcW w:w="1858" w:type="dxa"/>
            <w:vAlign w:val="center"/>
          </w:tcPr>
          <w:p w14:paraId="544D4300"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0.0112</w:t>
            </w:r>
          </w:p>
        </w:tc>
        <w:tc>
          <w:tcPr>
            <w:tcW w:w="1858" w:type="dxa"/>
            <w:vAlign w:val="center"/>
          </w:tcPr>
          <w:p w14:paraId="331032B7" w14:textId="77777777" w:rsidR="00C73D16" w:rsidRPr="00C80F33" w:rsidRDefault="00C73D16" w:rsidP="009344C3">
            <w:pPr>
              <w:pStyle w:val="Caption1"/>
              <w:rPr>
                <w:rFonts w:asciiTheme="minorHAnsi" w:hAnsiTheme="minorHAnsi"/>
                <w:color w:val="000000" w:themeColor="text1"/>
                <w:sz w:val="20"/>
                <w:szCs w:val="20"/>
              </w:rPr>
            </w:pPr>
          </w:p>
        </w:tc>
        <w:tc>
          <w:tcPr>
            <w:tcW w:w="1858" w:type="dxa"/>
            <w:vAlign w:val="center"/>
          </w:tcPr>
          <w:p w14:paraId="0F76568C"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-0.0042</w:t>
            </w:r>
          </w:p>
        </w:tc>
      </w:tr>
      <w:tr w:rsidR="00C73D16" w:rsidRPr="00C80F33" w14:paraId="19405496" w14:textId="77777777" w:rsidTr="009344C3">
        <w:trPr>
          <w:jc w:val="center"/>
        </w:trPr>
        <w:tc>
          <w:tcPr>
            <w:tcW w:w="1857" w:type="dxa"/>
            <w:vMerge/>
            <w:tcBorders>
              <w:bottom w:val="nil"/>
            </w:tcBorders>
            <w:vAlign w:val="center"/>
          </w:tcPr>
          <w:p w14:paraId="234EFCDF" w14:textId="77777777" w:rsidR="00C73D16" w:rsidRPr="00C80F33" w:rsidRDefault="00C73D16" w:rsidP="009344C3">
            <w:pPr>
              <w:pStyle w:val="Caption1"/>
              <w:rPr>
                <w:rFonts w:asciiTheme="minorHAnsi" w:hAnsiTheme="minorHAnsi"/>
                <w:color w:val="000000" w:themeColor="text1"/>
                <w:sz w:val="20"/>
                <w:szCs w:val="20"/>
              </w:rPr>
            </w:pPr>
          </w:p>
        </w:tc>
        <w:tc>
          <w:tcPr>
            <w:tcW w:w="1858" w:type="dxa"/>
            <w:tcBorders>
              <w:bottom w:val="nil"/>
            </w:tcBorders>
            <w:vAlign w:val="center"/>
          </w:tcPr>
          <w:p w14:paraId="2847B774" w14:textId="77777777" w:rsidR="00C73D16" w:rsidRPr="00C80F33" w:rsidRDefault="00C73D16" w:rsidP="009344C3">
            <w:pPr>
              <w:pStyle w:val="Caption1"/>
              <w:rPr>
                <w:rFonts w:asciiTheme="minorHAnsi" w:hAnsiTheme="minorHAnsi"/>
                <w:color w:val="000000" w:themeColor="text1"/>
                <w:sz w:val="20"/>
                <w:szCs w:val="20"/>
              </w:rPr>
            </w:pPr>
          </w:p>
        </w:tc>
        <w:tc>
          <w:tcPr>
            <w:tcW w:w="1858" w:type="dxa"/>
            <w:tcBorders>
              <w:bottom w:val="nil"/>
            </w:tcBorders>
            <w:vAlign w:val="center"/>
          </w:tcPr>
          <w:p w14:paraId="625598B5"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(0.0010)</w:t>
            </w:r>
          </w:p>
        </w:tc>
        <w:tc>
          <w:tcPr>
            <w:tcW w:w="1858" w:type="dxa"/>
            <w:tcBorders>
              <w:bottom w:val="nil"/>
            </w:tcBorders>
            <w:vAlign w:val="center"/>
          </w:tcPr>
          <w:p w14:paraId="08D0411B" w14:textId="77777777" w:rsidR="00C73D16" w:rsidRPr="00C80F33" w:rsidRDefault="00C73D16" w:rsidP="009344C3">
            <w:pPr>
              <w:pStyle w:val="Caption1"/>
              <w:rPr>
                <w:rFonts w:asciiTheme="minorHAnsi" w:hAnsiTheme="minorHAnsi"/>
                <w:color w:val="000000" w:themeColor="text1"/>
                <w:sz w:val="20"/>
                <w:szCs w:val="20"/>
              </w:rPr>
            </w:pPr>
          </w:p>
        </w:tc>
        <w:tc>
          <w:tcPr>
            <w:tcW w:w="1858" w:type="dxa"/>
            <w:tcBorders>
              <w:bottom w:val="nil"/>
            </w:tcBorders>
            <w:vAlign w:val="center"/>
          </w:tcPr>
          <w:p w14:paraId="385E6B1F"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(0.0011)</w:t>
            </w:r>
          </w:p>
        </w:tc>
      </w:tr>
      <w:tr w:rsidR="00C73D16" w:rsidRPr="00C80F33" w14:paraId="7BC8052A" w14:textId="77777777" w:rsidTr="009344C3">
        <w:trPr>
          <w:jc w:val="center"/>
        </w:trPr>
        <w:tc>
          <w:tcPr>
            <w:tcW w:w="1857" w:type="dxa"/>
            <w:tcBorders>
              <w:top w:val="dotted" w:sz="4" w:space="0" w:color="auto"/>
              <w:left w:val="nil"/>
              <w:bottom w:val="nil"/>
            </w:tcBorders>
            <w:vAlign w:val="center"/>
          </w:tcPr>
          <w:p w14:paraId="53F9CD8A" w14:textId="77777777" w:rsidR="00C73D16" w:rsidRPr="00C80F33" w:rsidRDefault="00C73D16" w:rsidP="00B13F5F">
            <w:pPr>
              <w:pStyle w:val="Caption1"/>
              <w:jc w:val="left"/>
              <w:rPr>
                <w:rFonts w:asciiTheme="minorHAnsi" w:hAnsiTheme="minorHAnsi"/>
                <w:b/>
                <w:color w:val="000000" w:themeColor="text1"/>
                <w:sz w:val="20"/>
                <w:szCs w:val="20"/>
              </w:rPr>
            </w:pPr>
            <w:r w:rsidRPr="00C80F33">
              <w:rPr>
                <w:rFonts w:asciiTheme="minorHAnsi" w:hAnsiTheme="minorHAnsi"/>
                <w:b/>
                <w:color w:val="000000" w:themeColor="text1"/>
                <w:sz w:val="20"/>
                <w:szCs w:val="20"/>
              </w:rPr>
              <w:t>Short-run</w:t>
            </w:r>
          </w:p>
        </w:tc>
        <w:tc>
          <w:tcPr>
            <w:tcW w:w="1858" w:type="dxa"/>
            <w:tcBorders>
              <w:top w:val="dotted" w:sz="4" w:space="0" w:color="auto"/>
              <w:bottom w:val="nil"/>
            </w:tcBorders>
            <w:vAlign w:val="center"/>
          </w:tcPr>
          <w:p w14:paraId="314F192D" w14:textId="77777777" w:rsidR="00C73D16" w:rsidRPr="00C80F33" w:rsidRDefault="00C73D16" w:rsidP="009344C3">
            <w:pPr>
              <w:pStyle w:val="Caption1"/>
              <w:rPr>
                <w:rFonts w:asciiTheme="minorHAnsi" w:hAnsiTheme="minorHAnsi"/>
                <w:b/>
                <w:color w:val="000000" w:themeColor="text1"/>
                <w:sz w:val="20"/>
                <w:szCs w:val="20"/>
              </w:rPr>
            </w:pPr>
          </w:p>
        </w:tc>
        <w:tc>
          <w:tcPr>
            <w:tcW w:w="1858" w:type="dxa"/>
            <w:tcBorders>
              <w:top w:val="dotted" w:sz="4" w:space="0" w:color="auto"/>
              <w:bottom w:val="nil"/>
            </w:tcBorders>
            <w:vAlign w:val="center"/>
          </w:tcPr>
          <w:p w14:paraId="4285985B" w14:textId="77777777" w:rsidR="00C73D16" w:rsidRPr="00C80F33" w:rsidRDefault="00C73D16" w:rsidP="009344C3">
            <w:pPr>
              <w:pStyle w:val="Caption1"/>
              <w:rPr>
                <w:rFonts w:asciiTheme="minorHAnsi" w:hAnsiTheme="minorHAnsi"/>
                <w:b/>
                <w:color w:val="000000" w:themeColor="text1"/>
                <w:sz w:val="20"/>
                <w:szCs w:val="20"/>
              </w:rPr>
            </w:pPr>
          </w:p>
        </w:tc>
        <w:tc>
          <w:tcPr>
            <w:tcW w:w="1858" w:type="dxa"/>
            <w:tcBorders>
              <w:top w:val="dotted" w:sz="4" w:space="0" w:color="auto"/>
              <w:bottom w:val="nil"/>
            </w:tcBorders>
            <w:vAlign w:val="center"/>
          </w:tcPr>
          <w:p w14:paraId="1A32C011" w14:textId="77777777" w:rsidR="00C73D16" w:rsidRPr="00C80F33" w:rsidRDefault="00C73D16" w:rsidP="009344C3">
            <w:pPr>
              <w:pStyle w:val="Caption1"/>
              <w:rPr>
                <w:rFonts w:asciiTheme="minorHAnsi" w:hAnsiTheme="minorHAnsi"/>
                <w:b/>
                <w:color w:val="000000" w:themeColor="text1"/>
                <w:sz w:val="20"/>
                <w:szCs w:val="20"/>
              </w:rPr>
            </w:pPr>
          </w:p>
        </w:tc>
        <w:tc>
          <w:tcPr>
            <w:tcW w:w="1858" w:type="dxa"/>
            <w:tcBorders>
              <w:top w:val="dotted" w:sz="4" w:space="0" w:color="auto"/>
              <w:bottom w:val="nil"/>
              <w:right w:val="nil"/>
            </w:tcBorders>
            <w:vAlign w:val="center"/>
          </w:tcPr>
          <w:p w14:paraId="27FEF9F5" w14:textId="77777777" w:rsidR="00C73D16" w:rsidRPr="00C80F33" w:rsidRDefault="00C73D16" w:rsidP="009344C3">
            <w:pPr>
              <w:pStyle w:val="Caption1"/>
              <w:rPr>
                <w:rFonts w:asciiTheme="minorHAnsi" w:hAnsiTheme="minorHAnsi"/>
                <w:b/>
                <w:color w:val="000000" w:themeColor="text1"/>
                <w:sz w:val="20"/>
                <w:szCs w:val="20"/>
              </w:rPr>
            </w:pPr>
          </w:p>
        </w:tc>
      </w:tr>
      <w:tr w:rsidR="00C73D16" w:rsidRPr="00C80F33" w14:paraId="23393052" w14:textId="77777777" w:rsidTr="009344C3">
        <w:trPr>
          <w:jc w:val="center"/>
        </w:trPr>
        <w:tc>
          <w:tcPr>
            <w:tcW w:w="1857" w:type="dxa"/>
            <w:vMerge w:val="restart"/>
            <w:tcBorders>
              <w:top w:val="nil"/>
              <w:bottom w:val="nil"/>
            </w:tcBorders>
            <w:vAlign w:val="center"/>
          </w:tcPr>
          <w:p w14:paraId="437B224E"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olor w:val="000000" w:themeColor="text1"/>
                <w:position w:val="-6"/>
                <w:sz w:val="20"/>
                <w:szCs w:val="20"/>
              </w:rPr>
              <w:object w:dxaOrig="220" w:dyaOrig="279" w14:anchorId="55888306">
                <v:shape id="_x0000_i1080" type="#_x0000_t75" style="width:10.7pt;height:13.55pt" o:ole="">
                  <v:imagedata r:id="rId137" o:title=""/>
                </v:shape>
                <o:OLEObject Type="Embed" ProgID="Equation.DSMT4" ShapeID="_x0000_i1080" DrawAspect="Content" ObjectID="_1495870650" r:id="rId138"/>
              </w:object>
            </w:r>
          </w:p>
        </w:tc>
        <w:tc>
          <w:tcPr>
            <w:tcW w:w="1858" w:type="dxa"/>
            <w:tcBorders>
              <w:top w:val="nil"/>
              <w:bottom w:val="nil"/>
            </w:tcBorders>
            <w:vAlign w:val="center"/>
          </w:tcPr>
          <w:p w14:paraId="65DFE286"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-0.1987</w:t>
            </w:r>
          </w:p>
        </w:tc>
        <w:tc>
          <w:tcPr>
            <w:tcW w:w="1858" w:type="dxa"/>
            <w:tcBorders>
              <w:top w:val="nil"/>
              <w:bottom w:val="nil"/>
            </w:tcBorders>
            <w:vAlign w:val="center"/>
          </w:tcPr>
          <w:p w14:paraId="590226DD"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-0.6910</w:t>
            </w:r>
          </w:p>
        </w:tc>
        <w:tc>
          <w:tcPr>
            <w:tcW w:w="1858" w:type="dxa"/>
            <w:tcBorders>
              <w:top w:val="nil"/>
              <w:bottom w:val="nil"/>
            </w:tcBorders>
            <w:vAlign w:val="center"/>
          </w:tcPr>
          <w:p w14:paraId="4299D39D"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-0.3651</w:t>
            </w:r>
          </w:p>
        </w:tc>
        <w:tc>
          <w:tcPr>
            <w:tcW w:w="1858" w:type="dxa"/>
            <w:tcBorders>
              <w:top w:val="nil"/>
              <w:bottom w:val="nil"/>
            </w:tcBorders>
            <w:vAlign w:val="center"/>
          </w:tcPr>
          <w:p w14:paraId="2257F405"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-0.1420</w:t>
            </w:r>
          </w:p>
        </w:tc>
      </w:tr>
      <w:tr w:rsidR="00C73D16" w:rsidRPr="00C80F33" w14:paraId="725CF228" w14:textId="77777777" w:rsidTr="009344C3">
        <w:trPr>
          <w:jc w:val="center"/>
        </w:trPr>
        <w:tc>
          <w:tcPr>
            <w:tcW w:w="1857" w:type="dxa"/>
            <w:vMerge/>
            <w:tcBorders>
              <w:top w:val="nil"/>
            </w:tcBorders>
            <w:vAlign w:val="center"/>
          </w:tcPr>
          <w:p w14:paraId="63FF7EB9" w14:textId="77777777" w:rsidR="00C73D16" w:rsidRPr="00C80F33" w:rsidRDefault="00C73D16" w:rsidP="009344C3">
            <w:pPr>
              <w:pStyle w:val="Caption1"/>
              <w:rPr>
                <w:rFonts w:asciiTheme="minorHAnsi" w:hAnsiTheme="minorHAnsi"/>
                <w:color w:val="000000" w:themeColor="text1"/>
                <w:sz w:val="20"/>
                <w:szCs w:val="20"/>
              </w:rPr>
            </w:pPr>
          </w:p>
        </w:tc>
        <w:tc>
          <w:tcPr>
            <w:tcW w:w="1858" w:type="dxa"/>
            <w:tcBorders>
              <w:top w:val="nil"/>
            </w:tcBorders>
            <w:vAlign w:val="center"/>
          </w:tcPr>
          <w:p w14:paraId="5BAD5D3E"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(0.0518)</w:t>
            </w:r>
          </w:p>
        </w:tc>
        <w:tc>
          <w:tcPr>
            <w:tcW w:w="1858" w:type="dxa"/>
            <w:tcBorders>
              <w:top w:val="nil"/>
            </w:tcBorders>
            <w:vAlign w:val="center"/>
          </w:tcPr>
          <w:p w14:paraId="24DEEBCA"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(0.0993)</w:t>
            </w:r>
          </w:p>
        </w:tc>
        <w:tc>
          <w:tcPr>
            <w:tcW w:w="1858" w:type="dxa"/>
            <w:tcBorders>
              <w:top w:val="nil"/>
            </w:tcBorders>
            <w:vAlign w:val="center"/>
          </w:tcPr>
          <w:p w14:paraId="17087D2D"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(0.0760)</w:t>
            </w:r>
          </w:p>
        </w:tc>
        <w:tc>
          <w:tcPr>
            <w:tcW w:w="1858" w:type="dxa"/>
            <w:tcBorders>
              <w:top w:val="nil"/>
            </w:tcBorders>
            <w:vAlign w:val="center"/>
          </w:tcPr>
          <w:p w14:paraId="3BB6E431"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(0.0475)</w:t>
            </w:r>
          </w:p>
        </w:tc>
      </w:tr>
      <w:tr w:rsidR="00C73D16" w:rsidRPr="00C80F33" w14:paraId="0BEAFD4F" w14:textId="77777777" w:rsidTr="009344C3">
        <w:trPr>
          <w:jc w:val="center"/>
        </w:trPr>
        <w:tc>
          <w:tcPr>
            <w:tcW w:w="1857" w:type="dxa"/>
            <w:vMerge w:val="restart"/>
            <w:vAlign w:val="center"/>
          </w:tcPr>
          <w:p w14:paraId="72C2D7DF"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340" w:dyaOrig="360" w14:anchorId="711773CA">
                <v:shape id="_x0000_i1081" type="#_x0000_t75" style="width:17.1pt;height:17.8pt" o:ole="">
                  <v:imagedata r:id="rId139" o:title=""/>
                </v:shape>
                <o:OLEObject Type="Embed" ProgID="Equation.DSMT4" ShapeID="_x0000_i1081" DrawAspect="Content" ObjectID="_1495870651" r:id="rId140"/>
              </w:object>
            </w:r>
          </w:p>
        </w:tc>
        <w:tc>
          <w:tcPr>
            <w:tcW w:w="1858" w:type="dxa"/>
            <w:vAlign w:val="center"/>
          </w:tcPr>
          <w:p w14:paraId="37E08311"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0.8183</w:t>
            </w:r>
          </w:p>
        </w:tc>
        <w:tc>
          <w:tcPr>
            <w:tcW w:w="1858" w:type="dxa"/>
            <w:vAlign w:val="center"/>
          </w:tcPr>
          <w:p w14:paraId="3B110329"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1.9814</w:t>
            </w:r>
          </w:p>
        </w:tc>
        <w:tc>
          <w:tcPr>
            <w:tcW w:w="1858" w:type="dxa"/>
            <w:vAlign w:val="center"/>
          </w:tcPr>
          <w:p w14:paraId="16B30986"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5.4564</w:t>
            </w:r>
          </w:p>
        </w:tc>
        <w:tc>
          <w:tcPr>
            <w:tcW w:w="1858" w:type="dxa"/>
            <w:vAlign w:val="center"/>
          </w:tcPr>
          <w:p w14:paraId="6D81140C"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0.7903</w:t>
            </w:r>
          </w:p>
        </w:tc>
      </w:tr>
      <w:tr w:rsidR="00C73D16" w:rsidRPr="00C80F33" w14:paraId="1E37BE9D" w14:textId="77777777" w:rsidTr="009344C3">
        <w:trPr>
          <w:jc w:val="center"/>
        </w:trPr>
        <w:tc>
          <w:tcPr>
            <w:tcW w:w="1857" w:type="dxa"/>
            <w:vMerge/>
            <w:vAlign w:val="center"/>
          </w:tcPr>
          <w:p w14:paraId="51047738" w14:textId="77777777" w:rsidR="00C73D16" w:rsidRPr="00C80F33" w:rsidRDefault="00C73D16" w:rsidP="009344C3">
            <w:pPr>
              <w:pStyle w:val="Caption1"/>
              <w:rPr>
                <w:rFonts w:asciiTheme="minorHAnsi" w:hAnsiTheme="minorHAnsi"/>
                <w:color w:val="000000" w:themeColor="text1"/>
                <w:sz w:val="20"/>
                <w:szCs w:val="20"/>
              </w:rPr>
            </w:pPr>
          </w:p>
        </w:tc>
        <w:tc>
          <w:tcPr>
            <w:tcW w:w="1858" w:type="dxa"/>
            <w:vAlign w:val="center"/>
          </w:tcPr>
          <w:p w14:paraId="335E9009"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(0.4273)</w:t>
            </w:r>
          </w:p>
        </w:tc>
        <w:tc>
          <w:tcPr>
            <w:tcW w:w="1858" w:type="dxa"/>
            <w:vAlign w:val="center"/>
          </w:tcPr>
          <w:p w14:paraId="4DC88A4D"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(0.9642)</w:t>
            </w:r>
          </w:p>
        </w:tc>
        <w:tc>
          <w:tcPr>
            <w:tcW w:w="1858" w:type="dxa"/>
            <w:vAlign w:val="center"/>
          </w:tcPr>
          <w:p w14:paraId="216E8E6E"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(0.8253)</w:t>
            </w:r>
          </w:p>
        </w:tc>
        <w:tc>
          <w:tcPr>
            <w:tcW w:w="1858" w:type="dxa"/>
            <w:vAlign w:val="center"/>
          </w:tcPr>
          <w:p w14:paraId="295ADF5D"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(0.3955)</w:t>
            </w:r>
          </w:p>
        </w:tc>
      </w:tr>
      <w:tr w:rsidR="00C73D16" w:rsidRPr="00C80F33" w14:paraId="4AC610E1" w14:textId="77777777" w:rsidTr="009344C3">
        <w:trPr>
          <w:jc w:val="center"/>
        </w:trPr>
        <w:tc>
          <w:tcPr>
            <w:tcW w:w="1857" w:type="dxa"/>
            <w:vMerge w:val="restart"/>
            <w:vAlign w:val="center"/>
          </w:tcPr>
          <w:p w14:paraId="5B985FFB"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360" w:dyaOrig="360" w14:anchorId="2BC1FAD4">
                <v:shape id="_x0000_i1082" type="#_x0000_t75" style="width:17.8pt;height:17.8pt" o:ole="">
                  <v:imagedata r:id="rId141" o:title=""/>
                </v:shape>
                <o:OLEObject Type="Embed" ProgID="Equation.DSMT4" ShapeID="_x0000_i1082" DrawAspect="Content" ObjectID="_1495870652" r:id="rId142"/>
              </w:object>
            </w:r>
          </w:p>
        </w:tc>
        <w:tc>
          <w:tcPr>
            <w:tcW w:w="1858" w:type="dxa"/>
            <w:vAlign w:val="center"/>
          </w:tcPr>
          <w:p w14:paraId="7FA6FCF1"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-0.6307</w:t>
            </w:r>
          </w:p>
        </w:tc>
        <w:tc>
          <w:tcPr>
            <w:tcW w:w="1858" w:type="dxa"/>
            <w:vAlign w:val="center"/>
          </w:tcPr>
          <w:p w14:paraId="4442A4CF"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-0.5681</w:t>
            </w:r>
          </w:p>
        </w:tc>
        <w:tc>
          <w:tcPr>
            <w:tcW w:w="1858" w:type="dxa"/>
            <w:vAlign w:val="center"/>
          </w:tcPr>
          <w:p w14:paraId="4BB96B65"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-0.8461</w:t>
            </w:r>
          </w:p>
        </w:tc>
        <w:tc>
          <w:tcPr>
            <w:tcW w:w="1858" w:type="dxa"/>
            <w:vAlign w:val="center"/>
          </w:tcPr>
          <w:p w14:paraId="2359E57F"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-0.7758</w:t>
            </w:r>
          </w:p>
        </w:tc>
      </w:tr>
      <w:tr w:rsidR="00C73D16" w:rsidRPr="00C80F33" w14:paraId="0632FE57" w14:textId="77777777" w:rsidTr="00B13F5F">
        <w:trPr>
          <w:jc w:val="center"/>
        </w:trPr>
        <w:tc>
          <w:tcPr>
            <w:tcW w:w="1857" w:type="dxa"/>
            <w:vMerge/>
            <w:tcBorders>
              <w:bottom w:val="nil"/>
            </w:tcBorders>
            <w:vAlign w:val="center"/>
          </w:tcPr>
          <w:p w14:paraId="2B82561D" w14:textId="77777777" w:rsidR="00C73D16" w:rsidRPr="00C80F33" w:rsidRDefault="00C73D16" w:rsidP="009344C3">
            <w:pPr>
              <w:pStyle w:val="Caption1"/>
              <w:rPr>
                <w:rFonts w:asciiTheme="minorHAnsi" w:hAnsiTheme="minorHAnsi"/>
                <w:color w:val="000000" w:themeColor="text1"/>
                <w:sz w:val="20"/>
                <w:szCs w:val="20"/>
              </w:rPr>
            </w:pPr>
          </w:p>
        </w:tc>
        <w:tc>
          <w:tcPr>
            <w:tcW w:w="1858" w:type="dxa"/>
            <w:tcBorders>
              <w:bottom w:val="nil"/>
            </w:tcBorders>
            <w:vAlign w:val="center"/>
          </w:tcPr>
          <w:p w14:paraId="422E7039"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(0.0336)</w:t>
            </w:r>
          </w:p>
        </w:tc>
        <w:tc>
          <w:tcPr>
            <w:tcW w:w="1858" w:type="dxa"/>
            <w:tcBorders>
              <w:bottom w:val="nil"/>
            </w:tcBorders>
            <w:vAlign w:val="center"/>
          </w:tcPr>
          <w:p w14:paraId="0A9424CF"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(0.0903)</w:t>
            </w:r>
          </w:p>
        </w:tc>
        <w:tc>
          <w:tcPr>
            <w:tcW w:w="1858" w:type="dxa"/>
            <w:tcBorders>
              <w:bottom w:val="nil"/>
            </w:tcBorders>
            <w:vAlign w:val="center"/>
          </w:tcPr>
          <w:p w14:paraId="7054D477"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(0.0687)</w:t>
            </w:r>
          </w:p>
        </w:tc>
        <w:tc>
          <w:tcPr>
            <w:tcW w:w="1858" w:type="dxa"/>
            <w:tcBorders>
              <w:bottom w:val="nil"/>
            </w:tcBorders>
            <w:vAlign w:val="center"/>
          </w:tcPr>
          <w:p w14:paraId="0167CD13"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(0.0347)</w:t>
            </w:r>
          </w:p>
        </w:tc>
      </w:tr>
      <w:tr w:rsidR="00C73D16" w:rsidRPr="00C80F33" w14:paraId="58BECB3D" w14:textId="77777777" w:rsidTr="00B13F5F">
        <w:trPr>
          <w:jc w:val="center"/>
        </w:trPr>
        <w:tc>
          <w:tcPr>
            <w:tcW w:w="1857" w:type="dxa"/>
            <w:vMerge w:val="restart"/>
            <w:tcBorders>
              <w:top w:val="nil"/>
              <w:bottom w:val="nil"/>
            </w:tcBorders>
            <w:vAlign w:val="center"/>
          </w:tcPr>
          <w:p w14:paraId="6D53F811"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340" w:dyaOrig="360" w14:anchorId="4BC066D0">
                <v:shape id="_x0000_i1083" type="#_x0000_t75" style="width:17.1pt;height:17.8pt" o:ole="">
                  <v:imagedata r:id="rId143" o:title=""/>
                </v:shape>
                <o:OLEObject Type="Embed" ProgID="Equation.DSMT4" ShapeID="_x0000_i1083" DrawAspect="Content" ObjectID="_1495870653" r:id="rId144"/>
              </w:object>
            </w:r>
          </w:p>
        </w:tc>
        <w:tc>
          <w:tcPr>
            <w:tcW w:w="1858" w:type="dxa"/>
            <w:tcBorders>
              <w:top w:val="nil"/>
              <w:bottom w:val="nil"/>
            </w:tcBorders>
            <w:vAlign w:val="center"/>
          </w:tcPr>
          <w:p w14:paraId="49608CD0" w14:textId="77777777" w:rsidR="00C73D16" w:rsidRPr="00C80F33" w:rsidRDefault="00C73D16" w:rsidP="009344C3">
            <w:pPr>
              <w:pStyle w:val="Caption1"/>
              <w:rPr>
                <w:rFonts w:asciiTheme="minorHAnsi" w:hAnsiTheme="minorHAnsi"/>
                <w:color w:val="000000" w:themeColor="text1"/>
                <w:sz w:val="20"/>
                <w:szCs w:val="20"/>
              </w:rPr>
            </w:pPr>
          </w:p>
        </w:tc>
        <w:tc>
          <w:tcPr>
            <w:tcW w:w="1858" w:type="dxa"/>
            <w:tcBorders>
              <w:top w:val="nil"/>
              <w:bottom w:val="nil"/>
            </w:tcBorders>
            <w:vAlign w:val="center"/>
          </w:tcPr>
          <w:p w14:paraId="1806E78C" w14:textId="77777777" w:rsidR="00C73D16" w:rsidRPr="00C80F33" w:rsidRDefault="00C73D16" w:rsidP="009344C3">
            <w:pPr>
              <w:pStyle w:val="Caption1"/>
              <w:rPr>
                <w:rFonts w:asciiTheme="minorHAnsi" w:hAnsiTheme="minorHAnsi" w:cs="Arial"/>
                <w:color w:val="000000"/>
                <w:sz w:val="20"/>
                <w:szCs w:val="20"/>
              </w:rPr>
            </w:pPr>
          </w:p>
        </w:tc>
        <w:tc>
          <w:tcPr>
            <w:tcW w:w="1858" w:type="dxa"/>
            <w:tcBorders>
              <w:top w:val="nil"/>
              <w:bottom w:val="nil"/>
            </w:tcBorders>
            <w:vAlign w:val="center"/>
          </w:tcPr>
          <w:p w14:paraId="5BEDB37C"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0.0906</w:t>
            </w:r>
          </w:p>
        </w:tc>
        <w:tc>
          <w:tcPr>
            <w:tcW w:w="1858" w:type="dxa"/>
            <w:tcBorders>
              <w:top w:val="nil"/>
              <w:bottom w:val="nil"/>
            </w:tcBorders>
            <w:vAlign w:val="center"/>
          </w:tcPr>
          <w:p w14:paraId="490B7CC7" w14:textId="77777777" w:rsidR="00C73D16" w:rsidRPr="00C80F33" w:rsidRDefault="00C73D16" w:rsidP="009344C3">
            <w:pPr>
              <w:pStyle w:val="Caption1"/>
              <w:rPr>
                <w:rFonts w:asciiTheme="minorHAnsi" w:hAnsiTheme="minorHAnsi"/>
                <w:color w:val="000000" w:themeColor="text1"/>
                <w:sz w:val="20"/>
                <w:szCs w:val="20"/>
              </w:rPr>
            </w:pPr>
          </w:p>
        </w:tc>
      </w:tr>
      <w:tr w:rsidR="00C73D16" w:rsidRPr="00C80F33" w14:paraId="27640AF4" w14:textId="77777777" w:rsidTr="00B13F5F">
        <w:trPr>
          <w:jc w:val="center"/>
        </w:trPr>
        <w:tc>
          <w:tcPr>
            <w:tcW w:w="1857" w:type="dxa"/>
            <w:vMerge/>
            <w:tcBorders>
              <w:top w:val="nil"/>
              <w:bottom w:val="nil"/>
            </w:tcBorders>
            <w:vAlign w:val="center"/>
          </w:tcPr>
          <w:p w14:paraId="2A87C10C" w14:textId="77777777" w:rsidR="00C73D16" w:rsidRPr="00C80F33" w:rsidRDefault="00C73D16" w:rsidP="009344C3">
            <w:pPr>
              <w:pStyle w:val="Caption1"/>
              <w:rPr>
                <w:rFonts w:asciiTheme="minorHAnsi" w:hAnsiTheme="minorHAnsi"/>
                <w:color w:val="000000" w:themeColor="text1"/>
                <w:sz w:val="20"/>
                <w:szCs w:val="20"/>
              </w:rPr>
            </w:pPr>
          </w:p>
        </w:tc>
        <w:tc>
          <w:tcPr>
            <w:tcW w:w="1858" w:type="dxa"/>
            <w:tcBorders>
              <w:top w:val="nil"/>
              <w:bottom w:val="nil"/>
            </w:tcBorders>
            <w:vAlign w:val="center"/>
          </w:tcPr>
          <w:p w14:paraId="3505B3B0" w14:textId="77777777" w:rsidR="00C73D16" w:rsidRPr="00C80F33" w:rsidRDefault="00C73D16" w:rsidP="009344C3">
            <w:pPr>
              <w:pStyle w:val="Caption1"/>
              <w:rPr>
                <w:rFonts w:asciiTheme="minorHAnsi" w:hAnsiTheme="minorHAnsi"/>
                <w:color w:val="000000" w:themeColor="text1"/>
                <w:sz w:val="20"/>
                <w:szCs w:val="20"/>
              </w:rPr>
            </w:pPr>
          </w:p>
        </w:tc>
        <w:tc>
          <w:tcPr>
            <w:tcW w:w="1858" w:type="dxa"/>
            <w:tcBorders>
              <w:top w:val="nil"/>
              <w:bottom w:val="nil"/>
            </w:tcBorders>
            <w:vAlign w:val="center"/>
          </w:tcPr>
          <w:p w14:paraId="36CB47F8" w14:textId="77777777" w:rsidR="00C73D16" w:rsidRPr="00C80F33" w:rsidRDefault="00C73D16" w:rsidP="009344C3">
            <w:pPr>
              <w:pStyle w:val="Caption1"/>
              <w:rPr>
                <w:rFonts w:asciiTheme="minorHAnsi" w:hAnsiTheme="minorHAnsi" w:cs="Arial"/>
                <w:color w:val="000000"/>
                <w:sz w:val="20"/>
                <w:szCs w:val="20"/>
              </w:rPr>
            </w:pPr>
          </w:p>
        </w:tc>
        <w:tc>
          <w:tcPr>
            <w:tcW w:w="1858" w:type="dxa"/>
            <w:tcBorders>
              <w:top w:val="nil"/>
              <w:bottom w:val="nil"/>
            </w:tcBorders>
            <w:vAlign w:val="center"/>
          </w:tcPr>
          <w:p w14:paraId="2F94D78D"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(0.0245)</w:t>
            </w:r>
          </w:p>
        </w:tc>
        <w:tc>
          <w:tcPr>
            <w:tcW w:w="1858" w:type="dxa"/>
            <w:tcBorders>
              <w:top w:val="nil"/>
              <w:bottom w:val="nil"/>
            </w:tcBorders>
            <w:vAlign w:val="center"/>
          </w:tcPr>
          <w:p w14:paraId="7C1E099F" w14:textId="77777777" w:rsidR="00C73D16" w:rsidRPr="00C80F33" w:rsidRDefault="00C73D16" w:rsidP="009344C3">
            <w:pPr>
              <w:pStyle w:val="Caption1"/>
              <w:rPr>
                <w:rFonts w:asciiTheme="minorHAnsi" w:hAnsiTheme="minorHAnsi"/>
                <w:color w:val="000000" w:themeColor="text1"/>
                <w:sz w:val="20"/>
                <w:szCs w:val="20"/>
              </w:rPr>
            </w:pPr>
          </w:p>
        </w:tc>
      </w:tr>
      <w:tr w:rsidR="00C73D16" w:rsidRPr="00C80F33" w14:paraId="3D0CCB8F" w14:textId="77777777" w:rsidTr="00B13F5F">
        <w:trPr>
          <w:jc w:val="center"/>
        </w:trPr>
        <w:tc>
          <w:tcPr>
            <w:tcW w:w="1857" w:type="dxa"/>
            <w:vMerge w:val="restart"/>
            <w:tcBorders>
              <w:top w:val="nil"/>
            </w:tcBorders>
            <w:vAlign w:val="center"/>
          </w:tcPr>
          <w:p w14:paraId="44050596"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560" w:dyaOrig="360" w14:anchorId="2F352490">
                <v:shape id="_x0000_i1084" type="#_x0000_t75" style="width:28.5pt;height:17.8pt" o:ole="">
                  <v:imagedata r:id="rId145" o:title=""/>
                </v:shape>
                <o:OLEObject Type="Embed" ProgID="Equation.DSMT4" ShapeID="_x0000_i1084" DrawAspect="Content" ObjectID="_1495870654" r:id="rId146"/>
              </w:object>
            </w:r>
          </w:p>
        </w:tc>
        <w:tc>
          <w:tcPr>
            <w:tcW w:w="1858" w:type="dxa"/>
            <w:tcBorders>
              <w:top w:val="nil"/>
            </w:tcBorders>
            <w:vAlign w:val="center"/>
          </w:tcPr>
          <w:p w14:paraId="0FB42842" w14:textId="77777777" w:rsidR="00C73D16" w:rsidRPr="00C80F33" w:rsidRDefault="00C73D16" w:rsidP="009344C3">
            <w:pPr>
              <w:pStyle w:val="Caption1"/>
              <w:rPr>
                <w:rFonts w:asciiTheme="minorHAnsi" w:hAnsiTheme="minorHAnsi"/>
                <w:color w:val="000000" w:themeColor="text1"/>
                <w:sz w:val="20"/>
                <w:szCs w:val="20"/>
              </w:rPr>
            </w:pPr>
          </w:p>
        </w:tc>
        <w:tc>
          <w:tcPr>
            <w:tcW w:w="1858" w:type="dxa"/>
            <w:tcBorders>
              <w:top w:val="nil"/>
            </w:tcBorders>
            <w:vAlign w:val="center"/>
          </w:tcPr>
          <w:p w14:paraId="0D791A83" w14:textId="77777777" w:rsidR="00C73D16" w:rsidRPr="00C80F33" w:rsidRDefault="00C73D16" w:rsidP="009344C3">
            <w:pPr>
              <w:pStyle w:val="Caption1"/>
              <w:rPr>
                <w:rFonts w:asciiTheme="minorHAnsi" w:hAnsiTheme="minorHAnsi" w:cs="Arial"/>
                <w:color w:val="000000"/>
                <w:sz w:val="20"/>
                <w:szCs w:val="20"/>
              </w:rPr>
            </w:pPr>
            <w:r w:rsidRPr="00C80F33">
              <w:rPr>
                <w:rFonts w:asciiTheme="minorHAnsi" w:hAnsiTheme="minorHAnsi" w:cs="Arial"/>
                <w:color w:val="000000"/>
                <w:sz w:val="20"/>
                <w:szCs w:val="20"/>
              </w:rPr>
              <w:t>0.0513</w:t>
            </w:r>
          </w:p>
        </w:tc>
        <w:tc>
          <w:tcPr>
            <w:tcW w:w="1858" w:type="dxa"/>
            <w:tcBorders>
              <w:top w:val="nil"/>
            </w:tcBorders>
            <w:vAlign w:val="center"/>
          </w:tcPr>
          <w:p w14:paraId="79FABF58" w14:textId="77777777" w:rsidR="00C73D16" w:rsidRPr="00C80F33" w:rsidRDefault="00C73D16" w:rsidP="009344C3">
            <w:pPr>
              <w:pStyle w:val="Caption1"/>
              <w:rPr>
                <w:rFonts w:asciiTheme="minorHAnsi" w:hAnsiTheme="minorHAnsi"/>
                <w:color w:val="000000" w:themeColor="text1"/>
                <w:sz w:val="20"/>
                <w:szCs w:val="20"/>
              </w:rPr>
            </w:pPr>
          </w:p>
        </w:tc>
        <w:tc>
          <w:tcPr>
            <w:tcW w:w="1858" w:type="dxa"/>
            <w:tcBorders>
              <w:top w:val="nil"/>
            </w:tcBorders>
            <w:vAlign w:val="center"/>
          </w:tcPr>
          <w:p w14:paraId="238B962C" w14:textId="77777777" w:rsidR="00C73D16" w:rsidRPr="00C80F33" w:rsidRDefault="00C73D16" w:rsidP="009344C3">
            <w:pPr>
              <w:pStyle w:val="Caption1"/>
              <w:rPr>
                <w:rFonts w:asciiTheme="minorHAnsi" w:hAnsiTheme="minorHAnsi"/>
                <w:color w:val="000000" w:themeColor="text1"/>
                <w:sz w:val="20"/>
                <w:szCs w:val="20"/>
              </w:rPr>
            </w:pPr>
          </w:p>
        </w:tc>
      </w:tr>
      <w:tr w:rsidR="00C73D16" w:rsidRPr="00C80F33" w14:paraId="2E5878F7" w14:textId="77777777" w:rsidTr="009344C3">
        <w:trPr>
          <w:jc w:val="center"/>
        </w:trPr>
        <w:tc>
          <w:tcPr>
            <w:tcW w:w="1857" w:type="dxa"/>
            <w:vMerge/>
            <w:vAlign w:val="center"/>
          </w:tcPr>
          <w:p w14:paraId="2EEA01EB" w14:textId="77777777" w:rsidR="00C73D16" w:rsidRPr="00C80F33" w:rsidRDefault="00C73D16" w:rsidP="009344C3">
            <w:pPr>
              <w:pStyle w:val="Caption1"/>
              <w:rPr>
                <w:rFonts w:asciiTheme="minorHAnsi" w:hAnsiTheme="minorHAnsi"/>
                <w:color w:val="000000" w:themeColor="text1"/>
                <w:sz w:val="20"/>
                <w:szCs w:val="20"/>
              </w:rPr>
            </w:pPr>
          </w:p>
        </w:tc>
        <w:tc>
          <w:tcPr>
            <w:tcW w:w="1858" w:type="dxa"/>
            <w:vAlign w:val="center"/>
          </w:tcPr>
          <w:p w14:paraId="62586D76" w14:textId="77777777" w:rsidR="00C73D16" w:rsidRPr="00C80F33" w:rsidRDefault="00C73D16" w:rsidP="009344C3">
            <w:pPr>
              <w:pStyle w:val="Caption1"/>
              <w:rPr>
                <w:rFonts w:asciiTheme="minorHAnsi" w:hAnsiTheme="minorHAnsi"/>
                <w:color w:val="000000" w:themeColor="text1"/>
                <w:sz w:val="20"/>
                <w:szCs w:val="20"/>
              </w:rPr>
            </w:pPr>
          </w:p>
        </w:tc>
        <w:tc>
          <w:tcPr>
            <w:tcW w:w="1858" w:type="dxa"/>
            <w:vAlign w:val="center"/>
          </w:tcPr>
          <w:p w14:paraId="756C2094" w14:textId="77777777" w:rsidR="00C73D16" w:rsidRPr="00C80F33" w:rsidRDefault="00C73D16" w:rsidP="009344C3">
            <w:pPr>
              <w:pStyle w:val="Caption1"/>
              <w:rPr>
                <w:rFonts w:asciiTheme="minorHAnsi" w:hAnsiTheme="minorHAnsi" w:cs="Arial"/>
                <w:color w:val="000000"/>
                <w:sz w:val="20"/>
                <w:szCs w:val="20"/>
              </w:rPr>
            </w:pPr>
            <w:r w:rsidRPr="00C80F33">
              <w:rPr>
                <w:rFonts w:asciiTheme="minorHAnsi" w:hAnsiTheme="minorHAnsi" w:cs="Arial"/>
                <w:color w:val="000000"/>
                <w:sz w:val="20"/>
                <w:szCs w:val="20"/>
              </w:rPr>
              <w:t>(0.0218)</w:t>
            </w:r>
          </w:p>
        </w:tc>
        <w:tc>
          <w:tcPr>
            <w:tcW w:w="1858" w:type="dxa"/>
            <w:vAlign w:val="center"/>
          </w:tcPr>
          <w:p w14:paraId="502AD05D" w14:textId="77777777" w:rsidR="00C73D16" w:rsidRPr="00C80F33" w:rsidRDefault="00C73D16" w:rsidP="009344C3">
            <w:pPr>
              <w:pStyle w:val="Caption1"/>
              <w:rPr>
                <w:rFonts w:asciiTheme="minorHAnsi" w:hAnsiTheme="minorHAnsi"/>
                <w:color w:val="000000" w:themeColor="text1"/>
                <w:sz w:val="20"/>
                <w:szCs w:val="20"/>
              </w:rPr>
            </w:pPr>
          </w:p>
        </w:tc>
        <w:tc>
          <w:tcPr>
            <w:tcW w:w="1858" w:type="dxa"/>
            <w:vAlign w:val="center"/>
          </w:tcPr>
          <w:p w14:paraId="158870B4" w14:textId="77777777" w:rsidR="00C73D16" w:rsidRPr="00C80F33" w:rsidRDefault="00C73D16" w:rsidP="009344C3">
            <w:pPr>
              <w:pStyle w:val="Caption1"/>
              <w:rPr>
                <w:rFonts w:asciiTheme="minorHAnsi" w:hAnsiTheme="minorHAnsi"/>
                <w:color w:val="000000" w:themeColor="text1"/>
                <w:sz w:val="20"/>
                <w:szCs w:val="20"/>
              </w:rPr>
            </w:pPr>
          </w:p>
        </w:tc>
      </w:tr>
      <w:tr w:rsidR="00C73D16" w:rsidRPr="00C80F33" w14:paraId="70A3F3D8" w14:textId="77777777" w:rsidTr="009344C3">
        <w:trPr>
          <w:jc w:val="center"/>
        </w:trPr>
        <w:tc>
          <w:tcPr>
            <w:tcW w:w="1857" w:type="dxa"/>
            <w:vMerge w:val="restart"/>
            <w:vAlign w:val="center"/>
          </w:tcPr>
          <w:p w14:paraId="132571D3"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olor w:val="000000" w:themeColor="text1"/>
                <w:position w:val="-12"/>
                <w:sz w:val="20"/>
                <w:szCs w:val="20"/>
              </w:rPr>
              <w:object w:dxaOrig="540" w:dyaOrig="360" w14:anchorId="24C86A7A">
                <v:shape id="_x0000_i1085" type="#_x0000_t75" style="width:27.1pt;height:17.8pt" o:ole="">
                  <v:imagedata r:id="rId147" o:title=""/>
                </v:shape>
                <o:OLEObject Type="Embed" ProgID="Equation.DSMT4" ShapeID="_x0000_i1085" DrawAspect="Content" ObjectID="_1495870655" r:id="rId148"/>
              </w:object>
            </w:r>
          </w:p>
        </w:tc>
        <w:tc>
          <w:tcPr>
            <w:tcW w:w="1858" w:type="dxa"/>
            <w:vAlign w:val="center"/>
          </w:tcPr>
          <w:p w14:paraId="1E8C7A2E" w14:textId="77777777" w:rsidR="00C73D16" w:rsidRPr="00C80F33" w:rsidRDefault="00C73D16" w:rsidP="009344C3">
            <w:pPr>
              <w:pStyle w:val="Caption1"/>
              <w:rPr>
                <w:rFonts w:asciiTheme="minorHAnsi" w:hAnsiTheme="minorHAnsi"/>
                <w:color w:val="000000" w:themeColor="text1"/>
                <w:sz w:val="20"/>
                <w:szCs w:val="20"/>
              </w:rPr>
            </w:pPr>
          </w:p>
        </w:tc>
        <w:tc>
          <w:tcPr>
            <w:tcW w:w="1858" w:type="dxa"/>
            <w:vAlign w:val="center"/>
          </w:tcPr>
          <w:p w14:paraId="0E37F7FA" w14:textId="77777777" w:rsidR="00C73D16" w:rsidRPr="00C80F33" w:rsidRDefault="00C73D16" w:rsidP="009344C3">
            <w:pPr>
              <w:pStyle w:val="Caption1"/>
              <w:rPr>
                <w:rFonts w:asciiTheme="minorHAnsi" w:hAnsiTheme="minorHAnsi" w:cs="Arial"/>
                <w:color w:val="000000"/>
                <w:sz w:val="20"/>
                <w:szCs w:val="20"/>
              </w:rPr>
            </w:pPr>
            <w:r w:rsidRPr="00C80F33">
              <w:rPr>
                <w:rFonts w:asciiTheme="minorHAnsi" w:hAnsiTheme="minorHAnsi" w:cs="Arial"/>
                <w:color w:val="000000"/>
                <w:sz w:val="20"/>
                <w:szCs w:val="20"/>
              </w:rPr>
              <w:t>0.1158</w:t>
            </w:r>
          </w:p>
        </w:tc>
        <w:tc>
          <w:tcPr>
            <w:tcW w:w="1858" w:type="dxa"/>
            <w:vAlign w:val="center"/>
          </w:tcPr>
          <w:p w14:paraId="1430ED51" w14:textId="77777777" w:rsidR="00C73D16" w:rsidRPr="00C80F33" w:rsidRDefault="00C73D16" w:rsidP="009344C3">
            <w:pPr>
              <w:pStyle w:val="Caption1"/>
              <w:rPr>
                <w:rFonts w:asciiTheme="minorHAnsi" w:hAnsiTheme="minorHAnsi"/>
                <w:color w:val="000000" w:themeColor="text1"/>
                <w:sz w:val="20"/>
                <w:szCs w:val="20"/>
              </w:rPr>
            </w:pPr>
          </w:p>
        </w:tc>
        <w:tc>
          <w:tcPr>
            <w:tcW w:w="1858" w:type="dxa"/>
            <w:vAlign w:val="center"/>
          </w:tcPr>
          <w:p w14:paraId="340CF872"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-0.0442</w:t>
            </w:r>
          </w:p>
        </w:tc>
      </w:tr>
      <w:tr w:rsidR="00C73D16" w:rsidRPr="00C80F33" w14:paraId="0323FCF6" w14:textId="77777777" w:rsidTr="009344C3">
        <w:trPr>
          <w:jc w:val="center"/>
        </w:trPr>
        <w:tc>
          <w:tcPr>
            <w:tcW w:w="1857" w:type="dxa"/>
            <w:vMerge/>
            <w:vAlign w:val="center"/>
          </w:tcPr>
          <w:p w14:paraId="5CCE9BC7" w14:textId="77777777" w:rsidR="00C73D16" w:rsidRPr="00C80F33" w:rsidRDefault="00C73D16" w:rsidP="009344C3">
            <w:pPr>
              <w:pStyle w:val="Caption1"/>
              <w:rPr>
                <w:rFonts w:asciiTheme="minorHAnsi" w:hAnsiTheme="minorHAnsi"/>
                <w:color w:val="000000" w:themeColor="text1"/>
                <w:sz w:val="20"/>
                <w:szCs w:val="20"/>
              </w:rPr>
            </w:pPr>
          </w:p>
        </w:tc>
        <w:tc>
          <w:tcPr>
            <w:tcW w:w="1858" w:type="dxa"/>
            <w:vAlign w:val="center"/>
          </w:tcPr>
          <w:p w14:paraId="7D3B1A4C" w14:textId="77777777" w:rsidR="00C73D16" w:rsidRPr="00C80F33" w:rsidRDefault="00C73D16" w:rsidP="009344C3">
            <w:pPr>
              <w:pStyle w:val="Caption1"/>
              <w:rPr>
                <w:rFonts w:asciiTheme="minorHAnsi" w:hAnsiTheme="minorHAnsi"/>
                <w:color w:val="000000" w:themeColor="text1"/>
                <w:sz w:val="20"/>
                <w:szCs w:val="20"/>
              </w:rPr>
            </w:pPr>
          </w:p>
        </w:tc>
        <w:tc>
          <w:tcPr>
            <w:tcW w:w="1858" w:type="dxa"/>
            <w:vAlign w:val="center"/>
          </w:tcPr>
          <w:p w14:paraId="5F6CE339" w14:textId="77777777" w:rsidR="00C73D16" w:rsidRPr="00C80F33" w:rsidRDefault="00C73D16" w:rsidP="009344C3">
            <w:pPr>
              <w:pStyle w:val="Caption1"/>
              <w:rPr>
                <w:rFonts w:asciiTheme="minorHAnsi" w:hAnsiTheme="minorHAnsi" w:cs="Arial"/>
                <w:color w:val="000000"/>
                <w:sz w:val="20"/>
                <w:szCs w:val="20"/>
              </w:rPr>
            </w:pPr>
            <w:r w:rsidRPr="00C80F33">
              <w:rPr>
                <w:rFonts w:asciiTheme="minorHAnsi" w:hAnsiTheme="minorHAnsi" w:cs="Arial"/>
                <w:color w:val="000000"/>
                <w:sz w:val="20"/>
                <w:szCs w:val="20"/>
              </w:rPr>
              <w:t>(0.0368)</w:t>
            </w:r>
          </w:p>
        </w:tc>
        <w:tc>
          <w:tcPr>
            <w:tcW w:w="1858" w:type="dxa"/>
            <w:vAlign w:val="center"/>
          </w:tcPr>
          <w:p w14:paraId="6F55E715" w14:textId="77777777" w:rsidR="00C73D16" w:rsidRPr="00C80F33" w:rsidRDefault="00C73D16" w:rsidP="009344C3">
            <w:pPr>
              <w:pStyle w:val="Caption1"/>
              <w:rPr>
                <w:rFonts w:asciiTheme="minorHAnsi" w:hAnsiTheme="minorHAnsi"/>
                <w:color w:val="000000" w:themeColor="text1"/>
                <w:sz w:val="20"/>
                <w:szCs w:val="20"/>
              </w:rPr>
            </w:pPr>
          </w:p>
        </w:tc>
        <w:tc>
          <w:tcPr>
            <w:tcW w:w="1858" w:type="dxa"/>
            <w:vAlign w:val="center"/>
          </w:tcPr>
          <w:p w14:paraId="4D8F079D"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(0.0107)</w:t>
            </w:r>
          </w:p>
        </w:tc>
      </w:tr>
      <w:tr w:rsidR="00C73D16" w:rsidRPr="00C80F33" w14:paraId="485A62A9" w14:textId="77777777" w:rsidTr="009344C3">
        <w:trPr>
          <w:jc w:val="center"/>
        </w:trPr>
        <w:tc>
          <w:tcPr>
            <w:tcW w:w="1857" w:type="dxa"/>
            <w:tcBorders>
              <w:top w:val="dotted" w:sz="4" w:space="0" w:color="auto"/>
              <w:bottom w:val="nil"/>
            </w:tcBorders>
            <w:vAlign w:val="center"/>
          </w:tcPr>
          <w:p w14:paraId="16AC2490" w14:textId="77777777" w:rsidR="00C73D16" w:rsidRPr="00C80F33" w:rsidRDefault="00C73D16" w:rsidP="00B13F5F">
            <w:pPr>
              <w:pStyle w:val="Caption1"/>
              <w:jc w:val="left"/>
              <w:rPr>
                <w:rFonts w:asciiTheme="minorHAnsi" w:hAnsiTheme="minorHAnsi"/>
                <w:b/>
                <w:color w:val="000000" w:themeColor="text1"/>
                <w:sz w:val="20"/>
                <w:szCs w:val="20"/>
              </w:rPr>
            </w:pPr>
            <w:r w:rsidRPr="00C80F33">
              <w:rPr>
                <w:rFonts w:asciiTheme="minorHAnsi" w:hAnsiTheme="minorHAnsi"/>
                <w:b/>
                <w:color w:val="000000" w:themeColor="text1"/>
                <w:sz w:val="20"/>
                <w:szCs w:val="20"/>
              </w:rPr>
              <w:t>Summary statistics</w:t>
            </w:r>
          </w:p>
        </w:tc>
        <w:tc>
          <w:tcPr>
            <w:tcW w:w="1858" w:type="dxa"/>
            <w:tcBorders>
              <w:top w:val="dotted" w:sz="4" w:space="0" w:color="auto"/>
              <w:bottom w:val="nil"/>
            </w:tcBorders>
            <w:vAlign w:val="center"/>
          </w:tcPr>
          <w:p w14:paraId="65036ED2" w14:textId="77777777" w:rsidR="00C73D16" w:rsidRPr="00C80F33" w:rsidRDefault="00C73D16" w:rsidP="009344C3">
            <w:pPr>
              <w:pStyle w:val="Caption1"/>
              <w:rPr>
                <w:rFonts w:asciiTheme="minorHAnsi" w:hAnsiTheme="minorHAnsi"/>
                <w:b/>
                <w:color w:val="000000" w:themeColor="text1"/>
                <w:sz w:val="20"/>
                <w:szCs w:val="20"/>
              </w:rPr>
            </w:pPr>
          </w:p>
        </w:tc>
        <w:tc>
          <w:tcPr>
            <w:tcW w:w="1858" w:type="dxa"/>
            <w:tcBorders>
              <w:top w:val="dotted" w:sz="4" w:space="0" w:color="auto"/>
              <w:bottom w:val="nil"/>
            </w:tcBorders>
            <w:vAlign w:val="center"/>
          </w:tcPr>
          <w:p w14:paraId="4FBF5C35" w14:textId="77777777" w:rsidR="00C73D16" w:rsidRPr="00C80F33" w:rsidRDefault="00C73D16" w:rsidP="009344C3">
            <w:pPr>
              <w:pStyle w:val="Caption1"/>
              <w:rPr>
                <w:rFonts w:asciiTheme="minorHAnsi" w:hAnsiTheme="minorHAnsi"/>
                <w:b/>
                <w:color w:val="000000" w:themeColor="text1"/>
                <w:sz w:val="20"/>
                <w:szCs w:val="20"/>
              </w:rPr>
            </w:pPr>
          </w:p>
        </w:tc>
        <w:tc>
          <w:tcPr>
            <w:tcW w:w="1858" w:type="dxa"/>
            <w:tcBorders>
              <w:top w:val="dotted" w:sz="4" w:space="0" w:color="auto"/>
              <w:bottom w:val="nil"/>
            </w:tcBorders>
            <w:vAlign w:val="center"/>
          </w:tcPr>
          <w:p w14:paraId="7B4148FF" w14:textId="77777777" w:rsidR="00C73D16" w:rsidRPr="00C80F33" w:rsidRDefault="00C73D16" w:rsidP="009344C3">
            <w:pPr>
              <w:pStyle w:val="Caption1"/>
              <w:rPr>
                <w:rFonts w:asciiTheme="minorHAnsi" w:hAnsiTheme="minorHAnsi"/>
                <w:b/>
                <w:color w:val="000000" w:themeColor="text1"/>
                <w:sz w:val="20"/>
                <w:szCs w:val="20"/>
              </w:rPr>
            </w:pPr>
          </w:p>
        </w:tc>
        <w:tc>
          <w:tcPr>
            <w:tcW w:w="1858" w:type="dxa"/>
            <w:tcBorders>
              <w:top w:val="dotted" w:sz="4" w:space="0" w:color="auto"/>
              <w:bottom w:val="nil"/>
            </w:tcBorders>
            <w:vAlign w:val="center"/>
          </w:tcPr>
          <w:p w14:paraId="129A667C" w14:textId="77777777" w:rsidR="00C73D16" w:rsidRPr="00C80F33" w:rsidRDefault="00C73D16" w:rsidP="009344C3">
            <w:pPr>
              <w:pStyle w:val="Caption1"/>
              <w:rPr>
                <w:rFonts w:asciiTheme="minorHAnsi" w:hAnsiTheme="minorHAnsi"/>
                <w:b/>
                <w:color w:val="000000" w:themeColor="text1"/>
                <w:sz w:val="20"/>
                <w:szCs w:val="20"/>
              </w:rPr>
            </w:pPr>
          </w:p>
        </w:tc>
      </w:tr>
      <w:tr w:rsidR="00C73D16" w:rsidRPr="00C80F33" w14:paraId="41B20B5B" w14:textId="77777777" w:rsidTr="009344C3">
        <w:trPr>
          <w:jc w:val="center"/>
        </w:trPr>
        <w:tc>
          <w:tcPr>
            <w:tcW w:w="1857" w:type="dxa"/>
            <w:tcBorders>
              <w:top w:val="nil"/>
            </w:tcBorders>
            <w:vAlign w:val="center"/>
          </w:tcPr>
          <w:p w14:paraId="4E87CF66" w14:textId="77777777" w:rsidR="00C73D16" w:rsidRPr="00C80F33" w:rsidRDefault="00C73D16" w:rsidP="00B13F5F">
            <w:pPr>
              <w:pStyle w:val="Caption1"/>
              <w:jc w:val="left"/>
              <w:rPr>
                <w:rFonts w:asciiTheme="minorHAnsi" w:hAnsiTheme="minorHAnsi"/>
                <w:color w:val="000000" w:themeColor="text1"/>
                <w:sz w:val="20"/>
                <w:szCs w:val="20"/>
              </w:rPr>
            </w:pPr>
            <w:r w:rsidRPr="00C80F33">
              <w:rPr>
                <w:rFonts w:asciiTheme="minorHAnsi" w:hAnsiTheme="minorHAnsi"/>
                <w:color w:val="000000" w:themeColor="text1"/>
                <w:sz w:val="20"/>
                <w:szCs w:val="20"/>
              </w:rPr>
              <w:t>R-squared</w:t>
            </w:r>
          </w:p>
        </w:tc>
        <w:tc>
          <w:tcPr>
            <w:tcW w:w="1858" w:type="dxa"/>
            <w:tcBorders>
              <w:top w:val="nil"/>
            </w:tcBorders>
            <w:vAlign w:val="center"/>
          </w:tcPr>
          <w:p w14:paraId="4B2C6C5F"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0.8437</w:t>
            </w:r>
          </w:p>
        </w:tc>
        <w:tc>
          <w:tcPr>
            <w:tcW w:w="1858" w:type="dxa"/>
            <w:tcBorders>
              <w:top w:val="nil"/>
            </w:tcBorders>
            <w:vAlign w:val="center"/>
          </w:tcPr>
          <w:p w14:paraId="02465D12"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0.7422</w:t>
            </w:r>
          </w:p>
        </w:tc>
        <w:tc>
          <w:tcPr>
            <w:tcW w:w="1858" w:type="dxa"/>
            <w:tcBorders>
              <w:top w:val="nil"/>
            </w:tcBorders>
            <w:vAlign w:val="center"/>
          </w:tcPr>
          <w:p w14:paraId="606D25DF"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0.7444</w:t>
            </w:r>
          </w:p>
        </w:tc>
        <w:tc>
          <w:tcPr>
            <w:tcW w:w="1858" w:type="dxa"/>
            <w:tcBorders>
              <w:top w:val="nil"/>
            </w:tcBorders>
            <w:vAlign w:val="center"/>
          </w:tcPr>
          <w:p w14:paraId="5652CDE7"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0.9107</w:t>
            </w:r>
          </w:p>
        </w:tc>
      </w:tr>
      <w:tr w:rsidR="00C73D16" w:rsidRPr="00C80F33" w14:paraId="0461A207" w14:textId="77777777" w:rsidTr="009344C3">
        <w:trPr>
          <w:jc w:val="center"/>
        </w:trPr>
        <w:tc>
          <w:tcPr>
            <w:tcW w:w="1857" w:type="dxa"/>
            <w:vAlign w:val="center"/>
          </w:tcPr>
          <w:p w14:paraId="666A863C" w14:textId="77777777" w:rsidR="00C73D16" w:rsidRPr="00C80F33" w:rsidRDefault="00C73D16" w:rsidP="00B13F5F">
            <w:pPr>
              <w:pStyle w:val="Caption1"/>
              <w:jc w:val="left"/>
              <w:rPr>
                <w:rFonts w:asciiTheme="minorHAnsi" w:hAnsiTheme="minorHAnsi"/>
                <w:color w:val="000000" w:themeColor="text1"/>
                <w:sz w:val="20"/>
                <w:szCs w:val="20"/>
              </w:rPr>
            </w:pPr>
            <w:r w:rsidRPr="00C80F33">
              <w:rPr>
                <w:rFonts w:asciiTheme="minorHAnsi" w:hAnsiTheme="minorHAnsi"/>
                <w:color w:val="000000" w:themeColor="text1"/>
                <w:sz w:val="20"/>
                <w:szCs w:val="20"/>
              </w:rPr>
              <w:t>Adjusted R-squared</w:t>
            </w:r>
          </w:p>
        </w:tc>
        <w:tc>
          <w:tcPr>
            <w:tcW w:w="1858" w:type="dxa"/>
            <w:vAlign w:val="center"/>
          </w:tcPr>
          <w:p w14:paraId="1FACA662"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0.8348</w:t>
            </w:r>
          </w:p>
        </w:tc>
        <w:tc>
          <w:tcPr>
            <w:tcW w:w="1858" w:type="dxa"/>
            <w:vAlign w:val="center"/>
          </w:tcPr>
          <w:p w14:paraId="3D77B75F"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0.7152</w:t>
            </w:r>
          </w:p>
        </w:tc>
        <w:tc>
          <w:tcPr>
            <w:tcW w:w="1858" w:type="dxa"/>
            <w:vAlign w:val="center"/>
          </w:tcPr>
          <w:p w14:paraId="34C29313"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0.7177</w:t>
            </w:r>
          </w:p>
        </w:tc>
        <w:tc>
          <w:tcPr>
            <w:tcW w:w="1858" w:type="dxa"/>
            <w:vAlign w:val="center"/>
          </w:tcPr>
          <w:p w14:paraId="27911865"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0.9028</w:t>
            </w:r>
          </w:p>
        </w:tc>
      </w:tr>
      <w:tr w:rsidR="00C73D16" w:rsidRPr="00C80F33" w14:paraId="65AEC360" w14:textId="77777777" w:rsidTr="009344C3">
        <w:trPr>
          <w:jc w:val="center"/>
        </w:trPr>
        <w:tc>
          <w:tcPr>
            <w:tcW w:w="1857" w:type="dxa"/>
            <w:vAlign w:val="center"/>
          </w:tcPr>
          <w:p w14:paraId="30919706" w14:textId="77777777" w:rsidR="00C73D16" w:rsidRPr="00C80F33" w:rsidRDefault="00C73D16" w:rsidP="00B13F5F">
            <w:pPr>
              <w:pStyle w:val="Caption1"/>
              <w:jc w:val="left"/>
              <w:rPr>
                <w:rFonts w:asciiTheme="minorHAnsi" w:hAnsiTheme="minorHAnsi"/>
                <w:color w:val="000000" w:themeColor="text1"/>
                <w:sz w:val="20"/>
                <w:szCs w:val="20"/>
              </w:rPr>
            </w:pPr>
            <w:r w:rsidRPr="00C80F33">
              <w:rPr>
                <w:rFonts w:asciiTheme="minorHAnsi" w:hAnsiTheme="minorHAnsi"/>
                <w:color w:val="000000" w:themeColor="text1"/>
                <w:sz w:val="20"/>
                <w:szCs w:val="20"/>
              </w:rPr>
              <w:t>Durbin Watson</w:t>
            </w:r>
          </w:p>
        </w:tc>
        <w:tc>
          <w:tcPr>
            <w:tcW w:w="1858" w:type="dxa"/>
            <w:vAlign w:val="center"/>
          </w:tcPr>
          <w:p w14:paraId="5C5B88A9"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2.0929</w:t>
            </w:r>
          </w:p>
        </w:tc>
        <w:tc>
          <w:tcPr>
            <w:tcW w:w="1858" w:type="dxa"/>
            <w:vAlign w:val="center"/>
          </w:tcPr>
          <w:p w14:paraId="3E96A02C"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2.0951</w:t>
            </w:r>
          </w:p>
        </w:tc>
        <w:tc>
          <w:tcPr>
            <w:tcW w:w="1858" w:type="dxa"/>
            <w:vAlign w:val="center"/>
          </w:tcPr>
          <w:p w14:paraId="338B9D97"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2.0353</w:t>
            </w:r>
          </w:p>
        </w:tc>
        <w:tc>
          <w:tcPr>
            <w:tcW w:w="1858" w:type="dxa"/>
            <w:vAlign w:val="center"/>
          </w:tcPr>
          <w:p w14:paraId="0E296906"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1.9047</w:t>
            </w:r>
          </w:p>
        </w:tc>
      </w:tr>
      <w:tr w:rsidR="00C73D16" w:rsidRPr="00C80F33" w14:paraId="4C2F7075" w14:textId="77777777" w:rsidTr="009344C3">
        <w:trPr>
          <w:jc w:val="center"/>
        </w:trPr>
        <w:tc>
          <w:tcPr>
            <w:tcW w:w="1857" w:type="dxa"/>
            <w:vAlign w:val="center"/>
          </w:tcPr>
          <w:p w14:paraId="7C8A1C8D" w14:textId="77777777" w:rsidR="00C73D16" w:rsidRPr="00C80F33" w:rsidRDefault="00C73D16" w:rsidP="00B13F5F">
            <w:pPr>
              <w:pStyle w:val="Caption1"/>
              <w:jc w:val="left"/>
              <w:rPr>
                <w:rFonts w:asciiTheme="minorHAnsi" w:hAnsiTheme="minorHAnsi"/>
                <w:color w:val="000000" w:themeColor="text1"/>
                <w:sz w:val="20"/>
                <w:szCs w:val="20"/>
              </w:rPr>
            </w:pPr>
            <w:r w:rsidRPr="00C80F33">
              <w:rPr>
                <w:rFonts w:asciiTheme="minorHAnsi" w:hAnsiTheme="minorHAnsi"/>
                <w:color w:val="000000" w:themeColor="text1"/>
                <w:sz w:val="20"/>
                <w:szCs w:val="20"/>
              </w:rPr>
              <w:t>ADF statistic</w:t>
            </w:r>
          </w:p>
        </w:tc>
        <w:tc>
          <w:tcPr>
            <w:tcW w:w="1858" w:type="dxa"/>
            <w:vAlign w:val="center"/>
          </w:tcPr>
          <w:p w14:paraId="597655E4" w14:textId="77777777" w:rsidR="00C73D16" w:rsidRPr="00C80F33" w:rsidRDefault="00C73D16" w:rsidP="009344C3">
            <w:pPr>
              <w:pStyle w:val="Caption1"/>
              <w:rPr>
                <w:rFonts w:asciiTheme="minorHAnsi" w:hAnsiTheme="minorHAnsi" w:cs="Arial"/>
                <w:color w:val="000000"/>
                <w:sz w:val="20"/>
                <w:szCs w:val="20"/>
              </w:rPr>
            </w:pPr>
            <w:r w:rsidRPr="00C80F33">
              <w:rPr>
                <w:rFonts w:asciiTheme="minorHAnsi" w:hAnsiTheme="minorHAnsi" w:cs="Arial"/>
                <w:color w:val="000000"/>
                <w:sz w:val="20"/>
                <w:szCs w:val="20"/>
              </w:rPr>
              <w:t>-3.3153</w:t>
            </w:r>
          </w:p>
        </w:tc>
        <w:tc>
          <w:tcPr>
            <w:tcW w:w="1858" w:type="dxa"/>
            <w:vAlign w:val="center"/>
          </w:tcPr>
          <w:p w14:paraId="2BC9F1A8" w14:textId="77777777" w:rsidR="00C73D16" w:rsidRPr="00C80F33" w:rsidRDefault="00C73D16" w:rsidP="009344C3">
            <w:pPr>
              <w:pStyle w:val="Caption1"/>
              <w:rPr>
                <w:rFonts w:asciiTheme="minorHAnsi" w:hAnsiTheme="minorHAnsi" w:cs="Arial"/>
                <w:color w:val="000000"/>
                <w:sz w:val="20"/>
                <w:szCs w:val="20"/>
              </w:rPr>
            </w:pPr>
            <w:r w:rsidRPr="00C80F33">
              <w:rPr>
                <w:rFonts w:asciiTheme="minorHAnsi" w:hAnsiTheme="minorHAnsi" w:cs="Arial"/>
                <w:color w:val="000000"/>
                <w:sz w:val="20"/>
                <w:szCs w:val="20"/>
              </w:rPr>
              <w:t>-3.2520</w:t>
            </w:r>
          </w:p>
        </w:tc>
        <w:tc>
          <w:tcPr>
            <w:tcW w:w="1858" w:type="dxa"/>
            <w:vAlign w:val="center"/>
          </w:tcPr>
          <w:p w14:paraId="7D488E19" w14:textId="77777777" w:rsidR="00C73D16" w:rsidRPr="00C80F33" w:rsidRDefault="00C73D16" w:rsidP="009344C3">
            <w:pPr>
              <w:pStyle w:val="Caption1"/>
              <w:rPr>
                <w:rFonts w:asciiTheme="minorHAnsi" w:hAnsiTheme="minorHAnsi" w:cs="Arial"/>
                <w:color w:val="000000"/>
                <w:sz w:val="20"/>
                <w:szCs w:val="20"/>
              </w:rPr>
            </w:pPr>
            <w:r w:rsidRPr="00C80F33">
              <w:rPr>
                <w:rFonts w:asciiTheme="minorHAnsi" w:hAnsiTheme="minorHAnsi" w:cs="Arial"/>
                <w:color w:val="000000"/>
                <w:sz w:val="20"/>
                <w:szCs w:val="20"/>
              </w:rPr>
              <w:t>-3.3562</w:t>
            </w:r>
          </w:p>
        </w:tc>
        <w:tc>
          <w:tcPr>
            <w:tcW w:w="1858" w:type="dxa"/>
            <w:vAlign w:val="center"/>
          </w:tcPr>
          <w:p w14:paraId="63804DA4" w14:textId="77777777" w:rsidR="00C73D16" w:rsidRPr="00C80F33" w:rsidRDefault="00C73D16" w:rsidP="009344C3">
            <w:pPr>
              <w:pStyle w:val="Caption1"/>
              <w:rPr>
                <w:rFonts w:asciiTheme="minorHAnsi" w:hAnsiTheme="minorHAnsi" w:cs="Arial"/>
                <w:color w:val="000000"/>
                <w:sz w:val="20"/>
                <w:szCs w:val="20"/>
              </w:rPr>
            </w:pPr>
            <w:r w:rsidRPr="00C80F33">
              <w:rPr>
                <w:rFonts w:asciiTheme="minorHAnsi" w:hAnsiTheme="minorHAnsi" w:cs="Arial"/>
                <w:color w:val="000000"/>
                <w:sz w:val="20"/>
                <w:szCs w:val="20"/>
              </w:rPr>
              <w:t>-2.8576</w:t>
            </w:r>
          </w:p>
        </w:tc>
      </w:tr>
      <w:tr w:rsidR="00C73D16" w:rsidRPr="00C80F33" w14:paraId="061EA466" w14:textId="77777777" w:rsidTr="009344C3">
        <w:trPr>
          <w:jc w:val="center"/>
        </w:trPr>
        <w:tc>
          <w:tcPr>
            <w:tcW w:w="1857" w:type="dxa"/>
            <w:tcBorders>
              <w:bottom w:val="single" w:sz="4" w:space="0" w:color="auto"/>
            </w:tcBorders>
            <w:vAlign w:val="center"/>
          </w:tcPr>
          <w:p w14:paraId="52FA1736" w14:textId="77777777" w:rsidR="00C73D16" w:rsidRPr="00C80F33" w:rsidRDefault="00C73D16" w:rsidP="00B13F5F">
            <w:pPr>
              <w:pStyle w:val="Caption1"/>
              <w:jc w:val="left"/>
              <w:rPr>
                <w:rFonts w:asciiTheme="minorHAnsi" w:hAnsiTheme="minorHAnsi"/>
                <w:color w:val="000000" w:themeColor="text1"/>
                <w:sz w:val="20"/>
                <w:szCs w:val="20"/>
              </w:rPr>
            </w:pPr>
            <w:r w:rsidRPr="00C80F33">
              <w:rPr>
                <w:rFonts w:asciiTheme="minorHAnsi" w:hAnsiTheme="minorHAnsi"/>
                <w:color w:val="000000" w:themeColor="text1"/>
                <w:sz w:val="20"/>
                <w:szCs w:val="20"/>
              </w:rPr>
              <w:t>Sample</w:t>
            </w:r>
          </w:p>
        </w:tc>
        <w:tc>
          <w:tcPr>
            <w:tcW w:w="1858" w:type="dxa"/>
            <w:tcBorders>
              <w:bottom w:val="single" w:sz="4" w:space="0" w:color="auto"/>
            </w:tcBorders>
            <w:vAlign w:val="center"/>
          </w:tcPr>
          <w:p w14:paraId="5F59633C"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1995:3-2014:1</w:t>
            </w:r>
          </w:p>
        </w:tc>
        <w:tc>
          <w:tcPr>
            <w:tcW w:w="1858" w:type="dxa"/>
            <w:tcBorders>
              <w:bottom w:val="single" w:sz="4" w:space="0" w:color="auto"/>
            </w:tcBorders>
            <w:vAlign w:val="center"/>
          </w:tcPr>
          <w:p w14:paraId="0340CEDD"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1995:3-2014:1</w:t>
            </w:r>
          </w:p>
        </w:tc>
        <w:tc>
          <w:tcPr>
            <w:tcW w:w="1858" w:type="dxa"/>
            <w:tcBorders>
              <w:bottom w:val="single" w:sz="4" w:space="0" w:color="auto"/>
            </w:tcBorders>
            <w:vAlign w:val="center"/>
          </w:tcPr>
          <w:p w14:paraId="684CB47F"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1995:3-2014:1</w:t>
            </w:r>
          </w:p>
        </w:tc>
        <w:tc>
          <w:tcPr>
            <w:tcW w:w="1858" w:type="dxa"/>
            <w:tcBorders>
              <w:bottom w:val="single" w:sz="4" w:space="0" w:color="auto"/>
            </w:tcBorders>
            <w:vAlign w:val="center"/>
          </w:tcPr>
          <w:p w14:paraId="61B55F87" w14:textId="77777777" w:rsidR="00C73D16" w:rsidRPr="00C80F33" w:rsidRDefault="00C73D16" w:rsidP="009344C3">
            <w:pPr>
              <w:pStyle w:val="Caption1"/>
              <w:rPr>
                <w:rFonts w:asciiTheme="minorHAnsi" w:hAnsiTheme="minorHAnsi"/>
                <w:color w:val="000000" w:themeColor="text1"/>
                <w:sz w:val="20"/>
                <w:szCs w:val="20"/>
              </w:rPr>
            </w:pPr>
            <w:r w:rsidRPr="00C80F33">
              <w:rPr>
                <w:rFonts w:asciiTheme="minorHAnsi" w:hAnsiTheme="minorHAnsi" w:cs="Arial"/>
                <w:color w:val="000000"/>
                <w:sz w:val="20"/>
                <w:szCs w:val="20"/>
              </w:rPr>
              <w:t>1995:3-2014:1</w:t>
            </w:r>
          </w:p>
        </w:tc>
      </w:tr>
    </w:tbl>
    <w:p w14:paraId="497D14E0" w14:textId="5486D993" w:rsidR="009265CC" w:rsidRPr="00C80F33" w:rsidRDefault="00116BFB" w:rsidP="00116BFB">
      <w:pPr>
        <w:pStyle w:val="Source"/>
      </w:pPr>
      <w:r w:rsidRPr="00C80F33">
        <w:rPr>
          <w:rFonts w:eastAsiaTheme="minorEastAsia"/>
        </w:rPr>
        <w:t xml:space="preserve">Note: </w:t>
      </w:r>
      <w:r w:rsidRPr="00C80F33">
        <w:t>Standard errors in parentheses</w:t>
      </w:r>
    </w:p>
    <w:p w14:paraId="5E96BAD4" w14:textId="77777777" w:rsidR="00EA2C81" w:rsidRPr="00C80F33" w:rsidRDefault="00020373" w:rsidP="00C73D16">
      <w:r w:rsidRPr="00C80F33">
        <w:fldChar w:fldCharType="begin"/>
      </w:r>
      <w:r w:rsidRPr="00C80F33">
        <w:instrText xml:space="preserve"> REF _Ref399831743 \h </w:instrText>
      </w:r>
      <w:r w:rsidRPr="00C80F33">
        <w:fldChar w:fldCharType="separate"/>
      </w:r>
      <w:r w:rsidR="00025120" w:rsidRPr="00C80F33">
        <w:t xml:space="preserve">Chart </w:t>
      </w:r>
      <w:r w:rsidR="00025120">
        <w:rPr>
          <w:noProof/>
        </w:rPr>
        <w:t>8</w:t>
      </w:r>
      <w:r w:rsidRPr="00C80F33">
        <w:fldChar w:fldCharType="end"/>
      </w:r>
      <w:r w:rsidRPr="00C80F33">
        <w:t xml:space="preserve"> plots the long-run residuals for the four import price categories. Again, they are characterised by large and persistent cyclical fluctu</w:t>
      </w:r>
      <w:r w:rsidR="00721634" w:rsidRPr="00C80F33">
        <w:t xml:space="preserve">ations throughout the sample. </w:t>
      </w:r>
      <w:r w:rsidRPr="00C80F33">
        <w:t>Applying an ADF test to these residuals yields low test statistics, which suggests that a difference equation may be a more appropriate specification to model the supply of imports. These results suggest that while there is reasonably strong pass-through of foreign prices and exchange rate movements to imports prices in the short-run, there is weak evidence in favour of the la</w:t>
      </w:r>
      <w:r w:rsidR="00FC56B3" w:rsidRPr="00C80F33">
        <w:t>w of one price in the long-run.</w:t>
      </w:r>
    </w:p>
    <w:p w14:paraId="578A2E9B" w14:textId="77777777" w:rsidR="009265CC" w:rsidRPr="00C80F33" w:rsidRDefault="009265CC" w:rsidP="006777C5">
      <w:pPr>
        <w:pStyle w:val="Caption1"/>
      </w:pPr>
      <w:bookmarkStart w:id="14" w:name="_Ref399831743"/>
      <w:r w:rsidRPr="00C80F33">
        <w:lastRenderedPageBreak/>
        <w:t xml:space="preserve">Chart </w:t>
      </w:r>
      <w:r w:rsidR="00BB0DB8">
        <w:fldChar w:fldCharType="begin"/>
      </w:r>
      <w:r w:rsidR="00BB0DB8">
        <w:instrText xml:space="preserve"> SEQ Chart \* ARABIC </w:instrText>
      </w:r>
      <w:r w:rsidR="00BB0DB8">
        <w:fldChar w:fldCharType="separate"/>
      </w:r>
      <w:r w:rsidR="00025120">
        <w:rPr>
          <w:noProof/>
        </w:rPr>
        <w:t>8</w:t>
      </w:r>
      <w:r w:rsidR="00BB0DB8">
        <w:rPr>
          <w:noProof/>
        </w:rPr>
        <w:fldChar w:fldCharType="end"/>
      </w:r>
      <w:bookmarkEnd w:id="14"/>
      <w:r w:rsidRPr="00C80F33">
        <w:t xml:space="preserve">: Long-run residuals </w:t>
      </w:r>
      <w:r w:rsidR="006777C5" w:rsidRPr="00C80F33">
        <w:t>–</w:t>
      </w:r>
      <w:r w:rsidRPr="00C80F33">
        <w:t xml:space="preserve"> </w:t>
      </w:r>
      <w:r w:rsidR="001C015A" w:rsidRPr="00C80F33">
        <w:t>S</w:t>
      </w:r>
      <w:r w:rsidRPr="00C80F33">
        <w:t>upply</w:t>
      </w:r>
    </w:p>
    <w:p w14:paraId="6B2AD71C" w14:textId="77777777" w:rsidR="00C73D16" w:rsidRPr="00C80F33" w:rsidRDefault="00C73D16" w:rsidP="00F11672">
      <w:pPr>
        <w:pStyle w:val="ChartGraphic"/>
      </w:pPr>
      <w:r w:rsidRPr="00C80F33">
        <w:rPr>
          <w:noProof/>
        </w:rPr>
        <w:drawing>
          <wp:inline distT="0" distB="0" distL="0" distR="0" wp14:anchorId="37A98CB5" wp14:editId="5FB41D62">
            <wp:extent cx="5904000" cy="4060192"/>
            <wp:effectExtent l="0" t="0" r="1905" b="0"/>
            <wp:docPr id="4" name="Picture 4" descr="This chart plots the long-run residuals for the four import price categories, consumption, capital, intermediate and services. Again, they are characterised by large and persistent cyclical fluctuations throughout the sample.  These results suggest that while there is reasonably strong pass-through of foreign prices and exchange rate movements to imports prices in the short-run, there is weak evidence in favour of the law of one price in the long-run." title="Long-run residuals -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rotWithShape="1">
                    <a:blip r:embed="rId149" cstate="print">
                      <a:extLst>
                        <a:ext uri="{28A0092B-C50C-407E-A947-70E740481C1C}">
                          <a14:useLocalDpi xmlns:a14="http://schemas.microsoft.com/office/drawing/2010/main" val="0"/>
                        </a:ext>
                      </a:extLst>
                    </a:blip>
                    <a:srcRect l="2608" t="2862" r="2608" b="3591"/>
                    <a:stretch/>
                  </pic:blipFill>
                  <pic:spPr bwMode="auto">
                    <a:xfrm>
                      <a:off x="0" y="0"/>
                      <a:ext cx="5904000" cy="4060192"/>
                    </a:xfrm>
                    <a:prstGeom prst="rect">
                      <a:avLst/>
                    </a:prstGeom>
                    <a:noFill/>
                    <a:ln>
                      <a:noFill/>
                    </a:ln>
                    <a:extLst>
                      <a:ext uri="{53640926-AAD7-44D8-BBD7-CCE9431645EC}">
                        <a14:shadowObscured xmlns:a14="http://schemas.microsoft.com/office/drawing/2010/main"/>
                      </a:ext>
                    </a:extLst>
                  </pic:spPr>
                </pic:pic>
              </a:graphicData>
            </a:graphic>
          </wp:inline>
        </w:drawing>
      </w:r>
    </w:p>
    <w:p w14:paraId="658B2F1A" w14:textId="77777777" w:rsidR="009265CC" w:rsidRPr="00C80F33" w:rsidRDefault="009265CC" w:rsidP="00F11672">
      <w:pPr>
        <w:pStyle w:val="Source"/>
      </w:pPr>
      <w:r w:rsidRPr="00C80F33">
        <w:t>Source: Authors’ calculations based on ABS Cat 5302.0.</w:t>
      </w:r>
    </w:p>
    <w:p w14:paraId="279AE1DF" w14:textId="77777777" w:rsidR="00947F5B" w:rsidRPr="00C80F33" w:rsidRDefault="00EA2C81" w:rsidP="006777C5">
      <w:r w:rsidRPr="00C80F33">
        <w:t>Dwyer and Lam (1994</w:t>
      </w:r>
      <w:r w:rsidR="00083B04" w:rsidRPr="00C80F33">
        <w:t xml:space="preserve">) estimate a similar model, using the import price </w:t>
      </w:r>
      <w:r w:rsidR="002F6322" w:rsidRPr="00C80F33">
        <w:t>of</w:t>
      </w:r>
      <w:r w:rsidR="00083B04" w:rsidRPr="00C80F33">
        <w:t xml:space="preserve"> consumption good</w:t>
      </w:r>
      <w:r w:rsidR="00C623A1" w:rsidRPr="00C80F33">
        <w:t xml:space="preserve">s as their dependent variable. </w:t>
      </w:r>
      <w:r w:rsidR="00083B04" w:rsidRPr="00C80F33">
        <w:t xml:space="preserve">They present </w:t>
      </w:r>
      <w:r w:rsidRPr="00C80F33">
        <w:t>considerably stronger evide</w:t>
      </w:r>
      <w:r w:rsidR="00C623A1" w:rsidRPr="00C80F33">
        <w:t xml:space="preserve">nce in favour of </w:t>
      </w:r>
      <w:proofErr w:type="spellStart"/>
      <w:r w:rsidR="00C623A1" w:rsidRPr="00C80F33">
        <w:t>cointegration</w:t>
      </w:r>
      <w:proofErr w:type="spellEnd"/>
      <w:r w:rsidR="00C623A1" w:rsidRPr="00C80F33">
        <w:t>.</w:t>
      </w:r>
      <w:r w:rsidRPr="00C80F33">
        <w:t xml:space="preserve"> Aside from the fact that they estimate their equations over a different time period, one possible reason for this result </w:t>
      </w:r>
      <w:r w:rsidR="009267F8" w:rsidRPr="00C80F33">
        <w:t xml:space="preserve">is their </w:t>
      </w:r>
      <w:r w:rsidRPr="00C80F33">
        <w:t xml:space="preserve">use of an index of </w:t>
      </w:r>
      <w:r w:rsidR="00083B04" w:rsidRPr="00C80F33">
        <w:t xml:space="preserve">world export prices for consumption goods </w:t>
      </w:r>
      <w:r w:rsidRPr="00C80F33">
        <w:t>as the foreign price variable.</w:t>
      </w:r>
      <w:r w:rsidR="00C623A1" w:rsidRPr="00C80F33">
        <w:t xml:space="preserve"> </w:t>
      </w:r>
      <w:r w:rsidR="002F6322" w:rsidRPr="00C80F33">
        <w:t>In light of their analysis, w</w:t>
      </w:r>
      <w:r w:rsidR="00947F5B" w:rsidRPr="00C80F33">
        <w:t xml:space="preserve">e would </w:t>
      </w:r>
      <w:r w:rsidR="002F6322" w:rsidRPr="00C80F33">
        <w:t>prefer</w:t>
      </w:r>
      <w:r w:rsidR="00947F5B" w:rsidRPr="00C80F33">
        <w:t xml:space="preserve"> to use a foreign price variable that was a closer match to the respective import bundles for consumption, capit</w:t>
      </w:r>
      <w:r w:rsidR="00C623A1" w:rsidRPr="00C80F33">
        <w:t xml:space="preserve">al, intermediate and services. </w:t>
      </w:r>
      <w:r w:rsidR="00947F5B" w:rsidRPr="00C80F33">
        <w:t xml:space="preserve">However, </w:t>
      </w:r>
      <w:r w:rsidR="00C623A1" w:rsidRPr="00C80F33">
        <w:t xml:space="preserve">the models </w:t>
      </w:r>
      <w:r w:rsidR="00A314D5" w:rsidRPr="00C80F33">
        <w:t xml:space="preserve">presented here </w:t>
      </w:r>
      <w:r w:rsidR="00947F5B" w:rsidRPr="00C80F33">
        <w:t xml:space="preserve">are used </w:t>
      </w:r>
      <w:r w:rsidR="002F6322" w:rsidRPr="00C80F33">
        <w:t>to</w:t>
      </w:r>
      <w:r w:rsidR="00947F5B" w:rsidRPr="00C80F33">
        <w:t xml:space="preserve"> forecast </w:t>
      </w:r>
      <w:r w:rsidR="00A314D5" w:rsidRPr="00C80F33">
        <w:t>imports volumes and prices,</w:t>
      </w:r>
      <w:r w:rsidR="00C623A1" w:rsidRPr="00C80F33">
        <w:t xml:space="preserve"> so it is critical that the foreign price variable be forecastable. </w:t>
      </w:r>
      <w:r w:rsidR="00947F5B" w:rsidRPr="00C80F33">
        <w:t>Treasury</w:t>
      </w:r>
      <w:r w:rsidR="00A314D5" w:rsidRPr="00C80F33">
        <w:t>’s</w:t>
      </w:r>
      <w:r w:rsidR="00C623A1" w:rsidRPr="00C80F33">
        <w:t xml:space="preserve"> forecast</w:t>
      </w:r>
      <w:r w:rsidR="00CD7D3C" w:rsidRPr="00C80F33">
        <w:t xml:space="preserve"> system</w:t>
      </w:r>
      <w:r w:rsidR="00C623A1" w:rsidRPr="00C80F33">
        <w:t xml:space="preserve"> </w:t>
      </w:r>
      <w:r w:rsidR="006B6F88" w:rsidRPr="00C80F33">
        <w:t xml:space="preserve">recognises that forecasts of foreign country prices for </w:t>
      </w:r>
      <w:r w:rsidR="00086286" w:rsidRPr="00C80F33">
        <w:t>exports (and all other goods)</w:t>
      </w:r>
      <w:r w:rsidR="00947F5B" w:rsidRPr="00C80F33">
        <w:t xml:space="preserve"> </w:t>
      </w:r>
      <w:r w:rsidR="00086286" w:rsidRPr="00C80F33">
        <w:t>are</w:t>
      </w:r>
      <w:r w:rsidR="005D3032" w:rsidRPr="00C80F33">
        <w:t xml:space="preserve"> </w:t>
      </w:r>
      <w:r w:rsidR="00086286" w:rsidRPr="00C80F33">
        <w:t xml:space="preserve">ultimately </w:t>
      </w:r>
      <w:r w:rsidR="006B6F88" w:rsidRPr="00C80F33">
        <w:t xml:space="preserve">based on </w:t>
      </w:r>
      <w:r w:rsidR="00086286" w:rsidRPr="00C80F33">
        <w:t xml:space="preserve">more readily available </w:t>
      </w:r>
      <w:r w:rsidR="00CD7D3C" w:rsidRPr="00C80F33">
        <w:t>forecast</w:t>
      </w:r>
      <w:r w:rsidR="006B6F88" w:rsidRPr="00C80F33">
        <w:t>s of</w:t>
      </w:r>
      <w:r w:rsidR="00CD7D3C" w:rsidRPr="00C80F33">
        <w:t xml:space="preserve"> foreign CPI</w:t>
      </w:r>
      <w:r w:rsidR="00A314D5" w:rsidRPr="00C80F33">
        <w:t xml:space="preserve">s. </w:t>
      </w:r>
      <w:r w:rsidR="00573512" w:rsidRPr="00C80F33">
        <w:t>Therefore t</w:t>
      </w:r>
      <w:r w:rsidR="005D3032" w:rsidRPr="00C80F33">
        <w:t xml:space="preserve">o ensure the best possible forecasting model we model import prices directly using </w:t>
      </w:r>
      <w:r w:rsidR="00825F7D" w:rsidRPr="00C80F33">
        <w:t xml:space="preserve">a </w:t>
      </w:r>
      <w:r w:rsidR="005D3032" w:rsidRPr="00C80F33">
        <w:t>foreign CPI</w:t>
      </w:r>
      <w:r w:rsidR="00825F7D" w:rsidRPr="00C80F33">
        <w:t xml:space="preserve"> index</w:t>
      </w:r>
      <w:r w:rsidR="005D3032" w:rsidRPr="00C80F33">
        <w:t xml:space="preserve">, </w:t>
      </w:r>
      <w:r w:rsidR="003B6CA2" w:rsidRPr="00C80F33">
        <w:t xml:space="preserve">rather than model import prices </w:t>
      </w:r>
      <w:r w:rsidR="00A314D5" w:rsidRPr="00C80F33">
        <w:t>as a function of a</w:t>
      </w:r>
      <w:r w:rsidR="003B6CA2" w:rsidRPr="00C80F33">
        <w:t xml:space="preserve"> foreign export price index</w:t>
      </w:r>
      <w:r w:rsidR="00A314D5" w:rsidRPr="00C80F33">
        <w:t xml:space="preserve"> and </w:t>
      </w:r>
      <w:r w:rsidR="009070B4" w:rsidRPr="00C80F33">
        <w:t xml:space="preserve">then forecast </w:t>
      </w:r>
      <w:r w:rsidR="00A314D5" w:rsidRPr="00C80F33">
        <w:t xml:space="preserve">the export price index </w:t>
      </w:r>
      <w:r w:rsidR="009070B4" w:rsidRPr="00C80F33">
        <w:t xml:space="preserve">via </w:t>
      </w:r>
      <w:r w:rsidR="005D3032" w:rsidRPr="00C80F33">
        <w:t xml:space="preserve">secondary model that </w:t>
      </w:r>
      <w:r w:rsidR="009D3563" w:rsidRPr="00C80F33">
        <w:t>relates</w:t>
      </w:r>
      <w:r w:rsidR="00A314D5" w:rsidRPr="00C80F33">
        <w:t xml:space="preserve"> </w:t>
      </w:r>
      <w:r w:rsidR="005D3032" w:rsidRPr="00C80F33">
        <w:t xml:space="preserve">foreign export prices </w:t>
      </w:r>
      <w:r w:rsidR="009D3563" w:rsidRPr="00C80F33">
        <w:t>to</w:t>
      </w:r>
      <w:r w:rsidR="005D3032" w:rsidRPr="00C80F33">
        <w:t xml:space="preserve"> </w:t>
      </w:r>
      <w:r w:rsidR="009070B4" w:rsidRPr="00C80F33">
        <w:t>foreign</w:t>
      </w:r>
      <w:r w:rsidR="00A314D5" w:rsidRPr="00C80F33">
        <w:t xml:space="preserve"> CPIs</w:t>
      </w:r>
      <w:r w:rsidR="005D3032" w:rsidRPr="00C80F33">
        <w:t>.</w:t>
      </w:r>
    </w:p>
    <w:p w14:paraId="7BD7F14A" w14:textId="77777777" w:rsidR="006777C5" w:rsidRPr="00C80F33" w:rsidRDefault="006777C5" w:rsidP="00C73D16">
      <w:r w:rsidRPr="00C80F33">
        <w:fldChar w:fldCharType="begin"/>
      </w:r>
      <w:r w:rsidRPr="00C80F33">
        <w:instrText xml:space="preserve"> REF _Ref399831986 \h </w:instrText>
      </w:r>
      <w:r w:rsidRPr="00C80F33">
        <w:fldChar w:fldCharType="separate"/>
      </w:r>
      <w:r w:rsidR="00025120" w:rsidRPr="00C80F33">
        <w:t xml:space="preserve">Chart </w:t>
      </w:r>
      <w:r w:rsidR="00025120">
        <w:rPr>
          <w:noProof/>
        </w:rPr>
        <w:t>9</w:t>
      </w:r>
      <w:r w:rsidRPr="00C80F33">
        <w:fldChar w:fldCharType="end"/>
      </w:r>
      <w:r w:rsidRPr="00C80F33">
        <w:t xml:space="preserve"> </w:t>
      </w:r>
      <w:r w:rsidR="00CD7D3C" w:rsidRPr="00C80F33">
        <w:t>shows</w:t>
      </w:r>
      <w:r w:rsidRPr="00C80F33">
        <w:t xml:space="preserve"> that despite their very large amplitudes, the short-run fluctuations in the prices of imports are largely explained by the fundamental drivers identified in the theoretical model.</w:t>
      </w:r>
    </w:p>
    <w:p w14:paraId="26509673" w14:textId="77777777" w:rsidR="009265CC" w:rsidRPr="00C80F33" w:rsidRDefault="009265CC" w:rsidP="006777C5">
      <w:pPr>
        <w:pStyle w:val="Caption1"/>
      </w:pPr>
      <w:bookmarkStart w:id="15" w:name="_Ref399831986"/>
      <w:r w:rsidRPr="00C80F33">
        <w:lastRenderedPageBreak/>
        <w:t xml:space="preserve">Chart </w:t>
      </w:r>
      <w:r w:rsidR="00BB0DB8">
        <w:fldChar w:fldCharType="begin"/>
      </w:r>
      <w:r w:rsidR="00BB0DB8">
        <w:instrText xml:space="preserve"> SEQ Chart \* ARABIC </w:instrText>
      </w:r>
      <w:r w:rsidR="00BB0DB8">
        <w:fldChar w:fldCharType="separate"/>
      </w:r>
      <w:r w:rsidR="00025120">
        <w:rPr>
          <w:noProof/>
        </w:rPr>
        <w:t>9</w:t>
      </w:r>
      <w:r w:rsidR="00BB0DB8">
        <w:rPr>
          <w:noProof/>
        </w:rPr>
        <w:fldChar w:fldCharType="end"/>
      </w:r>
      <w:bookmarkEnd w:id="15"/>
      <w:r w:rsidRPr="00C80F33">
        <w:t xml:space="preserve">: Short-run residuals – </w:t>
      </w:r>
      <w:r w:rsidR="001C015A" w:rsidRPr="00C80F33">
        <w:t>S</w:t>
      </w:r>
      <w:r w:rsidRPr="00C80F33">
        <w:t>upply</w:t>
      </w:r>
    </w:p>
    <w:p w14:paraId="7CA88946" w14:textId="77777777" w:rsidR="000F433B" w:rsidRPr="00C80F33" w:rsidRDefault="000F433B" w:rsidP="00F11672">
      <w:pPr>
        <w:pStyle w:val="ChartGraphic"/>
      </w:pPr>
      <w:r w:rsidRPr="00C80F33">
        <w:rPr>
          <w:noProof/>
        </w:rPr>
        <w:drawing>
          <wp:inline distT="0" distB="0" distL="0" distR="0" wp14:anchorId="3BB83E4A" wp14:editId="614DCC08">
            <wp:extent cx="5904000" cy="4499652"/>
            <wp:effectExtent l="0" t="0" r="1905" b="0"/>
            <wp:docPr id="17" name="Picture 17" descr="Chart 9 plots actual growth rates of the four import categories, consumption, capital, intermediate and services and the fitted values from the models for each of these categories.  This chart shows that despite their very large amplitudes, the short-run fluctuations in the prices of imports are largely explained by the fundamental drivers identified in the theoretical model." title="Short-run residuals -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rotWithShape="1">
                    <a:blip r:embed="rId150" cstate="print">
                      <a:extLst>
                        <a:ext uri="{28A0092B-C50C-407E-A947-70E740481C1C}">
                          <a14:useLocalDpi xmlns:a14="http://schemas.microsoft.com/office/drawing/2010/main" val="0"/>
                        </a:ext>
                      </a:extLst>
                    </a:blip>
                    <a:srcRect l="2761" t="2994" r="2365" b="2994"/>
                    <a:stretch/>
                  </pic:blipFill>
                  <pic:spPr bwMode="auto">
                    <a:xfrm>
                      <a:off x="0" y="0"/>
                      <a:ext cx="5904000" cy="4499652"/>
                    </a:xfrm>
                    <a:prstGeom prst="rect">
                      <a:avLst/>
                    </a:prstGeom>
                    <a:noFill/>
                    <a:ln>
                      <a:noFill/>
                    </a:ln>
                    <a:extLst>
                      <a:ext uri="{53640926-AAD7-44D8-BBD7-CCE9431645EC}">
                        <a14:shadowObscured xmlns:a14="http://schemas.microsoft.com/office/drawing/2010/main"/>
                      </a:ext>
                    </a:extLst>
                  </pic:spPr>
                </pic:pic>
              </a:graphicData>
            </a:graphic>
          </wp:inline>
        </w:drawing>
      </w:r>
    </w:p>
    <w:p w14:paraId="68A737EA" w14:textId="77777777" w:rsidR="005C0124" w:rsidRPr="00C80F33" w:rsidRDefault="009265CC" w:rsidP="00F11672">
      <w:pPr>
        <w:pStyle w:val="Source"/>
      </w:pPr>
      <w:r w:rsidRPr="00C80F33">
        <w:t>Source: Authors’ calculations based on ABS Cat 5302.0.</w:t>
      </w:r>
    </w:p>
    <w:p w14:paraId="72190504" w14:textId="77777777" w:rsidR="00CE79A0" w:rsidRPr="00C80F33" w:rsidRDefault="00AF6FC7" w:rsidP="00C80F33">
      <w:pPr>
        <w:pStyle w:val="Heading2"/>
      </w:pPr>
      <w:r w:rsidRPr="00C80F33">
        <w:t>Conclusion</w:t>
      </w:r>
    </w:p>
    <w:p w14:paraId="44E251B4" w14:textId="77777777" w:rsidR="009738A4" w:rsidRPr="00C80F33" w:rsidRDefault="00AF28C8" w:rsidP="00661219">
      <w:r w:rsidRPr="00C80F33">
        <w:t>This paper models both the supply and demand of Australian imports</w:t>
      </w:r>
      <w:r w:rsidR="002A7CF5" w:rsidRPr="00C80F33">
        <w:t xml:space="preserve">. </w:t>
      </w:r>
      <w:r w:rsidRPr="00C80F33">
        <w:t xml:space="preserve">It builds on earlier demand modelling by Wilkinson (1992); </w:t>
      </w:r>
      <w:proofErr w:type="spellStart"/>
      <w:r w:rsidRPr="00C80F33">
        <w:t>Jilek</w:t>
      </w:r>
      <w:proofErr w:type="spellEnd"/>
      <w:r w:rsidRPr="00C80F33">
        <w:t xml:space="preserve">, Johnson and </w:t>
      </w:r>
      <w:proofErr w:type="spellStart"/>
      <w:r w:rsidRPr="00C80F33">
        <w:t>Taplin</w:t>
      </w:r>
      <w:proofErr w:type="spellEnd"/>
      <w:r w:rsidR="006777C5" w:rsidRPr="00C80F33">
        <w:t xml:space="preserve"> </w:t>
      </w:r>
      <w:r w:rsidRPr="00C80F33">
        <w:t>(1993); and Dwyer and Kent (1993) by deriving</w:t>
      </w:r>
      <w:r w:rsidR="00AE31FD" w:rsidRPr="00C80F33">
        <w:t xml:space="preserve"> long-run</w:t>
      </w:r>
      <w:r w:rsidRPr="00C80F33">
        <w:t xml:space="preserve"> import demand relationships</w:t>
      </w:r>
      <w:r w:rsidR="00915158" w:rsidRPr="00C80F33">
        <w:t xml:space="preserve"> from first principles</w:t>
      </w:r>
      <w:r w:rsidR="006777C5" w:rsidRPr="00C80F33">
        <w:t xml:space="preserve">. These long-run relationships are </w:t>
      </w:r>
      <w:r w:rsidR="00716A83" w:rsidRPr="00C80F33">
        <w:t>augmented by cyclical explanatory variables to form error correction models</w:t>
      </w:r>
      <w:r w:rsidR="006777C5" w:rsidRPr="00C80F33">
        <w:t>, which are estimated using quarterly data for disaggregated imports categories (consumption</w:t>
      </w:r>
      <w:r w:rsidR="00915158" w:rsidRPr="00C80F33">
        <w:t xml:space="preserve"> goods</w:t>
      </w:r>
      <w:r w:rsidR="006777C5" w:rsidRPr="00C80F33">
        <w:t>, capital</w:t>
      </w:r>
      <w:r w:rsidR="00915158" w:rsidRPr="00C80F33">
        <w:t xml:space="preserve"> goods</w:t>
      </w:r>
      <w:r w:rsidR="006777C5" w:rsidRPr="00C80F33">
        <w:t>, intermediate</w:t>
      </w:r>
      <w:r w:rsidR="00915158" w:rsidRPr="00C80F33">
        <w:t xml:space="preserve"> goods</w:t>
      </w:r>
      <w:r w:rsidR="006777C5" w:rsidRPr="00C80F33">
        <w:t xml:space="preserve"> and services) from 1985:3 to 2014:1.</w:t>
      </w:r>
      <w:r w:rsidR="00BE14E3" w:rsidRPr="00C80F33">
        <w:t xml:space="preserve"> </w:t>
      </w:r>
      <w:r w:rsidR="00716A83" w:rsidRPr="00C80F33">
        <w:t>Our estimate</w:t>
      </w:r>
      <w:r w:rsidR="006777C5" w:rsidRPr="00C80F33">
        <w:t xml:space="preserve">s </w:t>
      </w:r>
      <w:r w:rsidR="00716A83" w:rsidRPr="00C80F33">
        <w:t>are consistent with previous Australian studies in finding relatively low substitutability between imported and domestically produced varieties</w:t>
      </w:r>
      <w:r w:rsidR="006777C5" w:rsidRPr="00C80F33">
        <w:t xml:space="preserve"> of goods</w:t>
      </w:r>
      <w:r w:rsidR="00BE14E3" w:rsidRPr="00C80F33">
        <w:t xml:space="preserve">. </w:t>
      </w:r>
      <w:r w:rsidR="00716A83" w:rsidRPr="00C80F33">
        <w:t xml:space="preserve">The main implication is that income effects will dominate, so </w:t>
      </w:r>
      <w:r w:rsidR="006777C5" w:rsidRPr="00C80F33">
        <w:t xml:space="preserve">that </w:t>
      </w:r>
      <w:r w:rsidR="00716A83" w:rsidRPr="00C80F33">
        <w:t xml:space="preserve">a </w:t>
      </w:r>
      <w:r w:rsidR="006777C5" w:rsidRPr="00C80F33">
        <w:t>rise</w:t>
      </w:r>
      <w:r w:rsidR="00716A83" w:rsidRPr="00C80F33">
        <w:t xml:space="preserve"> in import prices will lead to a </w:t>
      </w:r>
      <w:r w:rsidR="006777C5" w:rsidRPr="00C80F33">
        <w:t>fall</w:t>
      </w:r>
      <w:r w:rsidR="00716A83" w:rsidRPr="00C80F33">
        <w:t xml:space="preserve"> in both the demand of the imported good and the domestically produced </w:t>
      </w:r>
      <w:r w:rsidR="00C66C05" w:rsidRPr="00C80F33">
        <w:t>import substitute</w:t>
      </w:r>
      <w:r w:rsidR="00716A83" w:rsidRPr="00C80F33">
        <w:t>.</w:t>
      </w:r>
      <w:r w:rsidR="00BE14E3" w:rsidRPr="00C80F33">
        <w:t xml:space="preserve"> </w:t>
      </w:r>
      <w:r w:rsidR="003303ED" w:rsidRPr="00C80F33">
        <w:t>Service imports are found to be gross substitutes, with a rise in the price of imports leading to greater demand for domestically produced services</w:t>
      </w:r>
      <w:r w:rsidR="00716A83" w:rsidRPr="00C80F33">
        <w:t>.</w:t>
      </w:r>
    </w:p>
    <w:p w14:paraId="39654BC5" w14:textId="17C1F0C3" w:rsidR="00BE14E3" w:rsidRPr="00C80F33" w:rsidRDefault="009738A4" w:rsidP="00CE79A0">
      <w:r w:rsidRPr="00C80F33">
        <w:t xml:space="preserve">We also model the supply of imports, assuming that households/firms are price takers </w:t>
      </w:r>
      <w:r w:rsidR="00CC3CA1" w:rsidRPr="00C80F33">
        <w:t>in the long-run (</w:t>
      </w:r>
      <w:r w:rsidR="00C12CD2" w:rsidRPr="00C80F33">
        <w:t>that is</w:t>
      </w:r>
      <w:r w:rsidR="00CC3CA1" w:rsidRPr="00C80F33">
        <w:t xml:space="preserve">, the </w:t>
      </w:r>
      <w:r w:rsidRPr="00C80F33">
        <w:t>import price</w:t>
      </w:r>
      <w:r w:rsidR="00CC3CA1" w:rsidRPr="00C80F33">
        <w:t>s</w:t>
      </w:r>
      <w:r w:rsidRPr="00C80F33">
        <w:t xml:space="preserve"> equal to the excha</w:t>
      </w:r>
      <w:r w:rsidR="00915158" w:rsidRPr="00C80F33">
        <w:t>nge rate adjusted foreign cost</w:t>
      </w:r>
      <w:r w:rsidR="00CC3CA1" w:rsidRPr="00C80F33">
        <w:t>)</w:t>
      </w:r>
      <w:r w:rsidR="00915158" w:rsidRPr="00C80F33">
        <w:t>. O</w:t>
      </w:r>
      <w:r w:rsidRPr="00C80F33">
        <w:t xml:space="preserve">ur estimates suggest </w:t>
      </w:r>
      <w:r w:rsidR="00915158" w:rsidRPr="00C80F33">
        <w:t xml:space="preserve">while there is </w:t>
      </w:r>
      <w:r w:rsidRPr="00C80F33">
        <w:t>reasonably strong pass</w:t>
      </w:r>
      <w:r w:rsidR="00915158" w:rsidRPr="00C80F33">
        <w:t>-</w:t>
      </w:r>
      <w:r w:rsidRPr="00C80F33">
        <w:t>through</w:t>
      </w:r>
      <w:r w:rsidR="00915158" w:rsidRPr="00C80F33">
        <w:t xml:space="preserve"> of foreign prices and exchange rate movements to imports prices</w:t>
      </w:r>
      <w:r w:rsidR="00CC3CA1" w:rsidRPr="00C80F33">
        <w:t xml:space="preserve"> in the short-run</w:t>
      </w:r>
      <w:r w:rsidR="00915158" w:rsidRPr="00C80F33">
        <w:t>, there is weak evidence in favour of the law of one price in the long-run.</w:t>
      </w:r>
    </w:p>
    <w:p w14:paraId="7E189530" w14:textId="77777777" w:rsidR="00CE79A0" w:rsidRPr="00C80F33" w:rsidRDefault="00CE79A0" w:rsidP="00CE79A0">
      <w:pPr>
        <w:sectPr w:rsidR="00CE79A0" w:rsidRPr="00C80F33" w:rsidSect="005F35C6">
          <w:headerReference w:type="even" r:id="rId151"/>
          <w:headerReference w:type="default" r:id="rId152"/>
          <w:footerReference w:type="default" r:id="rId153"/>
          <w:headerReference w:type="first" r:id="rId154"/>
          <w:footerReference w:type="first" r:id="rId155"/>
          <w:pgSz w:w="11907" w:h="16840" w:code="9"/>
          <w:pgMar w:top="1560" w:right="1304" w:bottom="1418" w:left="1304" w:header="567" w:footer="567" w:gutter="0"/>
          <w:pgNumType w:start="1"/>
          <w:cols w:space="720"/>
          <w:titlePg/>
          <w:docGrid w:linePitch="360"/>
        </w:sectPr>
      </w:pPr>
    </w:p>
    <w:p w14:paraId="10203D5D" w14:textId="77777777" w:rsidR="00CE79A0" w:rsidRPr="00C80F33" w:rsidRDefault="00AF6FC7" w:rsidP="00CE79A0">
      <w:pPr>
        <w:pStyle w:val="AppendixHeadingLevel2NotNumbered"/>
      </w:pPr>
      <w:r w:rsidRPr="00C80F33">
        <w:lastRenderedPageBreak/>
        <w:t>References</w:t>
      </w:r>
    </w:p>
    <w:p w14:paraId="3FDED40E" w14:textId="77777777" w:rsidR="00525DBA" w:rsidRPr="00C80F33" w:rsidRDefault="00B53A14" w:rsidP="00CE79A0">
      <w:r w:rsidRPr="00C80F33">
        <w:t xml:space="preserve">Australian Bureau of Statistics (2011) </w:t>
      </w:r>
      <w:r w:rsidR="00525DBA" w:rsidRPr="00C80F33">
        <w:rPr>
          <w:i/>
        </w:rPr>
        <w:t>Balance of Payments and International Investment Position, Australia: Concepts, Sources and Methods</w:t>
      </w:r>
      <w:r w:rsidR="00525DBA" w:rsidRPr="00C80F33">
        <w:t xml:space="preserve">, </w:t>
      </w:r>
      <w:r w:rsidRPr="00C80F33">
        <w:t xml:space="preserve">ABS. Cat. </w:t>
      </w:r>
      <w:r w:rsidR="008F0B2E" w:rsidRPr="00C80F33">
        <w:t xml:space="preserve">No. </w:t>
      </w:r>
      <w:r w:rsidRPr="00C80F33">
        <w:t>5331.0</w:t>
      </w:r>
    </w:p>
    <w:p w14:paraId="6279EA8F" w14:textId="77777777" w:rsidR="001706C1" w:rsidRPr="00C80F33" w:rsidRDefault="008F0B2E" w:rsidP="00CE79A0">
      <w:r w:rsidRPr="00C80F33">
        <w:t xml:space="preserve">Australian Bureau of Statistics (2012) Feature article: mining investment in ABS publications, </w:t>
      </w:r>
      <w:r w:rsidR="001706C1" w:rsidRPr="00C80F33">
        <w:rPr>
          <w:i/>
        </w:rPr>
        <w:t>Private New Capital Expenditure and Expected Expenditure</w:t>
      </w:r>
      <w:r w:rsidR="001706C1" w:rsidRPr="00C80F33">
        <w:t>,</w:t>
      </w:r>
      <w:r w:rsidRPr="00C80F33">
        <w:t xml:space="preserve"> ABS Cat. No.</w:t>
      </w:r>
      <w:r w:rsidR="001706C1" w:rsidRPr="00C80F33">
        <w:t xml:space="preserve"> </w:t>
      </w:r>
      <w:r w:rsidRPr="00C80F33">
        <w:t>5625.0</w:t>
      </w:r>
      <w:r w:rsidR="001706C1" w:rsidRPr="00C80F33">
        <w:t>, March 2012</w:t>
      </w:r>
      <w:r w:rsidR="00301AA5" w:rsidRPr="00C80F33">
        <w:t>.</w:t>
      </w:r>
    </w:p>
    <w:p w14:paraId="7A28691B" w14:textId="77777777" w:rsidR="00B53A14" w:rsidRPr="00C80F33" w:rsidRDefault="00B53A14" w:rsidP="00B53A14">
      <w:r w:rsidRPr="00C80F33">
        <w:t xml:space="preserve">Becker, C. and </w:t>
      </w:r>
      <w:r w:rsidR="00516F27" w:rsidRPr="00C80F33">
        <w:t xml:space="preserve">M. </w:t>
      </w:r>
      <w:r w:rsidRPr="00C80F33">
        <w:t>Davies</w:t>
      </w:r>
      <w:r w:rsidR="00516F27" w:rsidRPr="00C80F33">
        <w:t xml:space="preserve"> </w:t>
      </w:r>
      <w:r w:rsidRPr="00C80F33">
        <w:t xml:space="preserve">(2002) Developments in the </w:t>
      </w:r>
      <w:r w:rsidR="008E460F" w:rsidRPr="00C80F33">
        <w:t>t</w:t>
      </w:r>
      <w:r w:rsidRPr="00C80F33">
        <w:t>rade-</w:t>
      </w:r>
      <w:r w:rsidR="008E460F" w:rsidRPr="00C80F33">
        <w:t>w</w:t>
      </w:r>
      <w:r w:rsidRPr="00C80F33">
        <w:t xml:space="preserve">eighted </w:t>
      </w:r>
      <w:r w:rsidR="008E460F" w:rsidRPr="00C80F33">
        <w:t>i</w:t>
      </w:r>
      <w:r w:rsidRPr="00C80F33">
        <w:t xml:space="preserve">ndex, </w:t>
      </w:r>
      <w:r w:rsidRPr="00C80F33">
        <w:rPr>
          <w:i/>
        </w:rPr>
        <w:t>Reserve Bank of Australia Bulletin</w:t>
      </w:r>
      <w:r w:rsidRPr="00C80F33">
        <w:t>, October.</w:t>
      </w:r>
    </w:p>
    <w:p w14:paraId="7B5525FE" w14:textId="77777777" w:rsidR="00F35690" w:rsidRPr="00C80F33" w:rsidRDefault="00F35690" w:rsidP="00B53A14">
      <w:proofErr w:type="spellStart"/>
      <w:r w:rsidRPr="00C80F33">
        <w:t>Caton</w:t>
      </w:r>
      <w:proofErr w:type="spellEnd"/>
      <w:r w:rsidRPr="00C80F33">
        <w:t>, C.N. and H.N. Johnston (1</w:t>
      </w:r>
      <w:r w:rsidR="005237A9" w:rsidRPr="00C80F33">
        <w:t>9</w:t>
      </w:r>
      <w:r w:rsidRPr="00C80F33">
        <w:t xml:space="preserve">75) </w:t>
      </w:r>
      <w:proofErr w:type="gramStart"/>
      <w:r w:rsidRPr="00C80F33">
        <w:rPr>
          <w:i/>
        </w:rPr>
        <w:t>An</w:t>
      </w:r>
      <w:proofErr w:type="gramEnd"/>
      <w:r w:rsidRPr="00C80F33">
        <w:rPr>
          <w:i/>
        </w:rPr>
        <w:t xml:space="preserve"> econometric model of the Australian economy</w:t>
      </w:r>
      <w:r w:rsidR="005237A9" w:rsidRPr="00C80F33">
        <w:t>, Australian Bureau of Statistics.</w:t>
      </w:r>
    </w:p>
    <w:p w14:paraId="0C9F84C7" w14:textId="2CEE5BA3" w:rsidR="007363EC" w:rsidRPr="00C80F33" w:rsidRDefault="007363EC" w:rsidP="00B53A14">
      <w:r w:rsidRPr="00C80F33">
        <w:t xml:space="preserve">Chung, E., M. Kohler, and C. Lewis (2011) The exchange rate and consumer prices, </w:t>
      </w:r>
      <w:r w:rsidRPr="00C80F33">
        <w:rPr>
          <w:i/>
        </w:rPr>
        <w:t>Reserve Bank of Australia Bulletin</w:t>
      </w:r>
      <w:r w:rsidRPr="00C80F33">
        <w:t>, September Quarter, p</w:t>
      </w:r>
      <w:r w:rsidR="00116BFB" w:rsidRPr="00C80F33">
        <w:t>ages</w:t>
      </w:r>
      <w:r w:rsidRPr="00C80F33">
        <w:t xml:space="preserve"> 9-16.</w:t>
      </w:r>
    </w:p>
    <w:p w14:paraId="5EB57160" w14:textId="1D3BA969" w:rsidR="003736D4" w:rsidRPr="00C80F33" w:rsidRDefault="003736D4" w:rsidP="00B53A14">
      <w:r w:rsidRPr="00C80F33">
        <w:t xml:space="preserve">Dixit, A.K. and </w:t>
      </w:r>
      <w:r w:rsidR="00516F27" w:rsidRPr="00C80F33">
        <w:t xml:space="preserve">J.E. </w:t>
      </w:r>
      <w:proofErr w:type="spellStart"/>
      <w:r w:rsidR="00516F27" w:rsidRPr="00C80F33">
        <w:t>Stiglitz</w:t>
      </w:r>
      <w:proofErr w:type="spellEnd"/>
      <w:r w:rsidR="00516F27" w:rsidRPr="00C80F33">
        <w:t xml:space="preserve"> </w:t>
      </w:r>
      <w:r w:rsidRPr="00C80F33">
        <w:t xml:space="preserve">(1977) Monopolistic competition and optimum product diversity, </w:t>
      </w:r>
      <w:r w:rsidRPr="00C80F33">
        <w:rPr>
          <w:i/>
        </w:rPr>
        <w:t>American Economic Review</w:t>
      </w:r>
      <w:r w:rsidRPr="00C80F33">
        <w:t>, Vol. 67, No. 3, p</w:t>
      </w:r>
      <w:r w:rsidR="00116BFB" w:rsidRPr="00C80F33">
        <w:t>ages</w:t>
      </w:r>
      <w:r w:rsidRPr="00C80F33">
        <w:t xml:space="preserve"> 297-308.</w:t>
      </w:r>
    </w:p>
    <w:p w14:paraId="71CB5AB8" w14:textId="77777777" w:rsidR="001705B0" w:rsidRPr="00C80F33" w:rsidRDefault="001705B0" w:rsidP="00B53A14">
      <w:r w:rsidRPr="00C80F33">
        <w:t xml:space="preserve">Dwyer, J. and </w:t>
      </w:r>
      <w:r w:rsidR="00516F27" w:rsidRPr="00C80F33">
        <w:t>C. Kent</w:t>
      </w:r>
      <w:r w:rsidRPr="00C80F33">
        <w:t xml:space="preserve"> (1993) A re-examination of the determinants of Australia’s imports, </w:t>
      </w:r>
      <w:r w:rsidRPr="00C80F33">
        <w:rPr>
          <w:i/>
        </w:rPr>
        <w:t>Reserve Bank of Australia Discussion Paper</w:t>
      </w:r>
      <w:r w:rsidRPr="00C80F33">
        <w:t>, No. 9312.</w:t>
      </w:r>
    </w:p>
    <w:p w14:paraId="216445CC" w14:textId="77777777" w:rsidR="00961AF1" w:rsidRPr="00C80F33" w:rsidRDefault="00961AF1" w:rsidP="00B53A14">
      <w:r w:rsidRPr="00C80F33">
        <w:t xml:space="preserve">Dwyer, J. and </w:t>
      </w:r>
      <w:r w:rsidR="00516F27" w:rsidRPr="00C80F33">
        <w:t xml:space="preserve">R. </w:t>
      </w:r>
      <w:proofErr w:type="gramStart"/>
      <w:r w:rsidRPr="00C80F33">
        <w:t>L</w:t>
      </w:r>
      <w:r w:rsidR="00516F27" w:rsidRPr="00C80F33">
        <w:t>am</w:t>
      </w:r>
      <w:proofErr w:type="gramEnd"/>
      <w:r w:rsidR="00516F27" w:rsidRPr="00C80F33">
        <w:t xml:space="preserve"> </w:t>
      </w:r>
      <w:r w:rsidRPr="00C80F33">
        <w:t xml:space="preserve">(1994) Explaining import price inflation: a recent history of second stage pass-through, </w:t>
      </w:r>
      <w:r w:rsidRPr="00C80F33">
        <w:rPr>
          <w:i/>
        </w:rPr>
        <w:t>Reserve Bank of Australia Discussion Paper</w:t>
      </w:r>
      <w:r w:rsidRPr="00C80F33">
        <w:t>, No. 9407.</w:t>
      </w:r>
    </w:p>
    <w:p w14:paraId="1ED66DD1" w14:textId="77777777" w:rsidR="00177D5B" w:rsidRPr="00C80F33" w:rsidRDefault="00177D5B" w:rsidP="00B53A14">
      <w:proofErr w:type="spellStart"/>
      <w:r w:rsidRPr="00C80F33">
        <w:t>Jilek</w:t>
      </w:r>
      <w:proofErr w:type="spellEnd"/>
      <w:r w:rsidRPr="00C80F33">
        <w:t xml:space="preserve">, P., A. Johnson, and B. </w:t>
      </w:r>
      <w:proofErr w:type="spellStart"/>
      <w:r w:rsidRPr="00C80F33">
        <w:t>Taplin</w:t>
      </w:r>
      <w:proofErr w:type="spellEnd"/>
      <w:r w:rsidRPr="00C80F33">
        <w:t xml:space="preserve"> (1993) Exports, imports and the trade balance, </w:t>
      </w:r>
      <w:r w:rsidRPr="00C80F33">
        <w:rPr>
          <w:i/>
        </w:rPr>
        <w:t>Treasury Macroeconomic (TRYM) Model Papers</w:t>
      </w:r>
      <w:r w:rsidRPr="00C80F33">
        <w:t>, Australian Treasury.</w:t>
      </w:r>
    </w:p>
    <w:p w14:paraId="233FA213" w14:textId="77777777" w:rsidR="00B53A14" w:rsidRPr="00C80F33" w:rsidRDefault="00B53A14" w:rsidP="00B53A14">
      <w:proofErr w:type="gramStart"/>
      <w:r w:rsidRPr="00C80F33">
        <w:t>Kouparitsas, M.</w:t>
      </w:r>
      <w:r w:rsidR="00516F27" w:rsidRPr="00C80F33">
        <w:t>A.</w:t>
      </w:r>
      <w:r w:rsidRPr="00C80F33">
        <w:t xml:space="preserve"> and </w:t>
      </w:r>
      <w:r w:rsidR="00516F27" w:rsidRPr="00C80F33">
        <w:t>L. Luo</w:t>
      </w:r>
      <w:r w:rsidRPr="00C80F33">
        <w:t xml:space="preserve"> (201</w:t>
      </w:r>
      <w:r w:rsidR="00E63B09" w:rsidRPr="00C80F33">
        <w:t>4</w:t>
      </w:r>
      <w:r w:rsidRPr="00C80F33">
        <w:t>) Modelling Australia</w:t>
      </w:r>
      <w:r w:rsidR="00E63B09" w:rsidRPr="00C80F33">
        <w:t>’s</w:t>
      </w:r>
      <w:r w:rsidRPr="00C80F33">
        <w:t xml:space="preserve"> exports of goods and services, </w:t>
      </w:r>
      <w:r w:rsidRPr="00C80F33">
        <w:rPr>
          <w:i/>
        </w:rPr>
        <w:t>Treasury Working Paper</w:t>
      </w:r>
      <w:r w:rsidRPr="00C80F33">
        <w:t>, forthcoming.</w:t>
      </w:r>
      <w:proofErr w:type="gramEnd"/>
    </w:p>
    <w:p w14:paraId="5B3980C0" w14:textId="710A20F3" w:rsidR="00177D5B" w:rsidRPr="00C80F33" w:rsidRDefault="00177D5B" w:rsidP="00B53A14">
      <w:r w:rsidRPr="00C80F33">
        <w:t xml:space="preserve">Wilkinson, J. (1992) Explaining Australia’s imports: 1974-1989, </w:t>
      </w:r>
      <w:r w:rsidRPr="00C80F33">
        <w:rPr>
          <w:i/>
        </w:rPr>
        <w:t>Economic Record</w:t>
      </w:r>
      <w:r w:rsidRPr="00C80F33">
        <w:t xml:space="preserve">, No. 68(201), </w:t>
      </w:r>
      <w:r w:rsidR="00116BFB" w:rsidRPr="00C80F33">
        <w:br/>
      </w:r>
      <w:r w:rsidRPr="00C80F33">
        <w:t>p</w:t>
      </w:r>
      <w:r w:rsidR="00116BFB" w:rsidRPr="00C80F33">
        <w:t>ages</w:t>
      </w:r>
      <w:r w:rsidRPr="00C80F33">
        <w:t xml:space="preserve"> 151-164.</w:t>
      </w:r>
    </w:p>
    <w:p w14:paraId="480D3B63" w14:textId="77777777" w:rsidR="00CE79A0" w:rsidRPr="00C80F33" w:rsidRDefault="00CE79A0" w:rsidP="00CE79A0"/>
    <w:p w14:paraId="3EAC258C" w14:textId="77777777" w:rsidR="00CE79A0" w:rsidRPr="00C80F33" w:rsidRDefault="00CE79A0" w:rsidP="00CE79A0">
      <w:pPr>
        <w:sectPr w:rsidR="00CE79A0" w:rsidRPr="00C80F33" w:rsidSect="004475A0">
          <w:pgSz w:w="11907" w:h="16840" w:code="9"/>
          <w:pgMar w:top="1560" w:right="1304" w:bottom="1418" w:left="1304" w:header="567" w:footer="567" w:gutter="0"/>
          <w:cols w:space="720"/>
          <w:titlePg/>
          <w:docGrid w:linePitch="360"/>
        </w:sectPr>
      </w:pPr>
    </w:p>
    <w:p w14:paraId="6D294ADE" w14:textId="77777777" w:rsidR="00CE79A0" w:rsidRPr="00C80F33" w:rsidRDefault="00AF6FC7" w:rsidP="00CE79A0">
      <w:pPr>
        <w:pStyle w:val="AppendixHeadingLevel2NotNumbered"/>
      </w:pPr>
      <w:r w:rsidRPr="00C80F33">
        <w:lastRenderedPageBreak/>
        <w:t>Appendix A: Data sources</w:t>
      </w:r>
    </w:p>
    <w:p w14:paraId="642A0CC6" w14:textId="77777777" w:rsidR="00BD72D1" w:rsidRPr="00C80F33" w:rsidRDefault="00661219" w:rsidP="00661219">
      <w:proofErr w:type="gramStart"/>
      <w:r w:rsidRPr="00C80F33">
        <w:t>Australi</w:t>
      </w:r>
      <w:r w:rsidR="00BD72D1" w:rsidRPr="00C80F33">
        <w:t xml:space="preserve">an Bureau of Statistics, </w:t>
      </w:r>
      <w:r w:rsidRPr="00C80F33">
        <w:rPr>
          <w:i/>
        </w:rPr>
        <w:t>Balance of Payments and International Investment Position, Australia</w:t>
      </w:r>
      <w:r w:rsidRPr="00C80F33">
        <w:t>, ABS Cat.</w:t>
      </w:r>
      <w:proofErr w:type="gramEnd"/>
      <w:r w:rsidRPr="00C80F33">
        <w:t xml:space="preserve"> No. 5302.0, December 2012</w:t>
      </w:r>
      <w:r w:rsidR="007B01C8" w:rsidRPr="00C80F33">
        <w:t>:</w:t>
      </w:r>
      <w:r w:rsidRPr="00C80F33">
        <w:t xml:space="preserve"> </w:t>
      </w:r>
      <w:r w:rsidR="009C20DB" w:rsidRPr="00C80F33">
        <w:t>i</w:t>
      </w:r>
      <w:r w:rsidRPr="00C80F33">
        <w:t>mports volumes and prices</w:t>
      </w:r>
      <w:r w:rsidR="007B01C8" w:rsidRPr="00C80F33">
        <w:t>;</w:t>
      </w:r>
      <w:r w:rsidRPr="00C80F33">
        <w:t xml:space="preserve"> </w:t>
      </w:r>
      <w:r w:rsidR="007B01C8" w:rsidRPr="00C80F33">
        <w:t>and</w:t>
      </w:r>
      <w:r w:rsidRPr="00C80F33">
        <w:t xml:space="preserve"> trade-weighted non-exchange rate index.</w:t>
      </w:r>
    </w:p>
    <w:p w14:paraId="3C38F7F3" w14:textId="77777777" w:rsidR="00661219" w:rsidRPr="00C80F33" w:rsidRDefault="00BD72D1" w:rsidP="00CE79A0">
      <w:r w:rsidRPr="00C80F33">
        <w:t xml:space="preserve">Australian Bureau of Statistics, </w:t>
      </w:r>
      <w:r w:rsidR="00661219" w:rsidRPr="00C80F33">
        <w:rPr>
          <w:i/>
        </w:rPr>
        <w:t>Australian National Accounts: National Income and Product</w:t>
      </w:r>
      <w:r w:rsidR="00661219" w:rsidRPr="00C80F33">
        <w:t xml:space="preserve">, </w:t>
      </w:r>
      <w:r w:rsidR="00FD3F35" w:rsidRPr="00C80F33">
        <w:rPr>
          <w:i/>
        </w:rPr>
        <w:t>Australia</w:t>
      </w:r>
      <w:r w:rsidR="00FD3F35" w:rsidRPr="00C80F33">
        <w:t xml:space="preserve">, </w:t>
      </w:r>
      <w:r w:rsidR="00661219" w:rsidRPr="00C80F33">
        <w:t>ABS. Cat. No. 5206.0.</w:t>
      </w:r>
      <w:r w:rsidR="009C20DB" w:rsidRPr="00C80F33">
        <w:t>,</w:t>
      </w:r>
      <w:r w:rsidR="007B01C8" w:rsidRPr="00C80F33">
        <w:t xml:space="preserve"> December 2012: </w:t>
      </w:r>
      <w:r w:rsidR="00661219" w:rsidRPr="00C80F33">
        <w:t xml:space="preserve"> </w:t>
      </w:r>
      <w:r w:rsidR="009C20DB" w:rsidRPr="00C80F33">
        <w:t>g</w:t>
      </w:r>
      <w:r w:rsidR="00661219" w:rsidRPr="00C80F33">
        <w:t>ross national expenditure</w:t>
      </w:r>
      <w:r w:rsidR="007B01C8" w:rsidRPr="00C80F33">
        <w:t xml:space="preserve"> volumes and prices;</w:t>
      </w:r>
      <w:r w:rsidR="00661219" w:rsidRPr="00C80F33">
        <w:t xml:space="preserve"> aggregate household consumption</w:t>
      </w:r>
      <w:r w:rsidR="007B01C8" w:rsidRPr="00C80F33">
        <w:t xml:space="preserve"> volumes and prices;</w:t>
      </w:r>
      <w:r w:rsidR="00661219" w:rsidRPr="00C80F33">
        <w:t xml:space="preserve"> rental services</w:t>
      </w:r>
      <w:r w:rsidR="007B01C8" w:rsidRPr="00C80F33">
        <w:t xml:space="preserve"> volumes and prices;</w:t>
      </w:r>
      <w:r w:rsidR="00661219" w:rsidRPr="00C80F33">
        <w:t xml:space="preserve"> </w:t>
      </w:r>
      <w:r w:rsidR="007B01C8" w:rsidRPr="00C80F33">
        <w:t xml:space="preserve">and </w:t>
      </w:r>
      <w:r w:rsidR="00661219" w:rsidRPr="00C80F33">
        <w:t>gross fixed capital expenditure: machinery and equipment</w:t>
      </w:r>
      <w:r w:rsidR="007B01C8" w:rsidRPr="00C80F33">
        <w:t xml:space="preserve"> volumes and prices</w:t>
      </w:r>
      <w:r w:rsidR="00661219" w:rsidRPr="00C80F33">
        <w:t>.</w:t>
      </w:r>
    </w:p>
    <w:p w14:paraId="708CEDF5" w14:textId="77777777" w:rsidR="00CE79A0" w:rsidRPr="00C80F33" w:rsidRDefault="00661219" w:rsidP="00CE79A0">
      <w:r w:rsidRPr="00C80F33">
        <w:t>Various national statistical agencies</w:t>
      </w:r>
      <w:r w:rsidR="007B01C8" w:rsidRPr="00C80F33">
        <w:t>:</w:t>
      </w:r>
      <w:r w:rsidR="009C20DB" w:rsidRPr="00C80F33">
        <w:t xml:space="preserve"> foreign, local-currency denominated</w:t>
      </w:r>
      <w:r w:rsidR="007B01C8" w:rsidRPr="00C80F33">
        <w:t>,</w:t>
      </w:r>
      <w:r w:rsidR="009C20DB" w:rsidRPr="00C80F33">
        <w:t xml:space="preserve"> </w:t>
      </w:r>
      <w:r w:rsidRPr="00C80F33">
        <w:t xml:space="preserve">consumption </w:t>
      </w:r>
      <w:r w:rsidR="00364781" w:rsidRPr="00C80F33">
        <w:t>price</w:t>
      </w:r>
      <w:r w:rsidRPr="00C80F33">
        <w:t>s.</w:t>
      </w:r>
    </w:p>
    <w:sectPr w:rsidR="00CE79A0" w:rsidRPr="00C80F33" w:rsidSect="004475A0">
      <w:pgSz w:w="11907" w:h="16840" w:code="9"/>
      <w:pgMar w:top="1560" w:right="1304" w:bottom="1418" w:left="130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9A37D" w14:textId="77777777" w:rsidR="00926786" w:rsidRDefault="00926786">
      <w:r>
        <w:separator/>
      </w:r>
    </w:p>
  </w:endnote>
  <w:endnote w:type="continuationSeparator" w:id="0">
    <w:p w14:paraId="119AB7BC" w14:textId="77777777" w:rsidR="00926786" w:rsidRDefault="0092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8887E" w14:textId="77777777" w:rsidR="00926786" w:rsidRDefault="00926786">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xxi</w:t>
    </w:r>
    <w:r>
      <w:rPr>
        <w:rStyle w:val="PageNumber"/>
      </w:rPr>
      <w:fldChar w:fldCharType="end"/>
    </w:r>
  </w:p>
  <w:p w14:paraId="5D6927A8" w14:textId="77777777" w:rsidR="00926786" w:rsidRDefault="009267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AA30E" w14:textId="77777777" w:rsidR="00BB0DB8" w:rsidRDefault="00BB0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89AEB" w14:textId="77777777" w:rsidR="00926786" w:rsidRDefault="00926786" w:rsidP="00C80F33">
    <w:pPr>
      <w:pStyle w:val="Footer"/>
      <w:jc w:val="center"/>
    </w:pPr>
    <w:r>
      <w:rPr>
        <w:noProof/>
        <w:lang w:eastAsia="en-AU"/>
      </w:rPr>
      <w:drawing>
        <wp:inline distT="0" distB="0" distL="0" distR="0" wp14:anchorId="7D78D3A0" wp14:editId="5CC32BD2">
          <wp:extent cx="5940000" cy="86226"/>
          <wp:effectExtent l="0" t="0" r="0" b="9525"/>
          <wp:docPr id="3" name="Picture 3" descr="H:\MCD\Publishing\Graphic Design Services Team\Digital_Assets\Corporate elements\elements\colour bar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D\Publishing\Graphic Design Services Team\Digital_Assets\Corporate elements\elements\colour bars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000" cy="86226"/>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C32DF" w14:textId="77777777" w:rsidR="00926786" w:rsidRDefault="009267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B1900" w14:textId="77777777" w:rsidR="00926786" w:rsidRDefault="00926786">
    <w:pPr>
      <w:pStyle w:val="Footer"/>
    </w:pPr>
    <w:r>
      <w:rPr>
        <w:rStyle w:val="PageNumber"/>
      </w:rPr>
      <w:fldChar w:fldCharType="begin"/>
    </w:r>
    <w:r>
      <w:rPr>
        <w:rStyle w:val="PageNumber"/>
      </w:rPr>
      <w:instrText xml:space="preserve"> PAGE </w:instrText>
    </w:r>
    <w:r>
      <w:rPr>
        <w:rStyle w:val="PageNumber"/>
      </w:rPr>
      <w:fldChar w:fldCharType="separate"/>
    </w:r>
    <w:r w:rsidR="00BB0DB8">
      <w:rPr>
        <w:rStyle w:val="PageNumber"/>
        <w:noProof/>
      </w:rPr>
      <w:t>17</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369FF" w14:textId="77777777" w:rsidR="00926786" w:rsidRPr="00984077" w:rsidRDefault="00926786">
    <w:pPr>
      <w:pStyle w:val="Footer"/>
      <w:rPr>
        <w:szCs w:val="18"/>
      </w:rPr>
    </w:pPr>
    <w:r w:rsidRPr="00984077">
      <w:rPr>
        <w:rStyle w:val="PageNumber"/>
        <w:szCs w:val="18"/>
      </w:rPr>
      <w:fldChar w:fldCharType="begin"/>
    </w:r>
    <w:r w:rsidRPr="00984077">
      <w:rPr>
        <w:rStyle w:val="PageNumber"/>
        <w:szCs w:val="18"/>
      </w:rPr>
      <w:instrText xml:space="preserve"> PAGE </w:instrText>
    </w:r>
    <w:r w:rsidRPr="00984077">
      <w:rPr>
        <w:rStyle w:val="PageNumber"/>
        <w:szCs w:val="18"/>
      </w:rPr>
      <w:fldChar w:fldCharType="separate"/>
    </w:r>
    <w:r w:rsidR="00D2221F">
      <w:rPr>
        <w:rStyle w:val="PageNumber"/>
        <w:noProof/>
        <w:szCs w:val="18"/>
      </w:rPr>
      <w:t>21</w:t>
    </w:r>
    <w:r w:rsidRPr="00984077">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880AD" w14:textId="77777777" w:rsidR="00926786" w:rsidRDefault="00926786">
      <w:r>
        <w:separator/>
      </w:r>
    </w:p>
  </w:footnote>
  <w:footnote w:type="continuationSeparator" w:id="0">
    <w:p w14:paraId="69B36FE7" w14:textId="77777777" w:rsidR="00926786" w:rsidRDefault="00926786">
      <w:r>
        <w:continuationSeparator/>
      </w:r>
    </w:p>
  </w:footnote>
  <w:footnote w:id="1">
    <w:p w14:paraId="16D64175" w14:textId="053189B5" w:rsidR="00926786" w:rsidRPr="00614F35" w:rsidRDefault="00926786" w:rsidP="00162350">
      <w:pPr>
        <w:pStyle w:val="FootnoteText"/>
      </w:pPr>
      <w:r w:rsidRPr="00657014">
        <w:rPr>
          <w:rStyle w:val="FootnoteReference"/>
          <w:vertAlign w:val="baseline"/>
        </w:rPr>
        <w:footnoteRef/>
      </w:r>
      <w:r>
        <w:t xml:space="preserve"> </w:t>
      </w:r>
      <w:r>
        <w:tab/>
      </w:r>
      <w:r w:rsidRPr="006A6E2F">
        <w:t>Macroeconomic Modelling and Policy Division</w:t>
      </w:r>
      <w:r>
        <w:t>, Macroeconom</w:t>
      </w:r>
      <w:r w:rsidR="00C80F33">
        <w:t xml:space="preserve">ic Group, </w:t>
      </w:r>
      <w:proofErr w:type="gramStart"/>
      <w:r w:rsidR="00C80F33">
        <w:t>The</w:t>
      </w:r>
      <w:proofErr w:type="gramEnd"/>
      <w:r w:rsidR="00C80F33">
        <w:t xml:space="preserve"> Treasury, Langton </w:t>
      </w:r>
      <w:r>
        <w:t xml:space="preserve">Crescent, Parkes ACT 2600, </w:t>
      </w:r>
      <w:r w:rsidRPr="006B4A87">
        <w:t xml:space="preserve">Australia. Correspondence: </w:t>
      </w:r>
      <w:hyperlink r:id="rId1" w:history="1">
        <w:r w:rsidRPr="00F831FA">
          <w:rPr>
            <w:rStyle w:val="Hyperlink"/>
          </w:rPr>
          <w:t>michael.kouparitsas@treasury.gov.au</w:t>
        </w:r>
      </w:hyperlink>
      <w:r w:rsidRPr="00614F35">
        <w:t>. We thank</w:t>
      </w:r>
      <w:r>
        <w:t xml:space="preserve"> Michal </w:t>
      </w:r>
      <w:proofErr w:type="spellStart"/>
      <w:r>
        <w:t>Krolikowski</w:t>
      </w:r>
      <w:proofErr w:type="spellEnd"/>
      <w:r>
        <w:t>, Linden Luo, Sarah Brown and participants at the Macroeconomic Theory and Application Seminar for comments and suggestions on an earlier draft</w:t>
      </w:r>
      <w:r w:rsidRPr="00614F35">
        <w:t>.</w:t>
      </w:r>
    </w:p>
  </w:footnote>
  <w:footnote w:id="2">
    <w:p w14:paraId="3499EF89" w14:textId="77777777" w:rsidR="00926786" w:rsidRDefault="00926786" w:rsidP="003461C0">
      <w:pPr>
        <w:pStyle w:val="FootnoteText"/>
      </w:pPr>
      <w:r w:rsidRPr="00657014">
        <w:rPr>
          <w:rStyle w:val="FootnoteReference"/>
          <w:vertAlign w:val="baseline"/>
        </w:rPr>
        <w:footnoteRef/>
      </w:r>
      <w:r>
        <w:t xml:space="preserve"> </w:t>
      </w:r>
      <w:r>
        <w:tab/>
        <w:t>The views expressed in this paper are those of the authors and do not necessarily reflect those of The Australian Treasury or the Australian 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02D89" w14:textId="77777777" w:rsidR="00926786" w:rsidRDefault="00926786">
    <w:pPr>
      <w:framePr w:wrap="around" w:hAnchor="page" w:x="14460" w:yAlign="top" w:anchorLock="1"/>
      <w:textDirection w:val="tbRl"/>
    </w:pPr>
    <w:proofErr w:type="gramStart"/>
    <w:r>
      <w:t>v</w:t>
    </w:r>
    <w:proofErr w:type="gramEnd"/>
  </w:p>
  <w:p w14:paraId="193F9E97" w14:textId="77777777" w:rsidR="00926786" w:rsidRDefault="00926786" w:rsidP="0087222B">
    <w:pPr>
      <w:pStyle w:val="SecurityClassificationHeader"/>
    </w:pPr>
    <w:r>
      <w:fldChar w:fldCharType="begin"/>
    </w:r>
    <w:r>
      <w:instrText xml:space="preserve"> DOCPROPERTY WorkingDocStatus \* MERGEFORMAT </w:instrText>
    </w:r>
    <w:r>
      <w:fldChar w:fldCharType="separate"/>
    </w:r>
    <w:r w:rsidR="00025120">
      <w:rPr>
        <w:b w:val="0"/>
        <w:bCs/>
        <w:lang w:val="en-US"/>
      </w:rPr>
      <w:t>Error! Unknown document property name.</w:t>
    </w:r>
    <w:r>
      <w:fldChar w:fldCharType="end"/>
    </w:r>
    <w:r>
      <w:t>en landscape header</w:t>
    </w:r>
    <w:r w:rsidR="00BB0DB8">
      <w:fldChar w:fldCharType="begin"/>
    </w:r>
    <w:r w:rsidR="00BB0DB8">
      <w:instrText xml:space="preserve"> SUBJECT  \* MERGEFORMAT </w:instrText>
    </w:r>
    <w:r w:rsidR="00BB0DB8">
      <w:fldChar w:fldCharType="separate"/>
    </w:r>
    <w:r w:rsidR="00025120">
      <w:t>DED Model Documentation</w:t>
    </w:r>
    <w:r w:rsidR="00BB0DB8">
      <w:fldChar w:fldCharType="end"/>
    </w:r>
  </w:p>
  <w:p w14:paraId="38B3B4B6" w14:textId="77777777" w:rsidR="00926786" w:rsidRDefault="00926786">
    <w:r>
      <w:t>Even header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2110D" w14:textId="77777777" w:rsidR="00BB0DB8" w:rsidRDefault="00BB0D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9C23E" w14:textId="77777777" w:rsidR="00926786" w:rsidRDefault="00926786">
    <w:pPr>
      <w:framePr w:wrap="around" w:hAnchor="page" w:x="14460" w:yAlign="bottom" w:anchorLock="1"/>
      <w:textDirection w:val="tbRl"/>
    </w:pPr>
    <w:r>
      <w:t xml:space="preserve">Odd landscape </w:t>
    </w:r>
    <w:proofErr w:type="spellStart"/>
    <w:r>
      <w:t>header</w:t>
    </w:r>
    <w:r>
      <w:fldChar w:fldCharType="begin"/>
    </w:r>
    <w:r>
      <w:instrText xml:space="preserve"> SUBJECT  \* MERGEFORMAT </w:instrText>
    </w:r>
    <w:r>
      <w:fldChar w:fldCharType="separate"/>
    </w:r>
    <w:r w:rsidR="00025120">
      <w:t>DED</w:t>
    </w:r>
    <w:proofErr w:type="spellEnd"/>
    <w:r w:rsidR="00025120">
      <w:t xml:space="preserve"> Model Documentation</w:t>
    </w:r>
    <w:r>
      <w:fldChar w:fldCharType="end"/>
    </w:r>
  </w:p>
  <w:p w14:paraId="79A27A57" w14:textId="77777777" w:rsidR="00C80F33" w:rsidRDefault="00C80F33" w:rsidP="00C80F33">
    <w:pPr>
      <w:pStyle w:val="Header"/>
      <w:spacing w:after="1320"/>
    </w:pPr>
  </w:p>
  <w:p w14:paraId="108BFACD" w14:textId="77777777" w:rsidR="00926786" w:rsidRDefault="00926786" w:rsidP="00657014">
    <w:pPr>
      <w:pStyle w:val="Header"/>
    </w:pPr>
    <w:r>
      <w:rPr>
        <w:noProof/>
        <w:lang w:eastAsia="en-AU"/>
      </w:rPr>
      <w:drawing>
        <wp:inline distT="0" distB="0" distL="0" distR="0" wp14:anchorId="63F98D1F" wp14:editId="77A7DA91">
          <wp:extent cx="1926336" cy="1194816"/>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26336" cy="1194816"/>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41B3E" w14:textId="77777777" w:rsidR="00926786" w:rsidRDefault="009267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DB391" w14:textId="77777777" w:rsidR="00926786" w:rsidRDefault="009267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1A739" w14:textId="77777777" w:rsidR="00926786" w:rsidRDefault="00926786">
    <w:pPr>
      <w:framePr w:wrap="around" w:hAnchor="page" w:x="14460" w:yAlign="bottom" w:anchorLock="1"/>
      <w:textDirection w:val="tbRl"/>
    </w:pPr>
    <w:r>
      <w:t xml:space="preserve">Odd landscape </w:t>
    </w:r>
    <w:proofErr w:type="spellStart"/>
    <w:r>
      <w:t>header</w:t>
    </w:r>
    <w:r>
      <w:fldChar w:fldCharType="begin"/>
    </w:r>
    <w:r>
      <w:instrText xml:space="preserve"> SUBJECT  \* MERGEFORMAT </w:instrText>
    </w:r>
    <w:r>
      <w:fldChar w:fldCharType="separate"/>
    </w:r>
    <w:r w:rsidR="00025120">
      <w:t>DED</w:t>
    </w:r>
    <w:proofErr w:type="spellEnd"/>
    <w:r w:rsidR="00025120">
      <w:t xml:space="preserve"> Model Documentation</w:t>
    </w:r>
    <w:r>
      <w:fldChar w:fldCharType="end"/>
    </w:r>
  </w:p>
  <w:p w14:paraId="66E8E86E" w14:textId="693C52E4" w:rsidR="00926786" w:rsidRPr="00590645" w:rsidRDefault="00926786" w:rsidP="00C80F3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42D61" w14:textId="77777777" w:rsidR="00926786" w:rsidRDefault="0092678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37C4B" w14:textId="77777777" w:rsidR="00926786" w:rsidRDefault="0092678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9120E" w14:textId="77777777" w:rsidR="00926786" w:rsidRDefault="00926786">
    <w:pPr>
      <w:framePr w:wrap="around" w:hAnchor="page" w:x="14460" w:yAlign="bottom" w:anchorLock="1"/>
      <w:textDirection w:val="tbRl"/>
    </w:pPr>
    <w:r>
      <w:t xml:space="preserve">Odd landscape </w:t>
    </w:r>
    <w:proofErr w:type="spellStart"/>
    <w:r>
      <w:t>header</w:t>
    </w:r>
    <w:r>
      <w:fldChar w:fldCharType="begin"/>
    </w:r>
    <w:r>
      <w:instrText xml:space="preserve"> SUBJECT  \* MERGEFORMAT </w:instrText>
    </w:r>
    <w:r>
      <w:fldChar w:fldCharType="separate"/>
    </w:r>
    <w:r w:rsidR="00025120">
      <w:t>DED</w:t>
    </w:r>
    <w:proofErr w:type="spellEnd"/>
    <w:r w:rsidR="00025120">
      <w:t xml:space="preserve"> Model Documentation</w:t>
    </w:r>
    <w:r>
      <w:fldChar w:fldCharType="end"/>
    </w:r>
  </w:p>
  <w:p w14:paraId="55E666F8" w14:textId="77777777" w:rsidR="00926786" w:rsidRPr="00C80F33" w:rsidRDefault="00926786" w:rsidP="00C80F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4C3D60"/>
    <w:lvl w:ilvl="0">
      <w:start w:val="1"/>
      <w:numFmt w:val="decimal"/>
      <w:lvlText w:val="%1."/>
      <w:lvlJc w:val="left"/>
      <w:pPr>
        <w:tabs>
          <w:tab w:val="num" w:pos="1492"/>
        </w:tabs>
        <w:ind w:left="1492" w:hanging="360"/>
      </w:pPr>
    </w:lvl>
  </w:abstractNum>
  <w:abstractNum w:abstractNumId="1">
    <w:nsid w:val="FFFFFF7D"/>
    <w:multiLevelType w:val="singleLevel"/>
    <w:tmpl w:val="83A84DC2"/>
    <w:lvl w:ilvl="0">
      <w:start w:val="1"/>
      <w:numFmt w:val="decimal"/>
      <w:lvlText w:val="%1."/>
      <w:lvlJc w:val="left"/>
      <w:pPr>
        <w:tabs>
          <w:tab w:val="num" w:pos="1209"/>
        </w:tabs>
        <w:ind w:left="1209" w:hanging="360"/>
      </w:pPr>
    </w:lvl>
  </w:abstractNum>
  <w:abstractNum w:abstractNumId="2">
    <w:nsid w:val="FFFFFF7E"/>
    <w:multiLevelType w:val="singleLevel"/>
    <w:tmpl w:val="E9B2DAF4"/>
    <w:lvl w:ilvl="0">
      <w:start w:val="1"/>
      <w:numFmt w:val="decimal"/>
      <w:lvlText w:val="%1."/>
      <w:lvlJc w:val="left"/>
      <w:pPr>
        <w:tabs>
          <w:tab w:val="num" w:pos="926"/>
        </w:tabs>
        <w:ind w:left="926" w:hanging="360"/>
      </w:pPr>
    </w:lvl>
  </w:abstractNum>
  <w:abstractNum w:abstractNumId="3">
    <w:nsid w:val="FFFFFF7F"/>
    <w:multiLevelType w:val="singleLevel"/>
    <w:tmpl w:val="A1A0079A"/>
    <w:lvl w:ilvl="0">
      <w:start w:val="1"/>
      <w:numFmt w:val="decimal"/>
      <w:lvlText w:val="%1."/>
      <w:lvlJc w:val="left"/>
      <w:pPr>
        <w:tabs>
          <w:tab w:val="num" w:pos="643"/>
        </w:tabs>
        <w:ind w:left="643" w:hanging="360"/>
      </w:pPr>
    </w:lvl>
  </w:abstractNum>
  <w:abstractNum w:abstractNumId="4">
    <w:nsid w:val="FFFFFF80"/>
    <w:multiLevelType w:val="singleLevel"/>
    <w:tmpl w:val="2CE48A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98F8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343A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DE76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A27FC2"/>
    <w:lvl w:ilvl="0">
      <w:start w:val="1"/>
      <w:numFmt w:val="decimal"/>
      <w:lvlText w:val="%1."/>
      <w:lvlJc w:val="left"/>
      <w:pPr>
        <w:tabs>
          <w:tab w:val="num" w:pos="360"/>
        </w:tabs>
        <w:ind w:left="360" w:hanging="360"/>
      </w:pPr>
    </w:lvl>
  </w:abstractNum>
  <w:abstractNum w:abstractNumId="9">
    <w:nsid w:val="FFFFFF89"/>
    <w:multiLevelType w:val="singleLevel"/>
    <w:tmpl w:val="D22809F2"/>
    <w:lvl w:ilvl="0">
      <w:start w:val="1"/>
      <w:numFmt w:val="bullet"/>
      <w:lvlText w:val=""/>
      <w:lvlJc w:val="left"/>
      <w:pPr>
        <w:tabs>
          <w:tab w:val="num" w:pos="360"/>
        </w:tabs>
        <w:ind w:left="360" w:hanging="360"/>
      </w:pPr>
      <w:rPr>
        <w:rFonts w:ascii="Symbol" w:hAnsi="Symbol" w:hint="default"/>
      </w:rPr>
    </w:lvl>
  </w:abstractNum>
  <w:abstractNum w:abstractNumId="10">
    <w:nsid w:val="0430627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2">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6CC4E5D"/>
    <w:multiLevelType w:val="multilevel"/>
    <w:tmpl w:val="D10E9CF6"/>
    <w:numStyleLink w:val="OneLevelList"/>
  </w:abstractNum>
  <w:abstractNum w:abstractNumId="17">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9">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2">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24">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6">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27">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3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445B0A7E"/>
    <w:multiLevelType w:val="multilevel"/>
    <w:tmpl w:val="EDEE4FB6"/>
    <w:numStyleLink w:val="RecommendationBulletList"/>
  </w:abstractNum>
  <w:abstractNum w:abstractNumId="32">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34">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510D2021"/>
    <w:multiLevelType w:val="multilevel"/>
    <w:tmpl w:val="72F8140E"/>
    <w:numStyleLink w:val="OutlineList"/>
  </w:abstractNum>
  <w:abstractNum w:abstractNumId="36">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5F73129"/>
    <w:multiLevelType w:val="multilevel"/>
    <w:tmpl w:val="D9A8A212"/>
    <w:numStyleLink w:val="RomanNumeralList"/>
  </w:abstractNum>
  <w:abstractNum w:abstractNumId="38">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0">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42">
    <w:nsid w:val="6A5F7B24"/>
    <w:multiLevelType w:val="multilevel"/>
    <w:tmpl w:val="80743F6E"/>
    <w:lvl w:ilvl="0">
      <w:start w:val="1"/>
      <w:numFmt w:val="decimal"/>
      <w:lvlRestart w:val="0"/>
      <w:pStyle w:val="Heading2"/>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43">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3CA6E80"/>
    <w:multiLevelType w:val="multilevel"/>
    <w:tmpl w:val="00F03A94"/>
    <w:lvl w:ilvl="0">
      <w:start w:val="1"/>
      <w:numFmt w:val="none"/>
      <w:lvlText w:val=""/>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41"/>
  </w:num>
  <w:num w:numId="2">
    <w:abstractNumId w:val="42"/>
  </w:num>
  <w:num w:numId="3">
    <w:abstractNumId w:val="11"/>
  </w:num>
  <w:num w:numId="4">
    <w:abstractNumId w:val="30"/>
  </w:num>
  <w:num w:numId="5">
    <w:abstractNumId w:val="43"/>
  </w:num>
  <w:num w:numId="6">
    <w:abstractNumId w:val="24"/>
  </w:num>
  <w:num w:numId="7">
    <w:abstractNumId w:val="29"/>
  </w:num>
  <w:num w:numId="8">
    <w:abstractNumId w:val="25"/>
  </w:num>
  <w:num w:numId="9">
    <w:abstractNumId w:val="13"/>
  </w:num>
  <w:num w:numId="10">
    <w:abstractNumId w:val="32"/>
  </w:num>
  <w:num w:numId="11">
    <w:abstractNumId w:val="28"/>
  </w:num>
  <w:num w:numId="12">
    <w:abstractNumId w:val="15"/>
  </w:num>
  <w:num w:numId="13">
    <w:abstractNumId w:val="19"/>
  </w:num>
  <w:num w:numId="14">
    <w:abstractNumId w:val="14"/>
  </w:num>
  <w:num w:numId="15">
    <w:abstractNumId w:val="16"/>
  </w:num>
  <w:num w:numId="16">
    <w:abstractNumId w:val="35"/>
  </w:num>
  <w:num w:numId="17">
    <w:abstractNumId w:val="31"/>
  </w:num>
  <w:num w:numId="18">
    <w:abstractNumId w:val="37"/>
  </w:num>
  <w:num w:numId="19">
    <w:abstractNumId w:val="27"/>
  </w:num>
  <w:num w:numId="20">
    <w:abstractNumId w:val="36"/>
  </w:num>
  <w:num w:numId="21">
    <w:abstractNumId w:val="20"/>
  </w:num>
  <w:num w:numId="22">
    <w:abstractNumId w:val="47"/>
  </w:num>
  <w:num w:numId="23">
    <w:abstractNumId w:val="34"/>
  </w:num>
  <w:num w:numId="24">
    <w:abstractNumId w:val="23"/>
  </w:num>
  <w:num w:numId="25">
    <w:abstractNumId w:val="38"/>
  </w:num>
  <w:num w:numId="26">
    <w:abstractNumId w:val="33"/>
  </w:num>
  <w:num w:numId="27">
    <w:abstractNumId w:val="21"/>
  </w:num>
  <w:num w:numId="28">
    <w:abstractNumId w:val="44"/>
  </w:num>
  <w:num w:numId="29">
    <w:abstractNumId w:val="18"/>
  </w:num>
  <w:num w:numId="30">
    <w:abstractNumId w:val="26"/>
  </w:num>
  <w:num w:numId="31">
    <w:abstractNumId w:val="39"/>
  </w:num>
  <w:num w:numId="32">
    <w:abstractNumId w:val="22"/>
  </w:num>
  <w:num w:numId="33">
    <w:abstractNumId w:val="46"/>
  </w:num>
  <w:num w:numId="34">
    <w:abstractNumId w:val="40"/>
  </w:num>
  <w:num w:numId="35">
    <w:abstractNumId w:val="17"/>
  </w:num>
  <w:num w:numId="36">
    <w:abstractNumId w:val="12"/>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10"/>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89"/>
    <w:rsid w:val="00000006"/>
    <w:rsid w:val="000022B7"/>
    <w:rsid w:val="0000345D"/>
    <w:rsid w:val="00003B0C"/>
    <w:rsid w:val="00004BFD"/>
    <w:rsid w:val="000065A8"/>
    <w:rsid w:val="00010454"/>
    <w:rsid w:val="00012FC9"/>
    <w:rsid w:val="000134FA"/>
    <w:rsid w:val="000142E7"/>
    <w:rsid w:val="000145B2"/>
    <w:rsid w:val="0001724B"/>
    <w:rsid w:val="00017810"/>
    <w:rsid w:val="00020373"/>
    <w:rsid w:val="00022B00"/>
    <w:rsid w:val="00023409"/>
    <w:rsid w:val="00025120"/>
    <w:rsid w:val="00026750"/>
    <w:rsid w:val="00027A1B"/>
    <w:rsid w:val="00030F60"/>
    <w:rsid w:val="0003140E"/>
    <w:rsid w:val="00032B2A"/>
    <w:rsid w:val="0003502B"/>
    <w:rsid w:val="0003512E"/>
    <w:rsid w:val="00035157"/>
    <w:rsid w:val="000364B4"/>
    <w:rsid w:val="00036756"/>
    <w:rsid w:val="00036AD6"/>
    <w:rsid w:val="000370B1"/>
    <w:rsid w:val="00037317"/>
    <w:rsid w:val="00041DD3"/>
    <w:rsid w:val="00043437"/>
    <w:rsid w:val="00043D77"/>
    <w:rsid w:val="0004697C"/>
    <w:rsid w:val="00046BB1"/>
    <w:rsid w:val="00046F5F"/>
    <w:rsid w:val="0005021E"/>
    <w:rsid w:val="000508EF"/>
    <w:rsid w:val="00051CD2"/>
    <w:rsid w:val="00051FA3"/>
    <w:rsid w:val="0005454B"/>
    <w:rsid w:val="0005568B"/>
    <w:rsid w:val="00056118"/>
    <w:rsid w:val="00056548"/>
    <w:rsid w:val="00057035"/>
    <w:rsid w:val="00057510"/>
    <w:rsid w:val="00057CA3"/>
    <w:rsid w:val="00060E53"/>
    <w:rsid w:val="00061492"/>
    <w:rsid w:val="000626B7"/>
    <w:rsid w:val="00062E55"/>
    <w:rsid w:val="0006315D"/>
    <w:rsid w:val="0006370A"/>
    <w:rsid w:val="00064234"/>
    <w:rsid w:val="0006583D"/>
    <w:rsid w:val="00066AE3"/>
    <w:rsid w:val="000676DB"/>
    <w:rsid w:val="000705E0"/>
    <w:rsid w:val="00071258"/>
    <w:rsid w:val="00071411"/>
    <w:rsid w:val="00073AB1"/>
    <w:rsid w:val="00073B8D"/>
    <w:rsid w:val="00073BEF"/>
    <w:rsid w:val="000756FD"/>
    <w:rsid w:val="000768FA"/>
    <w:rsid w:val="000772FB"/>
    <w:rsid w:val="00077895"/>
    <w:rsid w:val="00077ECA"/>
    <w:rsid w:val="000804EF"/>
    <w:rsid w:val="00082613"/>
    <w:rsid w:val="000836E5"/>
    <w:rsid w:val="00083B04"/>
    <w:rsid w:val="00084965"/>
    <w:rsid w:val="00086286"/>
    <w:rsid w:val="00087798"/>
    <w:rsid w:val="00087B2D"/>
    <w:rsid w:val="00092A18"/>
    <w:rsid w:val="00092C99"/>
    <w:rsid w:val="00095F07"/>
    <w:rsid w:val="00097DED"/>
    <w:rsid w:val="000A051C"/>
    <w:rsid w:val="000A21EE"/>
    <w:rsid w:val="000A355A"/>
    <w:rsid w:val="000A38A9"/>
    <w:rsid w:val="000A399D"/>
    <w:rsid w:val="000A4FE8"/>
    <w:rsid w:val="000A5967"/>
    <w:rsid w:val="000A7DCA"/>
    <w:rsid w:val="000B0A02"/>
    <w:rsid w:val="000B213A"/>
    <w:rsid w:val="000B2FB2"/>
    <w:rsid w:val="000B32B1"/>
    <w:rsid w:val="000B3EA2"/>
    <w:rsid w:val="000B4DB7"/>
    <w:rsid w:val="000B5180"/>
    <w:rsid w:val="000B519B"/>
    <w:rsid w:val="000B5D30"/>
    <w:rsid w:val="000B5ED4"/>
    <w:rsid w:val="000B6863"/>
    <w:rsid w:val="000B783C"/>
    <w:rsid w:val="000B7E07"/>
    <w:rsid w:val="000C039D"/>
    <w:rsid w:val="000C0B5F"/>
    <w:rsid w:val="000C2009"/>
    <w:rsid w:val="000C271F"/>
    <w:rsid w:val="000C4060"/>
    <w:rsid w:val="000C5740"/>
    <w:rsid w:val="000C579B"/>
    <w:rsid w:val="000C57D7"/>
    <w:rsid w:val="000C62DA"/>
    <w:rsid w:val="000C7071"/>
    <w:rsid w:val="000C77CF"/>
    <w:rsid w:val="000C7947"/>
    <w:rsid w:val="000C7A40"/>
    <w:rsid w:val="000C7DE6"/>
    <w:rsid w:val="000D0772"/>
    <w:rsid w:val="000D2790"/>
    <w:rsid w:val="000D2796"/>
    <w:rsid w:val="000D3D4D"/>
    <w:rsid w:val="000D4841"/>
    <w:rsid w:val="000D52DA"/>
    <w:rsid w:val="000D5704"/>
    <w:rsid w:val="000D59A2"/>
    <w:rsid w:val="000D6F24"/>
    <w:rsid w:val="000D7384"/>
    <w:rsid w:val="000E04B4"/>
    <w:rsid w:val="000E0B5A"/>
    <w:rsid w:val="000E199A"/>
    <w:rsid w:val="000E3E84"/>
    <w:rsid w:val="000E47CD"/>
    <w:rsid w:val="000E4D44"/>
    <w:rsid w:val="000F00AD"/>
    <w:rsid w:val="000F11E6"/>
    <w:rsid w:val="000F17F1"/>
    <w:rsid w:val="000F2F19"/>
    <w:rsid w:val="000F351A"/>
    <w:rsid w:val="000F38B9"/>
    <w:rsid w:val="000F433B"/>
    <w:rsid w:val="000F4E7E"/>
    <w:rsid w:val="000F523A"/>
    <w:rsid w:val="000F6645"/>
    <w:rsid w:val="00101000"/>
    <w:rsid w:val="00101FCB"/>
    <w:rsid w:val="0010281D"/>
    <w:rsid w:val="0010359D"/>
    <w:rsid w:val="001047D7"/>
    <w:rsid w:val="00104FCE"/>
    <w:rsid w:val="00110EA1"/>
    <w:rsid w:val="00112BD4"/>
    <w:rsid w:val="00113195"/>
    <w:rsid w:val="0011320B"/>
    <w:rsid w:val="00114C23"/>
    <w:rsid w:val="00116BFB"/>
    <w:rsid w:val="00117527"/>
    <w:rsid w:val="0012125C"/>
    <w:rsid w:val="00123CC3"/>
    <w:rsid w:val="0012432C"/>
    <w:rsid w:val="0012459A"/>
    <w:rsid w:val="00124E37"/>
    <w:rsid w:val="00126A64"/>
    <w:rsid w:val="00126AE1"/>
    <w:rsid w:val="0012731E"/>
    <w:rsid w:val="00130400"/>
    <w:rsid w:val="001304A4"/>
    <w:rsid w:val="00133C16"/>
    <w:rsid w:val="00134055"/>
    <w:rsid w:val="00134203"/>
    <w:rsid w:val="00137FBF"/>
    <w:rsid w:val="001407E0"/>
    <w:rsid w:val="0014256B"/>
    <w:rsid w:val="00143D4E"/>
    <w:rsid w:val="0014574E"/>
    <w:rsid w:val="00150379"/>
    <w:rsid w:val="00151BA6"/>
    <w:rsid w:val="00152316"/>
    <w:rsid w:val="00152FA4"/>
    <w:rsid w:val="0015532E"/>
    <w:rsid w:val="001556AF"/>
    <w:rsid w:val="001567BE"/>
    <w:rsid w:val="001574AE"/>
    <w:rsid w:val="0015759C"/>
    <w:rsid w:val="0015774E"/>
    <w:rsid w:val="00161065"/>
    <w:rsid w:val="00161E40"/>
    <w:rsid w:val="00161ED1"/>
    <w:rsid w:val="00161FFC"/>
    <w:rsid w:val="00162350"/>
    <w:rsid w:val="00162967"/>
    <w:rsid w:val="0016302F"/>
    <w:rsid w:val="00164658"/>
    <w:rsid w:val="00165B9D"/>
    <w:rsid w:val="001668A1"/>
    <w:rsid w:val="00167177"/>
    <w:rsid w:val="001672FB"/>
    <w:rsid w:val="0016780D"/>
    <w:rsid w:val="001705B0"/>
    <w:rsid w:val="001706C1"/>
    <w:rsid w:val="001708EF"/>
    <w:rsid w:val="00170D17"/>
    <w:rsid w:val="00171108"/>
    <w:rsid w:val="001715BE"/>
    <w:rsid w:val="00173EFD"/>
    <w:rsid w:val="0017487B"/>
    <w:rsid w:val="00174ACC"/>
    <w:rsid w:val="0017560C"/>
    <w:rsid w:val="00176989"/>
    <w:rsid w:val="00177D1E"/>
    <w:rsid w:val="00177D5B"/>
    <w:rsid w:val="001808A9"/>
    <w:rsid w:val="0018169F"/>
    <w:rsid w:val="001816FF"/>
    <w:rsid w:val="00181980"/>
    <w:rsid w:val="00181C7C"/>
    <w:rsid w:val="00181E54"/>
    <w:rsid w:val="00182323"/>
    <w:rsid w:val="00182920"/>
    <w:rsid w:val="00183968"/>
    <w:rsid w:val="001845B2"/>
    <w:rsid w:val="00184934"/>
    <w:rsid w:val="0018497C"/>
    <w:rsid w:val="00185BF0"/>
    <w:rsid w:val="00186895"/>
    <w:rsid w:val="00190888"/>
    <w:rsid w:val="0019178E"/>
    <w:rsid w:val="001927AE"/>
    <w:rsid w:val="00192BAF"/>
    <w:rsid w:val="00193150"/>
    <w:rsid w:val="00193465"/>
    <w:rsid w:val="0019353B"/>
    <w:rsid w:val="001936EB"/>
    <w:rsid w:val="001946B5"/>
    <w:rsid w:val="00196638"/>
    <w:rsid w:val="001968CC"/>
    <w:rsid w:val="00197E7B"/>
    <w:rsid w:val="001A28EA"/>
    <w:rsid w:val="001A315D"/>
    <w:rsid w:val="001A32B9"/>
    <w:rsid w:val="001A4076"/>
    <w:rsid w:val="001A4567"/>
    <w:rsid w:val="001A4E92"/>
    <w:rsid w:val="001A611D"/>
    <w:rsid w:val="001A6687"/>
    <w:rsid w:val="001B1BF9"/>
    <w:rsid w:val="001B1DFF"/>
    <w:rsid w:val="001B24C1"/>
    <w:rsid w:val="001B2FF4"/>
    <w:rsid w:val="001B3288"/>
    <w:rsid w:val="001B4003"/>
    <w:rsid w:val="001B537F"/>
    <w:rsid w:val="001B57AD"/>
    <w:rsid w:val="001B591C"/>
    <w:rsid w:val="001B652F"/>
    <w:rsid w:val="001B695E"/>
    <w:rsid w:val="001C0046"/>
    <w:rsid w:val="001C015A"/>
    <w:rsid w:val="001C100C"/>
    <w:rsid w:val="001C1675"/>
    <w:rsid w:val="001C2158"/>
    <w:rsid w:val="001C2DDA"/>
    <w:rsid w:val="001C2F27"/>
    <w:rsid w:val="001C3534"/>
    <w:rsid w:val="001C4EE8"/>
    <w:rsid w:val="001C5921"/>
    <w:rsid w:val="001C5EC3"/>
    <w:rsid w:val="001C7631"/>
    <w:rsid w:val="001D0C6A"/>
    <w:rsid w:val="001D0DFD"/>
    <w:rsid w:val="001D1769"/>
    <w:rsid w:val="001D2790"/>
    <w:rsid w:val="001D2C97"/>
    <w:rsid w:val="001D5410"/>
    <w:rsid w:val="001D5488"/>
    <w:rsid w:val="001D595F"/>
    <w:rsid w:val="001D64A5"/>
    <w:rsid w:val="001D744B"/>
    <w:rsid w:val="001E1F6B"/>
    <w:rsid w:val="001E3162"/>
    <w:rsid w:val="001E36E8"/>
    <w:rsid w:val="001E3C26"/>
    <w:rsid w:val="001E52A0"/>
    <w:rsid w:val="001E6747"/>
    <w:rsid w:val="001E7733"/>
    <w:rsid w:val="001E7EA2"/>
    <w:rsid w:val="001F3A11"/>
    <w:rsid w:val="001F3B87"/>
    <w:rsid w:val="001F4136"/>
    <w:rsid w:val="00202D69"/>
    <w:rsid w:val="00204924"/>
    <w:rsid w:val="00204EFA"/>
    <w:rsid w:val="002053A2"/>
    <w:rsid w:val="0020758A"/>
    <w:rsid w:val="00207DE5"/>
    <w:rsid w:val="00207EF0"/>
    <w:rsid w:val="002113C0"/>
    <w:rsid w:val="00211B3B"/>
    <w:rsid w:val="00212BFD"/>
    <w:rsid w:val="002136CA"/>
    <w:rsid w:val="00214177"/>
    <w:rsid w:val="00215796"/>
    <w:rsid w:val="00215A67"/>
    <w:rsid w:val="00215BEA"/>
    <w:rsid w:val="002166B4"/>
    <w:rsid w:val="002207CC"/>
    <w:rsid w:val="002221F0"/>
    <w:rsid w:val="00223CDD"/>
    <w:rsid w:val="00224A4E"/>
    <w:rsid w:val="00224C38"/>
    <w:rsid w:val="002251DE"/>
    <w:rsid w:val="002279BB"/>
    <w:rsid w:val="00227D5E"/>
    <w:rsid w:val="0023137D"/>
    <w:rsid w:val="00232FAA"/>
    <w:rsid w:val="00235114"/>
    <w:rsid w:val="0023613D"/>
    <w:rsid w:val="002366A2"/>
    <w:rsid w:val="00237258"/>
    <w:rsid w:val="00240962"/>
    <w:rsid w:val="00240BD9"/>
    <w:rsid w:val="00242053"/>
    <w:rsid w:val="0024206D"/>
    <w:rsid w:val="00242EB5"/>
    <w:rsid w:val="00243339"/>
    <w:rsid w:val="00244CE3"/>
    <w:rsid w:val="00245CA5"/>
    <w:rsid w:val="002465FE"/>
    <w:rsid w:val="00250529"/>
    <w:rsid w:val="00252680"/>
    <w:rsid w:val="00253A3E"/>
    <w:rsid w:val="002569ED"/>
    <w:rsid w:val="00260201"/>
    <w:rsid w:val="0026061D"/>
    <w:rsid w:val="00260C9F"/>
    <w:rsid w:val="00262AE7"/>
    <w:rsid w:val="002630E5"/>
    <w:rsid w:val="00263A65"/>
    <w:rsid w:val="00263F38"/>
    <w:rsid w:val="00264C52"/>
    <w:rsid w:val="00265D3C"/>
    <w:rsid w:val="00266596"/>
    <w:rsid w:val="00266D7A"/>
    <w:rsid w:val="002671A1"/>
    <w:rsid w:val="002702D8"/>
    <w:rsid w:val="0027085A"/>
    <w:rsid w:val="00270CF7"/>
    <w:rsid w:val="00271F04"/>
    <w:rsid w:val="00272E19"/>
    <w:rsid w:val="00273CF3"/>
    <w:rsid w:val="00274311"/>
    <w:rsid w:val="002745A0"/>
    <w:rsid w:val="00275634"/>
    <w:rsid w:val="00275E0B"/>
    <w:rsid w:val="0028046F"/>
    <w:rsid w:val="00281360"/>
    <w:rsid w:val="002815E9"/>
    <w:rsid w:val="00281813"/>
    <w:rsid w:val="00281F55"/>
    <w:rsid w:val="00282ECD"/>
    <w:rsid w:val="00283D4C"/>
    <w:rsid w:val="00285D9A"/>
    <w:rsid w:val="002864FA"/>
    <w:rsid w:val="00286D8B"/>
    <w:rsid w:val="002877F0"/>
    <w:rsid w:val="00290D4B"/>
    <w:rsid w:val="00291017"/>
    <w:rsid w:val="0029170A"/>
    <w:rsid w:val="00293978"/>
    <w:rsid w:val="00294BB9"/>
    <w:rsid w:val="0029564F"/>
    <w:rsid w:val="00295D7A"/>
    <w:rsid w:val="0029677E"/>
    <w:rsid w:val="002A004B"/>
    <w:rsid w:val="002A0454"/>
    <w:rsid w:val="002A1BDD"/>
    <w:rsid w:val="002A2DD7"/>
    <w:rsid w:val="002A32F6"/>
    <w:rsid w:val="002A3F66"/>
    <w:rsid w:val="002A46D6"/>
    <w:rsid w:val="002A4C28"/>
    <w:rsid w:val="002A5238"/>
    <w:rsid w:val="002A56FF"/>
    <w:rsid w:val="002A6743"/>
    <w:rsid w:val="002A6DCA"/>
    <w:rsid w:val="002A7908"/>
    <w:rsid w:val="002A7CF5"/>
    <w:rsid w:val="002B03AE"/>
    <w:rsid w:val="002B0D0C"/>
    <w:rsid w:val="002B4B93"/>
    <w:rsid w:val="002B5636"/>
    <w:rsid w:val="002B597A"/>
    <w:rsid w:val="002B63C4"/>
    <w:rsid w:val="002B700A"/>
    <w:rsid w:val="002B7735"/>
    <w:rsid w:val="002B7805"/>
    <w:rsid w:val="002C06A0"/>
    <w:rsid w:val="002C081A"/>
    <w:rsid w:val="002C176D"/>
    <w:rsid w:val="002C1E01"/>
    <w:rsid w:val="002C2458"/>
    <w:rsid w:val="002C2A91"/>
    <w:rsid w:val="002C336F"/>
    <w:rsid w:val="002C4640"/>
    <w:rsid w:val="002C4AE7"/>
    <w:rsid w:val="002C4DBD"/>
    <w:rsid w:val="002C5829"/>
    <w:rsid w:val="002C591B"/>
    <w:rsid w:val="002C5E54"/>
    <w:rsid w:val="002C698D"/>
    <w:rsid w:val="002C7F9A"/>
    <w:rsid w:val="002D2D79"/>
    <w:rsid w:val="002D3734"/>
    <w:rsid w:val="002D5285"/>
    <w:rsid w:val="002E2523"/>
    <w:rsid w:val="002E3D3E"/>
    <w:rsid w:val="002E3E12"/>
    <w:rsid w:val="002E3F07"/>
    <w:rsid w:val="002E41F3"/>
    <w:rsid w:val="002E60FC"/>
    <w:rsid w:val="002E74DF"/>
    <w:rsid w:val="002E760F"/>
    <w:rsid w:val="002E794E"/>
    <w:rsid w:val="002F1DD4"/>
    <w:rsid w:val="002F374E"/>
    <w:rsid w:val="002F43AF"/>
    <w:rsid w:val="002F45DE"/>
    <w:rsid w:val="002F5BE9"/>
    <w:rsid w:val="002F6322"/>
    <w:rsid w:val="002F6A51"/>
    <w:rsid w:val="00301AA5"/>
    <w:rsid w:val="003024A7"/>
    <w:rsid w:val="00302831"/>
    <w:rsid w:val="003030BF"/>
    <w:rsid w:val="003037FA"/>
    <w:rsid w:val="00304A1F"/>
    <w:rsid w:val="00305750"/>
    <w:rsid w:val="00306ADD"/>
    <w:rsid w:val="003076FC"/>
    <w:rsid w:val="0031085B"/>
    <w:rsid w:val="00310F6B"/>
    <w:rsid w:val="00311508"/>
    <w:rsid w:val="003153AA"/>
    <w:rsid w:val="0031627E"/>
    <w:rsid w:val="003166FD"/>
    <w:rsid w:val="00316787"/>
    <w:rsid w:val="00317607"/>
    <w:rsid w:val="00320DFA"/>
    <w:rsid w:val="0032161A"/>
    <w:rsid w:val="00321A79"/>
    <w:rsid w:val="00322207"/>
    <w:rsid w:val="00322F8B"/>
    <w:rsid w:val="00323080"/>
    <w:rsid w:val="00323C4D"/>
    <w:rsid w:val="00327611"/>
    <w:rsid w:val="00327DE0"/>
    <w:rsid w:val="003303ED"/>
    <w:rsid w:val="00332A53"/>
    <w:rsid w:val="00334B61"/>
    <w:rsid w:val="003351BC"/>
    <w:rsid w:val="0034088F"/>
    <w:rsid w:val="00340C23"/>
    <w:rsid w:val="00342010"/>
    <w:rsid w:val="00343895"/>
    <w:rsid w:val="0034393B"/>
    <w:rsid w:val="003449AA"/>
    <w:rsid w:val="003461C0"/>
    <w:rsid w:val="00346F7F"/>
    <w:rsid w:val="00347A16"/>
    <w:rsid w:val="00347E9C"/>
    <w:rsid w:val="0035037D"/>
    <w:rsid w:val="00351231"/>
    <w:rsid w:val="003514F0"/>
    <w:rsid w:val="00352410"/>
    <w:rsid w:val="00355CBC"/>
    <w:rsid w:val="0036086E"/>
    <w:rsid w:val="00360F1B"/>
    <w:rsid w:val="003615F1"/>
    <w:rsid w:val="003620E7"/>
    <w:rsid w:val="00363AA1"/>
    <w:rsid w:val="00363BFC"/>
    <w:rsid w:val="00364781"/>
    <w:rsid w:val="00364914"/>
    <w:rsid w:val="0036599E"/>
    <w:rsid w:val="003664F6"/>
    <w:rsid w:val="00371505"/>
    <w:rsid w:val="003733A6"/>
    <w:rsid w:val="003736D4"/>
    <w:rsid w:val="003743C6"/>
    <w:rsid w:val="00374791"/>
    <w:rsid w:val="0037491F"/>
    <w:rsid w:val="00376D8A"/>
    <w:rsid w:val="00377084"/>
    <w:rsid w:val="00377394"/>
    <w:rsid w:val="00380295"/>
    <w:rsid w:val="00381CB8"/>
    <w:rsid w:val="0038370D"/>
    <w:rsid w:val="00387A50"/>
    <w:rsid w:val="0039298D"/>
    <w:rsid w:val="00393F3B"/>
    <w:rsid w:val="003945D7"/>
    <w:rsid w:val="00394BC1"/>
    <w:rsid w:val="00395AB1"/>
    <w:rsid w:val="00396706"/>
    <w:rsid w:val="003968FA"/>
    <w:rsid w:val="00396F03"/>
    <w:rsid w:val="003970F4"/>
    <w:rsid w:val="00397215"/>
    <w:rsid w:val="00397829"/>
    <w:rsid w:val="003A1E64"/>
    <w:rsid w:val="003A515D"/>
    <w:rsid w:val="003A52A3"/>
    <w:rsid w:val="003A5C42"/>
    <w:rsid w:val="003A6588"/>
    <w:rsid w:val="003B06EE"/>
    <w:rsid w:val="003B0896"/>
    <w:rsid w:val="003B1E5F"/>
    <w:rsid w:val="003B241E"/>
    <w:rsid w:val="003B2D0C"/>
    <w:rsid w:val="003B4AEC"/>
    <w:rsid w:val="003B4B26"/>
    <w:rsid w:val="003B542E"/>
    <w:rsid w:val="003B5467"/>
    <w:rsid w:val="003B5693"/>
    <w:rsid w:val="003B6CA2"/>
    <w:rsid w:val="003C0919"/>
    <w:rsid w:val="003C13F2"/>
    <w:rsid w:val="003C22E8"/>
    <w:rsid w:val="003C320A"/>
    <w:rsid w:val="003C3741"/>
    <w:rsid w:val="003C3D5D"/>
    <w:rsid w:val="003C4335"/>
    <w:rsid w:val="003C44DE"/>
    <w:rsid w:val="003C461D"/>
    <w:rsid w:val="003C494B"/>
    <w:rsid w:val="003C570D"/>
    <w:rsid w:val="003C598D"/>
    <w:rsid w:val="003C63C4"/>
    <w:rsid w:val="003C7136"/>
    <w:rsid w:val="003D06B2"/>
    <w:rsid w:val="003D2F98"/>
    <w:rsid w:val="003D3BE7"/>
    <w:rsid w:val="003D5AAA"/>
    <w:rsid w:val="003D6023"/>
    <w:rsid w:val="003D663F"/>
    <w:rsid w:val="003D775C"/>
    <w:rsid w:val="003E17D3"/>
    <w:rsid w:val="003E199E"/>
    <w:rsid w:val="003E7487"/>
    <w:rsid w:val="003F0116"/>
    <w:rsid w:val="003F0C90"/>
    <w:rsid w:val="003F3759"/>
    <w:rsid w:val="003F3933"/>
    <w:rsid w:val="003F54C9"/>
    <w:rsid w:val="003F6C3B"/>
    <w:rsid w:val="003F755C"/>
    <w:rsid w:val="003F7F0D"/>
    <w:rsid w:val="00401FF9"/>
    <w:rsid w:val="0040232C"/>
    <w:rsid w:val="00403BF9"/>
    <w:rsid w:val="0040445A"/>
    <w:rsid w:val="00404CEA"/>
    <w:rsid w:val="004104BE"/>
    <w:rsid w:val="00410C20"/>
    <w:rsid w:val="00411829"/>
    <w:rsid w:val="00411BF0"/>
    <w:rsid w:val="00412F1C"/>
    <w:rsid w:val="00413665"/>
    <w:rsid w:val="00413901"/>
    <w:rsid w:val="00413A2D"/>
    <w:rsid w:val="00414A54"/>
    <w:rsid w:val="00416436"/>
    <w:rsid w:val="00416F73"/>
    <w:rsid w:val="004172A6"/>
    <w:rsid w:val="00422EC2"/>
    <w:rsid w:val="00423544"/>
    <w:rsid w:val="0042623E"/>
    <w:rsid w:val="0042636D"/>
    <w:rsid w:val="00426494"/>
    <w:rsid w:val="004268C2"/>
    <w:rsid w:val="004272EC"/>
    <w:rsid w:val="004300E1"/>
    <w:rsid w:val="0043203C"/>
    <w:rsid w:val="004336A8"/>
    <w:rsid w:val="00433D39"/>
    <w:rsid w:val="00434F16"/>
    <w:rsid w:val="004369E2"/>
    <w:rsid w:val="0043781A"/>
    <w:rsid w:val="00440439"/>
    <w:rsid w:val="00440E08"/>
    <w:rsid w:val="0044120D"/>
    <w:rsid w:val="00442B8E"/>
    <w:rsid w:val="00442D17"/>
    <w:rsid w:val="004444F1"/>
    <w:rsid w:val="00445118"/>
    <w:rsid w:val="00446D7B"/>
    <w:rsid w:val="00447460"/>
    <w:rsid w:val="004475A0"/>
    <w:rsid w:val="0044798D"/>
    <w:rsid w:val="0045075D"/>
    <w:rsid w:val="00450CCB"/>
    <w:rsid w:val="00453B06"/>
    <w:rsid w:val="004555D7"/>
    <w:rsid w:val="00455B3D"/>
    <w:rsid w:val="004561A2"/>
    <w:rsid w:val="0045758F"/>
    <w:rsid w:val="004603D0"/>
    <w:rsid w:val="00462A53"/>
    <w:rsid w:val="00462B3F"/>
    <w:rsid w:val="00463B14"/>
    <w:rsid w:val="004658B7"/>
    <w:rsid w:val="00467D6D"/>
    <w:rsid w:val="004722F6"/>
    <w:rsid w:val="00472CE8"/>
    <w:rsid w:val="0047434B"/>
    <w:rsid w:val="004744DE"/>
    <w:rsid w:val="00476936"/>
    <w:rsid w:val="004769DD"/>
    <w:rsid w:val="00476EDB"/>
    <w:rsid w:val="00480823"/>
    <w:rsid w:val="00480B63"/>
    <w:rsid w:val="004818DA"/>
    <w:rsid w:val="0048493E"/>
    <w:rsid w:val="004854C4"/>
    <w:rsid w:val="004867F2"/>
    <w:rsid w:val="0048696D"/>
    <w:rsid w:val="004877CC"/>
    <w:rsid w:val="00490461"/>
    <w:rsid w:val="00490CB1"/>
    <w:rsid w:val="00490ED7"/>
    <w:rsid w:val="00491178"/>
    <w:rsid w:val="00492A9B"/>
    <w:rsid w:val="00493A90"/>
    <w:rsid w:val="00494684"/>
    <w:rsid w:val="004946B7"/>
    <w:rsid w:val="00495AB1"/>
    <w:rsid w:val="00497FC7"/>
    <w:rsid w:val="004A076C"/>
    <w:rsid w:val="004A2C06"/>
    <w:rsid w:val="004A4453"/>
    <w:rsid w:val="004A5586"/>
    <w:rsid w:val="004A6559"/>
    <w:rsid w:val="004A6C71"/>
    <w:rsid w:val="004A7469"/>
    <w:rsid w:val="004A78DD"/>
    <w:rsid w:val="004A7A9C"/>
    <w:rsid w:val="004B0372"/>
    <w:rsid w:val="004B06AE"/>
    <w:rsid w:val="004B0BA1"/>
    <w:rsid w:val="004B2964"/>
    <w:rsid w:val="004B30A3"/>
    <w:rsid w:val="004B42FC"/>
    <w:rsid w:val="004B4659"/>
    <w:rsid w:val="004C0D1B"/>
    <w:rsid w:val="004C2897"/>
    <w:rsid w:val="004C3B20"/>
    <w:rsid w:val="004C46FE"/>
    <w:rsid w:val="004C4C2F"/>
    <w:rsid w:val="004C659E"/>
    <w:rsid w:val="004C6870"/>
    <w:rsid w:val="004D0444"/>
    <w:rsid w:val="004D1378"/>
    <w:rsid w:val="004D27C4"/>
    <w:rsid w:val="004D35F0"/>
    <w:rsid w:val="004D3F0D"/>
    <w:rsid w:val="004D41C9"/>
    <w:rsid w:val="004D457C"/>
    <w:rsid w:val="004D4D0D"/>
    <w:rsid w:val="004D5325"/>
    <w:rsid w:val="004D6239"/>
    <w:rsid w:val="004D731D"/>
    <w:rsid w:val="004E00D6"/>
    <w:rsid w:val="004E0E55"/>
    <w:rsid w:val="004E34B2"/>
    <w:rsid w:val="004E509F"/>
    <w:rsid w:val="004E60D5"/>
    <w:rsid w:val="004E6373"/>
    <w:rsid w:val="004E73B5"/>
    <w:rsid w:val="004E78BF"/>
    <w:rsid w:val="004E7DFC"/>
    <w:rsid w:val="004F1328"/>
    <w:rsid w:val="004F2235"/>
    <w:rsid w:val="004F2758"/>
    <w:rsid w:val="004F305E"/>
    <w:rsid w:val="004F46A5"/>
    <w:rsid w:val="004F5564"/>
    <w:rsid w:val="005001DF"/>
    <w:rsid w:val="0050033E"/>
    <w:rsid w:val="00500494"/>
    <w:rsid w:val="00500AE0"/>
    <w:rsid w:val="0050155C"/>
    <w:rsid w:val="00501B67"/>
    <w:rsid w:val="00504893"/>
    <w:rsid w:val="00505579"/>
    <w:rsid w:val="00507594"/>
    <w:rsid w:val="00510B62"/>
    <w:rsid w:val="00511A87"/>
    <w:rsid w:val="00511E3A"/>
    <w:rsid w:val="0051253F"/>
    <w:rsid w:val="00512DF7"/>
    <w:rsid w:val="00513930"/>
    <w:rsid w:val="00514740"/>
    <w:rsid w:val="00515847"/>
    <w:rsid w:val="00515E78"/>
    <w:rsid w:val="00516F27"/>
    <w:rsid w:val="0052007D"/>
    <w:rsid w:val="005204EA"/>
    <w:rsid w:val="005204F9"/>
    <w:rsid w:val="0052076F"/>
    <w:rsid w:val="00520FDF"/>
    <w:rsid w:val="00520FFB"/>
    <w:rsid w:val="00521BAB"/>
    <w:rsid w:val="00522DD2"/>
    <w:rsid w:val="005237A9"/>
    <w:rsid w:val="00525DBA"/>
    <w:rsid w:val="00526863"/>
    <w:rsid w:val="005270AF"/>
    <w:rsid w:val="005314B6"/>
    <w:rsid w:val="00531B2B"/>
    <w:rsid w:val="00531CD8"/>
    <w:rsid w:val="005359C4"/>
    <w:rsid w:val="00536F3A"/>
    <w:rsid w:val="00537545"/>
    <w:rsid w:val="005406D1"/>
    <w:rsid w:val="005419BA"/>
    <w:rsid w:val="00544D1D"/>
    <w:rsid w:val="00545531"/>
    <w:rsid w:val="00552F49"/>
    <w:rsid w:val="005547DA"/>
    <w:rsid w:val="005556C9"/>
    <w:rsid w:val="0055598D"/>
    <w:rsid w:val="00560415"/>
    <w:rsid w:val="005606A6"/>
    <w:rsid w:val="00560B66"/>
    <w:rsid w:val="00560C84"/>
    <w:rsid w:val="0056258E"/>
    <w:rsid w:val="00562F73"/>
    <w:rsid w:val="00563D86"/>
    <w:rsid w:val="005655C1"/>
    <w:rsid w:val="00565926"/>
    <w:rsid w:val="00566952"/>
    <w:rsid w:val="00567516"/>
    <w:rsid w:val="00570B5B"/>
    <w:rsid w:val="00572954"/>
    <w:rsid w:val="00573512"/>
    <w:rsid w:val="005742EC"/>
    <w:rsid w:val="00574687"/>
    <w:rsid w:val="00576C1E"/>
    <w:rsid w:val="00580059"/>
    <w:rsid w:val="00580F44"/>
    <w:rsid w:val="0058190E"/>
    <w:rsid w:val="00581AA7"/>
    <w:rsid w:val="005824AD"/>
    <w:rsid w:val="005827AB"/>
    <w:rsid w:val="00582E74"/>
    <w:rsid w:val="00583783"/>
    <w:rsid w:val="00583851"/>
    <w:rsid w:val="00585213"/>
    <w:rsid w:val="005865BD"/>
    <w:rsid w:val="00586848"/>
    <w:rsid w:val="00586A7C"/>
    <w:rsid w:val="005873A3"/>
    <w:rsid w:val="00587D50"/>
    <w:rsid w:val="00590645"/>
    <w:rsid w:val="00592197"/>
    <w:rsid w:val="005924ED"/>
    <w:rsid w:val="00592BF4"/>
    <w:rsid w:val="00592BF7"/>
    <w:rsid w:val="0059334B"/>
    <w:rsid w:val="00594F64"/>
    <w:rsid w:val="00596DB9"/>
    <w:rsid w:val="00597FA8"/>
    <w:rsid w:val="005A0A25"/>
    <w:rsid w:val="005A116E"/>
    <w:rsid w:val="005A1C81"/>
    <w:rsid w:val="005A1DE4"/>
    <w:rsid w:val="005A21F5"/>
    <w:rsid w:val="005A349B"/>
    <w:rsid w:val="005A39C9"/>
    <w:rsid w:val="005A47B0"/>
    <w:rsid w:val="005A47B2"/>
    <w:rsid w:val="005A4F0E"/>
    <w:rsid w:val="005A528A"/>
    <w:rsid w:val="005A673C"/>
    <w:rsid w:val="005A695F"/>
    <w:rsid w:val="005A7E30"/>
    <w:rsid w:val="005B22C7"/>
    <w:rsid w:val="005B2843"/>
    <w:rsid w:val="005B32BB"/>
    <w:rsid w:val="005B38B9"/>
    <w:rsid w:val="005B49D8"/>
    <w:rsid w:val="005B73FA"/>
    <w:rsid w:val="005C0124"/>
    <w:rsid w:val="005C1D05"/>
    <w:rsid w:val="005C315A"/>
    <w:rsid w:val="005C3570"/>
    <w:rsid w:val="005C449F"/>
    <w:rsid w:val="005C5138"/>
    <w:rsid w:val="005C5F7F"/>
    <w:rsid w:val="005C7C4D"/>
    <w:rsid w:val="005C7ED8"/>
    <w:rsid w:val="005D137D"/>
    <w:rsid w:val="005D1D6C"/>
    <w:rsid w:val="005D3032"/>
    <w:rsid w:val="005D4043"/>
    <w:rsid w:val="005D5149"/>
    <w:rsid w:val="005D604C"/>
    <w:rsid w:val="005D74D7"/>
    <w:rsid w:val="005E4B09"/>
    <w:rsid w:val="005F167F"/>
    <w:rsid w:val="005F35C6"/>
    <w:rsid w:val="005F3AB2"/>
    <w:rsid w:val="00600C41"/>
    <w:rsid w:val="00601F1C"/>
    <w:rsid w:val="00604ADD"/>
    <w:rsid w:val="006060B6"/>
    <w:rsid w:val="006079BD"/>
    <w:rsid w:val="0061072C"/>
    <w:rsid w:val="0061212C"/>
    <w:rsid w:val="00614754"/>
    <w:rsid w:val="00614F35"/>
    <w:rsid w:val="0062089C"/>
    <w:rsid w:val="00620FE5"/>
    <w:rsid w:val="006235E2"/>
    <w:rsid w:val="00632005"/>
    <w:rsid w:val="006358FA"/>
    <w:rsid w:val="0063698D"/>
    <w:rsid w:val="00637392"/>
    <w:rsid w:val="006413C1"/>
    <w:rsid w:val="006413FD"/>
    <w:rsid w:val="00642B25"/>
    <w:rsid w:val="006432E0"/>
    <w:rsid w:val="00643D50"/>
    <w:rsid w:val="00643D81"/>
    <w:rsid w:val="00644548"/>
    <w:rsid w:val="00645188"/>
    <w:rsid w:val="006462DC"/>
    <w:rsid w:val="006464E2"/>
    <w:rsid w:val="00650A55"/>
    <w:rsid w:val="00650C25"/>
    <w:rsid w:val="00652D6D"/>
    <w:rsid w:val="00653AFC"/>
    <w:rsid w:val="00653DB0"/>
    <w:rsid w:val="00654568"/>
    <w:rsid w:val="006559A9"/>
    <w:rsid w:val="00656D59"/>
    <w:rsid w:val="00657014"/>
    <w:rsid w:val="00661219"/>
    <w:rsid w:val="00661CDF"/>
    <w:rsid w:val="00661E14"/>
    <w:rsid w:val="00662010"/>
    <w:rsid w:val="00664A0D"/>
    <w:rsid w:val="0066525E"/>
    <w:rsid w:val="006673EA"/>
    <w:rsid w:val="00670908"/>
    <w:rsid w:val="00674474"/>
    <w:rsid w:val="006753C6"/>
    <w:rsid w:val="00676E19"/>
    <w:rsid w:val="0067775D"/>
    <w:rsid w:val="006777C5"/>
    <w:rsid w:val="00677F70"/>
    <w:rsid w:val="0068025F"/>
    <w:rsid w:val="00681E10"/>
    <w:rsid w:val="00682782"/>
    <w:rsid w:val="00683147"/>
    <w:rsid w:val="0068507E"/>
    <w:rsid w:val="00687032"/>
    <w:rsid w:val="00687870"/>
    <w:rsid w:val="00687CCD"/>
    <w:rsid w:val="00690AF1"/>
    <w:rsid w:val="006924FC"/>
    <w:rsid w:val="00693F78"/>
    <w:rsid w:val="0069735A"/>
    <w:rsid w:val="006A05A4"/>
    <w:rsid w:val="006A1316"/>
    <w:rsid w:val="006A16FE"/>
    <w:rsid w:val="006A1B7A"/>
    <w:rsid w:val="006A2453"/>
    <w:rsid w:val="006A28E9"/>
    <w:rsid w:val="006A416D"/>
    <w:rsid w:val="006A5140"/>
    <w:rsid w:val="006A5980"/>
    <w:rsid w:val="006A6E2F"/>
    <w:rsid w:val="006A7CCA"/>
    <w:rsid w:val="006B0185"/>
    <w:rsid w:val="006B0D57"/>
    <w:rsid w:val="006B1BF8"/>
    <w:rsid w:val="006B223A"/>
    <w:rsid w:val="006B2D10"/>
    <w:rsid w:val="006B44A1"/>
    <w:rsid w:val="006B4546"/>
    <w:rsid w:val="006B4A87"/>
    <w:rsid w:val="006B615C"/>
    <w:rsid w:val="006B6E68"/>
    <w:rsid w:val="006B6ECE"/>
    <w:rsid w:val="006B6F88"/>
    <w:rsid w:val="006B76BB"/>
    <w:rsid w:val="006C0448"/>
    <w:rsid w:val="006C140A"/>
    <w:rsid w:val="006C1987"/>
    <w:rsid w:val="006C1FBB"/>
    <w:rsid w:val="006C363A"/>
    <w:rsid w:val="006C3CE5"/>
    <w:rsid w:val="006C6BDE"/>
    <w:rsid w:val="006C7487"/>
    <w:rsid w:val="006C7C82"/>
    <w:rsid w:val="006D1A71"/>
    <w:rsid w:val="006D2281"/>
    <w:rsid w:val="006D2CCE"/>
    <w:rsid w:val="006D2FDA"/>
    <w:rsid w:val="006D43AD"/>
    <w:rsid w:val="006D4512"/>
    <w:rsid w:val="006D45DD"/>
    <w:rsid w:val="006D5682"/>
    <w:rsid w:val="006D66A6"/>
    <w:rsid w:val="006D71AA"/>
    <w:rsid w:val="006E1296"/>
    <w:rsid w:val="006E12F7"/>
    <w:rsid w:val="006E14CF"/>
    <w:rsid w:val="006E19A0"/>
    <w:rsid w:val="006E2F5B"/>
    <w:rsid w:val="006E3D63"/>
    <w:rsid w:val="006E49F8"/>
    <w:rsid w:val="006E4E7D"/>
    <w:rsid w:val="006E548B"/>
    <w:rsid w:val="006E592B"/>
    <w:rsid w:val="006E5CE6"/>
    <w:rsid w:val="006E6255"/>
    <w:rsid w:val="006F0D58"/>
    <w:rsid w:val="006F1282"/>
    <w:rsid w:val="006F29ED"/>
    <w:rsid w:val="006F2A6E"/>
    <w:rsid w:val="006F4543"/>
    <w:rsid w:val="006F7A5B"/>
    <w:rsid w:val="006F7A61"/>
    <w:rsid w:val="00701069"/>
    <w:rsid w:val="007025D4"/>
    <w:rsid w:val="00702DB8"/>
    <w:rsid w:val="007039BF"/>
    <w:rsid w:val="0070467A"/>
    <w:rsid w:val="007049C5"/>
    <w:rsid w:val="00705199"/>
    <w:rsid w:val="00705735"/>
    <w:rsid w:val="00713300"/>
    <w:rsid w:val="0071347E"/>
    <w:rsid w:val="00714215"/>
    <w:rsid w:val="00716664"/>
    <w:rsid w:val="00716A83"/>
    <w:rsid w:val="007179CF"/>
    <w:rsid w:val="00717C8A"/>
    <w:rsid w:val="00721035"/>
    <w:rsid w:val="0072126B"/>
    <w:rsid w:val="0072159B"/>
    <w:rsid w:val="00721634"/>
    <w:rsid w:val="00723A79"/>
    <w:rsid w:val="00724460"/>
    <w:rsid w:val="00726AB5"/>
    <w:rsid w:val="00727F92"/>
    <w:rsid w:val="00730810"/>
    <w:rsid w:val="00730915"/>
    <w:rsid w:val="007310C1"/>
    <w:rsid w:val="007323D8"/>
    <w:rsid w:val="0073247B"/>
    <w:rsid w:val="00732AEB"/>
    <w:rsid w:val="00733497"/>
    <w:rsid w:val="0073398D"/>
    <w:rsid w:val="007361C6"/>
    <w:rsid w:val="007363EC"/>
    <w:rsid w:val="007412FF"/>
    <w:rsid w:val="00744EB8"/>
    <w:rsid w:val="0074681B"/>
    <w:rsid w:val="00747ED8"/>
    <w:rsid w:val="00750FD0"/>
    <w:rsid w:val="007517C5"/>
    <w:rsid w:val="007525E4"/>
    <w:rsid w:val="00752D6A"/>
    <w:rsid w:val="00752FB3"/>
    <w:rsid w:val="00754F73"/>
    <w:rsid w:val="0076024A"/>
    <w:rsid w:val="0076181E"/>
    <w:rsid w:val="00763A95"/>
    <w:rsid w:val="007658BC"/>
    <w:rsid w:val="00766CE8"/>
    <w:rsid w:val="00767FA4"/>
    <w:rsid w:val="00770FD1"/>
    <w:rsid w:val="00772B0D"/>
    <w:rsid w:val="00773BF1"/>
    <w:rsid w:val="00774249"/>
    <w:rsid w:val="00775E61"/>
    <w:rsid w:val="00777DD3"/>
    <w:rsid w:val="007807C9"/>
    <w:rsid w:val="00782E64"/>
    <w:rsid w:val="00785775"/>
    <w:rsid w:val="00790807"/>
    <w:rsid w:val="007909E9"/>
    <w:rsid w:val="00792984"/>
    <w:rsid w:val="00793234"/>
    <w:rsid w:val="007936A7"/>
    <w:rsid w:val="00793FE5"/>
    <w:rsid w:val="00794B51"/>
    <w:rsid w:val="007955B3"/>
    <w:rsid w:val="007970AE"/>
    <w:rsid w:val="00797455"/>
    <w:rsid w:val="00797D9E"/>
    <w:rsid w:val="007A27B9"/>
    <w:rsid w:val="007A37B1"/>
    <w:rsid w:val="007A3AEF"/>
    <w:rsid w:val="007A3BA9"/>
    <w:rsid w:val="007A5366"/>
    <w:rsid w:val="007A53BF"/>
    <w:rsid w:val="007A6700"/>
    <w:rsid w:val="007A78F9"/>
    <w:rsid w:val="007A7FA6"/>
    <w:rsid w:val="007B01C8"/>
    <w:rsid w:val="007B27C9"/>
    <w:rsid w:val="007B2E67"/>
    <w:rsid w:val="007B2FD8"/>
    <w:rsid w:val="007B36AF"/>
    <w:rsid w:val="007B49DF"/>
    <w:rsid w:val="007B575E"/>
    <w:rsid w:val="007B58CD"/>
    <w:rsid w:val="007B7301"/>
    <w:rsid w:val="007B7F03"/>
    <w:rsid w:val="007C044F"/>
    <w:rsid w:val="007C19A2"/>
    <w:rsid w:val="007C23D1"/>
    <w:rsid w:val="007C39A5"/>
    <w:rsid w:val="007C6361"/>
    <w:rsid w:val="007C7210"/>
    <w:rsid w:val="007C72D9"/>
    <w:rsid w:val="007D0623"/>
    <w:rsid w:val="007D0799"/>
    <w:rsid w:val="007D0DC6"/>
    <w:rsid w:val="007D18FD"/>
    <w:rsid w:val="007D1EBE"/>
    <w:rsid w:val="007D2E66"/>
    <w:rsid w:val="007D4456"/>
    <w:rsid w:val="007D4802"/>
    <w:rsid w:val="007D544C"/>
    <w:rsid w:val="007D70DC"/>
    <w:rsid w:val="007D77E7"/>
    <w:rsid w:val="007D7E00"/>
    <w:rsid w:val="007E015B"/>
    <w:rsid w:val="007E489D"/>
    <w:rsid w:val="007E5EC6"/>
    <w:rsid w:val="007F30EA"/>
    <w:rsid w:val="007F33C3"/>
    <w:rsid w:val="007F47EC"/>
    <w:rsid w:val="007F54FA"/>
    <w:rsid w:val="007F5529"/>
    <w:rsid w:val="007F60DB"/>
    <w:rsid w:val="007F67B4"/>
    <w:rsid w:val="007F67C5"/>
    <w:rsid w:val="00801508"/>
    <w:rsid w:val="00801E8A"/>
    <w:rsid w:val="0080252E"/>
    <w:rsid w:val="00802A7C"/>
    <w:rsid w:val="00804325"/>
    <w:rsid w:val="008071E4"/>
    <w:rsid w:val="00807F7A"/>
    <w:rsid w:val="008104B7"/>
    <w:rsid w:val="00810C27"/>
    <w:rsid w:val="008119F5"/>
    <w:rsid w:val="00811F8F"/>
    <w:rsid w:val="0081248B"/>
    <w:rsid w:val="0081430B"/>
    <w:rsid w:val="00814428"/>
    <w:rsid w:val="00814744"/>
    <w:rsid w:val="00814CEE"/>
    <w:rsid w:val="00814DB1"/>
    <w:rsid w:val="00815B43"/>
    <w:rsid w:val="00822497"/>
    <w:rsid w:val="00823931"/>
    <w:rsid w:val="00823D66"/>
    <w:rsid w:val="00823DBA"/>
    <w:rsid w:val="00825F7D"/>
    <w:rsid w:val="0082601C"/>
    <w:rsid w:val="00827B87"/>
    <w:rsid w:val="00827BC3"/>
    <w:rsid w:val="008304BB"/>
    <w:rsid w:val="0083397A"/>
    <w:rsid w:val="00833C57"/>
    <w:rsid w:val="00835777"/>
    <w:rsid w:val="00836336"/>
    <w:rsid w:val="008373B3"/>
    <w:rsid w:val="0083770D"/>
    <w:rsid w:val="00840C74"/>
    <w:rsid w:val="00842396"/>
    <w:rsid w:val="0084357C"/>
    <w:rsid w:val="00843713"/>
    <w:rsid w:val="00844559"/>
    <w:rsid w:val="00844A2B"/>
    <w:rsid w:val="0084662F"/>
    <w:rsid w:val="008502D8"/>
    <w:rsid w:val="00850AFD"/>
    <w:rsid w:val="0085122A"/>
    <w:rsid w:val="00851EEA"/>
    <w:rsid w:val="00852BF8"/>
    <w:rsid w:val="008537BF"/>
    <w:rsid w:val="00854476"/>
    <w:rsid w:val="00855394"/>
    <w:rsid w:val="0085577B"/>
    <w:rsid w:val="00855923"/>
    <w:rsid w:val="00856AB1"/>
    <w:rsid w:val="00857283"/>
    <w:rsid w:val="00860B22"/>
    <w:rsid w:val="008611CA"/>
    <w:rsid w:val="00861469"/>
    <w:rsid w:val="00863C18"/>
    <w:rsid w:val="00863D2B"/>
    <w:rsid w:val="0086573D"/>
    <w:rsid w:val="0086661A"/>
    <w:rsid w:val="00871D00"/>
    <w:rsid w:val="00872160"/>
    <w:rsid w:val="0087222B"/>
    <w:rsid w:val="00876732"/>
    <w:rsid w:val="00877556"/>
    <w:rsid w:val="00877A04"/>
    <w:rsid w:val="00877D0C"/>
    <w:rsid w:val="00877E57"/>
    <w:rsid w:val="008801FA"/>
    <w:rsid w:val="00881056"/>
    <w:rsid w:val="00881460"/>
    <w:rsid w:val="00882C38"/>
    <w:rsid w:val="008840D8"/>
    <w:rsid w:val="00884477"/>
    <w:rsid w:val="00884787"/>
    <w:rsid w:val="00884A2E"/>
    <w:rsid w:val="00885FFA"/>
    <w:rsid w:val="008864DA"/>
    <w:rsid w:val="00886ED2"/>
    <w:rsid w:val="00887477"/>
    <w:rsid w:val="00891CB4"/>
    <w:rsid w:val="008935EF"/>
    <w:rsid w:val="00894D3D"/>
    <w:rsid w:val="00896A1A"/>
    <w:rsid w:val="00896C92"/>
    <w:rsid w:val="008972EF"/>
    <w:rsid w:val="0089769C"/>
    <w:rsid w:val="008A0BCE"/>
    <w:rsid w:val="008A20BD"/>
    <w:rsid w:val="008A32FF"/>
    <w:rsid w:val="008A35D5"/>
    <w:rsid w:val="008A3EC8"/>
    <w:rsid w:val="008A498C"/>
    <w:rsid w:val="008A502B"/>
    <w:rsid w:val="008A556B"/>
    <w:rsid w:val="008A72BF"/>
    <w:rsid w:val="008A7308"/>
    <w:rsid w:val="008A75B2"/>
    <w:rsid w:val="008A77F7"/>
    <w:rsid w:val="008A7B9C"/>
    <w:rsid w:val="008A7E07"/>
    <w:rsid w:val="008B0A5E"/>
    <w:rsid w:val="008B1297"/>
    <w:rsid w:val="008B2033"/>
    <w:rsid w:val="008B25C5"/>
    <w:rsid w:val="008B4A12"/>
    <w:rsid w:val="008B4F87"/>
    <w:rsid w:val="008B5564"/>
    <w:rsid w:val="008B56DD"/>
    <w:rsid w:val="008B78DF"/>
    <w:rsid w:val="008C0178"/>
    <w:rsid w:val="008C0D32"/>
    <w:rsid w:val="008C3781"/>
    <w:rsid w:val="008C57DB"/>
    <w:rsid w:val="008C7083"/>
    <w:rsid w:val="008C7CF0"/>
    <w:rsid w:val="008D2EC1"/>
    <w:rsid w:val="008D3D96"/>
    <w:rsid w:val="008D5491"/>
    <w:rsid w:val="008D5548"/>
    <w:rsid w:val="008D5E0F"/>
    <w:rsid w:val="008D6294"/>
    <w:rsid w:val="008D726F"/>
    <w:rsid w:val="008D793B"/>
    <w:rsid w:val="008E0152"/>
    <w:rsid w:val="008E06E0"/>
    <w:rsid w:val="008E3842"/>
    <w:rsid w:val="008E430E"/>
    <w:rsid w:val="008E460F"/>
    <w:rsid w:val="008E496A"/>
    <w:rsid w:val="008E4F84"/>
    <w:rsid w:val="008E58F1"/>
    <w:rsid w:val="008E60C8"/>
    <w:rsid w:val="008E6190"/>
    <w:rsid w:val="008E7432"/>
    <w:rsid w:val="008E760C"/>
    <w:rsid w:val="008E7744"/>
    <w:rsid w:val="008E7DD9"/>
    <w:rsid w:val="008F07E5"/>
    <w:rsid w:val="008F0B2E"/>
    <w:rsid w:val="008F28CC"/>
    <w:rsid w:val="008F3D24"/>
    <w:rsid w:val="008F415B"/>
    <w:rsid w:val="008F5742"/>
    <w:rsid w:val="008F5C5A"/>
    <w:rsid w:val="008F76DF"/>
    <w:rsid w:val="008F784A"/>
    <w:rsid w:val="00900524"/>
    <w:rsid w:val="00900769"/>
    <w:rsid w:val="00900AA7"/>
    <w:rsid w:val="00900B2A"/>
    <w:rsid w:val="00900BF1"/>
    <w:rsid w:val="00900F4D"/>
    <w:rsid w:val="00901A74"/>
    <w:rsid w:val="00902404"/>
    <w:rsid w:val="009027C7"/>
    <w:rsid w:val="00903192"/>
    <w:rsid w:val="00904E0D"/>
    <w:rsid w:val="009070B4"/>
    <w:rsid w:val="00907511"/>
    <w:rsid w:val="00910770"/>
    <w:rsid w:val="00914029"/>
    <w:rsid w:val="009146AE"/>
    <w:rsid w:val="00914E3E"/>
    <w:rsid w:val="00915158"/>
    <w:rsid w:val="0091517E"/>
    <w:rsid w:val="00915C39"/>
    <w:rsid w:val="00916791"/>
    <w:rsid w:val="0092073E"/>
    <w:rsid w:val="00923C27"/>
    <w:rsid w:val="009265CC"/>
    <w:rsid w:val="00926786"/>
    <w:rsid w:val="009267F8"/>
    <w:rsid w:val="009273BA"/>
    <w:rsid w:val="00931019"/>
    <w:rsid w:val="009317B9"/>
    <w:rsid w:val="009325F3"/>
    <w:rsid w:val="00933558"/>
    <w:rsid w:val="00933B75"/>
    <w:rsid w:val="009344C3"/>
    <w:rsid w:val="00934BDA"/>
    <w:rsid w:val="0093563A"/>
    <w:rsid w:val="00941A33"/>
    <w:rsid w:val="009421EC"/>
    <w:rsid w:val="00942CA4"/>
    <w:rsid w:val="00942D38"/>
    <w:rsid w:val="00944766"/>
    <w:rsid w:val="00945258"/>
    <w:rsid w:val="0094539D"/>
    <w:rsid w:val="00945FDD"/>
    <w:rsid w:val="00947225"/>
    <w:rsid w:val="00947F5B"/>
    <w:rsid w:val="00950C05"/>
    <w:rsid w:val="00951E09"/>
    <w:rsid w:val="009528E1"/>
    <w:rsid w:val="00953937"/>
    <w:rsid w:val="00953D6E"/>
    <w:rsid w:val="00953EBE"/>
    <w:rsid w:val="00954030"/>
    <w:rsid w:val="00954A2D"/>
    <w:rsid w:val="00954F9D"/>
    <w:rsid w:val="00956034"/>
    <w:rsid w:val="009568B3"/>
    <w:rsid w:val="00957249"/>
    <w:rsid w:val="0095738F"/>
    <w:rsid w:val="00960505"/>
    <w:rsid w:val="00960CC3"/>
    <w:rsid w:val="00961AF1"/>
    <w:rsid w:val="00962B2D"/>
    <w:rsid w:val="00963605"/>
    <w:rsid w:val="00963D0C"/>
    <w:rsid w:val="0096403F"/>
    <w:rsid w:val="0096425D"/>
    <w:rsid w:val="009647F6"/>
    <w:rsid w:val="00966167"/>
    <w:rsid w:val="009671CD"/>
    <w:rsid w:val="0097025A"/>
    <w:rsid w:val="00971712"/>
    <w:rsid w:val="00972274"/>
    <w:rsid w:val="00972649"/>
    <w:rsid w:val="00972B52"/>
    <w:rsid w:val="009738A4"/>
    <w:rsid w:val="009756E7"/>
    <w:rsid w:val="009801FF"/>
    <w:rsid w:val="00980430"/>
    <w:rsid w:val="00981042"/>
    <w:rsid w:val="00981090"/>
    <w:rsid w:val="0098181A"/>
    <w:rsid w:val="00982764"/>
    <w:rsid w:val="0098345D"/>
    <w:rsid w:val="00983C86"/>
    <w:rsid w:val="00984077"/>
    <w:rsid w:val="0098462C"/>
    <w:rsid w:val="00984977"/>
    <w:rsid w:val="00986922"/>
    <w:rsid w:val="00987C2B"/>
    <w:rsid w:val="0099082A"/>
    <w:rsid w:val="00990DBC"/>
    <w:rsid w:val="00990ED7"/>
    <w:rsid w:val="009914EB"/>
    <w:rsid w:val="009923C7"/>
    <w:rsid w:val="009932A0"/>
    <w:rsid w:val="0099337C"/>
    <w:rsid w:val="00994808"/>
    <w:rsid w:val="00994BFF"/>
    <w:rsid w:val="009963C5"/>
    <w:rsid w:val="00996462"/>
    <w:rsid w:val="009968C2"/>
    <w:rsid w:val="009973EE"/>
    <w:rsid w:val="009A04A7"/>
    <w:rsid w:val="009A05A1"/>
    <w:rsid w:val="009A0D8F"/>
    <w:rsid w:val="009A10E2"/>
    <w:rsid w:val="009A1208"/>
    <w:rsid w:val="009A154F"/>
    <w:rsid w:val="009A228F"/>
    <w:rsid w:val="009A2440"/>
    <w:rsid w:val="009A2CF7"/>
    <w:rsid w:val="009A3796"/>
    <w:rsid w:val="009A420F"/>
    <w:rsid w:val="009A4778"/>
    <w:rsid w:val="009A4872"/>
    <w:rsid w:val="009A55E1"/>
    <w:rsid w:val="009A5A32"/>
    <w:rsid w:val="009B1680"/>
    <w:rsid w:val="009B4C75"/>
    <w:rsid w:val="009B5E79"/>
    <w:rsid w:val="009B67F8"/>
    <w:rsid w:val="009B7B43"/>
    <w:rsid w:val="009B7E0C"/>
    <w:rsid w:val="009C03F3"/>
    <w:rsid w:val="009C139F"/>
    <w:rsid w:val="009C165C"/>
    <w:rsid w:val="009C20DB"/>
    <w:rsid w:val="009C269F"/>
    <w:rsid w:val="009C2FF7"/>
    <w:rsid w:val="009C3B82"/>
    <w:rsid w:val="009C3BFE"/>
    <w:rsid w:val="009C45E5"/>
    <w:rsid w:val="009C7BF9"/>
    <w:rsid w:val="009D0327"/>
    <w:rsid w:val="009D03EE"/>
    <w:rsid w:val="009D166F"/>
    <w:rsid w:val="009D2F61"/>
    <w:rsid w:val="009D3563"/>
    <w:rsid w:val="009D5F14"/>
    <w:rsid w:val="009D5FB3"/>
    <w:rsid w:val="009E035F"/>
    <w:rsid w:val="009E0C29"/>
    <w:rsid w:val="009E24AF"/>
    <w:rsid w:val="009E32A9"/>
    <w:rsid w:val="009E4523"/>
    <w:rsid w:val="009E5131"/>
    <w:rsid w:val="009E54E9"/>
    <w:rsid w:val="009E68BF"/>
    <w:rsid w:val="009E7844"/>
    <w:rsid w:val="009E7EA6"/>
    <w:rsid w:val="009E7F09"/>
    <w:rsid w:val="009E7F8A"/>
    <w:rsid w:val="009F1CCE"/>
    <w:rsid w:val="009F1DBB"/>
    <w:rsid w:val="009F2880"/>
    <w:rsid w:val="009F33E9"/>
    <w:rsid w:val="009F42D7"/>
    <w:rsid w:val="009F520C"/>
    <w:rsid w:val="009F6A1B"/>
    <w:rsid w:val="00A03E28"/>
    <w:rsid w:val="00A04029"/>
    <w:rsid w:val="00A04B97"/>
    <w:rsid w:val="00A057DF"/>
    <w:rsid w:val="00A064C0"/>
    <w:rsid w:val="00A07894"/>
    <w:rsid w:val="00A12D75"/>
    <w:rsid w:val="00A139DB"/>
    <w:rsid w:val="00A13C8E"/>
    <w:rsid w:val="00A16527"/>
    <w:rsid w:val="00A16A1F"/>
    <w:rsid w:val="00A20AF6"/>
    <w:rsid w:val="00A20D7D"/>
    <w:rsid w:val="00A2250B"/>
    <w:rsid w:val="00A23D26"/>
    <w:rsid w:val="00A25F08"/>
    <w:rsid w:val="00A263BE"/>
    <w:rsid w:val="00A27B10"/>
    <w:rsid w:val="00A27C53"/>
    <w:rsid w:val="00A314D5"/>
    <w:rsid w:val="00A34D53"/>
    <w:rsid w:val="00A367B7"/>
    <w:rsid w:val="00A3744E"/>
    <w:rsid w:val="00A377B9"/>
    <w:rsid w:val="00A377FC"/>
    <w:rsid w:val="00A37E9E"/>
    <w:rsid w:val="00A402E2"/>
    <w:rsid w:val="00A40382"/>
    <w:rsid w:val="00A40A52"/>
    <w:rsid w:val="00A41BB5"/>
    <w:rsid w:val="00A41CB0"/>
    <w:rsid w:val="00A41D3D"/>
    <w:rsid w:val="00A42C5B"/>
    <w:rsid w:val="00A440C7"/>
    <w:rsid w:val="00A44F94"/>
    <w:rsid w:val="00A451B8"/>
    <w:rsid w:val="00A45788"/>
    <w:rsid w:val="00A45E3A"/>
    <w:rsid w:val="00A47BF9"/>
    <w:rsid w:val="00A504B1"/>
    <w:rsid w:val="00A51100"/>
    <w:rsid w:val="00A512B3"/>
    <w:rsid w:val="00A5157E"/>
    <w:rsid w:val="00A5227C"/>
    <w:rsid w:val="00A524BF"/>
    <w:rsid w:val="00A52758"/>
    <w:rsid w:val="00A5294D"/>
    <w:rsid w:val="00A540B1"/>
    <w:rsid w:val="00A541F8"/>
    <w:rsid w:val="00A55A2E"/>
    <w:rsid w:val="00A56BD0"/>
    <w:rsid w:val="00A57549"/>
    <w:rsid w:val="00A61386"/>
    <w:rsid w:val="00A624A9"/>
    <w:rsid w:val="00A63993"/>
    <w:rsid w:val="00A64BBA"/>
    <w:rsid w:val="00A6512F"/>
    <w:rsid w:val="00A65F87"/>
    <w:rsid w:val="00A66A79"/>
    <w:rsid w:val="00A67B80"/>
    <w:rsid w:val="00A703C5"/>
    <w:rsid w:val="00A71E9D"/>
    <w:rsid w:val="00A72119"/>
    <w:rsid w:val="00A73280"/>
    <w:rsid w:val="00A74262"/>
    <w:rsid w:val="00A74467"/>
    <w:rsid w:val="00A74CC9"/>
    <w:rsid w:val="00A75801"/>
    <w:rsid w:val="00A762B8"/>
    <w:rsid w:val="00A76DD7"/>
    <w:rsid w:val="00A7797F"/>
    <w:rsid w:val="00A77F51"/>
    <w:rsid w:val="00A77FCE"/>
    <w:rsid w:val="00A808D9"/>
    <w:rsid w:val="00A827B9"/>
    <w:rsid w:val="00A82DC9"/>
    <w:rsid w:val="00A873A4"/>
    <w:rsid w:val="00A87AF5"/>
    <w:rsid w:val="00A917D7"/>
    <w:rsid w:val="00A91F32"/>
    <w:rsid w:val="00A92F11"/>
    <w:rsid w:val="00A94253"/>
    <w:rsid w:val="00A95113"/>
    <w:rsid w:val="00AA0AC7"/>
    <w:rsid w:val="00AA15BC"/>
    <w:rsid w:val="00AA1D30"/>
    <w:rsid w:val="00AA221C"/>
    <w:rsid w:val="00AA2453"/>
    <w:rsid w:val="00AA341E"/>
    <w:rsid w:val="00AA35D4"/>
    <w:rsid w:val="00AA50B1"/>
    <w:rsid w:val="00AA533F"/>
    <w:rsid w:val="00AA5EB8"/>
    <w:rsid w:val="00AA6719"/>
    <w:rsid w:val="00AA6879"/>
    <w:rsid w:val="00AA76E2"/>
    <w:rsid w:val="00AA7F6D"/>
    <w:rsid w:val="00AB015B"/>
    <w:rsid w:val="00AB0414"/>
    <w:rsid w:val="00AB0A32"/>
    <w:rsid w:val="00AB28E6"/>
    <w:rsid w:val="00AB2D28"/>
    <w:rsid w:val="00AB4FE2"/>
    <w:rsid w:val="00AB51E3"/>
    <w:rsid w:val="00AB6726"/>
    <w:rsid w:val="00AC0326"/>
    <w:rsid w:val="00AC09DB"/>
    <w:rsid w:val="00AC0CC9"/>
    <w:rsid w:val="00AC0D34"/>
    <w:rsid w:val="00AC0E65"/>
    <w:rsid w:val="00AC1F54"/>
    <w:rsid w:val="00AC3969"/>
    <w:rsid w:val="00AC52DE"/>
    <w:rsid w:val="00AC5E90"/>
    <w:rsid w:val="00AC5EAE"/>
    <w:rsid w:val="00AC6C7A"/>
    <w:rsid w:val="00AD1AB8"/>
    <w:rsid w:val="00AD23D9"/>
    <w:rsid w:val="00AD3A3D"/>
    <w:rsid w:val="00AD4AB5"/>
    <w:rsid w:val="00AD521A"/>
    <w:rsid w:val="00AD5CDF"/>
    <w:rsid w:val="00AD6F40"/>
    <w:rsid w:val="00AE088D"/>
    <w:rsid w:val="00AE108F"/>
    <w:rsid w:val="00AE31FD"/>
    <w:rsid w:val="00AE4555"/>
    <w:rsid w:val="00AE47D4"/>
    <w:rsid w:val="00AE5A91"/>
    <w:rsid w:val="00AE6865"/>
    <w:rsid w:val="00AF0399"/>
    <w:rsid w:val="00AF05B4"/>
    <w:rsid w:val="00AF0C10"/>
    <w:rsid w:val="00AF234A"/>
    <w:rsid w:val="00AF28C8"/>
    <w:rsid w:val="00AF337C"/>
    <w:rsid w:val="00AF4F40"/>
    <w:rsid w:val="00AF57EF"/>
    <w:rsid w:val="00AF5BBF"/>
    <w:rsid w:val="00AF6FC7"/>
    <w:rsid w:val="00AF7B82"/>
    <w:rsid w:val="00B015C7"/>
    <w:rsid w:val="00B018D6"/>
    <w:rsid w:val="00B01984"/>
    <w:rsid w:val="00B02016"/>
    <w:rsid w:val="00B05326"/>
    <w:rsid w:val="00B054C0"/>
    <w:rsid w:val="00B05B19"/>
    <w:rsid w:val="00B12E0D"/>
    <w:rsid w:val="00B131D2"/>
    <w:rsid w:val="00B13E1A"/>
    <w:rsid w:val="00B13F5F"/>
    <w:rsid w:val="00B147B6"/>
    <w:rsid w:val="00B1571C"/>
    <w:rsid w:val="00B15B6D"/>
    <w:rsid w:val="00B15DED"/>
    <w:rsid w:val="00B17B69"/>
    <w:rsid w:val="00B2086B"/>
    <w:rsid w:val="00B20F98"/>
    <w:rsid w:val="00B21399"/>
    <w:rsid w:val="00B225B6"/>
    <w:rsid w:val="00B23EAA"/>
    <w:rsid w:val="00B2556A"/>
    <w:rsid w:val="00B3098F"/>
    <w:rsid w:val="00B3124C"/>
    <w:rsid w:val="00B31A60"/>
    <w:rsid w:val="00B31AB8"/>
    <w:rsid w:val="00B3224D"/>
    <w:rsid w:val="00B33C48"/>
    <w:rsid w:val="00B3555E"/>
    <w:rsid w:val="00B363C9"/>
    <w:rsid w:val="00B36C9D"/>
    <w:rsid w:val="00B408C0"/>
    <w:rsid w:val="00B42AEA"/>
    <w:rsid w:val="00B4347F"/>
    <w:rsid w:val="00B43FA6"/>
    <w:rsid w:val="00B44147"/>
    <w:rsid w:val="00B450D8"/>
    <w:rsid w:val="00B45177"/>
    <w:rsid w:val="00B47921"/>
    <w:rsid w:val="00B50DBD"/>
    <w:rsid w:val="00B5384B"/>
    <w:rsid w:val="00B53A14"/>
    <w:rsid w:val="00B54967"/>
    <w:rsid w:val="00B55905"/>
    <w:rsid w:val="00B57358"/>
    <w:rsid w:val="00B577BC"/>
    <w:rsid w:val="00B6187F"/>
    <w:rsid w:val="00B635BB"/>
    <w:rsid w:val="00B64621"/>
    <w:rsid w:val="00B70429"/>
    <w:rsid w:val="00B71C81"/>
    <w:rsid w:val="00B72DFF"/>
    <w:rsid w:val="00B743FE"/>
    <w:rsid w:val="00B74CA8"/>
    <w:rsid w:val="00B74E56"/>
    <w:rsid w:val="00B750C6"/>
    <w:rsid w:val="00B76BA2"/>
    <w:rsid w:val="00B80836"/>
    <w:rsid w:val="00B82573"/>
    <w:rsid w:val="00B82661"/>
    <w:rsid w:val="00B83998"/>
    <w:rsid w:val="00B83F64"/>
    <w:rsid w:val="00B8482C"/>
    <w:rsid w:val="00B84909"/>
    <w:rsid w:val="00B857C6"/>
    <w:rsid w:val="00B86D39"/>
    <w:rsid w:val="00B87574"/>
    <w:rsid w:val="00B87A12"/>
    <w:rsid w:val="00B90028"/>
    <w:rsid w:val="00B905C3"/>
    <w:rsid w:val="00B90E02"/>
    <w:rsid w:val="00B937CC"/>
    <w:rsid w:val="00B93B0C"/>
    <w:rsid w:val="00B94AE4"/>
    <w:rsid w:val="00B96A37"/>
    <w:rsid w:val="00B975D1"/>
    <w:rsid w:val="00BA0479"/>
    <w:rsid w:val="00BA0EF6"/>
    <w:rsid w:val="00BA0F12"/>
    <w:rsid w:val="00BA5A19"/>
    <w:rsid w:val="00BA6037"/>
    <w:rsid w:val="00BA61C9"/>
    <w:rsid w:val="00BA7F8D"/>
    <w:rsid w:val="00BB0DB8"/>
    <w:rsid w:val="00BB1728"/>
    <w:rsid w:val="00BB3721"/>
    <w:rsid w:val="00BB69F2"/>
    <w:rsid w:val="00BC046E"/>
    <w:rsid w:val="00BC23E7"/>
    <w:rsid w:val="00BC2D7A"/>
    <w:rsid w:val="00BC46A2"/>
    <w:rsid w:val="00BC56C7"/>
    <w:rsid w:val="00BC5AE3"/>
    <w:rsid w:val="00BC5C3F"/>
    <w:rsid w:val="00BC69AE"/>
    <w:rsid w:val="00BD0C2C"/>
    <w:rsid w:val="00BD1ECC"/>
    <w:rsid w:val="00BD2BEE"/>
    <w:rsid w:val="00BD358D"/>
    <w:rsid w:val="00BD35C9"/>
    <w:rsid w:val="00BD3A66"/>
    <w:rsid w:val="00BD3CA2"/>
    <w:rsid w:val="00BD3D02"/>
    <w:rsid w:val="00BD40D7"/>
    <w:rsid w:val="00BD429F"/>
    <w:rsid w:val="00BD5949"/>
    <w:rsid w:val="00BD62D6"/>
    <w:rsid w:val="00BD72D1"/>
    <w:rsid w:val="00BD7938"/>
    <w:rsid w:val="00BE124A"/>
    <w:rsid w:val="00BE14D0"/>
    <w:rsid w:val="00BE14E3"/>
    <w:rsid w:val="00BE2493"/>
    <w:rsid w:val="00BE38D8"/>
    <w:rsid w:val="00BE41D1"/>
    <w:rsid w:val="00BE53AF"/>
    <w:rsid w:val="00BE585B"/>
    <w:rsid w:val="00BE7FB1"/>
    <w:rsid w:val="00BF0104"/>
    <w:rsid w:val="00BF111B"/>
    <w:rsid w:val="00BF1493"/>
    <w:rsid w:val="00BF29EA"/>
    <w:rsid w:val="00BF2A23"/>
    <w:rsid w:val="00BF382C"/>
    <w:rsid w:val="00BF4857"/>
    <w:rsid w:val="00BF4C22"/>
    <w:rsid w:val="00BF6BA2"/>
    <w:rsid w:val="00BF796D"/>
    <w:rsid w:val="00BF7A77"/>
    <w:rsid w:val="00C03992"/>
    <w:rsid w:val="00C04D1D"/>
    <w:rsid w:val="00C05E92"/>
    <w:rsid w:val="00C06FC8"/>
    <w:rsid w:val="00C07E63"/>
    <w:rsid w:val="00C12CD2"/>
    <w:rsid w:val="00C14E20"/>
    <w:rsid w:val="00C1540B"/>
    <w:rsid w:val="00C166FE"/>
    <w:rsid w:val="00C1776A"/>
    <w:rsid w:val="00C17959"/>
    <w:rsid w:val="00C22459"/>
    <w:rsid w:val="00C24CF9"/>
    <w:rsid w:val="00C25F3A"/>
    <w:rsid w:val="00C26E7A"/>
    <w:rsid w:val="00C30B5F"/>
    <w:rsid w:val="00C30D73"/>
    <w:rsid w:val="00C31EBD"/>
    <w:rsid w:val="00C340FD"/>
    <w:rsid w:val="00C35320"/>
    <w:rsid w:val="00C362BD"/>
    <w:rsid w:val="00C37C00"/>
    <w:rsid w:val="00C42457"/>
    <w:rsid w:val="00C43E3D"/>
    <w:rsid w:val="00C44037"/>
    <w:rsid w:val="00C44302"/>
    <w:rsid w:val="00C468D8"/>
    <w:rsid w:val="00C46E5D"/>
    <w:rsid w:val="00C47B0C"/>
    <w:rsid w:val="00C501E1"/>
    <w:rsid w:val="00C503AC"/>
    <w:rsid w:val="00C528F2"/>
    <w:rsid w:val="00C5303C"/>
    <w:rsid w:val="00C5340B"/>
    <w:rsid w:val="00C53ED6"/>
    <w:rsid w:val="00C54557"/>
    <w:rsid w:val="00C55806"/>
    <w:rsid w:val="00C55AFE"/>
    <w:rsid w:val="00C55C74"/>
    <w:rsid w:val="00C55D79"/>
    <w:rsid w:val="00C566FF"/>
    <w:rsid w:val="00C56CA5"/>
    <w:rsid w:val="00C575C4"/>
    <w:rsid w:val="00C57A62"/>
    <w:rsid w:val="00C57AD5"/>
    <w:rsid w:val="00C57B03"/>
    <w:rsid w:val="00C57C83"/>
    <w:rsid w:val="00C61174"/>
    <w:rsid w:val="00C616E3"/>
    <w:rsid w:val="00C623A1"/>
    <w:rsid w:val="00C62943"/>
    <w:rsid w:val="00C63945"/>
    <w:rsid w:val="00C6587B"/>
    <w:rsid w:val="00C65FEE"/>
    <w:rsid w:val="00C66BA0"/>
    <w:rsid w:val="00C66C05"/>
    <w:rsid w:val="00C71341"/>
    <w:rsid w:val="00C724EE"/>
    <w:rsid w:val="00C73010"/>
    <w:rsid w:val="00C73868"/>
    <w:rsid w:val="00C73D16"/>
    <w:rsid w:val="00C76595"/>
    <w:rsid w:val="00C765D5"/>
    <w:rsid w:val="00C76A2A"/>
    <w:rsid w:val="00C7774F"/>
    <w:rsid w:val="00C8086C"/>
    <w:rsid w:val="00C80E96"/>
    <w:rsid w:val="00C80F33"/>
    <w:rsid w:val="00C81177"/>
    <w:rsid w:val="00C81253"/>
    <w:rsid w:val="00C81447"/>
    <w:rsid w:val="00C8441C"/>
    <w:rsid w:val="00C84880"/>
    <w:rsid w:val="00C848B1"/>
    <w:rsid w:val="00C84DCA"/>
    <w:rsid w:val="00C86243"/>
    <w:rsid w:val="00C86862"/>
    <w:rsid w:val="00C906CE"/>
    <w:rsid w:val="00C90879"/>
    <w:rsid w:val="00C93FDC"/>
    <w:rsid w:val="00C96FD7"/>
    <w:rsid w:val="00C977B1"/>
    <w:rsid w:val="00C97BB3"/>
    <w:rsid w:val="00C97E2E"/>
    <w:rsid w:val="00C97E57"/>
    <w:rsid w:val="00CA1A92"/>
    <w:rsid w:val="00CA2BBD"/>
    <w:rsid w:val="00CA34E7"/>
    <w:rsid w:val="00CA3946"/>
    <w:rsid w:val="00CA4435"/>
    <w:rsid w:val="00CA499A"/>
    <w:rsid w:val="00CA52A8"/>
    <w:rsid w:val="00CA740E"/>
    <w:rsid w:val="00CB097D"/>
    <w:rsid w:val="00CB0C0F"/>
    <w:rsid w:val="00CB47F8"/>
    <w:rsid w:val="00CB65B1"/>
    <w:rsid w:val="00CC0A2C"/>
    <w:rsid w:val="00CC19A8"/>
    <w:rsid w:val="00CC298C"/>
    <w:rsid w:val="00CC3CA1"/>
    <w:rsid w:val="00CC5917"/>
    <w:rsid w:val="00CC5A1E"/>
    <w:rsid w:val="00CC6272"/>
    <w:rsid w:val="00CC7E35"/>
    <w:rsid w:val="00CD0176"/>
    <w:rsid w:val="00CD1E71"/>
    <w:rsid w:val="00CD327C"/>
    <w:rsid w:val="00CD3AF5"/>
    <w:rsid w:val="00CD573A"/>
    <w:rsid w:val="00CD6B19"/>
    <w:rsid w:val="00CD6CF4"/>
    <w:rsid w:val="00CD7D3C"/>
    <w:rsid w:val="00CE1455"/>
    <w:rsid w:val="00CE3CD8"/>
    <w:rsid w:val="00CE4332"/>
    <w:rsid w:val="00CE4D62"/>
    <w:rsid w:val="00CE781F"/>
    <w:rsid w:val="00CE79A0"/>
    <w:rsid w:val="00CF0C3F"/>
    <w:rsid w:val="00CF14F3"/>
    <w:rsid w:val="00CF2A70"/>
    <w:rsid w:val="00CF3E08"/>
    <w:rsid w:val="00CF3F2E"/>
    <w:rsid w:val="00CF56E0"/>
    <w:rsid w:val="00CF5736"/>
    <w:rsid w:val="00CF5AEC"/>
    <w:rsid w:val="00CF5FE0"/>
    <w:rsid w:val="00CF629B"/>
    <w:rsid w:val="00CF6A92"/>
    <w:rsid w:val="00CF7422"/>
    <w:rsid w:val="00D0009A"/>
    <w:rsid w:val="00D00964"/>
    <w:rsid w:val="00D01505"/>
    <w:rsid w:val="00D0155C"/>
    <w:rsid w:val="00D02BC0"/>
    <w:rsid w:val="00D03351"/>
    <w:rsid w:val="00D06BA2"/>
    <w:rsid w:val="00D0792C"/>
    <w:rsid w:val="00D10AC9"/>
    <w:rsid w:val="00D12E13"/>
    <w:rsid w:val="00D1559C"/>
    <w:rsid w:val="00D15CC9"/>
    <w:rsid w:val="00D20A7F"/>
    <w:rsid w:val="00D2221F"/>
    <w:rsid w:val="00D241D9"/>
    <w:rsid w:val="00D24F13"/>
    <w:rsid w:val="00D25178"/>
    <w:rsid w:val="00D25E5E"/>
    <w:rsid w:val="00D26A25"/>
    <w:rsid w:val="00D26BA2"/>
    <w:rsid w:val="00D30671"/>
    <w:rsid w:val="00D30DD2"/>
    <w:rsid w:val="00D31218"/>
    <w:rsid w:val="00D320EE"/>
    <w:rsid w:val="00D346D8"/>
    <w:rsid w:val="00D3575D"/>
    <w:rsid w:val="00D359AD"/>
    <w:rsid w:val="00D36A5C"/>
    <w:rsid w:val="00D373D6"/>
    <w:rsid w:val="00D402D2"/>
    <w:rsid w:val="00D422C9"/>
    <w:rsid w:val="00D42FA1"/>
    <w:rsid w:val="00D45182"/>
    <w:rsid w:val="00D45728"/>
    <w:rsid w:val="00D47041"/>
    <w:rsid w:val="00D47597"/>
    <w:rsid w:val="00D519E5"/>
    <w:rsid w:val="00D54A93"/>
    <w:rsid w:val="00D55374"/>
    <w:rsid w:val="00D56143"/>
    <w:rsid w:val="00D564E5"/>
    <w:rsid w:val="00D5681B"/>
    <w:rsid w:val="00D62DF6"/>
    <w:rsid w:val="00D6532B"/>
    <w:rsid w:val="00D66C35"/>
    <w:rsid w:val="00D67A42"/>
    <w:rsid w:val="00D702F2"/>
    <w:rsid w:val="00D70700"/>
    <w:rsid w:val="00D71328"/>
    <w:rsid w:val="00D716BB"/>
    <w:rsid w:val="00D73534"/>
    <w:rsid w:val="00D74EE6"/>
    <w:rsid w:val="00D7553E"/>
    <w:rsid w:val="00D76BC2"/>
    <w:rsid w:val="00D76BC4"/>
    <w:rsid w:val="00D77B18"/>
    <w:rsid w:val="00D80FEC"/>
    <w:rsid w:val="00D8149F"/>
    <w:rsid w:val="00D81A1C"/>
    <w:rsid w:val="00D82DCA"/>
    <w:rsid w:val="00D83353"/>
    <w:rsid w:val="00D84A46"/>
    <w:rsid w:val="00D86850"/>
    <w:rsid w:val="00D90D6A"/>
    <w:rsid w:val="00D90FE0"/>
    <w:rsid w:val="00D92621"/>
    <w:rsid w:val="00D92B82"/>
    <w:rsid w:val="00D92E11"/>
    <w:rsid w:val="00D94384"/>
    <w:rsid w:val="00D94FB1"/>
    <w:rsid w:val="00DA012F"/>
    <w:rsid w:val="00DA07B7"/>
    <w:rsid w:val="00DA2AEF"/>
    <w:rsid w:val="00DA2F27"/>
    <w:rsid w:val="00DA4052"/>
    <w:rsid w:val="00DA481B"/>
    <w:rsid w:val="00DA5740"/>
    <w:rsid w:val="00DA634B"/>
    <w:rsid w:val="00DB029A"/>
    <w:rsid w:val="00DB0BD5"/>
    <w:rsid w:val="00DB1331"/>
    <w:rsid w:val="00DB30FF"/>
    <w:rsid w:val="00DB3726"/>
    <w:rsid w:val="00DB48D8"/>
    <w:rsid w:val="00DB62CB"/>
    <w:rsid w:val="00DB6761"/>
    <w:rsid w:val="00DB7984"/>
    <w:rsid w:val="00DC02E5"/>
    <w:rsid w:val="00DC2EB5"/>
    <w:rsid w:val="00DC3A15"/>
    <w:rsid w:val="00DC3B12"/>
    <w:rsid w:val="00DC405B"/>
    <w:rsid w:val="00DC5782"/>
    <w:rsid w:val="00DC5876"/>
    <w:rsid w:val="00DC5F2A"/>
    <w:rsid w:val="00DC6B81"/>
    <w:rsid w:val="00DC6CBF"/>
    <w:rsid w:val="00DD0A19"/>
    <w:rsid w:val="00DD1BC9"/>
    <w:rsid w:val="00DD1C1C"/>
    <w:rsid w:val="00DD27FC"/>
    <w:rsid w:val="00DD408E"/>
    <w:rsid w:val="00DD4D0E"/>
    <w:rsid w:val="00DD5DF9"/>
    <w:rsid w:val="00DE006D"/>
    <w:rsid w:val="00DE03E4"/>
    <w:rsid w:val="00DE0784"/>
    <w:rsid w:val="00DE296C"/>
    <w:rsid w:val="00DE2B7F"/>
    <w:rsid w:val="00DE2DE7"/>
    <w:rsid w:val="00DE3062"/>
    <w:rsid w:val="00DE3E04"/>
    <w:rsid w:val="00DE698A"/>
    <w:rsid w:val="00DF02D8"/>
    <w:rsid w:val="00DF03DE"/>
    <w:rsid w:val="00DF1AD3"/>
    <w:rsid w:val="00DF2A56"/>
    <w:rsid w:val="00DF3B83"/>
    <w:rsid w:val="00DF41D6"/>
    <w:rsid w:val="00DF62ED"/>
    <w:rsid w:val="00DF7574"/>
    <w:rsid w:val="00E01132"/>
    <w:rsid w:val="00E02D22"/>
    <w:rsid w:val="00E037EE"/>
    <w:rsid w:val="00E043F9"/>
    <w:rsid w:val="00E05C54"/>
    <w:rsid w:val="00E1026E"/>
    <w:rsid w:val="00E10716"/>
    <w:rsid w:val="00E10B7D"/>
    <w:rsid w:val="00E11C06"/>
    <w:rsid w:val="00E11D96"/>
    <w:rsid w:val="00E12094"/>
    <w:rsid w:val="00E13241"/>
    <w:rsid w:val="00E13679"/>
    <w:rsid w:val="00E158C4"/>
    <w:rsid w:val="00E21FCB"/>
    <w:rsid w:val="00E26127"/>
    <w:rsid w:val="00E32ED6"/>
    <w:rsid w:val="00E32F51"/>
    <w:rsid w:val="00E3477E"/>
    <w:rsid w:val="00E354B7"/>
    <w:rsid w:val="00E35BA1"/>
    <w:rsid w:val="00E37C09"/>
    <w:rsid w:val="00E41246"/>
    <w:rsid w:val="00E41872"/>
    <w:rsid w:val="00E41FF5"/>
    <w:rsid w:val="00E45EDD"/>
    <w:rsid w:val="00E460D8"/>
    <w:rsid w:val="00E4750E"/>
    <w:rsid w:val="00E50FB0"/>
    <w:rsid w:val="00E5361D"/>
    <w:rsid w:val="00E57BDF"/>
    <w:rsid w:val="00E57E49"/>
    <w:rsid w:val="00E605AE"/>
    <w:rsid w:val="00E617C4"/>
    <w:rsid w:val="00E61FE2"/>
    <w:rsid w:val="00E63B09"/>
    <w:rsid w:val="00E64689"/>
    <w:rsid w:val="00E65C0E"/>
    <w:rsid w:val="00E65E4B"/>
    <w:rsid w:val="00E6751C"/>
    <w:rsid w:val="00E67A92"/>
    <w:rsid w:val="00E67F69"/>
    <w:rsid w:val="00E70268"/>
    <w:rsid w:val="00E70C9E"/>
    <w:rsid w:val="00E7323E"/>
    <w:rsid w:val="00E745AC"/>
    <w:rsid w:val="00E7516B"/>
    <w:rsid w:val="00E75C73"/>
    <w:rsid w:val="00E75D7E"/>
    <w:rsid w:val="00E75DB5"/>
    <w:rsid w:val="00E8066A"/>
    <w:rsid w:val="00E806ED"/>
    <w:rsid w:val="00E808AE"/>
    <w:rsid w:val="00E816DD"/>
    <w:rsid w:val="00E81805"/>
    <w:rsid w:val="00E81DF1"/>
    <w:rsid w:val="00E82AB1"/>
    <w:rsid w:val="00E834B5"/>
    <w:rsid w:val="00E840E8"/>
    <w:rsid w:val="00E84A51"/>
    <w:rsid w:val="00E85733"/>
    <w:rsid w:val="00E85B6B"/>
    <w:rsid w:val="00E86B1F"/>
    <w:rsid w:val="00E87CC1"/>
    <w:rsid w:val="00E92E1F"/>
    <w:rsid w:val="00E93052"/>
    <w:rsid w:val="00E9347E"/>
    <w:rsid w:val="00E9394A"/>
    <w:rsid w:val="00E95708"/>
    <w:rsid w:val="00E95C97"/>
    <w:rsid w:val="00E95FCF"/>
    <w:rsid w:val="00E96449"/>
    <w:rsid w:val="00E96535"/>
    <w:rsid w:val="00EA179B"/>
    <w:rsid w:val="00EA20C3"/>
    <w:rsid w:val="00EA2554"/>
    <w:rsid w:val="00EA2C81"/>
    <w:rsid w:val="00EA460F"/>
    <w:rsid w:val="00EA5095"/>
    <w:rsid w:val="00EA57B3"/>
    <w:rsid w:val="00EB1200"/>
    <w:rsid w:val="00EB2264"/>
    <w:rsid w:val="00EB241E"/>
    <w:rsid w:val="00EB2FAF"/>
    <w:rsid w:val="00EB5678"/>
    <w:rsid w:val="00EB5960"/>
    <w:rsid w:val="00EB5ABA"/>
    <w:rsid w:val="00EC1013"/>
    <w:rsid w:val="00EC5112"/>
    <w:rsid w:val="00EC56AE"/>
    <w:rsid w:val="00EC5C5C"/>
    <w:rsid w:val="00EC6484"/>
    <w:rsid w:val="00EC68CA"/>
    <w:rsid w:val="00EC799C"/>
    <w:rsid w:val="00EC7D99"/>
    <w:rsid w:val="00ED05F8"/>
    <w:rsid w:val="00ED192E"/>
    <w:rsid w:val="00ED34FD"/>
    <w:rsid w:val="00ED370F"/>
    <w:rsid w:val="00ED3856"/>
    <w:rsid w:val="00ED3F6A"/>
    <w:rsid w:val="00ED4451"/>
    <w:rsid w:val="00ED4959"/>
    <w:rsid w:val="00ED4E19"/>
    <w:rsid w:val="00ED4E1D"/>
    <w:rsid w:val="00ED4F04"/>
    <w:rsid w:val="00ED5D2E"/>
    <w:rsid w:val="00ED5FCC"/>
    <w:rsid w:val="00ED6093"/>
    <w:rsid w:val="00ED633B"/>
    <w:rsid w:val="00EE180B"/>
    <w:rsid w:val="00EE47ED"/>
    <w:rsid w:val="00EE7BA0"/>
    <w:rsid w:val="00EE7D3C"/>
    <w:rsid w:val="00EF3811"/>
    <w:rsid w:val="00EF4597"/>
    <w:rsid w:val="00F005C3"/>
    <w:rsid w:val="00F014AB"/>
    <w:rsid w:val="00F01E01"/>
    <w:rsid w:val="00F02735"/>
    <w:rsid w:val="00F03024"/>
    <w:rsid w:val="00F034E1"/>
    <w:rsid w:val="00F03D3C"/>
    <w:rsid w:val="00F03EB4"/>
    <w:rsid w:val="00F05FD4"/>
    <w:rsid w:val="00F06EB3"/>
    <w:rsid w:val="00F11672"/>
    <w:rsid w:val="00F13518"/>
    <w:rsid w:val="00F142A5"/>
    <w:rsid w:val="00F14F74"/>
    <w:rsid w:val="00F1512E"/>
    <w:rsid w:val="00F1576D"/>
    <w:rsid w:val="00F16003"/>
    <w:rsid w:val="00F17C8D"/>
    <w:rsid w:val="00F20AEF"/>
    <w:rsid w:val="00F212C5"/>
    <w:rsid w:val="00F21735"/>
    <w:rsid w:val="00F2193A"/>
    <w:rsid w:val="00F21A41"/>
    <w:rsid w:val="00F21C13"/>
    <w:rsid w:val="00F23181"/>
    <w:rsid w:val="00F249EF"/>
    <w:rsid w:val="00F256FA"/>
    <w:rsid w:val="00F25E46"/>
    <w:rsid w:val="00F307AD"/>
    <w:rsid w:val="00F30B68"/>
    <w:rsid w:val="00F32790"/>
    <w:rsid w:val="00F3457A"/>
    <w:rsid w:val="00F34768"/>
    <w:rsid w:val="00F35690"/>
    <w:rsid w:val="00F379C8"/>
    <w:rsid w:val="00F37D03"/>
    <w:rsid w:val="00F42C06"/>
    <w:rsid w:val="00F43238"/>
    <w:rsid w:val="00F442F7"/>
    <w:rsid w:val="00F4432E"/>
    <w:rsid w:val="00F443FB"/>
    <w:rsid w:val="00F44D39"/>
    <w:rsid w:val="00F4630F"/>
    <w:rsid w:val="00F467DD"/>
    <w:rsid w:val="00F510C5"/>
    <w:rsid w:val="00F51CE6"/>
    <w:rsid w:val="00F52C6F"/>
    <w:rsid w:val="00F53981"/>
    <w:rsid w:val="00F5678F"/>
    <w:rsid w:val="00F57D71"/>
    <w:rsid w:val="00F60365"/>
    <w:rsid w:val="00F6046B"/>
    <w:rsid w:val="00F60637"/>
    <w:rsid w:val="00F60E16"/>
    <w:rsid w:val="00F62043"/>
    <w:rsid w:val="00F62B06"/>
    <w:rsid w:val="00F62CA8"/>
    <w:rsid w:val="00F6533E"/>
    <w:rsid w:val="00F67350"/>
    <w:rsid w:val="00F678DF"/>
    <w:rsid w:val="00F67D09"/>
    <w:rsid w:val="00F70AEE"/>
    <w:rsid w:val="00F72B41"/>
    <w:rsid w:val="00F744EB"/>
    <w:rsid w:val="00F758B9"/>
    <w:rsid w:val="00F7625D"/>
    <w:rsid w:val="00F8009C"/>
    <w:rsid w:val="00F80941"/>
    <w:rsid w:val="00F815C7"/>
    <w:rsid w:val="00F817E8"/>
    <w:rsid w:val="00F82C85"/>
    <w:rsid w:val="00F831F9"/>
    <w:rsid w:val="00F83EA1"/>
    <w:rsid w:val="00F873A4"/>
    <w:rsid w:val="00F8744D"/>
    <w:rsid w:val="00F87C65"/>
    <w:rsid w:val="00F903A3"/>
    <w:rsid w:val="00F91062"/>
    <w:rsid w:val="00F92A85"/>
    <w:rsid w:val="00F959EC"/>
    <w:rsid w:val="00F97236"/>
    <w:rsid w:val="00F977E9"/>
    <w:rsid w:val="00F97F39"/>
    <w:rsid w:val="00FA039F"/>
    <w:rsid w:val="00FA063B"/>
    <w:rsid w:val="00FA0761"/>
    <w:rsid w:val="00FA0BD5"/>
    <w:rsid w:val="00FA1600"/>
    <w:rsid w:val="00FA1767"/>
    <w:rsid w:val="00FA1C0F"/>
    <w:rsid w:val="00FA37CE"/>
    <w:rsid w:val="00FA3B40"/>
    <w:rsid w:val="00FA45BD"/>
    <w:rsid w:val="00FA47E9"/>
    <w:rsid w:val="00FA5EA5"/>
    <w:rsid w:val="00FA6A78"/>
    <w:rsid w:val="00FB0B6D"/>
    <w:rsid w:val="00FB26D3"/>
    <w:rsid w:val="00FB2DEB"/>
    <w:rsid w:val="00FB32FC"/>
    <w:rsid w:val="00FB4438"/>
    <w:rsid w:val="00FB4447"/>
    <w:rsid w:val="00FB486B"/>
    <w:rsid w:val="00FB6606"/>
    <w:rsid w:val="00FB7085"/>
    <w:rsid w:val="00FB71F3"/>
    <w:rsid w:val="00FC05DC"/>
    <w:rsid w:val="00FC1034"/>
    <w:rsid w:val="00FC1CC2"/>
    <w:rsid w:val="00FC1D01"/>
    <w:rsid w:val="00FC2636"/>
    <w:rsid w:val="00FC40B9"/>
    <w:rsid w:val="00FC56B3"/>
    <w:rsid w:val="00FC7B42"/>
    <w:rsid w:val="00FC7BE9"/>
    <w:rsid w:val="00FD27EE"/>
    <w:rsid w:val="00FD3F35"/>
    <w:rsid w:val="00FD51AF"/>
    <w:rsid w:val="00FD5FA9"/>
    <w:rsid w:val="00FE15BE"/>
    <w:rsid w:val="00FE2F42"/>
    <w:rsid w:val="00FE3B30"/>
    <w:rsid w:val="00FE3B51"/>
    <w:rsid w:val="00FE4AB5"/>
    <w:rsid w:val="00FE59B6"/>
    <w:rsid w:val="00FE6296"/>
    <w:rsid w:val="00FE63AC"/>
    <w:rsid w:val="00FE70F4"/>
    <w:rsid w:val="00FE7F66"/>
    <w:rsid w:val="00FF03BF"/>
    <w:rsid w:val="00FF0616"/>
    <w:rsid w:val="00FF1105"/>
    <w:rsid w:val="00FF19BF"/>
    <w:rsid w:val="00FF22EC"/>
    <w:rsid w:val="00FF3645"/>
    <w:rsid w:val="00FF42C7"/>
    <w:rsid w:val="00FF4E1B"/>
    <w:rsid w:val="00FF51DF"/>
    <w:rsid w:val="00FF548F"/>
    <w:rsid w:val="00FF5D31"/>
    <w:rsid w:val="00FF7B5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4D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80F33"/>
    <w:pPr>
      <w:spacing w:after="200" w:line="276" w:lineRule="auto"/>
    </w:pPr>
    <w:rPr>
      <w:rFonts w:ascii="Calibri" w:eastAsiaTheme="minorHAnsi" w:hAnsi="Calibri" w:cstheme="minorBidi"/>
      <w:sz w:val="22"/>
      <w:szCs w:val="22"/>
      <w:lang w:eastAsia="en-US"/>
    </w:rPr>
  </w:style>
  <w:style w:type="paragraph" w:styleId="Heading1">
    <w:name w:val="heading 1"/>
    <w:basedOn w:val="HeadingBaseStyle"/>
    <w:next w:val="Normal"/>
    <w:link w:val="Heading1Char"/>
    <w:autoRedefine/>
    <w:qFormat/>
    <w:rsid w:val="00C80F33"/>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autoRedefine/>
    <w:qFormat/>
    <w:rsid w:val="00A540B1"/>
    <w:pPr>
      <w:widowControl w:val="0"/>
      <w:numPr>
        <w:numId w:val="2"/>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C80F33"/>
    <w:pPr>
      <w:keepNext/>
      <w:widowControl w:val="0"/>
      <w:tabs>
        <w:tab w:val="left" w:pos="0"/>
      </w:tabs>
      <w:adjustRightInd w:val="0"/>
      <w:spacing w:before="120" w:after="240" w:line="240" w:lineRule="auto"/>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C80F33"/>
    <w:pPr>
      <w:numPr>
        <w:ilvl w:val="2"/>
        <w:numId w:val="2"/>
      </w:numPr>
      <w:tabs>
        <w:tab w:val="left" w:pos="680"/>
      </w:tabs>
      <w:spacing w:after="120"/>
      <w:outlineLvl w:val="3"/>
    </w:pPr>
    <w:rPr>
      <w:b/>
    </w:rPr>
  </w:style>
  <w:style w:type="paragraph" w:styleId="Heading5">
    <w:name w:val="heading 5"/>
    <w:basedOn w:val="HeadingBaseStyle"/>
    <w:next w:val="Normal"/>
    <w:link w:val="Heading5Char"/>
    <w:autoRedefine/>
    <w:rsid w:val="00C80F33"/>
    <w:pPr>
      <w:spacing w:after="240"/>
      <w:outlineLvl w:val="4"/>
    </w:pPr>
    <w:rPr>
      <w:i/>
    </w:rPr>
  </w:style>
  <w:style w:type="paragraph" w:styleId="Heading6">
    <w:name w:val="heading 6"/>
    <w:basedOn w:val="HeadingBaseStyle"/>
    <w:next w:val="Normal"/>
    <w:link w:val="Heading6Char"/>
    <w:rsid w:val="00C80F33"/>
    <w:pPr>
      <w:widowControl w:val="0"/>
      <w:spacing w:after="60"/>
      <w:outlineLvl w:val="5"/>
    </w:pPr>
    <w:rPr>
      <w:snapToGrid w:val="0"/>
      <w:sz w:val="19"/>
    </w:rPr>
  </w:style>
  <w:style w:type="paragraph" w:styleId="Heading7">
    <w:name w:val="heading 7"/>
    <w:basedOn w:val="Normal"/>
    <w:next w:val="Normal"/>
    <w:link w:val="Heading7Char"/>
    <w:rsid w:val="00C80F33"/>
    <w:pPr>
      <w:spacing w:after="0"/>
      <w:outlineLvl w:val="6"/>
    </w:pPr>
    <w:rPr>
      <w:rFonts w:ascii="Arial" w:hAnsi="Arial"/>
      <w:color w:val="000080"/>
      <w:sz w:val="19"/>
      <w:u w:val="single"/>
    </w:rPr>
  </w:style>
  <w:style w:type="paragraph" w:styleId="Heading8">
    <w:name w:val="heading 8"/>
    <w:basedOn w:val="Normal"/>
    <w:next w:val="Normal"/>
    <w:link w:val="Heading8Char"/>
    <w:rsid w:val="00C80F33"/>
    <w:pPr>
      <w:keepNext/>
      <w:spacing w:before="120" w:after="60" w:line="0" w:lineRule="atLeast"/>
      <w:outlineLvl w:val="7"/>
    </w:pPr>
    <w:rPr>
      <w:b/>
      <w:color w:val="000080"/>
    </w:rPr>
  </w:style>
  <w:style w:type="paragraph" w:styleId="Heading9">
    <w:name w:val="heading 9"/>
    <w:basedOn w:val="Normal"/>
    <w:next w:val="Normal"/>
    <w:link w:val="Heading9Char"/>
    <w:rsid w:val="00C80F33"/>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Style">
    <w:name w:val="HeadingBaseStyle"/>
    <w:basedOn w:val="Normal"/>
    <w:rsid w:val="00C80F33"/>
    <w:pPr>
      <w:keepNext/>
      <w:spacing w:after="0"/>
    </w:pPr>
    <w:rPr>
      <w:rFonts w:ascii="Arial" w:hAnsi="Arial"/>
      <w:color w:val="003157"/>
    </w:rPr>
  </w:style>
  <w:style w:type="paragraph" w:styleId="Header">
    <w:name w:val="header"/>
    <w:basedOn w:val="HeadingBaseStyle"/>
    <w:link w:val="HeaderChar"/>
    <w:rsid w:val="00C80F33"/>
    <w:pPr>
      <w:jc w:val="center"/>
    </w:pPr>
    <w:rPr>
      <w:sz w:val="18"/>
    </w:rPr>
  </w:style>
  <w:style w:type="paragraph" w:customStyle="1" w:styleId="TableHeading1">
    <w:name w:val="Table Heading 1"/>
    <w:basedOn w:val="HeadingBaseStyle"/>
    <w:next w:val="Tablegraphic"/>
    <w:rsid w:val="00C80F33"/>
    <w:pPr>
      <w:spacing w:before="120" w:after="20"/>
      <w:jc w:val="center"/>
    </w:pPr>
    <w:rPr>
      <w:sz w:val="24"/>
    </w:rPr>
  </w:style>
  <w:style w:type="paragraph" w:customStyle="1" w:styleId="Tablegraphic">
    <w:name w:val="Table graphic"/>
    <w:basedOn w:val="HeadingBaseStyle"/>
    <w:next w:val="Normal"/>
    <w:rsid w:val="00C80F33"/>
    <w:pPr>
      <w:spacing w:after="20"/>
      <w:ind w:right="-113"/>
    </w:pPr>
    <w:rPr>
      <w:color w:val="auto"/>
      <w:sz w:val="24"/>
    </w:rPr>
  </w:style>
  <w:style w:type="paragraph" w:customStyle="1" w:styleId="TableColumnHeadingCentred">
    <w:name w:val="Table Column Heading Centred"/>
    <w:basedOn w:val="TableTextBase"/>
    <w:rsid w:val="00C80F33"/>
    <w:pPr>
      <w:tabs>
        <w:tab w:val="left" w:pos="1987"/>
      </w:tabs>
      <w:jc w:val="center"/>
    </w:pPr>
    <w:rPr>
      <w:rFonts w:ascii="Arial Bold" w:hAnsi="Arial Bold"/>
      <w:b/>
    </w:rPr>
  </w:style>
  <w:style w:type="paragraph" w:styleId="Footer">
    <w:name w:val="footer"/>
    <w:basedOn w:val="Normal"/>
    <w:link w:val="FooterChar"/>
    <w:uiPriority w:val="99"/>
    <w:rsid w:val="00C80F33"/>
    <w:pPr>
      <w:tabs>
        <w:tab w:val="right" w:pos="5670"/>
      </w:tabs>
      <w:spacing w:after="0"/>
      <w:jc w:val="right"/>
    </w:pPr>
    <w:rPr>
      <w:rFonts w:ascii="Arial" w:hAnsi="Arial"/>
      <w:color w:val="003157"/>
      <w:sz w:val="18"/>
    </w:rPr>
  </w:style>
  <w:style w:type="paragraph" w:styleId="Index1">
    <w:name w:val="index 1"/>
    <w:basedOn w:val="Normal"/>
    <w:next w:val="Normal"/>
    <w:autoRedefine/>
    <w:semiHidden/>
    <w:rsid w:val="00C80F33"/>
    <w:pPr>
      <w:spacing w:after="0"/>
      <w:ind w:left="238" w:hanging="238"/>
    </w:pPr>
  </w:style>
  <w:style w:type="paragraph" w:styleId="TOC1">
    <w:name w:val="toc 1"/>
    <w:basedOn w:val="Normal"/>
    <w:next w:val="Normal"/>
    <w:uiPriority w:val="39"/>
    <w:rsid w:val="00C80F33"/>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C80F33"/>
    <w:pPr>
      <w:widowControl w:val="0"/>
      <w:tabs>
        <w:tab w:val="right" w:leader="dot" w:pos="9299"/>
      </w:tabs>
      <w:adjustRightInd w:val="0"/>
      <w:spacing w:before="120" w:after="0"/>
      <w:ind w:left="567" w:right="567"/>
      <w:textAlignment w:val="baseline"/>
    </w:pPr>
    <w:rPr>
      <w:sz w:val="24"/>
    </w:rPr>
  </w:style>
  <w:style w:type="paragraph" w:customStyle="1" w:styleId="BoxHeading">
    <w:name w:val="Box Heading"/>
    <w:basedOn w:val="HeadingBaseStyle"/>
    <w:next w:val="Normal"/>
    <w:rsid w:val="00C80F33"/>
    <w:pPr>
      <w:spacing w:before="240" w:after="240"/>
    </w:pPr>
    <w:rPr>
      <w:sz w:val="24"/>
    </w:rPr>
  </w:style>
  <w:style w:type="paragraph" w:styleId="Index2">
    <w:name w:val="index 2"/>
    <w:basedOn w:val="Normal"/>
    <w:next w:val="Normal"/>
    <w:autoRedefine/>
    <w:semiHidden/>
    <w:rsid w:val="00C80F33"/>
    <w:pPr>
      <w:spacing w:after="0"/>
      <w:ind w:left="480" w:hanging="240"/>
    </w:pPr>
    <w:rPr>
      <w:sz w:val="20"/>
    </w:rPr>
  </w:style>
  <w:style w:type="paragraph" w:customStyle="1" w:styleId="Note">
    <w:name w:val="Note"/>
    <w:basedOn w:val="HeadingBaseStyle"/>
    <w:next w:val="Normal"/>
    <w:rsid w:val="00C80F33"/>
    <w:pPr>
      <w:tabs>
        <w:tab w:val="left" w:pos="284"/>
      </w:tabs>
      <w:spacing w:line="260" w:lineRule="exact"/>
    </w:pPr>
    <w:rPr>
      <w:rFonts w:asciiTheme="minorHAnsi" w:hAnsiTheme="minorHAnsi"/>
      <w:color w:val="000000"/>
      <w:sz w:val="20"/>
    </w:rPr>
  </w:style>
  <w:style w:type="character" w:customStyle="1" w:styleId="NormalBold">
    <w:name w:val="Normal Bold"/>
    <w:basedOn w:val="DefaultParagraphFont"/>
    <w:rsid w:val="00C80F33"/>
    <w:rPr>
      <w:rFonts w:ascii="Calibri" w:hAnsi="Calibri"/>
      <w:b/>
      <w:sz w:val="22"/>
    </w:rPr>
  </w:style>
  <w:style w:type="paragraph" w:styleId="FootnoteText">
    <w:name w:val="footnote text"/>
    <w:basedOn w:val="Normal"/>
    <w:link w:val="FootnoteTextChar"/>
    <w:rsid w:val="00C80F33"/>
    <w:pPr>
      <w:tabs>
        <w:tab w:val="left" w:pos="567"/>
      </w:tabs>
      <w:spacing w:after="0" w:line="240" w:lineRule="auto"/>
      <w:ind w:left="567" w:hanging="567"/>
    </w:pPr>
  </w:style>
  <w:style w:type="paragraph" w:customStyle="1" w:styleId="TableHeadingcontinued">
    <w:name w:val="Table Heading continued"/>
    <w:basedOn w:val="HeadingBaseStyle"/>
    <w:next w:val="Tablegraphic"/>
    <w:rsid w:val="00C80F33"/>
    <w:pPr>
      <w:jc w:val="center"/>
    </w:pPr>
  </w:style>
  <w:style w:type="paragraph" w:styleId="TOC4">
    <w:name w:val="toc 4"/>
    <w:basedOn w:val="Normal"/>
    <w:next w:val="Normal"/>
    <w:autoRedefine/>
    <w:rsid w:val="00C80F33"/>
    <w:pPr>
      <w:tabs>
        <w:tab w:val="left" w:pos="1531"/>
        <w:tab w:val="right" w:leader="dot" w:pos="7711"/>
      </w:tabs>
      <w:spacing w:after="120"/>
      <w:ind w:left="1560" w:hanging="959"/>
    </w:pPr>
    <w:rPr>
      <w:noProof/>
    </w:rPr>
  </w:style>
  <w:style w:type="character" w:styleId="PageNumber">
    <w:name w:val="page number"/>
    <w:basedOn w:val="DefaultParagraphFont"/>
    <w:rsid w:val="00C80F33"/>
    <w:rPr>
      <w:rFonts w:asciiTheme="minorHAnsi" w:hAnsiTheme="minorHAnsi"/>
      <w:color w:val="003057"/>
      <w:sz w:val="22"/>
    </w:rPr>
  </w:style>
  <w:style w:type="paragraph" w:customStyle="1" w:styleId="Captiongraphic">
    <w:name w:val="Caption graphic"/>
    <w:basedOn w:val="HeadingBaseStyle"/>
    <w:next w:val="Normal"/>
    <w:rsid w:val="00C80F33"/>
    <w:pPr>
      <w:spacing w:after="20"/>
      <w:jc w:val="center"/>
    </w:pPr>
    <w:rPr>
      <w:color w:val="auto"/>
      <w:sz w:val="24"/>
    </w:rPr>
  </w:style>
  <w:style w:type="paragraph" w:customStyle="1" w:styleId="Bullet">
    <w:name w:val="Bullet"/>
    <w:basedOn w:val="Normal"/>
    <w:rsid w:val="00C80F33"/>
    <w:pPr>
      <w:keepNext/>
      <w:numPr>
        <w:numId w:val="6"/>
      </w:numPr>
    </w:pPr>
  </w:style>
  <w:style w:type="paragraph" w:customStyle="1" w:styleId="Dash">
    <w:name w:val="Dash"/>
    <w:basedOn w:val="Normal"/>
    <w:rsid w:val="00C80F33"/>
    <w:pPr>
      <w:numPr>
        <w:ilvl w:val="1"/>
        <w:numId w:val="6"/>
      </w:numPr>
    </w:pPr>
  </w:style>
  <w:style w:type="paragraph" w:customStyle="1" w:styleId="DoubleDot">
    <w:name w:val="Double Dot"/>
    <w:basedOn w:val="Dash"/>
    <w:rsid w:val="00C80F33"/>
    <w:pPr>
      <w:numPr>
        <w:ilvl w:val="2"/>
      </w:numPr>
    </w:pPr>
  </w:style>
  <w:style w:type="paragraph" w:styleId="TOC3">
    <w:name w:val="toc 3"/>
    <w:basedOn w:val="Normal"/>
    <w:next w:val="Normal"/>
    <w:autoRedefine/>
    <w:rsid w:val="00C80F33"/>
    <w:pPr>
      <w:tabs>
        <w:tab w:val="left" w:pos="2268"/>
        <w:tab w:val="right" w:leader="dot" w:pos="9299"/>
      </w:tabs>
      <w:spacing w:before="60" w:after="0"/>
      <w:ind w:left="1418" w:right="567"/>
    </w:pPr>
    <w:rPr>
      <w:rFonts w:ascii="Arial" w:hAnsi="Arial"/>
      <w:noProof/>
    </w:rPr>
  </w:style>
  <w:style w:type="paragraph" w:customStyle="1" w:styleId="SingleParagraph">
    <w:name w:val="Single Paragraph"/>
    <w:basedOn w:val="Normal"/>
    <w:rsid w:val="00C80F33"/>
    <w:pPr>
      <w:spacing w:after="0"/>
    </w:pPr>
  </w:style>
  <w:style w:type="paragraph" w:styleId="TOC7">
    <w:name w:val="toc 7"/>
    <w:basedOn w:val="Normal"/>
    <w:next w:val="Normal"/>
    <w:autoRedefine/>
    <w:semiHidden/>
    <w:rsid w:val="00C80F33"/>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C80F33"/>
    <w:pPr>
      <w:tabs>
        <w:tab w:val="right" w:leader="dot" w:pos="7711"/>
      </w:tabs>
      <w:spacing w:after="0"/>
      <w:ind w:left="1134"/>
    </w:pPr>
    <w:rPr>
      <w:noProof/>
    </w:rPr>
  </w:style>
  <w:style w:type="paragraph" w:styleId="IndexHeading">
    <w:name w:val="index heading"/>
    <w:basedOn w:val="Normal"/>
    <w:next w:val="Index1"/>
    <w:semiHidden/>
    <w:rsid w:val="00C80F33"/>
    <w:pPr>
      <w:pBdr>
        <w:top w:val="single" w:sz="12" w:space="0" w:color="auto"/>
      </w:pBdr>
      <w:spacing w:before="360"/>
    </w:pPr>
    <w:rPr>
      <w:rFonts w:ascii="Times New Roman" w:hAnsi="Times New Roman"/>
      <w:b/>
      <w:i/>
    </w:rPr>
  </w:style>
  <w:style w:type="character" w:customStyle="1" w:styleId="Normalitalics">
    <w:name w:val="Normal italics"/>
    <w:basedOn w:val="DefaultParagraphFont"/>
    <w:rsid w:val="00C80F33"/>
    <w:rPr>
      <w:i/>
    </w:rPr>
  </w:style>
  <w:style w:type="paragraph" w:customStyle="1" w:styleId="Indented">
    <w:name w:val="Indented"/>
    <w:basedOn w:val="Normal"/>
    <w:rsid w:val="00C80F33"/>
    <w:pPr>
      <w:ind w:left="851"/>
    </w:pPr>
  </w:style>
  <w:style w:type="paragraph" w:customStyle="1" w:styleId="TableTextBase">
    <w:name w:val="Table Text Base"/>
    <w:rsid w:val="00C80F33"/>
    <w:pPr>
      <w:spacing w:before="40" w:after="40"/>
    </w:pPr>
    <w:rPr>
      <w:rFonts w:asciiTheme="minorHAnsi" w:hAnsiTheme="minorHAnsi"/>
    </w:rPr>
  </w:style>
  <w:style w:type="paragraph" w:customStyle="1" w:styleId="Tabletextleft">
    <w:name w:val="Table text left"/>
    <w:basedOn w:val="TableTextBase"/>
    <w:rsid w:val="00C80F33"/>
  </w:style>
  <w:style w:type="paragraph" w:customStyle="1" w:styleId="Tabletextcentred">
    <w:name w:val="Table text centred"/>
    <w:basedOn w:val="TableTextBase"/>
    <w:rsid w:val="00C80F33"/>
    <w:pPr>
      <w:jc w:val="center"/>
    </w:pPr>
  </w:style>
  <w:style w:type="paragraph" w:customStyle="1" w:styleId="TableTextRight">
    <w:name w:val="Table Text Right"/>
    <w:basedOn w:val="TableTextBase"/>
    <w:rsid w:val="00C80F33"/>
    <w:pPr>
      <w:jc w:val="right"/>
    </w:pPr>
  </w:style>
  <w:style w:type="paragraph" w:customStyle="1" w:styleId="CaptionHeading1">
    <w:name w:val="Caption Heading 1"/>
    <w:basedOn w:val="Normal"/>
    <w:next w:val="Captiongraphic"/>
    <w:rsid w:val="00C80F33"/>
    <w:pPr>
      <w:keepNext/>
      <w:spacing w:before="120" w:after="0"/>
      <w:jc w:val="center"/>
    </w:pPr>
    <w:rPr>
      <w:rFonts w:ascii="Arial" w:hAnsi="Arial"/>
      <w:color w:val="003157"/>
      <w:sz w:val="24"/>
    </w:rPr>
  </w:style>
  <w:style w:type="paragraph" w:customStyle="1" w:styleId="Noteitalics">
    <w:name w:val="Note italics"/>
    <w:basedOn w:val="Note"/>
    <w:rsid w:val="00C80F33"/>
    <w:rPr>
      <w:i/>
    </w:rPr>
  </w:style>
  <w:style w:type="character" w:styleId="FootnoteReference">
    <w:name w:val="footnote reference"/>
    <w:basedOn w:val="DefaultParagraphFont"/>
    <w:rsid w:val="00C80F33"/>
    <w:rPr>
      <w:vertAlign w:val="superscript"/>
    </w:rPr>
  </w:style>
  <w:style w:type="paragraph" w:customStyle="1" w:styleId="NumberedParagraph">
    <w:name w:val="Numbered Paragraph"/>
    <w:basedOn w:val="Normal"/>
    <w:autoRedefine/>
    <w:rsid w:val="00C80F33"/>
    <w:pPr>
      <w:numPr>
        <w:numId w:val="5"/>
      </w:numPr>
    </w:pPr>
  </w:style>
  <w:style w:type="paragraph" w:customStyle="1" w:styleId="CaptionandTableFootnoteAlpha">
    <w:name w:val="Caption and Table Footnote Alpha"/>
    <w:basedOn w:val="HeadingBaseStyle"/>
    <w:next w:val="Normal"/>
    <w:rsid w:val="00C80F33"/>
    <w:pPr>
      <w:numPr>
        <w:numId w:val="1"/>
      </w:numPr>
      <w:spacing w:line="260" w:lineRule="exact"/>
    </w:pPr>
    <w:rPr>
      <w:rFonts w:asciiTheme="minorHAnsi" w:hAnsiTheme="minorHAnsi"/>
      <w:color w:val="auto"/>
      <w:kern w:val="28"/>
      <w:sz w:val="20"/>
    </w:rPr>
  </w:style>
  <w:style w:type="paragraph" w:customStyle="1" w:styleId="AuthorName">
    <w:name w:val="Author Name"/>
    <w:basedOn w:val="Normal"/>
    <w:rsid w:val="00C80F33"/>
    <w:pPr>
      <w:spacing w:before="120" w:after="120"/>
      <w:jc w:val="center"/>
    </w:pPr>
    <w:rPr>
      <w:rFonts w:ascii="Arial Bold" w:hAnsi="Arial Bold"/>
      <w:b/>
      <w:sz w:val="24"/>
    </w:rPr>
  </w:style>
  <w:style w:type="paragraph" w:styleId="Title">
    <w:name w:val="Title"/>
    <w:basedOn w:val="HeadingBaseStyle"/>
    <w:link w:val="TitleChar"/>
    <w:autoRedefine/>
    <w:qFormat/>
    <w:rsid w:val="00C80F33"/>
    <w:pPr>
      <w:spacing w:before="1200" w:after="480"/>
      <w:jc w:val="center"/>
    </w:pPr>
    <w:rPr>
      <w:rFonts w:ascii="Arial Bold" w:hAnsi="Arial Bold"/>
      <w:b/>
      <w:smallCaps/>
      <w:kern w:val="28"/>
      <w:sz w:val="56"/>
    </w:rPr>
  </w:style>
  <w:style w:type="paragraph" w:customStyle="1" w:styleId="ContentsHeading">
    <w:name w:val="Contents Heading"/>
    <w:basedOn w:val="Normal"/>
    <w:next w:val="Normal"/>
    <w:rsid w:val="00C80F33"/>
    <w:pPr>
      <w:spacing w:after="360"/>
      <w:jc w:val="center"/>
    </w:pPr>
    <w:rPr>
      <w:rFonts w:ascii="Arial Bold" w:hAnsi="Arial Bold"/>
      <w:b/>
      <w:smallCaps/>
      <w:color w:val="003157"/>
      <w:kern w:val="28"/>
      <w:sz w:val="36"/>
    </w:rPr>
  </w:style>
  <w:style w:type="paragraph" w:styleId="NormalIndent">
    <w:name w:val="Normal Indent"/>
    <w:basedOn w:val="Normal"/>
    <w:rsid w:val="00C80F33"/>
    <w:pPr>
      <w:ind w:left="567"/>
    </w:pPr>
    <w:rPr>
      <w:rFonts w:ascii="Book Antiqua" w:hAnsi="Book Antiqua"/>
      <w:sz w:val="20"/>
    </w:rPr>
  </w:style>
  <w:style w:type="paragraph" w:styleId="TOC5">
    <w:name w:val="toc 5"/>
    <w:basedOn w:val="Normal"/>
    <w:next w:val="Normal"/>
    <w:autoRedefine/>
    <w:semiHidden/>
    <w:rsid w:val="00C80F33"/>
    <w:pPr>
      <w:ind w:left="1040"/>
    </w:pPr>
  </w:style>
  <w:style w:type="paragraph" w:styleId="Subtitle">
    <w:name w:val="Subtitle"/>
    <w:basedOn w:val="HeadingBaseStyle"/>
    <w:link w:val="SubtitleChar"/>
    <w:qFormat/>
    <w:rsid w:val="00C80F33"/>
    <w:pPr>
      <w:spacing w:before="360" w:after="360"/>
      <w:jc w:val="center"/>
      <w:outlineLvl w:val="1"/>
    </w:pPr>
    <w:rPr>
      <w:rFonts w:ascii="Arial Bold" w:hAnsi="Arial Bold"/>
      <w:b/>
      <w:color w:val="auto"/>
      <w:sz w:val="40"/>
    </w:rPr>
  </w:style>
  <w:style w:type="paragraph" w:customStyle="1" w:styleId="SeriesNumber">
    <w:name w:val="Series Number"/>
    <w:basedOn w:val="HeadingBaseStyle"/>
    <w:rsid w:val="00C80F33"/>
    <w:pPr>
      <w:spacing w:after="300"/>
      <w:jc w:val="center"/>
    </w:pPr>
    <w:rPr>
      <w:rFonts w:ascii="Arial Bold" w:hAnsi="Arial Bold"/>
      <w:b/>
      <w:color w:val="auto"/>
      <w:sz w:val="32"/>
    </w:rPr>
  </w:style>
  <w:style w:type="paragraph" w:customStyle="1" w:styleId="SeriesMonth">
    <w:name w:val="Series Month"/>
    <w:basedOn w:val="HeadingBaseStyle"/>
    <w:rsid w:val="00C80F33"/>
    <w:pPr>
      <w:spacing w:after="240"/>
      <w:jc w:val="center"/>
    </w:pPr>
    <w:rPr>
      <w:rFonts w:ascii="Arial Bold" w:hAnsi="Arial Bold"/>
      <w:b/>
      <w:color w:val="auto"/>
      <w:sz w:val="32"/>
    </w:rPr>
  </w:style>
  <w:style w:type="paragraph" w:customStyle="1" w:styleId="Acknowledgement">
    <w:name w:val="Acknowledgement"/>
    <w:basedOn w:val="Normal"/>
    <w:rsid w:val="00C80F33"/>
    <w:pPr>
      <w:spacing w:after="0"/>
    </w:pPr>
  </w:style>
  <w:style w:type="paragraph" w:customStyle="1" w:styleId="ClassificationandMetadata">
    <w:name w:val="Classification and Metadata"/>
    <w:basedOn w:val="HeadingBaseStyle"/>
    <w:rsid w:val="00C80F33"/>
    <w:pPr>
      <w:spacing w:after="240" w:line="260" w:lineRule="exact"/>
    </w:pPr>
    <w:rPr>
      <w:color w:val="auto"/>
      <w:sz w:val="24"/>
    </w:rPr>
  </w:style>
  <w:style w:type="paragraph" w:styleId="TOC6">
    <w:name w:val="toc 6"/>
    <w:basedOn w:val="Normal"/>
    <w:next w:val="Normal"/>
    <w:autoRedefine/>
    <w:semiHidden/>
    <w:rsid w:val="00C80F33"/>
    <w:pPr>
      <w:ind w:left="1300"/>
    </w:pPr>
  </w:style>
  <w:style w:type="paragraph" w:styleId="TOC9">
    <w:name w:val="toc 9"/>
    <w:basedOn w:val="Normal"/>
    <w:next w:val="Normal"/>
    <w:autoRedefine/>
    <w:semiHidden/>
    <w:rsid w:val="00C80F33"/>
    <w:pPr>
      <w:ind w:left="2080"/>
    </w:pPr>
  </w:style>
  <w:style w:type="paragraph" w:customStyle="1" w:styleId="References">
    <w:name w:val="References"/>
    <w:basedOn w:val="Normal"/>
    <w:rsid w:val="00C80F33"/>
    <w:pPr>
      <w:widowControl w:val="0"/>
      <w:adjustRightInd w:val="0"/>
      <w:textAlignment w:val="baseline"/>
    </w:pPr>
  </w:style>
  <w:style w:type="paragraph" w:customStyle="1" w:styleId="Attachment">
    <w:name w:val="Attachment"/>
    <w:basedOn w:val="HeadingBaseStyle"/>
    <w:next w:val="Normal"/>
    <w:rsid w:val="00C80F33"/>
    <w:pPr>
      <w:spacing w:before="480" w:after="360"/>
    </w:pPr>
    <w:rPr>
      <w:rFonts w:ascii="Arial Bold" w:hAnsi="Arial Bold"/>
      <w:b/>
      <w:smallCaps/>
      <w:sz w:val="32"/>
    </w:rPr>
  </w:style>
  <w:style w:type="paragraph" w:customStyle="1" w:styleId="CaptionHeading2">
    <w:name w:val="Caption Heading 2"/>
    <w:basedOn w:val="Normal"/>
    <w:rsid w:val="00C80F33"/>
    <w:pPr>
      <w:keepNext/>
      <w:spacing w:after="0"/>
      <w:jc w:val="center"/>
    </w:pPr>
    <w:rPr>
      <w:rFonts w:ascii="Arial" w:hAnsi="Arial"/>
      <w:color w:val="003157"/>
      <w:sz w:val="20"/>
    </w:rPr>
  </w:style>
  <w:style w:type="paragraph" w:customStyle="1" w:styleId="Heading2NotNumbered">
    <w:name w:val="Heading 2 Not Numbered"/>
    <w:basedOn w:val="Heading2"/>
    <w:rsid w:val="00C80F33"/>
    <w:pPr>
      <w:numPr>
        <w:numId w:val="0"/>
      </w:numPr>
    </w:pPr>
  </w:style>
  <w:style w:type="paragraph" w:customStyle="1" w:styleId="CaptionHeading3">
    <w:name w:val="Caption Heading 3"/>
    <w:basedOn w:val="CaptionHeading2"/>
    <w:next w:val="Captiongraphic"/>
    <w:rsid w:val="00C80F33"/>
    <w:rPr>
      <w:rFonts w:ascii="Arial Bold" w:hAnsi="Arial Bold"/>
      <w:b/>
      <w:color w:val="000000"/>
    </w:rPr>
  </w:style>
  <w:style w:type="paragraph" w:customStyle="1" w:styleId="Tableheading2">
    <w:name w:val="Table heading 2"/>
    <w:basedOn w:val="TableHeading1"/>
    <w:next w:val="Tablegraphic"/>
    <w:rsid w:val="00C80F33"/>
    <w:pPr>
      <w:spacing w:before="0"/>
    </w:pPr>
    <w:rPr>
      <w:sz w:val="22"/>
    </w:rPr>
  </w:style>
  <w:style w:type="paragraph" w:customStyle="1" w:styleId="AppendixHeadingNotNumbered">
    <w:name w:val="Appendix Heading Not Numbered"/>
    <w:basedOn w:val="HeadingBaseStyle"/>
    <w:rsid w:val="00C80F33"/>
    <w:pPr>
      <w:numPr>
        <w:numId w:val="3"/>
      </w:numPr>
      <w:spacing w:before="480" w:after="320"/>
    </w:pPr>
    <w:rPr>
      <w:b/>
      <w:smallCaps/>
      <w:sz w:val="32"/>
      <w:szCs w:val="28"/>
    </w:rPr>
  </w:style>
  <w:style w:type="paragraph" w:customStyle="1" w:styleId="AppendixHeadingLevel2">
    <w:name w:val="Appendix Heading Level 2"/>
    <w:basedOn w:val="AppendixHeadingNotNumbered"/>
    <w:next w:val="Normal"/>
    <w:rsid w:val="00C80F33"/>
    <w:pPr>
      <w:numPr>
        <w:ilvl w:val="1"/>
      </w:numPr>
    </w:pPr>
  </w:style>
  <w:style w:type="paragraph" w:customStyle="1" w:styleId="AppendixHeadingLevel3">
    <w:name w:val="Appendix Heading Level 3"/>
    <w:basedOn w:val="Heading3"/>
    <w:next w:val="Normal"/>
    <w:rsid w:val="00C80F33"/>
    <w:pPr>
      <w:numPr>
        <w:ilvl w:val="2"/>
        <w:numId w:val="3"/>
      </w:numPr>
    </w:pPr>
  </w:style>
  <w:style w:type="paragraph" w:customStyle="1" w:styleId="AppendixHeadingLevel4">
    <w:name w:val="Appendix Heading Level 4"/>
    <w:basedOn w:val="Heading4"/>
    <w:next w:val="Normal"/>
    <w:rsid w:val="00C80F33"/>
    <w:pPr>
      <w:numPr>
        <w:ilvl w:val="3"/>
        <w:numId w:val="3"/>
      </w:numPr>
    </w:pPr>
  </w:style>
  <w:style w:type="paragraph" w:customStyle="1" w:styleId="Alphanumbered">
    <w:name w:val="Alpha numbered"/>
    <w:basedOn w:val="Normal"/>
    <w:rsid w:val="00C80F33"/>
    <w:pPr>
      <w:numPr>
        <w:numId w:val="4"/>
      </w:numPr>
    </w:pPr>
  </w:style>
  <w:style w:type="paragraph" w:customStyle="1" w:styleId="TableColumnHeadingLeft">
    <w:name w:val="Table Column Heading Left"/>
    <w:basedOn w:val="TableTextBase"/>
    <w:rsid w:val="00C80F33"/>
    <w:rPr>
      <w:b/>
    </w:rPr>
  </w:style>
  <w:style w:type="paragraph" w:customStyle="1" w:styleId="TableColumnHeadingRight">
    <w:name w:val="Table Column Heading Right"/>
    <w:basedOn w:val="TableTextBase"/>
    <w:rsid w:val="00C80F33"/>
    <w:pPr>
      <w:jc w:val="right"/>
    </w:pPr>
    <w:rPr>
      <w:b/>
    </w:rPr>
  </w:style>
  <w:style w:type="paragraph" w:customStyle="1" w:styleId="Equation">
    <w:name w:val="Equation"/>
    <w:basedOn w:val="Normal"/>
    <w:next w:val="Normal"/>
    <w:rsid w:val="00C80F33"/>
    <w:pPr>
      <w:spacing w:before="120" w:after="120"/>
      <w:ind w:left="357"/>
    </w:pPr>
    <w:rPr>
      <w:rFonts w:ascii="Times New Roman" w:hAnsi="Times New Roman"/>
    </w:rPr>
  </w:style>
  <w:style w:type="character" w:customStyle="1" w:styleId="Heading1Char">
    <w:name w:val="Heading 1 Char"/>
    <w:basedOn w:val="DefaultParagraphFont"/>
    <w:link w:val="Heading1"/>
    <w:locked/>
    <w:rsid w:val="00C80F33"/>
    <w:rPr>
      <w:rFonts w:ascii="Arial Bold" w:eastAsiaTheme="minorHAnsi" w:hAnsi="Arial Bold" w:cstheme="minorBidi"/>
      <w:b/>
      <w:smallCaps/>
      <w:color w:val="003157"/>
      <w:sz w:val="36"/>
      <w:szCs w:val="22"/>
      <w:lang w:eastAsia="en-US"/>
    </w:rPr>
  </w:style>
  <w:style w:type="character" w:customStyle="1" w:styleId="Heading2Char">
    <w:name w:val="Heading 2 Char"/>
    <w:basedOn w:val="DefaultParagraphFont"/>
    <w:link w:val="Heading2"/>
    <w:locked/>
    <w:rsid w:val="00A540B1"/>
    <w:rPr>
      <w:rFonts w:ascii="Arial Bold" w:eastAsiaTheme="minorHAnsi" w:hAnsi="Arial Bold" w:cstheme="minorBidi"/>
      <w:b/>
      <w:smallCaps/>
      <w:color w:val="003157"/>
      <w:sz w:val="32"/>
      <w:szCs w:val="22"/>
      <w:lang w:eastAsia="en-US"/>
    </w:rPr>
  </w:style>
  <w:style w:type="character" w:customStyle="1" w:styleId="Heading3Char">
    <w:name w:val="Heading 3 Char"/>
    <w:basedOn w:val="DefaultParagraphFont"/>
    <w:link w:val="Heading3"/>
    <w:locked/>
    <w:rsid w:val="00C80F33"/>
    <w:rPr>
      <w:rFonts w:ascii="Arial" w:hAnsi="Arial"/>
      <w:color w:val="003157"/>
      <w:sz w:val="28"/>
      <w:lang w:val="en-US"/>
    </w:rPr>
  </w:style>
  <w:style w:type="character" w:customStyle="1" w:styleId="Heading5Char">
    <w:name w:val="Heading 5 Char"/>
    <w:basedOn w:val="DefaultParagraphFont"/>
    <w:link w:val="Heading5"/>
    <w:locked/>
    <w:rsid w:val="00C80F33"/>
    <w:rPr>
      <w:rFonts w:ascii="Arial" w:eastAsiaTheme="minorHAnsi" w:hAnsi="Arial" w:cstheme="minorBidi"/>
      <w:i/>
      <w:color w:val="003157"/>
      <w:sz w:val="22"/>
      <w:szCs w:val="22"/>
      <w:lang w:eastAsia="en-US"/>
    </w:rPr>
  </w:style>
  <w:style w:type="paragraph" w:styleId="BalloonText">
    <w:name w:val="Balloon Text"/>
    <w:basedOn w:val="Normal"/>
    <w:link w:val="BalloonTextChar"/>
    <w:rsid w:val="00C80F33"/>
    <w:pPr>
      <w:spacing w:after="0"/>
    </w:pPr>
    <w:rPr>
      <w:rFonts w:ascii="Tahoma" w:hAnsi="Tahoma" w:cs="Tahoma"/>
      <w:sz w:val="16"/>
      <w:szCs w:val="16"/>
    </w:rPr>
  </w:style>
  <w:style w:type="character" w:customStyle="1" w:styleId="BalloonTextChar">
    <w:name w:val="Balloon Text Char"/>
    <w:basedOn w:val="DefaultParagraphFont"/>
    <w:link w:val="BalloonText"/>
    <w:rsid w:val="00C80F33"/>
    <w:rPr>
      <w:rFonts w:ascii="Tahoma" w:eastAsiaTheme="minorHAnsi" w:hAnsi="Tahoma" w:cs="Tahoma"/>
      <w:sz w:val="16"/>
      <w:szCs w:val="16"/>
      <w:lang w:eastAsia="en-US"/>
    </w:rPr>
  </w:style>
  <w:style w:type="character" w:customStyle="1" w:styleId="TitleChar">
    <w:name w:val="Title Char"/>
    <w:basedOn w:val="DefaultParagraphFont"/>
    <w:link w:val="Title"/>
    <w:locked/>
    <w:rsid w:val="00C80F33"/>
    <w:rPr>
      <w:rFonts w:ascii="Arial Bold" w:eastAsiaTheme="minorHAnsi" w:hAnsi="Arial Bold" w:cstheme="minorBidi"/>
      <w:b/>
      <w:smallCaps/>
      <w:color w:val="003157"/>
      <w:kern w:val="28"/>
      <w:sz w:val="56"/>
      <w:szCs w:val="22"/>
      <w:lang w:eastAsia="en-US"/>
    </w:rPr>
  </w:style>
  <w:style w:type="character" w:customStyle="1" w:styleId="SubtitleChar">
    <w:name w:val="Subtitle Char"/>
    <w:basedOn w:val="DefaultParagraphFont"/>
    <w:link w:val="Subtitle"/>
    <w:locked/>
    <w:rsid w:val="00C80F33"/>
    <w:rPr>
      <w:rFonts w:ascii="Arial Bold" w:eastAsiaTheme="minorHAnsi" w:hAnsi="Arial Bold" w:cstheme="minorBidi"/>
      <w:b/>
      <w:sz w:val="40"/>
      <w:szCs w:val="22"/>
      <w:lang w:eastAsia="en-US"/>
    </w:rPr>
  </w:style>
  <w:style w:type="character" w:styleId="PlaceholderText">
    <w:name w:val="Placeholder Text"/>
    <w:basedOn w:val="DefaultParagraphFont"/>
    <w:uiPriority w:val="99"/>
    <w:semiHidden/>
    <w:rsid w:val="00C80F33"/>
    <w:rPr>
      <w:color w:val="808080"/>
    </w:rPr>
  </w:style>
  <w:style w:type="paragraph" w:styleId="NoSpacing">
    <w:name w:val="No Spacing"/>
    <w:link w:val="NoSpacingChar"/>
    <w:uiPriority w:val="1"/>
    <w:rsid w:val="00C80F33"/>
    <w:pPr>
      <w:jc w:val="both"/>
    </w:pPr>
    <w:rPr>
      <w:rFonts w:ascii="Palatino Linotype" w:hAnsi="Palatino Linotype"/>
      <w:color w:val="000000"/>
      <w:sz w:val="26"/>
    </w:rPr>
  </w:style>
  <w:style w:type="character" w:customStyle="1" w:styleId="FooterChar">
    <w:name w:val="Footer Char"/>
    <w:basedOn w:val="DefaultParagraphFont"/>
    <w:link w:val="Footer"/>
    <w:uiPriority w:val="99"/>
    <w:rsid w:val="00C80F33"/>
    <w:rPr>
      <w:rFonts w:ascii="Arial" w:eastAsiaTheme="minorHAnsi" w:hAnsi="Arial" w:cstheme="minorBidi"/>
      <w:color w:val="003157"/>
      <w:sz w:val="18"/>
      <w:szCs w:val="22"/>
      <w:lang w:eastAsia="en-US"/>
    </w:rPr>
  </w:style>
  <w:style w:type="character" w:customStyle="1" w:styleId="MTEquationSection">
    <w:name w:val="MTEquationSection"/>
    <w:basedOn w:val="DefaultParagraphFont"/>
    <w:rsid w:val="00C80F33"/>
    <w:rPr>
      <w:vanish w:val="0"/>
      <w:color w:val="FF0000"/>
    </w:rPr>
  </w:style>
  <w:style w:type="paragraph" w:customStyle="1" w:styleId="MTDisplayEquation">
    <w:name w:val="MTDisplayEquation"/>
    <w:basedOn w:val="Normal"/>
    <w:next w:val="Normal"/>
    <w:link w:val="MTDisplayEquationChar"/>
    <w:rsid w:val="00C80F33"/>
    <w:pPr>
      <w:tabs>
        <w:tab w:val="center" w:pos="4640"/>
        <w:tab w:val="right" w:pos="9300"/>
      </w:tabs>
    </w:pPr>
  </w:style>
  <w:style w:type="character" w:customStyle="1" w:styleId="MTDisplayEquationChar">
    <w:name w:val="MTDisplayEquation Char"/>
    <w:basedOn w:val="DefaultParagraphFont"/>
    <w:link w:val="MTDisplayEquation"/>
    <w:rsid w:val="00C80F33"/>
    <w:rPr>
      <w:rFonts w:ascii="Calibri" w:eastAsiaTheme="minorHAnsi" w:hAnsi="Calibri" w:cstheme="minorBidi"/>
      <w:sz w:val="22"/>
      <w:szCs w:val="22"/>
      <w:lang w:eastAsia="en-US"/>
    </w:rPr>
  </w:style>
  <w:style w:type="paragraph" w:styleId="NormalWeb">
    <w:name w:val="Normal (Web)"/>
    <w:basedOn w:val="Normal"/>
    <w:uiPriority w:val="99"/>
    <w:unhideWhenUsed/>
    <w:rsid w:val="00C80F33"/>
    <w:pPr>
      <w:spacing w:before="100" w:beforeAutospacing="1" w:after="100" w:afterAutospacing="1"/>
    </w:pPr>
    <w:rPr>
      <w:rFonts w:ascii="Times New Roman" w:hAnsi="Times New Roman"/>
      <w:szCs w:val="24"/>
    </w:rPr>
  </w:style>
  <w:style w:type="character" w:styleId="Emphasis">
    <w:name w:val="Emphasis"/>
    <w:basedOn w:val="DefaultParagraphFont"/>
    <w:qFormat/>
    <w:rsid w:val="00C80F33"/>
    <w:rPr>
      <w:i/>
      <w:iCs/>
    </w:rPr>
  </w:style>
  <w:style w:type="character" w:styleId="Hyperlink">
    <w:name w:val="Hyperlink"/>
    <w:basedOn w:val="DefaultParagraphFont"/>
    <w:rsid w:val="00C80F33"/>
    <w:rPr>
      <w:color w:val="0000FF" w:themeColor="hyperlink"/>
      <w:u w:val="single"/>
    </w:rPr>
  </w:style>
  <w:style w:type="paragraph" w:styleId="EndnoteText">
    <w:name w:val="endnote text"/>
    <w:basedOn w:val="Normal"/>
    <w:link w:val="EndnoteTextChar"/>
    <w:rsid w:val="00C80F33"/>
    <w:pPr>
      <w:spacing w:after="0"/>
    </w:pPr>
    <w:rPr>
      <w:sz w:val="20"/>
    </w:rPr>
  </w:style>
  <w:style w:type="character" w:customStyle="1" w:styleId="EndnoteTextChar">
    <w:name w:val="Endnote Text Char"/>
    <w:basedOn w:val="DefaultParagraphFont"/>
    <w:link w:val="EndnoteText"/>
    <w:rsid w:val="00C80F33"/>
    <w:rPr>
      <w:rFonts w:ascii="Calibri" w:eastAsiaTheme="minorHAnsi" w:hAnsi="Calibri" w:cstheme="minorBidi"/>
      <w:szCs w:val="22"/>
      <w:lang w:eastAsia="en-US"/>
    </w:rPr>
  </w:style>
  <w:style w:type="character" w:styleId="EndnoteReference">
    <w:name w:val="endnote reference"/>
    <w:basedOn w:val="DefaultParagraphFont"/>
    <w:rsid w:val="00C80F33"/>
    <w:rPr>
      <w:vertAlign w:val="superscript"/>
    </w:rPr>
  </w:style>
  <w:style w:type="paragraph" w:styleId="Caption">
    <w:name w:val="caption"/>
    <w:basedOn w:val="Normal"/>
    <w:next w:val="Normal"/>
    <w:unhideWhenUsed/>
    <w:rsid w:val="00C80F33"/>
    <w:rPr>
      <w:b/>
      <w:bCs/>
      <w:color w:val="003157"/>
      <w:sz w:val="18"/>
      <w:szCs w:val="18"/>
    </w:rPr>
  </w:style>
  <w:style w:type="paragraph" w:customStyle="1" w:styleId="Caption1">
    <w:name w:val="Caption1"/>
    <w:basedOn w:val="NoSpacing"/>
    <w:link w:val="Caption1Char"/>
    <w:qFormat/>
    <w:rsid w:val="00C80F33"/>
    <w:pPr>
      <w:keepNext/>
      <w:tabs>
        <w:tab w:val="left" w:pos="4438"/>
      </w:tabs>
      <w:jc w:val="center"/>
    </w:pPr>
    <w:rPr>
      <w:rFonts w:ascii="Arial" w:hAnsi="Arial"/>
      <w:color w:val="003157"/>
      <w:sz w:val="24"/>
      <w:szCs w:val="24"/>
    </w:rPr>
  </w:style>
  <w:style w:type="character" w:customStyle="1" w:styleId="NoSpacingChar">
    <w:name w:val="No Spacing Char"/>
    <w:basedOn w:val="DefaultParagraphFont"/>
    <w:link w:val="NoSpacing"/>
    <w:uiPriority w:val="1"/>
    <w:rsid w:val="00C80F33"/>
    <w:rPr>
      <w:rFonts w:ascii="Palatino Linotype" w:hAnsi="Palatino Linotype"/>
      <w:color w:val="000000"/>
      <w:sz w:val="26"/>
    </w:rPr>
  </w:style>
  <w:style w:type="character" w:customStyle="1" w:styleId="Caption1Char">
    <w:name w:val="Caption1 Char"/>
    <w:basedOn w:val="NoSpacingChar"/>
    <w:link w:val="Caption1"/>
    <w:rsid w:val="00C80F33"/>
    <w:rPr>
      <w:rFonts w:ascii="Arial" w:hAnsi="Arial"/>
      <w:color w:val="003157"/>
      <w:sz w:val="24"/>
      <w:szCs w:val="24"/>
    </w:rPr>
  </w:style>
  <w:style w:type="character" w:customStyle="1" w:styleId="FootnoteTextChar">
    <w:name w:val="Footnote Text Char"/>
    <w:basedOn w:val="DefaultParagraphFont"/>
    <w:link w:val="FootnoteText"/>
    <w:rsid w:val="00C80F33"/>
    <w:rPr>
      <w:rFonts w:ascii="Calibri" w:eastAsiaTheme="minorHAnsi" w:hAnsi="Calibri" w:cstheme="minorBidi"/>
      <w:sz w:val="22"/>
      <w:szCs w:val="22"/>
      <w:lang w:eastAsia="en-US"/>
    </w:rPr>
  </w:style>
  <w:style w:type="paragraph" w:customStyle="1" w:styleId="Abstract">
    <w:name w:val="Abstract"/>
    <w:basedOn w:val="Normal"/>
    <w:link w:val="AbstractChar"/>
    <w:qFormat/>
    <w:rsid w:val="00C80F33"/>
  </w:style>
  <w:style w:type="character" w:customStyle="1" w:styleId="AbstractChar">
    <w:name w:val="Abstract Char"/>
    <w:basedOn w:val="DefaultParagraphFont"/>
    <w:link w:val="Abstract"/>
    <w:rsid w:val="00C80F33"/>
    <w:rPr>
      <w:rFonts w:ascii="Calibri" w:eastAsiaTheme="minorHAnsi" w:hAnsi="Calibri" w:cstheme="minorBidi"/>
      <w:sz w:val="22"/>
      <w:szCs w:val="22"/>
      <w:lang w:eastAsia="en-US"/>
    </w:rPr>
  </w:style>
  <w:style w:type="paragraph" w:styleId="IntenseQuote">
    <w:name w:val="Intense Quote"/>
    <w:basedOn w:val="Normal"/>
    <w:next w:val="Normal"/>
    <w:link w:val="IntenseQuoteChar"/>
    <w:uiPriority w:val="30"/>
    <w:rsid w:val="00C80F3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80F33"/>
    <w:rPr>
      <w:rFonts w:ascii="Calibri" w:eastAsiaTheme="minorHAnsi" w:hAnsi="Calibri" w:cstheme="minorBidi"/>
      <w:b/>
      <w:bCs/>
      <w:i/>
      <w:iCs/>
      <w:color w:val="4F81BD" w:themeColor="accent1"/>
      <w:sz w:val="22"/>
      <w:szCs w:val="22"/>
      <w:lang w:eastAsia="en-US"/>
    </w:rPr>
  </w:style>
  <w:style w:type="character" w:styleId="CommentReference">
    <w:name w:val="annotation reference"/>
    <w:basedOn w:val="DefaultParagraphFont"/>
    <w:rsid w:val="00C80F33"/>
    <w:rPr>
      <w:sz w:val="16"/>
      <w:szCs w:val="16"/>
    </w:rPr>
  </w:style>
  <w:style w:type="paragraph" w:styleId="CommentText">
    <w:name w:val="annotation text"/>
    <w:basedOn w:val="Normal"/>
    <w:link w:val="CommentTextChar"/>
    <w:rsid w:val="00C80F33"/>
    <w:rPr>
      <w:sz w:val="20"/>
    </w:rPr>
  </w:style>
  <w:style w:type="character" w:customStyle="1" w:styleId="CommentTextChar">
    <w:name w:val="Comment Text Char"/>
    <w:basedOn w:val="DefaultParagraphFont"/>
    <w:link w:val="CommentText"/>
    <w:rsid w:val="00C80F33"/>
    <w:rPr>
      <w:rFonts w:ascii="Calibri" w:eastAsiaTheme="minorHAnsi" w:hAnsi="Calibri" w:cstheme="minorBidi"/>
      <w:szCs w:val="22"/>
      <w:lang w:eastAsia="en-US"/>
    </w:rPr>
  </w:style>
  <w:style w:type="paragraph" w:styleId="CommentSubject">
    <w:name w:val="annotation subject"/>
    <w:basedOn w:val="CommentText"/>
    <w:next w:val="CommentText"/>
    <w:link w:val="CommentSubjectChar"/>
    <w:rsid w:val="00C80F33"/>
    <w:rPr>
      <w:b/>
      <w:bCs/>
    </w:rPr>
  </w:style>
  <w:style w:type="character" w:customStyle="1" w:styleId="CommentSubjectChar">
    <w:name w:val="Comment Subject Char"/>
    <w:basedOn w:val="CommentTextChar"/>
    <w:link w:val="CommentSubject"/>
    <w:rsid w:val="00C80F33"/>
    <w:rPr>
      <w:rFonts w:ascii="Calibri" w:eastAsiaTheme="minorHAnsi" w:hAnsi="Calibri" w:cstheme="minorBidi"/>
      <w:b/>
      <w:bCs/>
      <w:szCs w:val="22"/>
      <w:lang w:eastAsia="en-US"/>
    </w:rPr>
  </w:style>
  <w:style w:type="paragraph" w:customStyle="1" w:styleId="SecurityClassificationHeader">
    <w:name w:val="Security Classification Header"/>
    <w:link w:val="SecurityClassificationHeaderChar"/>
    <w:rsid w:val="00C80F33"/>
    <w:pPr>
      <w:spacing w:after="60" w:line="276" w:lineRule="auto"/>
      <w:jc w:val="center"/>
    </w:pPr>
    <w:rPr>
      <w:rFonts w:ascii="Arial" w:eastAsiaTheme="minorHAnsi" w:hAnsi="Arial" w:cstheme="minorBidi"/>
      <w:b/>
      <w:caps/>
      <w:color w:val="4F81BD" w:themeColor="accent1"/>
      <w:sz w:val="24"/>
      <w:szCs w:val="22"/>
      <w:lang w:eastAsia="en-US"/>
    </w:rPr>
  </w:style>
  <w:style w:type="character" w:customStyle="1" w:styleId="SecurityClassificationHeaderChar">
    <w:name w:val="Security Classification Header Char"/>
    <w:basedOn w:val="HeaderChar"/>
    <w:link w:val="SecurityClassificationHeader"/>
    <w:rsid w:val="00C80F33"/>
    <w:rPr>
      <w:rFonts w:ascii="Arial" w:eastAsiaTheme="minorHAnsi" w:hAnsi="Arial" w:cstheme="minorBidi"/>
      <w:b/>
      <w:caps/>
      <w:color w:val="4F81BD" w:themeColor="accent1"/>
      <w:sz w:val="24"/>
      <w:szCs w:val="22"/>
      <w:lang w:eastAsia="en-US"/>
    </w:rPr>
  </w:style>
  <w:style w:type="paragraph" w:customStyle="1" w:styleId="SecurityClassificationFooter">
    <w:name w:val="Security Classification Footer"/>
    <w:link w:val="SecurityClassificationFooterChar"/>
    <w:rsid w:val="00C80F33"/>
    <w:pPr>
      <w:spacing w:before="60" w:after="240" w:line="276" w:lineRule="auto"/>
      <w:jc w:val="center"/>
    </w:pPr>
    <w:rPr>
      <w:rFonts w:ascii="Arial" w:eastAsiaTheme="minorHAnsi" w:hAnsi="Arial" w:cstheme="minorBidi"/>
      <w:b/>
      <w:caps/>
      <w:color w:val="4F81BD" w:themeColor="accent1"/>
      <w:sz w:val="24"/>
      <w:szCs w:val="22"/>
      <w:lang w:eastAsia="en-US"/>
    </w:rPr>
  </w:style>
  <w:style w:type="character" w:customStyle="1" w:styleId="SecurityClassificationFooterChar">
    <w:name w:val="Security Classification Footer Char"/>
    <w:basedOn w:val="HeaderChar"/>
    <w:link w:val="SecurityClassificationFooter"/>
    <w:rsid w:val="00C80F33"/>
    <w:rPr>
      <w:rFonts w:ascii="Arial" w:eastAsiaTheme="minorHAnsi" w:hAnsi="Arial" w:cstheme="minorBidi"/>
      <w:b/>
      <w:caps/>
      <w:color w:val="4F81BD" w:themeColor="accent1"/>
      <w:sz w:val="24"/>
      <w:szCs w:val="22"/>
      <w:lang w:eastAsia="en-US"/>
    </w:rPr>
  </w:style>
  <w:style w:type="paragraph" w:customStyle="1" w:styleId="ExampleBullet">
    <w:name w:val="Example Bullet"/>
    <w:basedOn w:val="Normal"/>
    <w:rsid w:val="00C80F33"/>
    <w:pPr>
      <w:numPr>
        <w:numId w:val="7"/>
      </w:numPr>
      <w:spacing w:before="40" w:after="40"/>
    </w:pPr>
    <w:rPr>
      <w:rFonts w:ascii="Arial" w:hAnsi="Arial"/>
      <w:sz w:val="18"/>
    </w:rPr>
  </w:style>
  <w:style w:type="table" w:styleId="TableGrid">
    <w:name w:val="Table Grid"/>
    <w:basedOn w:val="TableNormal"/>
    <w:rsid w:val="00C8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C80F33"/>
    <w:rPr>
      <w:rFonts w:cs="Swiss 721 BT"/>
      <w:color w:val="000000"/>
      <w:sz w:val="20"/>
      <w:szCs w:val="20"/>
    </w:rPr>
  </w:style>
  <w:style w:type="paragraph" w:customStyle="1" w:styleId="Heading3NotNumbered">
    <w:name w:val="Heading 3 Not Numbered"/>
    <w:basedOn w:val="Heading4"/>
    <w:rsid w:val="00C80F33"/>
    <w:pPr>
      <w:numPr>
        <w:ilvl w:val="0"/>
        <w:numId w:val="0"/>
      </w:numPr>
    </w:pPr>
    <w:rPr>
      <w:b w:val="0"/>
      <w:sz w:val="28"/>
    </w:rPr>
  </w:style>
  <w:style w:type="paragraph" w:customStyle="1" w:styleId="AppendixHeadingLevel2NotNumbered">
    <w:name w:val="Appendix Heading Level 2 Not Numbered"/>
    <w:basedOn w:val="Normal"/>
    <w:qFormat/>
    <w:rsid w:val="00C80F33"/>
    <w:pPr>
      <w:spacing w:before="480" w:after="320"/>
    </w:pPr>
    <w:rPr>
      <w:rFonts w:ascii="Arial Bold" w:hAnsi="Arial Bold" w:cs="Arial"/>
      <w:b/>
      <w:smallCaps/>
      <w:color w:val="003157"/>
      <w:sz w:val="32"/>
      <w:szCs w:val="32"/>
    </w:rPr>
  </w:style>
  <w:style w:type="paragraph" w:customStyle="1" w:styleId="HeadingBase">
    <w:name w:val="Heading Base"/>
    <w:next w:val="Normal"/>
    <w:rsid w:val="00C80F33"/>
    <w:pPr>
      <w:keepNext/>
    </w:pPr>
    <w:rPr>
      <w:rFonts w:asciiTheme="majorHAnsi" w:hAnsiTheme="majorHAnsi"/>
      <w:color w:val="003057"/>
    </w:rPr>
  </w:style>
  <w:style w:type="character" w:customStyle="1" w:styleId="Heading4Char">
    <w:name w:val="Heading 4 Char"/>
    <w:basedOn w:val="DefaultParagraphFont"/>
    <w:link w:val="Heading4"/>
    <w:rsid w:val="00C80F33"/>
    <w:rPr>
      <w:rFonts w:ascii="Arial" w:eastAsiaTheme="minorHAnsi" w:hAnsi="Arial" w:cstheme="minorBidi"/>
      <w:b/>
      <w:color w:val="003157"/>
      <w:sz w:val="22"/>
      <w:szCs w:val="22"/>
      <w:lang w:eastAsia="en-US"/>
    </w:rPr>
  </w:style>
  <w:style w:type="character" w:customStyle="1" w:styleId="Heading6Char">
    <w:name w:val="Heading 6 Char"/>
    <w:basedOn w:val="DefaultParagraphFont"/>
    <w:link w:val="Heading6"/>
    <w:rsid w:val="00C80F33"/>
    <w:rPr>
      <w:rFonts w:ascii="Arial" w:eastAsiaTheme="minorHAnsi" w:hAnsi="Arial" w:cstheme="minorBidi"/>
      <w:snapToGrid w:val="0"/>
      <w:color w:val="003157"/>
      <w:sz w:val="19"/>
      <w:szCs w:val="22"/>
      <w:lang w:eastAsia="en-US"/>
    </w:rPr>
  </w:style>
  <w:style w:type="character" w:customStyle="1" w:styleId="Heading7Char">
    <w:name w:val="Heading 7 Char"/>
    <w:basedOn w:val="DefaultParagraphFont"/>
    <w:link w:val="Heading7"/>
    <w:rsid w:val="00C80F33"/>
    <w:rPr>
      <w:rFonts w:ascii="Arial" w:eastAsiaTheme="minorHAnsi" w:hAnsi="Arial" w:cstheme="minorBidi"/>
      <w:color w:val="000080"/>
      <w:sz w:val="19"/>
      <w:szCs w:val="22"/>
      <w:u w:val="single"/>
      <w:lang w:eastAsia="en-US"/>
    </w:rPr>
  </w:style>
  <w:style w:type="character" w:customStyle="1" w:styleId="Heading8Char">
    <w:name w:val="Heading 8 Char"/>
    <w:basedOn w:val="DefaultParagraphFont"/>
    <w:link w:val="Heading8"/>
    <w:rsid w:val="00C80F33"/>
    <w:rPr>
      <w:rFonts w:ascii="Calibri" w:eastAsiaTheme="minorHAnsi" w:hAnsi="Calibri" w:cstheme="minorBidi"/>
      <w:b/>
      <w:color w:val="000080"/>
      <w:sz w:val="22"/>
      <w:szCs w:val="22"/>
      <w:lang w:eastAsia="en-US"/>
    </w:rPr>
  </w:style>
  <w:style w:type="character" w:customStyle="1" w:styleId="Heading9Char">
    <w:name w:val="Heading 9 Char"/>
    <w:basedOn w:val="DefaultParagraphFont"/>
    <w:link w:val="Heading9"/>
    <w:rsid w:val="00C80F33"/>
    <w:rPr>
      <w:rFonts w:ascii="Calibri" w:eastAsiaTheme="minorHAnsi" w:hAnsi="Calibri" w:cstheme="minorBidi"/>
      <w:color w:val="000080"/>
      <w:sz w:val="22"/>
      <w:szCs w:val="22"/>
      <w:u w:val="single"/>
      <w:lang w:eastAsia="en-US"/>
    </w:rPr>
  </w:style>
  <w:style w:type="paragraph" w:customStyle="1" w:styleId="ChartGraphic">
    <w:name w:val="Chart Graphic"/>
    <w:basedOn w:val="HeadingBase"/>
    <w:next w:val="Normal"/>
    <w:rsid w:val="00C80F33"/>
    <w:pPr>
      <w:jc w:val="center"/>
    </w:pPr>
  </w:style>
  <w:style w:type="paragraph" w:customStyle="1" w:styleId="TableGraphic0">
    <w:name w:val="Table Graphic"/>
    <w:basedOn w:val="HeadingBase"/>
    <w:next w:val="Normal"/>
    <w:rsid w:val="00C80F33"/>
  </w:style>
  <w:style w:type="paragraph" w:customStyle="1" w:styleId="AlphaParagraph">
    <w:name w:val="Alpha Paragraph"/>
    <w:basedOn w:val="Normal"/>
    <w:qFormat/>
    <w:rsid w:val="00C80F33"/>
    <w:pPr>
      <w:numPr>
        <w:numId w:val="10"/>
      </w:numPr>
    </w:pPr>
  </w:style>
  <w:style w:type="paragraph" w:customStyle="1" w:styleId="AppendixHeading">
    <w:name w:val="Appendix Heading"/>
    <w:basedOn w:val="HeadingBase"/>
    <w:next w:val="Normal"/>
    <w:rsid w:val="00C80F33"/>
    <w:pPr>
      <w:spacing w:before="720" w:after="360"/>
      <w:outlineLvl w:val="0"/>
    </w:pPr>
    <w:rPr>
      <w:sz w:val="36"/>
      <w:szCs w:val="36"/>
    </w:rPr>
  </w:style>
  <w:style w:type="character" w:customStyle="1" w:styleId="Bold">
    <w:name w:val="Bold"/>
    <w:basedOn w:val="DefaultParagraphFont"/>
    <w:rsid w:val="00C80F33"/>
    <w:rPr>
      <w:b/>
    </w:rPr>
  </w:style>
  <w:style w:type="paragraph" w:customStyle="1" w:styleId="BoxTextBase">
    <w:name w:val="Box Text Base"/>
    <w:basedOn w:val="Normal"/>
    <w:rsid w:val="00C80F33"/>
  </w:style>
  <w:style w:type="paragraph" w:customStyle="1" w:styleId="BoxBullet">
    <w:name w:val="Box Bullet"/>
    <w:basedOn w:val="BoxTextBase"/>
    <w:rsid w:val="00C80F33"/>
    <w:pPr>
      <w:numPr>
        <w:numId w:val="9"/>
      </w:numPr>
    </w:pPr>
  </w:style>
  <w:style w:type="paragraph" w:customStyle="1" w:styleId="BoxDash">
    <w:name w:val="Box Dash"/>
    <w:basedOn w:val="Normal"/>
    <w:rsid w:val="00C80F33"/>
    <w:pPr>
      <w:numPr>
        <w:ilvl w:val="1"/>
        <w:numId w:val="9"/>
      </w:numPr>
    </w:pPr>
  </w:style>
  <w:style w:type="paragraph" w:customStyle="1" w:styleId="BoxDoubleDot">
    <w:name w:val="Box Double Dot"/>
    <w:basedOn w:val="BoxTextBase"/>
    <w:rsid w:val="00C80F33"/>
    <w:pPr>
      <w:numPr>
        <w:ilvl w:val="2"/>
        <w:numId w:val="9"/>
      </w:numPr>
    </w:pPr>
  </w:style>
  <w:style w:type="paragraph" w:customStyle="1" w:styleId="BoxText">
    <w:name w:val="Box Text"/>
    <w:basedOn w:val="BoxTextBase"/>
    <w:rsid w:val="00C80F33"/>
  </w:style>
  <w:style w:type="paragraph" w:customStyle="1" w:styleId="ChartandTableFootnoteAlpha">
    <w:name w:val="Chart and Table Footnote Alpha"/>
    <w:rsid w:val="00C80F33"/>
    <w:pPr>
      <w:numPr>
        <w:numId w:val="19"/>
      </w:numPr>
      <w:jc w:val="both"/>
    </w:pPr>
    <w:rPr>
      <w:rFonts w:ascii="Arial" w:hAnsi="Arial"/>
      <w:color w:val="000000"/>
      <w:sz w:val="16"/>
      <w:szCs w:val="16"/>
    </w:rPr>
  </w:style>
  <w:style w:type="paragraph" w:customStyle="1" w:styleId="ChartMainHeading">
    <w:name w:val="Chart Main Heading"/>
    <w:basedOn w:val="HeadingBase"/>
    <w:next w:val="ChartGraphic"/>
    <w:rsid w:val="00C80F33"/>
    <w:pPr>
      <w:spacing w:after="20"/>
      <w:jc w:val="center"/>
    </w:pPr>
    <w:rPr>
      <w:b/>
      <w:sz w:val="24"/>
    </w:rPr>
  </w:style>
  <w:style w:type="paragraph" w:customStyle="1" w:styleId="ChartorTableNote">
    <w:name w:val="Chart or Table Note"/>
    <w:next w:val="Normal"/>
    <w:rsid w:val="00C80F33"/>
    <w:pPr>
      <w:jc w:val="both"/>
    </w:pPr>
    <w:rPr>
      <w:rFonts w:ascii="Arial" w:hAnsi="Arial"/>
      <w:color w:val="000000"/>
      <w:sz w:val="16"/>
    </w:rPr>
  </w:style>
  <w:style w:type="paragraph" w:customStyle="1" w:styleId="ChartSecondHeading">
    <w:name w:val="Chart Second Heading"/>
    <w:basedOn w:val="HeadingBase"/>
    <w:next w:val="ChartGraphic"/>
    <w:rsid w:val="00C80F33"/>
    <w:pPr>
      <w:spacing w:after="20"/>
      <w:jc w:val="center"/>
    </w:pPr>
  </w:style>
  <w:style w:type="paragraph" w:customStyle="1" w:styleId="Classification">
    <w:name w:val="Classification"/>
    <w:basedOn w:val="HeadingBase"/>
    <w:next w:val="Footer"/>
    <w:rsid w:val="00C80F33"/>
    <w:pPr>
      <w:spacing w:after="120"/>
      <w:jc w:val="center"/>
    </w:pPr>
    <w:rPr>
      <w:b/>
      <w:smallCaps/>
    </w:rPr>
  </w:style>
  <w:style w:type="paragraph" w:customStyle="1" w:styleId="CoverTitleSub">
    <w:name w:val="Cover Title Sub"/>
    <w:basedOn w:val="HeadingBase"/>
    <w:rsid w:val="00C80F33"/>
    <w:pPr>
      <w:spacing w:after="360"/>
      <w:jc w:val="center"/>
    </w:pPr>
    <w:rPr>
      <w:sz w:val="36"/>
    </w:rPr>
  </w:style>
  <w:style w:type="paragraph" w:customStyle="1" w:styleId="Covertitlelevel3">
    <w:name w:val="Cover title level 3"/>
    <w:basedOn w:val="CoverTitleSub"/>
    <w:rsid w:val="00C80F33"/>
    <w:pPr>
      <w:spacing w:after="120"/>
    </w:pPr>
    <w:rPr>
      <w:sz w:val="28"/>
      <w:szCs w:val="28"/>
    </w:rPr>
  </w:style>
  <w:style w:type="paragraph" w:customStyle="1" w:styleId="CoverTitleMain">
    <w:name w:val="Cover Title Main"/>
    <w:basedOn w:val="HeadingBase"/>
    <w:next w:val="Normal"/>
    <w:rsid w:val="00C80F33"/>
    <w:pPr>
      <w:spacing w:after="480"/>
      <w:jc w:val="center"/>
    </w:pPr>
    <w:rPr>
      <w:b/>
      <w:sz w:val="48"/>
    </w:rPr>
  </w:style>
  <w:style w:type="paragraph" w:customStyle="1" w:styleId="Figuregraphic">
    <w:name w:val="Figure graphic"/>
    <w:basedOn w:val="Normal"/>
    <w:rsid w:val="00C80F33"/>
    <w:pPr>
      <w:spacing w:line="240" w:lineRule="auto"/>
      <w:jc w:val="center"/>
    </w:pPr>
  </w:style>
  <w:style w:type="paragraph" w:customStyle="1" w:styleId="FigureHeading">
    <w:name w:val="Figure Heading"/>
    <w:basedOn w:val="HeadingBase"/>
    <w:next w:val="Figuregraphic"/>
    <w:rsid w:val="00C80F33"/>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C80F33"/>
    <w:pPr>
      <w:spacing w:after="20"/>
      <w:jc w:val="center"/>
    </w:pPr>
  </w:style>
  <w:style w:type="paragraph" w:customStyle="1" w:styleId="TableMainHeading">
    <w:name w:val="Table Main Heading"/>
    <w:basedOn w:val="HeadingBase"/>
    <w:next w:val="TableGraphic0"/>
    <w:rsid w:val="00C80F33"/>
    <w:pPr>
      <w:spacing w:after="20"/>
    </w:pPr>
    <w:rPr>
      <w:b/>
      <w:sz w:val="22"/>
    </w:rPr>
  </w:style>
  <w:style w:type="paragraph" w:customStyle="1" w:styleId="FooterCentered">
    <w:name w:val="Footer Centered"/>
    <w:basedOn w:val="Footer"/>
    <w:rsid w:val="00C80F33"/>
    <w:pPr>
      <w:jc w:val="center"/>
    </w:pPr>
  </w:style>
  <w:style w:type="paragraph" w:customStyle="1" w:styleId="FooterEven">
    <w:name w:val="Footer Even"/>
    <w:basedOn w:val="Footer"/>
    <w:rsid w:val="00C80F33"/>
  </w:style>
  <w:style w:type="paragraph" w:customStyle="1" w:styleId="FooterOdd">
    <w:name w:val="Footer Odd"/>
    <w:basedOn w:val="Footer"/>
    <w:rsid w:val="00C80F33"/>
  </w:style>
  <w:style w:type="character" w:customStyle="1" w:styleId="FramedFooter">
    <w:name w:val="Framed Footer"/>
    <w:rsid w:val="00C80F33"/>
    <w:rPr>
      <w:rFonts w:ascii="Arial" w:hAnsi="Arial"/>
      <w:sz w:val="18"/>
    </w:rPr>
  </w:style>
  <w:style w:type="character" w:customStyle="1" w:styleId="FramedHeader">
    <w:name w:val="Framed Header"/>
    <w:basedOn w:val="DefaultParagraphFont"/>
    <w:rsid w:val="00C80F33"/>
    <w:rPr>
      <w:rFonts w:ascii="Arial" w:hAnsi="Arial"/>
      <w:dstrike w:val="0"/>
      <w:color w:val="auto"/>
      <w:sz w:val="18"/>
      <w:vertAlign w:val="baseline"/>
    </w:rPr>
  </w:style>
  <w:style w:type="character" w:customStyle="1" w:styleId="HeaderChar">
    <w:name w:val="Header Char"/>
    <w:basedOn w:val="DefaultParagraphFont"/>
    <w:link w:val="Header"/>
    <w:rsid w:val="00C80F33"/>
    <w:rPr>
      <w:rFonts w:ascii="Arial" w:eastAsiaTheme="minorHAnsi" w:hAnsi="Arial" w:cstheme="minorBidi"/>
      <w:color w:val="003157"/>
      <w:sz w:val="18"/>
      <w:szCs w:val="22"/>
      <w:lang w:eastAsia="en-US"/>
    </w:rPr>
  </w:style>
  <w:style w:type="paragraph" w:customStyle="1" w:styleId="HeaderEven">
    <w:name w:val="Header Even"/>
    <w:basedOn w:val="Header"/>
    <w:rsid w:val="00C80F33"/>
  </w:style>
  <w:style w:type="paragraph" w:customStyle="1" w:styleId="HeaderOdd">
    <w:name w:val="Header Odd"/>
    <w:basedOn w:val="Header"/>
    <w:rsid w:val="00C80F33"/>
    <w:pPr>
      <w:jc w:val="right"/>
    </w:pPr>
  </w:style>
  <w:style w:type="character" w:customStyle="1" w:styleId="italic">
    <w:name w:val="italic"/>
    <w:basedOn w:val="DefaultParagraphFont"/>
    <w:rsid w:val="00C80F33"/>
    <w:rPr>
      <w:i/>
    </w:rPr>
  </w:style>
  <w:style w:type="paragraph" w:customStyle="1" w:styleId="NormalIndentItalics">
    <w:name w:val="Normal Indent Italics"/>
    <w:basedOn w:val="NormalIndent"/>
    <w:rsid w:val="00C80F33"/>
    <w:rPr>
      <w:i/>
    </w:rPr>
  </w:style>
  <w:style w:type="paragraph" w:customStyle="1" w:styleId="OutlineNumbered1">
    <w:name w:val="Outline Numbered 1"/>
    <w:basedOn w:val="Normal"/>
    <w:rsid w:val="00C80F33"/>
    <w:pPr>
      <w:numPr>
        <w:numId w:val="16"/>
      </w:numPr>
    </w:pPr>
  </w:style>
  <w:style w:type="paragraph" w:customStyle="1" w:styleId="OneLevelNumberedParagraph">
    <w:name w:val="One Level Numbered Paragraph"/>
    <w:basedOn w:val="Normal"/>
    <w:rsid w:val="00C80F33"/>
    <w:pPr>
      <w:numPr>
        <w:numId w:val="15"/>
      </w:numPr>
    </w:pPr>
  </w:style>
  <w:style w:type="paragraph" w:customStyle="1" w:styleId="OutlineNumbered2">
    <w:name w:val="Outline Numbered 2"/>
    <w:basedOn w:val="Normal"/>
    <w:rsid w:val="00C80F33"/>
    <w:pPr>
      <w:numPr>
        <w:ilvl w:val="1"/>
        <w:numId w:val="16"/>
      </w:numPr>
    </w:pPr>
  </w:style>
  <w:style w:type="paragraph" w:customStyle="1" w:styleId="OutlineNumbered3">
    <w:name w:val="Outline Numbered 3"/>
    <w:basedOn w:val="Normal"/>
    <w:rsid w:val="00C80F33"/>
    <w:pPr>
      <w:numPr>
        <w:ilvl w:val="2"/>
        <w:numId w:val="16"/>
      </w:numPr>
    </w:pPr>
  </w:style>
  <w:style w:type="paragraph" w:customStyle="1" w:styleId="Principle">
    <w:name w:val="Principle"/>
    <w:basedOn w:val="Normal"/>
    <w:rsid w:val="00C80F33"/>
    <w:pPr>
      <w:keepNext/>
      <w:spacing w:after="60" w:line="240" w:lineRule="auto"/>
      <w:ind w:left="573"/>
    </w:pPr>
    <w:rPr>
      <w:rFonts w:ascii="Book Antiqua" w:hAnsi="Book Antiqua"/>
      <w:i/>
      <w:sz w:val="20"/>
    </w:rPr>
  </w:style>
  <w:style w:type="paragraph" w:customStyle="1" w:styleId="RecommendationTextBase">
    <w:name w:val="Recommendation Text Base"/>
    <w:basedOn w:val="Normal"/>
    <w:rsid w:val="00C80F33"/>
    <w:rPr>
      <w:i/>
    </w:rPr>
  </w:style>
  <w:style w:type="paragraph" w:customStyle="1" w:styleId="RecommendationBullet">
    <w:name w:val="Recommendation Bullet"/>
    <w:basedOn w:val="RecommendationTextBase"/>
    <w:rsid w:val="00C80F33"/>
    <w:pPr>
      <w:numPr>
        <w:numId w:val="17"/>
      </w:numPr>
    </w:pPr>
  </w:style>
  <w:style w:type="paragraph" w:customStyle="1" w:styleId="RecommendationDash">
    <w:name w:val="Recommendation Dash"/>
    <w:basedOn w:val="RecommendationTextBase"/>
    <w:rsid w:val="00C80F33"/>
    <w:pPr>
      <w:numPr>
        <w:ilvl w:val="1"/>
        <w:numId w:val="17"/>
      </w:numPr>
    </w:pPr>
  </w:style>
  <w:style w:type="paragraph" w:customStyle="1" w:styleId="RecommendationDoubleDot">
    <w:name w:val="Recommendation Double Dot"/>
    <w:basedOn w:val="RecommendationTextBase"/>
    <w:rsid w:val="00C80F33"/>
    <w:pPr>
      <w:numPr>
        <w:ilvl w:val="2"/>
        <w:numId w:val="17"/>
      </w:numPr>
    </w:pPr>
  </w:style>
  <w:style w:type="paragraph" w:customStyle="1" w:styleId="RecommendationHeading">
    <w:name w:val="Recommendation Heading"/>
    <w:basedOn w:val="HeadingBase"/>
    <w:next w:val="Normal"/>
    <w:rsid w:val="00C80F33"/>
    <w:pPr>
      <w:spacing w:before="120" w:after="240"/>
    </w:pPr>
    <w:rPr>
      <w:b/>
      <w:sz w:val="22"/>
    </w:rPr>
  </w:style>
  <w:style w:type="paragraph" w:customStyle="1" w:styleId="RecommendationText">
    <w:name w:val="Recommendation Text"/>
    <w:basedOn w:val="RecommendationTextBase"/>
    <w:rsid w:val="00C80F33"/>
  </w:style>
  <w:style w:type="paragraph" w:customStyle="1" w:styleId="Romannumeral">
    <w:name w:val="Roman numeral"/>
    <w:basedOn w:val="Normal"/>
    <w:rsid w:val="00C80F33"/>
    <w:pPr>
      <w:numPr>
        <w:numId w:val="18"/>
      </w:numPr>
    </w:pPr>
  </w:style>
  <w:style w:type="paragraph" w:customStyle="1" w:styleId="SingleParagraphIndent">
    <w:name w:val="Single Paragraph Indent"/>
    <w:basedOn w:val="SingleParagraph"/>
    <w:rsid w:val="00C80F33"/>
    <w:pPr>
      <w:ind w:left="567"/>
    </w:pPr>
  </w:style>
  <w:style w:type="paragraph" w:customStyle="1" w:styleId="TableSecondHeading">
    <w:name w:val="Table Second Heading"/>
    <w:basedOn w:val="HeadingBase"/>
    <w:next w:val="TableGraphic0"/>
    <w:rsid w:val="00C80F33"/>
    <w:pPr>
      <w:spacing w:after="20"/>
    </w:pPr>
  </w:style>
  <w:style w:type="paragraph" w:customStyle="1" w:styleId="TableColumnHeadingBase">
    <w:name w:val="Table Column Heading Base"/>
    <w:basedOn w:val="Normal"/>
    <w:rsid w:val="00C80F33"/>
    <w:pPr>
      <w:spacing w:before="40" w:after="40" w:line="240" w:lineRule="auto"/>
    </w:pPr>
    <w:rPr>
      <w:rFonts w:ascii="Arial" w:hAnsi="Arial"/>
      <w:b/>
      <w:sz w:val="16"/>
    </w:rPr>
  </w:style>
  <w:style w:type="paragraph" w:customStyle="1" w:styleId="TableMainHeadingContd">
    <w:name w:val="Table Main Heading Contd"/>
    <w:basedOn w:val="HeadingBase"/>
    <w:next w:val="TableGraphic0"/>
    <w:rsid w:val="00C80F33"/>
    <w:pPr>
      <w:pageBreakBefore/>
      <w:spacing w:after="20"/>
    </w:pPr>
    <w:rPr>
      <w:b/>
      <w:sz w:val="22"/>
    </w:rPr>
  </w:style>
  <w:style w:type="paragraph" w:customStyle="1" w:styleId="TableTextCentered">
    <w:name w:val="Table Text Centered"/>
    <w:basedOn w:val="TableTextBase"/>
    <w:rsid w:val="00C80F33"/>
    <w:pPr>
      <w:jc w:val="center"/>
    </w:pPr>
  </w:style>
  <w:style w:type="paragraph" w:customStyle="1" w:styleId="TableTextIndented">
    <w:name w:val="Table Text Indented"/>
    <w:basedOn w:val="TableTextBase"/>
    <w:rsid w:val="00C80F33"/>
    <w:pPr>
      <w:ind w:left="284"/>
    </w:pPr>
  </w:style>
  <w:style w:type="paragraph" w:customStyle="1" w:styleId="TableTextLeft0">
    <w:name w:val="Table Text Left"/>
    <w:basedOn w:val="TableTextBase"/>
    <w:rsid w:val="00C80F33"/>
  </w:style>
  <w:style w:type="paragraph" w:styleId="BodyTextIndent2">
    <w:name w:val="Body Text Indent 2"/>
    <w:basedOn w:val="Normal"/>
    <w:link w:val="BodyTextIndent2Char"/>
    <w:rsid w:val="00C80F33"/>
    <w:pPr>
      <w:spacing w:after="120" w:line="480" w:lineRule="auto"/>
      <w:ind w:left="283"/>
    </w:pPr>
  </w:style>
  <w:style w:type="character" w:customStyle="1" w:styleId="BodyTextIndent2Char">
    <w:name w:val="Body Text Indent 2 Char"/>
    <w:basedOn w:val="DefaultParagraphFont"/>
    <w:link w:val="BodyTextIndent2"/>
    <w:rsid w:val="00C80F33"/>
    <w:rPr>
      <w:rFonts w:ascii="Calibri" w:eastAsiaTheme="minorHAnsi" w:hAnsi="Calibri" w:cstheme="minorBidi"/>
      <w:sz w:val="22"/>
      <w:szCs w:val="22"/>
      <w:lang w:eastAsia="en-US"/>
    </w:rPr>
  </w:style>
  <w:style w:type="character" w:customStyle="1" w:styleId="BoldandItalic">
    <w:name w:val="Bold and Italic"/>
    <w:basedOn w:val="DefaultParagraphFont"/>
    <w:rsid w:val="00C80F33"/>
    <w:rPr>
      <w:rFonts w:ascii="Arial" w:hAnsi="Arial"/>
      <w:b/>
      <w:i/>
    </w:rPr>
  </w:style>
  <w:style w:type="paragraph" w:styleId="DocumentMap">
    <w:name w:val="Document Map"/>
    <w:basedOn w:val="Normal"/>
    <w:link w:val="DocumentMapChar"/>
    <w:rsid w:val="00C80F33"/>
    <w:pPr>
      <w:shd w:val="clear" w:color="auto" w:fill="00CCFF"/>
    </w:pPr>
    <w:rPr>
      <w:rFonts w:ascii="Tahoma" w:hAnsi="Tahoma" w:cs="Tahoma"/>
    </w:rPr>
  </w:style>
  <w:style w:type="character" w:customStyle="1" w:styleId="DocumentMapChar">
    <w:name w:val="Document Map Char"/>
    <w:basedOn w:val="DefaultParagraphFont"/>
    <w:link w:val="DocumentMap"/>
    <w:rsid w:val="00C80F33"/>
    <w:rPr>
      <w:rFonts w:ascii="Tahoma" w:eastAsiaTheme="minorHAnsi" w:hAnsi="Tahoma" w:cs="Tahoma"/>
      <w:sz w:val="22"/>
      <w:szCs w:val="22"/>
      <w:shd w:val="clear" w:color="auto" w:fill="00CCFF"/>
      <w:lang w:eastAsia="en-US"/>
    </w:rPr>
  </w:style>
  <w:style w:type="character" w:styleId="FollowedHyperlink">
    <w:name w:val="FollowedHyperlink"/>
    <w:basedOn w:val="DefaultParagraphFont"/>
    <w:rsid w:val="00C80F33"/>
    <w:rPr>
      <w:color w:val="auto"/>
      <w:u w:val="none"/>
    </w:rPr>
  </w:style>
  <w:style w:type="paragraph" w:styleId="Index3">
    <w:name w:val="index 3"/>
    <w:basedOn w:val="Normal"/>
    <w:next w:val="Normal"/>
    <w:autoRedefine/>
    <w:rsid w:val="00C80F33"/>
    <w:pPr>
      <w:ind w:left="600" w:hanging="200"/>
    </w:pPr>
  </w:style>
  <w:style w:type="paragraph" w:styleId="Index4">
    <w:name w:val="index 4"/>
    <w:basedOn w:val="Normal"/>
    <w:next w:val="Normal"/>
    <w:autoRedefine/>
    <w:rsid w:val="00C80F33"/>
    <w:pPr>
      <w:ind w:left="800" w:hanging="200"/>
    </w:pPr>
  </w:style>
  <w:style w:type="paragraph" w:styleId="Index5">
    <w:name w:val="index 5"/>
    <w:basedOn w:val="Normal"/>
    <w:next w:val="Normal"/>
    <w:autoRedefine/>
    <w:rsid w:val="00C80F33"/>
    <w:pPr>
      <w:ind w:left="1000" w:hanging="200"/>
    </w:pPr>
  </w:style>
  <w:style w:type="paragraph" w:styleId="Index6">
    <w:name w:val="index 6"/>
    <w:basedOn w:val="Normal"/>
    <w:next w:val="Normal"/>
    <w:autoRedefine/>
    <w:rsid w:val="00C80F33"/>
    <w:pPr>
      <w:ind w:left="1200" w:hanging="200"/>
    </w:pPr>
  </w:style>
  <w:style w:type="paragraph" w:styleId="Index7">
    <w:name w:val="index 7"/>
    <w:basedOn w:val="Normal"/>
    <w:next w:val="Normal"/>
    <w:autoRedefine/>
    <w:rsid w:val="00C80F33"/>
    <w:pPr>
      <w:ind w:left="1400" w:hanging="200"/>
    </w:pPr>
  </w:style>
  <w:style w:type="paragraph" w:styleId="Index8">
    <w:name w:val="index 8"/>
    <w:basedOn w:val="Normal"/>
    <w:next w:val="Normal"/>
    <w:autoRedefine/>
    <w:rsid w:val="00C80F33"/>
    <w:pPr>
      <w:ind w:left="1600" w:hanging="200"/>
    </w:pPr>
  </w:style>
  <w:style w:type="paragraph" w:styleId="Index9">
    <w:name w:val="index 9"/>
    <w:basedOn w:val="Normal"/>
    <w:next w:val="Normal"/>
    <w:autoRedefine/>
    <w:rsid w:val="00C80F33"/>
    <w:pPr>
      <w:ind w:left="1800" w:hanging="200"/>
    </w:pPr>
  </w:style>
  <w:style w:type="paragraph" w:styleId="MacroText">
    <w:name w:val="macro"/>
    <w:link w:val="MacroTextChar"/>
    <w:rsid w:val="00C80F3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character" w:customStyle="1" w:styleId="MacroTextChar">
    <w:name w:val="Macro Text Char"/>
    <w:basedOn w:val="DefaultParagraphFont"/>
    <w:link w:val="MacroText"/>
    <w:rsid w:val="00C80F33"/>
    <w:rPr>
      <w:rFonts w:ascii="Courier New" w:hAnsi="Courier New" w:cs="Courier New"/>
      <w:color w:val="000000"/>
    </w:rPr>
  </w:style>
  <w:style w:type="numbering" w:customStyle="1" w:styleId="OutlineList">
    <w:name w:val="OutlineList"/>
    <w:uiPriority w:val="99"/>
    <w:rsid w:val="00C80F33"/>
    <w:pPr>
      <w:numPr>
        <w:numId w:val="12"/>
      </w:numPr>
    </w:pPr>
  </w:style>
  <w:style w:type="paragraph" w:customStyle="1" w:styleId="PictureCentred">
    <w:name w:val="Picture Centred"/>
    <w:basedOn w:val="Normal"/>
    <w:rsid w:val="00C80F33"/>
    <w:pPr>
      <w:spacing w:before="120" w:line="240" w:lineRule="atLeast"/>
      <w:jc w:val="center"/>
    </w:pPr>
  </w:style>
  <w:style w:type="paragraph" w:customStyle="1" w:styleId="PictureLeft">
    <w:name w:val="Picture Left"/>
    <w:basedOn w:val="PictureCentred"/>
    <w:rsid w:val="00C80F33"/>
    <w:pPr>
      <w:jc w:val="left"/>
    </w:pPr>
  </w:style>
  <w:style w:type="paragraph" w:customStyle="1" w:styleId="PictureIndent">
    <w:name w:val="Picture Indent"/>
    <w:basedOn w:val="PictureLeft"/>
    <w:rsid w:val="00C80F33"/>
    <w:pPr>
      <w:ind w:left="284"/>
    </w:pPr>
  </w:style>
  <w:style w:type="paragraph" w:styleId="TableofAuthorities">
    <w:name w:val="table of authorities"/>
    <w:basedOn w:val="Normal"/>
    <w:next w:val="Normal"/>
    <w:rsid w:val="00C80F33"/>
    <w:pPr>
      <w:ind w:left="200" w:hanging="200"/>
    </w:pPr>
  </w:style>
  <w:style w:type="paragraph" w:styleId="TableofFigures">
    <w:name w:val="table of figures"/>
    <w:basedOn w:val="Normal"/>
    <w:next w:val="Normal"/>
    <w:rsid w:val="00C80F33"/>
  </w:style>
  <w:style w:type="paragraph" w:styleId="TOAHeading">
    <w:name w:val="toa heading"/>
    <w:basedOn w:val="Normal"/>
    <w:next w:val="Normal"/>
    <w:rsid w:val="00C80F33"/>
    <w:pPr>
      <w:spacing w:before="120"/>
    </w:pPr>
    <w:rPr>
      <w:rFonts w:ascii="Arial" w:hAnsi="Arial" w:cs="Arial"/>
      <w:b/>
      <w:bCs/>
      <w:sz w:val="24"/>
      <w:szCs w:val="24"/>
    </w:rPr>
  </w:style>
  <w:style w:type="numbering" w:customStyle="1" w:styleId="BulletedList">
    <w:name w:val="Bulleted List"/>
    <w:uiPriority w:val="99"/>
    <w:rsid w:val="00C80F33"/>
    <w:pPr>
      <w:numPr>
        <w:numId w:val="8"/>
      </w:numPr>
    </w:pPr>
  </w:style>
  <w:style w:type="numbering" w:customStyle="1" w:styleId="BoxBulletedList">
    <w:name w:val="Box Bulleted List"/>
    <w:uiPriority w:val="99"/>
    <w:rsid w:val="00C80F33"/>
    <w:pPr>
      <w:numPr>
        <w:numId w:val="9"/>
      </w:numPr>
    </w:pPr>
  </w:style>
  <w:style w:type="numbering" w:customStyle="1" w:styleId="AlphaParagraphList">
    <w:name w:val="Alpha Paragraph List"/>
    <w:uiPriority w:val="99"/>
    <w:rsid w:val="00C80F33"/>
    <w:pPr>
      <w:numPr>
        <w:numId w:val="10"/>
      </w:numPr>
    </w:pPr>
  </w:style>
  <w:style w:type="numbering" w:customStyle="1" w:styleId="OneLevelList">
    <w:name w:val="OneLevelList"/>
    <w:uiPriority w:val="99"/>
    <w:rsid w:val="00C80F33"/>
    <w:pPr>
      <w:numPr>
        <w:numId w:val="11"/>
      </w:numPr>
    </w:pPr>
  </w:style>
  <w:style w:type="numbering" w:customStyle="1" w:styleId="RecommendationBulletList">
    <w:name w:val="RecommendationBulletList"/>
    <w:uiPriority w:val="99"/>
    <w:rsid w:val="00C80F33"/>
    <w:pPr>
      <w:numPr>
        <w:numId w:val="13"/>
      </w:numPr>
    </w:pPr>
  </w:style>
  <w:style w:type="numbering" w:customStyle="1" w:styleId="RomanNumeralList">
    <w:name w:val="RomanNumeralList"/>
    <w:uiPriority w:val="99"/>
    <w:rsid w:val="00C80F33"/>
    <w:pPr>
      <w:numPr>
        <w:numId w:val="14"/>
      </w:numPr>
    </w:pPr>
  </w:style>
  <w:style w:type="numbering" w:customStyle="1" w:styleId="ChartandTableFootnoteAlphaList">
    <w:name w:val="ChartandTableFootnoteAlphaList"/>
    <w:uiPriority w:val="99"/>
    <w:rsid w:val="00C80F33"/>
    <w:pPr>
      <w:numPr>
        <w:numId w:val="19"/>
      </w:numPr>
    </w:pPr>
  </w:style>
  <w:style w:type="paragraph" w:customStyle="1" w:styleId="TableTextBullet">
    <w:name w:val="Table Text Bullet"/>
    <w:basedOn w:val="TableTextBase"/>
    <w:rsid w:val="00C80F33"/>
    <w:pPr>
      <w:numPr>
        <w:numId w:val="21"/>
      </w:numPr>
    </w:pPr>
  </w:style>
  <w:style w:type="numbering" w:customStyle="1" w:styleId="TableTestBulletList">
    <w:name w:val="Table Test Bullet List"/>
    <w:uiPriority w:val="99"/>
    <w:rsid w:val="00C80F33"/>
    <w:pPr>
      <w:numPr>
        <w:numId w:val="20"/>
      </w:numPr>
    </w:pPr>
  </w:style>
  <w:style w:type="numbering" w:customStyle="1" w:styleId="TableTextBulletList">
    <w:name w:val="Table Text Bullet List"/>
    <w:uiPriority w:val="99"/>
    <w:rsid w:val="00C80F33"/>
    <w:pPr>
      <w:numPr>
        <w:numId w:val="21"/>
      </w:numPr>
    </w:pPr>
  </w:style>
  <w:style w:type="paragraph" w:customStyle="1" w:styleId="StyleTableTextBulletLinespacingExactly13pt">
    <w:name w:val="Style Table Text Bullet + Line spacing:  Exactly 13 pt"/>
    <w:basedOn w:val="TableTextBullet"/>
    <w:rsid w:val="00C80F33"/>
    <w:pPr>
      <w:numPr>
        <w:numId w:val="0"/>
      </w:numPr>
      <w:spacing w:after="80" w:line="260" w:lineRule="exact"/>
    </w:pPr>
  </w:style>
  <w:style w:type="paragraph" w:customStyle="1" w:styleId="DLMSecurityHeader">
    <w:name w:val="DLM Security Header"/>
    <w:link w:val="DLMSecurityHeaderChar"/>
    <w:rsid w:val="00C80F33"/>
    <w:pPr>
      <w:spacing w:before="60" w:after="240" w:line="276" w:lineRule="auto"/>
      <w:jc w:val="center"/>
    </w:pPr>
    <w:rPr>
      <w:rFonts w:ascii="Arial" w:eastAsiaTheme="minorHAnsi" w:hAnsi="Arial" w:cstheme="minorBidi"/>
      <w:b/>
      <w:caps/>
      <w:color w:val="4F81BD" w:themeColor="accent1"/>
      <w:sz w:val="24"/>
      <w:szCs w:val="22"/>
      <w:lang w:eastAsia="en-US"/>
    </w:rPr>
  </w:style>
  <w:style w:type="character" w:customStyle="1" w:styleId="DLMSecurityHeaderChar">
    <w:name w:val="DLM Security Header Char"/>
    <w:basedOn w:val="HeaderChar"/>
    <w:link w:val="DLMSecurityHeader"/>
    <w:rsid w:val="00C80F33"/>
    <w:rPr>
      <w:rFonts w:ascii="Arial" w:eastAsiaTheme="minorHAnsi" w:hAnsi="Arial" w:cstheme="minorBidi"/>
      <w:b/>
      <w:caps/>
      <w:color w:val="4F81BD" w:themeColor="accent1"/>
      <w:sz w:val="24"/>
      <w:szCs w:val="22"/>
      <w:lang w:eastAsia="en-US"/>
    </w:rPr>
  </w:style>
  <w:style w:type="paragraph" w:customStyle="1" w:styleId="DLMSecurityFooter">
    <w:name w:val="DLM Security Footer"/>
    <w:link w:val="DLMSecurityFooterChar"/>
    <w:rsid w:val="00C80F33"/>
    <w:pPr>
      <w:spacing w:before="240" w:after="60" w:line="276" w:lineRule="auto"/>
      <w:jc w:val="center"/>
    </w:pPr>
    <w:rPr>
      <w:rFonts w:ascii="Arial" w:eastAsiaTheme="minorHAnsi" w:hAnsi="Arial" w:cstheme="minorBidi"/>
      <w:b/>
      <w:caps/>
      <w:color w:val="4F81BD" w:themeColor="accent1"/>
      <w:sz w:val="24"/>
      <w:szCs w:val="22"/>
      <w:lang w:eastAsia="en-US"/>
    </w:rPr>
  </w:style>
  <w:style w:type="character" w:customStyle="1" w:styleId="DLMSecurityFooterChar">
    <w:name w:val="DLM Security Footer Char"/>
    <w:basedOn w:val="HeaderChar"/>
    <w:link w:val="DLMSecurityFooter"/>
    <w:rsid w:val="00C80F33"/>
    <w:rPr>
      <w:rFonts w:ascii="Arial" w:eastAsiaTheme="minorHAnsi" w:hAnsi="Arial" w:cstheme="minorBidi"/>
      <w:b/>
      <w:caps/>
      <w:color w:val="4F81BD" w:themeColor="accent1"/>
      <w:sz w:val="24"/>
      <w:szCs w:val="22"/>
      <w:lang w:eastAsia="en-US"/>
    </w:rPr>
  </w:style>
  <w:style w:type="paragraph" w:styleId="Revision">
    <w:name w:val="Revision"/>
    <w:hidden/>
    <w:uiPriority w:val="99"/>
    <w:semiHidden/>
    <w:rsid w:val="00C5340B"/>
    <w:rPr>
      <w:rFonts w:ascii="Calibri" w:eastAsiaTheme="minorHAnsi" w:hAnsi="Calibri" w:cstheme="minorBidi"/>
      <w:sz w:val="22"/>
      <w:szCs w:val="22"/>
      <w:lang w:eastAsia="en-US"/>
    </w:rPr>
  </w:style>
  <w:style w:type="paragraph" w:customStyle="1" w:styleId="Source">
    <w:name w:val="Source"/>
    <w:basedOn w:val="Normal"/>
    <w:rsid w:val="00C80F33"/>
    <w:pPr>
      <w:spacing w:before="40" w:after="240" w:line="240" w:lineRule="auto"/>
    </w:pPr>
    <w:rPr>
      <w:color w:val="000000" w:themeColor="text1"/>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80F33"/>
    <w:pPr>
      <w:spacing w:after="200" w:line="276" w:lineRule="auto"/>
    </w:pPr>
    <w:rPr>
      <w:rFonts w:ascii="Calibri" w:eastAsiaTheme="minorHAnsi" w:hAnsi="Calibri" w:cstheme="minorBidi"/>
      <w:sz w:val="22"/>
      <w:szCs w:val="22"/>
      <w:lang w:eastAsia="en-US"/>
    </w:rPr>
  </w:style>
  <w:style w:type="paragraph" w:styleId="Heading1">
    <w:name w:val="heading 1"/>
    <w:basedOn w:val="HeadingBaseStyle"/>
    <w:next w:val="Normal"/>
    <w:link w:val="Heading1Char"/>
    <w:autoRedefine/>
    <w:qFormat/>
    <w:rsid w:val="00C80F33"/>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autoRedefine/>
    <w:qFormat/>
    <w:rsid w:val="00A540B1"/>
    <w:pPr>
      <w:widowControl w:val="0"/>
      <w:numPr>
        <w:numId w:val="2"/>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C80F33"/>
    <w:pPr>
      <w:keepNext/>
      <w:widowControl w:val="0"/>
      <w:tabs>
        <w:tab w:val="left" w:pos="0"/>
      </w:tabs>
      <w:adjustRightInd w:val="0"/>
      <w:spacing w:before="120" w:after="240" w:line="240" w:lineRule="auto"/>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C80F33"/>
    <w:pPr>
      <w:numPr>
        <w:ilvl w:val="2"/>
        <w:numId w:val="2"/>
      </w:numPr>
      <w:tabs>
        <w:tab w:val="left" w:pos="680"/>
      </w:tabs>
      <w:spacing w:after="120"/>
      <w:outlineLvl w:val="3"/>
    </w:pPr>
    <w:rPr>
      <w:b/>
    </w:rPr>
  </w:style>
  <w:style w:type="paragraph" w:styleId="Heading5">
    <w:name w:val="heading 5"/>
    <w:basedOn w:val="HeadingBaseStyle"/>
    <w:next w:val="Normal"/>
    <w:link w:val="Heading5Char"/>
    <w:autoRedefine/>
    <w:rsid w:val="00C80F33"/>
    <w:pPr>
      <w:spacing w:after="240"/>
      <w:outlineLvl w:val="4"/>
    </w:pPr>
    <w:rPr>
      <w:i/>
    </w:rPr>
  </w:style>
  <w:style w:type="paragraph" w:styleId="Heading6">
    <w:name w:val="heading 6"/>
    <w:basedOn w:val="HeadingBaseStyle"/>
    <w:next w:val="Normal"/>
    <w:link w:val="Heading6Char"/>
    <w:rsid w:val="00C80F33"/>
    <w:pPr>
      <w:widowControl w:val="0"/>
      <w:spacing w:after="60"/>
      <w:outlineLvl w:val="5"/>
    </w:pPr>
    <w:rPr>
      <w:snapToGrid w:val="0"/>
      <w:sz w:val="19"/>
    </w:rPr>
  </w:style>
  <w:style w:type="paragraph" w:styleId="Heading7">
    <w:name w:val="heading 7"/>
    <w:basedOn w:val="Normal"/>
    <w:next w:val="Normal"/>
    <w:link w:val="Heading7Char"/>
    <w:rsid w:val="00C80F33"/>
    <w:pPr>
      <w:spacing w:after="0"/>
      <w:outlineLvl w:val="6"/>
    </w:pPr>
    <w:rPr>
      <w:rFonts w:ascii="Arial" w:hAnsi="Arial"/>
      <w:color w:val="000080"/>
      <w:sz w:val="19"/>
      <w:u w:val="single"/>
    </w:rPr>
  </w:style>
  <w:style w:type="paragraph" w:styleId="Heading8">
    <w:name w:val="heading 8"/>
    <w:basedOn w:val="Normal"/>
    <w:next w:val="Normal"/>
    <w:link w:val="Heading8Char"/>
    <w:rsid w:val="00C80F33"/>
    <w:pPr>
      <w:keepNext/>
      <w:spacing w:before="120" w:after="60" w:line="0" w:lineRule="atLeast"/>
      <w:outlineLvl w:val="7"/>
    </w:pPr>
    <w:rPr>
      <w:b/>
      <w:color w:val="000080"/>
    </w:rPr>
  </w:style>
  <w:style w:type="paragraph" w:styleId="Heading9">
    <w:name w:val="heading 9"/>
    <w:basedOn w:val="Normal"/>
    <w:next w:val="Normal"/>
    <w:link w:val="Heading9Char"/>
    <w:rsid w:val="00C80F33"/>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Style">
    <w:name w:val="HeadingBaseStyle"/>
    <w:basedOn w:val="Normal"/>
    <w:rsid w:val="00C80F33"/>
    <w:pPr>
      <w:keepNext/>
      <w:spacing w:after="0"/>
    </w:pPr>
    <w:rPr>
      <w:rFonts w:ascii="Arial" w:hAnsi="Arial"/>
      <w:color w:val="003157"/>
    </w:rPr>
  </w:style>
  <w:style w:type="paragraph" w:styleId="Header">
    <w:name w:val="header"/>
    <w:basedOn w:val="HeadingBaseStyle"/>
    <w:link w:val="HeaderChar"/>
    <w:rsid w:val="00C80F33"/>
    <w:pPr>
      <w:jc w:val="center"/>
    </w:pPr>
    <w:rPr>
      <w:sz w:val="18"/>
    </w:rPr>
  </w:style>
  <w:style w:type="paragraph" w:customStyle="1" w:styleId="TableHeading1">
    <w:name w:val="Table Heading 1"/>
    <w:basedOn w:val="HeadingBaseStyle"/>
    <w:next w:val="Tablegraphic"/>
    <w:rsid w:val="00C80F33"/>
    <w:pPr>
      <w:spacing w:before="120" w:after="20"/>
      <w:jc w:val="center"/>
    </w:pPr>
    <w:rPr>
      <w:sz w:val="24"/>
    </w:rPr>
  </w:style>
  <w:style w:type="paragraph" w:customStyle="1" w:styleId="Tablegraphic">
    <w:name w:val="Table graphic"/>
    <w:basedOn w:val="HeadingBaseStyle"/>
    <w:next w:val="Normal"/>
    <w:rsid w:val="00C80F33"/>
    <w:pPr>
      <w:spacing w:after="20"/>
      <w:ind w:right="-113"/>
    </w:pPr>
    <w:rPr>
      <w:color w:val="auto"/>
      <w:sz w:val="24"/>
    </w:rPr>
  </w:style>
  <w:style w:type="paragraph" w:customStyle="1" w:styleId="TableColumnHeadingCentred">
    <w:name w:val="Table Column Heading Centred"/>
    <w:basedOn w:val="TableTextBase"/>
    <w:rsid w:val="00C80F33"/>
    <w:pPr>
      <w:tabs>
        <w:tab w:val="left" w:pos="1987"/>
      </w:tabs>
      <w:jc w:val="center"/>
    </w:pPr>
    <w:rPr>
      <w:rFonts w:ascii="Arial Bold" w:hAnsi="Arial Bold"/>
      <w:b/>
    </w:rPr>
  </w:style>
  <w:style w:type="paragraph" w:styleId="Footer">
    <w:name w:val="footer"/>
    <w:basedOn w:val="Normal"/>
    <w:link w:val="FooterChar"/>
    <w:uiPriority w:val="99"/>
    <w:rsid w:val="00C80F33"/>
    <w:pPr>
      <w:tabs>
        <w:tab w:val="right" w:pos="5670"/>
      </w:tabs>
      <w:spacing w:after="0"/>
      <w:jc w:val="right"/>
    </w:pPr>
    <w:rPr>
      <w:rFonts w:ascii="Arial" w:hAnsi="Arial"/>
      <w:color w:val="003157"/>
      <w:sz w:val="18"/>
    </w:rPr>
  </w:style>
  <w:style w:type="paragraph" w:styleId="Index1">
    <w:name w:val="index 1"/>
    <w:basedOn w:val="Normal"/>
    <w:next w:val="Normal"/>
    <w:autoRedefine/>
    <w:semiHidden/>
    <w:rsid w:val="00C80F33"/>
    <w:pPr>
      <w:spacing w:after="0"/>
      <w:ind w:left="238" w:hanging="238"/>
    </w:pPr>
  </w:style>
  <w:style w:type="paragraph" w:styleId="TOC1">
    <w:name w:val="toc 1"/>
    <w:basedOn w:val="Normal"/>
    <w:next w:val="Normal"/>
    <w:uiPriority w:val="39"/>
    <w:rsid w:val="00C80F33"/>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C80F33"/>
    <w:pPr>
      <w:widowControl w:val="0"/>
      <w:tabs>
        <w:tab w:val="right" w:leader="dot" w:pos="9299"/>
      </w:tabs>
      <w:adjustRightInd w:val="0"/>
      <w:spacing w:before="120" w:after="0"/>
      <w:ind w:left="567" w:right="567"/>
      <w:textAlignment w:val="baseline"/>
    </w:pPr>
    <w:rPr>
      <w:sz w:val="24"/>
    </w:rPr>
  </w:style>
  <w:style w:type="paragraph" w:customStyle="1" w:styleId="BoxHeading">
    <w:name w:val="Box Heading"/>
    <w:basedOn w:val="HeadingBaseStyle"/>
    <w:next w:val="Normal"/>
    <w:rsid w:val="00C80F33"/>
    <w:pPr>
      <w:spacing w:before="240" w:after="240"/>
    </w:pPr>
    <w:rPr>
      <w:sz w:val="24"/>
    </w:rPr>
  </w:style>
  <w:style w:type="paragraph" w:styleId="Index2">
    <w:name w:val="index 2"/>
    <w:basedOn w:val="Normal"/>
    <w:next w:val="Normal"/>
    <w:autoRedefine/>
    <w:semiHidden/>
    <w:rsid w:val="00C80F33"/>
    <w:pPr>
      <w:spacing w:after="0"/>
      <w:ind w:left="480" w:hanging="240"/>
    </w:pPr>
    <w:rPr>
      <w:sz w:val="20"/>
    </w:rPr>
  </w:style>
  <w:style w:type="paragraph" w:customStyle="1" w:styleId="Note">
    <w:name w:val="Note"/>
    <w:basedOn w:val="HeadingBaseStyle"/>
    <w:next w:val="Normal"/>
    <w:rsid w:val="00C80F33"/>
    <w:pPr>
      <w:tabs>
        <w:tab w:val="left" w:pos="284"/>
      </w:tabs>
      <w:spacing w:line="260" w:lineRule="exact"/>
    </w:pPr>
    <w:rPr>
      <w:rFonts w:asciiTheme="minorHAnsi" w:hAnsiTheme="minorHAnsi"/>
      <w:color w:val="000000"/>
      <w:sz w:val="20"/>
    </w:rPr>
  </w:style>
  <w:style w:type="character" w:customStyle="1" w:styleId="NormalBold">
    <w:name w:val="Normal Bold"/>
    <w:basedOn w:val="DefaultParagraphFont"/>
    <w:rsid w:val="00C80F33"/>
    <w:rPr>
      <w:rFonts w:ascii="Calibri" w:hAnsi="Calibri"/>
      <w:b/>
      <w:sz w:val="22"/>
    </w:rPr>
  </w:style>
  <w:style w:type="paragraph" w:styleId="FootnoteText">
    <w:name w:val="footnote text"/>
    <w:basedOn w:val="Normal"/>
    <w:link w:val="FootnoteTextChar"/>
    <w:rsid w:val="00C80F33"/>
    <w:pPr>
      <w:tabs>
        <w:tab w:val="left" w:pos="567"/>
      </w:tabs>
      <w:spacing w:after="0" w:line="240" w:lineRule="auto"/>
      <w:ind w:left="567" w:hanging="567"/>
    </w:pPr>
  </w:style>
  <w:style w:type="paragraph" w:customStyle="1" w:styleId="TableHeadingcontinued">
    <w:name w:val="Table Heading continued"/>
    <w:basedOn w:val="HeadingBaseStyle"/>
    <w:next w:val="Tablegraphic"/>
    <w:rsid w:val="00C80F33"/>
    <w:pPr>
      <w:jc w:val="center"/>
    </w:pPr>
  </w:style>
  <w:style w:type="paragraph" w:styleId="TOC4">
    <w:name w:val="toc 4"/>
    <w:basedOn w:val="Normal"/>
    <w:next w:val="Normal"/>
    <w:autoRedefine/>
    <w:rsid w:val="00C80F33"/>
    <w:pPr>
      <w:tabs>
        <w:tab w:val="left" w:pos="1531"/>
        <w:tab w:val="right" w:leader="dot" w:pos="7711"/>
      </w:tabs>
      <w:spacing w:after="120"/>
      <w:ind w:left="1560" w:hanging="959"/>
    </w:pPr>
    <w:rPr>
      <w:noProof/>
    </w:rPr>
  </w:style>
  <w:style w:type="character" w:styleId="PageNumber">
    <w:name w:val="page number"/>
    <w:basedOn w:val="DefaultParagraphFont"/>
    <w:rsid w:val="00C80F33"/>
    <w:rPr>
      <w:rFonts w:asciiTheme="minorHAnsi" w:hAnsiTheme="minorHAnsi"/>
      <w:color w:val="003057"/>
      <w:sz w:val="22"/>
    </w:rPr>
  </w:style>
  <w:style w:type="paragraph" w:customStyle="1" w:styleId="Captiongraphic">
    <w:name w:val="Caption graphic"/>
    <w:basedOn w:val="HeadingBaseStyle"/>
    <w:next w:val="Normal"/>
    <w:rsid w:val="00C80F33"/>
    <w:pPr>
      <w:spacing w:after="20"/>
      <w:jc w:val="center"/>
    </w:pPr>
    <w:rPr>
      <w:color w:val="auto"/>
      <w:sz w:val="24"/>
    </w:rPr>
  </w:style>
  <w:style w:type="paragraph" w:customStyle="1" w:styleId="Bullet">
    <w:name w:val="Bullet"/>
    <w:basedOn w:val="Normal"/>
    <w:rsid w:val="00C80F33"/>
    <w:pPr>
      <w:keepNext/>
      <w:numPr>
        <w:numId w:val="6"/>
      </w:numPr>
    </w:pPr>
  </w:style>
  <w:style w:type="paragraph" w:customStyle="1" w:styleId="Dash">
    <w:name w:val="Dash"/>
    <w:basedOn w:val="Normal"/>
    <w:rsid w:val="00C80F33"/>
    <w:pPr>
      <w:numPr>
        <w:ilvl w:val="1"/>
        <w:numId w:val="6"/>
      </w:numPr>
    </w:pPr>
  </w:style>
  <w:style w:type="paragraph" w:customStyle="1" w:styleId="DoubleDot">
    <w:name w:val="Double Dot"/>
    <w:basedOn w:val="Dash"/>
    <w:rsid w:val="00C80F33"/>
    <w:pPr>
      <w:numPr>
        <w:ilvl w:val="2"/>
      </w:numPr>
    </w:pPr>
  </w:style>
  <w:style w:type="paragraph" w:styleId="TOC3">
    <w:name w:val="toc 3"/>
    <w:basedOn w:val="Normal"/>
    <w:next w:val="Normal"/>
    <w:autoRedefine/>
    <w:rsid w:val="00C80F33"/>
    <w:pPr>
      <w:tabs>
        <w:tab w:val="left" w:pos="2268"/>
        <w:tab w:val="right" w:leader="dot" w:pos="9299"/>
      </w:tabs>
      <w:spacing w:before="60" w:after="0"/>
      <w:ind w:left="1418" w:right="567"/>
    </w:pPr>
    <w:rPr>
      <w:rFonts w:ascii="Arial" w:hAnsi="Arial"/>
      <w:noProof/>
    </w:rPr>
  </w:style>
  <w:style w:type="paragraph" w:customStyle="1" w:styleId="SingleParagraph">
    <w:name w:val="Single Paragraph"/>
    <w:basedOn w:val="Normal"/>
    <w:rsid w:val="00C80F33"/>
    <w:pPr>
      <w:spacing w:after="0"/>
    </w:pPr>
  </w:style>
  <w:style w:type="paragraph" w:styleId="TOC7">
    <w:name w:val="toc 7"/>
    <w:basedOn w:val="Normal"/>
    <w:next w:val="Normal"/>
    <w:autoRedefine/>
    <w:semiHidden/>
    <w:rsid w:val="00C80F33"/>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C80F33"/>
    <w:pPr>
      <w:tabs>
        <w:tab w:val="right" w:leader="dot" w:pos="7711"/>
      </w:tabs>
      <w:spacing w:after="0"/>
      <w:ind w:left="1134"/>
    </w:pPr>
    <w:rPr>
      <w:noProof/>
    </w:rPr>
  </w:style>
  <w:style w:type="paragraph" w:styleId="IndexHeading">
    <w:name w:val="index heading"/>
    <w:basedOn w:val="Normal"/>
    <w:next w:val="Index1"/>
    <w:semiHidden/>
    <w:rsid w:val="00C80F33"/>
    <w:pPr>
      <w:pBdr>
        <w:top w:val="single" w:sz="12" w:space="0" w:color="auto"/>
      </w:pBdr>
      <w:spacing w:before="360"/>
    </w:pPr>
    <w:rPr>
      <w:rFonts w:ascii="Times New Roman" w:hAnsi="Times New Roman"/>
      <w:b/>
      <w:i/>
    </w:rPr>
  </w:style>
  <w:style w:type="character" w:customStyle="1" w:styleId="Normalitalics">
    <w:name w:val="Normal italics"/>
    <w:basedOn w:val="DefaultParagraphFont"/>
    <w:rsid w:val="00C80F33"/>
    <w:rPr>
      <w:i/>
    </w:rPr>
  </w:style>
  <w:style w:type="paragraph" w:customStyle="1" w:styleId="Indented">
    <w:name w:val="Indented"/>
    <w:basedOn w:val="Normal"/>
    <w:rsid w:val="00C80F33"/>
    <w:pPr>
      <w:ind w:left="851"/>
    </w:pPr>
  </w:style>
  <w:style w:type="paragraph" w:customStyle="1" w:styleId="TableTextBase">
    <w:name w:val="Table Text Base"/>
    <w:rsid w:val="00C80F33"/>
    <w:pPr>
      <w:spacing w:before="40" w:after="40"/>
    </w:pPr>
    <w:rPr>
      <w:rFonts w:asciiTheme="minorHAnsi" w:hAnsiTheme="minorHAnsi"/>
    </w:rPr>
  </w:style>
  <w:style w:type="paragraph" w:customStyle="1" w:styleId="Tabletextleft">
    <w:name w:val="Table text left"/>
    <w:basedOn w:val="TableTextBase"/>
    <w:rsid w:val="00C80F33"/>
  </w:style>
  <w:style w:type="paragraph" w:customStyle="1" w:styleId="Tabletextcentred">
    <w:name w:val="Table text centred"/>
    <w:basedOn w:val="TableTextBase"/>
    <w:rsid w:val="00C80F33"/>
    <w:pPr>
      <w:jc w:val="center"/>
    </w:pPr>
  </w:style>
  <w:style w:type="paragraph" w:customStyle="1" w:styleId="TableTextRight">
    <w:name w:val="Table Text Right"/>
    <w:basedOn w:val="TableTextBase"/>
    <w:rsid w:val="00C80F33"/>
    <w:pPr>
      <w:jc w:val="right"/>
    </w:pPr>
  </w:style>
  <w:style w:type="paragraph" w:customStyle="1" w:styleId="CaptionHeading1">
    <w:name w:val="Caption Heading 1"/>
    <w:basedOn w:val="Normal"/>
    <w:next w:val="Captiongraphic"/>
    <w:rsid w:val="00C80F33"/>
    <w:pPr>
      <w:keepNext/>
      <w:spacing w:before="120" w:after="0"/>
      <w:jc w:val="center"/>
    </w:pPr>
    <w:rPr>
      <w:rFonts w:ascii="Arial" w:hAnsi="Arial"/>
      <w:color w:val="003157"/>
      <w:sz w:val="24"/>
    </w:rPr>
  </w:style>
  <w:style w:type="paragraph" w:customStyle="1" w:styleId="Noteitalics">
    <w:name w:val="Note italics"/>
    <w:basedOn w:val="Note"/>
    <w:rsid w:val="00C80F33"/>
    <w:rPr>
      <w:i/>
    </w:rPr>
  </w:style>
  <w:style w:type="character" w:styleId="FootnoteReference">
    <w:name w:val="footnote reference"/>
    <w:basedOn w:val="DefaultParagraphFont"/>
    <w:rsid w:val="00C80F33"/>
    <w:rPr>
      <w:vertAlign w:val="superscript"/>
    </w:rPr>
  </w:style>
  <w:style w:type="paragraph" w:customStyle="1" w:styleId="NumberedParagraph">
    <w:name w:val="Numbered Paragraph"/>
    <w:basedOn w:val="Normal"/>
    <w:autoRedefine/>
    <w:rsid w:val="00C80F33"/>
    <w:pPr>
      <w:numPr>
        <w:numId w:val="5"/>
      </w:numPr>
    </w:pPr>
  </w:style>
  <w:style w:type="paragraph" w:customStyle="1" w:styleId="CaptionandTableFootnoteAlpha">
    <w:name w:val="Caption and Table Footnote Alpha"/>
    <w:basedOn w:val="HeadingBaseStyle"/>
    <w:next w:val="Normal"/>
    <w:rsid w:val="00C80F33"/>
    <w:pPr>
      <w:numPr>
        <w:numId w:val="1"/>
      </w:numPr>
      <w:spacing w:line="260" w:lineRule="exact"/>
    </w:pPr>
    <w:rPr>
      <w:rFonts w:asciiTheme="minorHAnsi" w:hAnsiTheme="minorHAnsi"/>
      <w:color w:val="auto"/>
      <w:kern w:val="28"/>
      <w:sz w:val="20"/>
    </w:rPr>
  </w:style>
  <w:style w:type="paragraph" w:customStyle="1" w:styleId="AuthorName">
    <w:name w:val="Author Name"/>
    <w:basedOn w:val="Normal"/>
    <w:rsid w:val="00C80F33"/>
    <w:pPr>
      <w:spacing w:before="120" w:after="120"/>
      <w:jc w:val="center"/>
    </w:pPr>
    <w:rPr>
      <w:rFonts w:ascii="Arial Bold" w:hAnsi="Arial Bold"/>
      <w:b/>
      <w:sz w:val="24"/>
    </w:rPr>
  </w:style>
  <w:style w:type="paragraph" w:styleId="Title">
    <w:name w:val="Title"/>
    <w:basedOn w:val="HeadingBaseStyle"/>
    <w:link w:val="TitleChar"/>
    <w:autoRedefine/>
    <w:qFormat/>
    <w:rsid w:val="00C80F33"/>
    <w:pPr>
      <w:spacing w:before="1200" w:after="480"/>
      <w:jc w:val="center"/>
    </w:pPr>
    <w:rPr>
      <w:rFonts w:ascii="Arial Bold" w:hAnsi="Arial Bold"/>
      <w:b/>
      <w:smallCaps/>
      <w:kern w:val="28"/>
      <w:sz w:val="56"/>
    </w:rPr>
  </w:style>
  <w:style w:type="paragraph" w:customStyle="1" w:styleId="ContentsHeading">
    <w:name w:val="Contents Heading"/>
    <w:basedOn w:val="Normal"/>
    <w:next w:val="Normal"/>
    <w:rsid w:val="00C80F33"/>
    <w:pPr>
      <w:spacing w:after="360"/>
      <w:jc w:val="center"/>
    </w:pPr>
    <w:rPr>
      <w:rFonts w:ascii="Arial Bold" w:hAnsi="Arial Bold"/>
      <w:b/>
      <w:smallCaps/>
      <w:color w:val="003157"/>
      <w:kern w:val="28"/>
      <w:sz w:val="36"/>
    </w:rPr>
  </w:style>
  <w:style w:type="paragraph" w:styleId="NormalIndent">
    <w:name w:val="Normal Indent"/>
    <w:basedOn w:val="Normal"/>
    <w:rsid w:val="00C80F33"/>
    <w:pPr>
      <w:ind w:left="567"/>
    </w:pPr>
    <w:rPr>
      <w:rFonts w:ascii="Book Antiqua" w:hAnsi="Book Antiqua"/>
      <w:sz w:val="20"/>
    </w:rPr>
  </w:style>
  <w:style w:type="paragraph" w:styleId="TOC5">
    <w:name w:val="toc 5"/>
    <w:basedOn w:val="Normal"/>
    <w:next w:val="Normal"/>
    <w:autoRedefine/>
    <w:semiHidden/>
    <w:rsid w:val="00C80F33"/>
    <w:pPr>
      <w:ind w:left="1040"/>
    </w:pPr>
  </w:style>
  <w:style w:type="paragraph" w:styleId="Subtitle">
    <w:name w:val="Subtitle"/>
    <w:basedOn w:val="HeadingBaseStyle"/>
    <w:link w:val="SubtitleChar"/>
    <w:qFormat/>
    <w:rsid w:val="00C80F33"/>
    <w:pPr>
      <w:spacing w:before="360" w:after="360"/>
      <w:jc w:val="center"/>
      <w:outlineLvl w:val="1"/>
    </w:pPr>
    <w:rPr>
      <w:rFonts w:ascii="Arial Bold" w:hAnsi="Arial Bold"/>
      <w:b/>
      <w:color w:val="auto"/>
      <w:sz w:val="40"/>
    </w:rPr>
  </w:style>
  <w:style w:type="paragraph" w:customStyle="1" w:styleId="SeriesNumber">
    <w:name w:val="Series Number"/>
    <w:basedOn w:val="HeadingBaseStyle"/>
    <w:rsid w:val="00C80F33"/>
    <w:pPr>
      <w:spacing w:after="300"/>
      <w:jc w:val="center"/>
    </w:pPr>
    <w:rPr>
      <w:rFonts w:ascii="Arial Bold" w:hAnsi="Arial Bold"/>
      <w:b/>
      <w:color w:val="auto"/>
      <w:sz w:val="32"/>
    </w:rPr>
  </w:style>
  <w:style w:type="paragraph" w:customStyle="1" w:styleId="SeriesMonth">
    <w:name w:val="Series Month"/>
    <w:basedOn w:val="HeadingBaseStyle"/>
    <w:rsid w:val="00C80F33"/>
    <w:pPr>
      <w:spacing w:after="240"/>
      <w:jc w:val="center"/>
    </w:pPr>
    <w:rPr>
      <w:rFonts w:ascii="Arial Bold" w:hAnsi="Arial Bold"/>
      <w:b/>
      <w:color w:val="auto"/>
      <w:sz w:val="32"/>
    </w:rPr>
  </w:style>
  <w:style w:type="paragraph" w:customStyle="1" w:styleId="Acknowledgement">
    <w:name w:val="Acknowledgement"/>
    <w:basedOn w:val="Normal"/>
    <w:rsid w:val="00C80F33"/>
    <w:pPr>
      <w:spacing w:after="0"/>
    </w:pPr>
  </w:style>
  <w:style w:type="paragraph" w:customStyle="1" w:styleId="ClassificationandMetadata">
    <w:name w:val="Classification and Metadata"/>
    <w:basedOn w:val="HeadingBaseStyle"/>
    <w:rsid w:val="00C80F33"/>
    <w:pPr>
      <w:spacing w:after="240" w:line="260" w:lineRule="exact"/>
    </w:pPr>
    <w:rPr>
      <w:color w:val="auto"/>
      <w:sz w:val="24"/>
    </w:rPr>
  </w:style>
  <w:style w:type="paragraph" w:styleId="TOC6">
    <w:name w:val="toc 6"/>
    <w:basedOn w:val="Normal"/>
    <w:next w:val="Normal"/>
    <w:autoRedefine/>
    <w:semiHidden/>
    <w:rsid w:val="00C80F33"/>
    <w:pPr>
      <w:ind w:left="1300"/>
    </w:pPr>
  </w:style>
  <w:style w:type="paragraph" w:styleId="TOC9">
    <w:name w:val="toc 9"/>
    <w:basedOn w:val="Normal"/>
    <w:next w:val="Normal"/>
    <w:autoRedefine/>
    <w:semiHidden/>
    <w:rsid w:val="00C80F33"/>
    <w:pPr>
      <w:ind w:left="2080"/>
    </w:pPr>
  </w:style>
  <w:style w:type="paragraph" w:customStyle="1" w:styleId="References">
    <w:name w:val="References"/>
    <w:basedOn w:val="Normal"/>
    <w:rsid w:val="00C80F33"/>
    <w:pPr>
      <w:widowControl w:val="0"/>
      <w:adjustRightInd w:val="0"/>
      <w:textAlignment w:val="baseline"/>
    </w:pPr>
  </w:style>
  <w:style w:type="paragraph" w:customStyle="1" w:styleId="Attachment">
    <w:name w:val="Attachment"/>
    <w:basedOn w:val="HeadingBaseStyle"/>
    <w:next w:val="Normal"/>
    <w:rsid w:val="00C80F33"/>
    <w:pPr>
      <w:spacing w:before="480" w:after="360"/>
    </w:pPr>
    <w:rPr>
      <w:rFonts w:ascii="Arial Bold" w:hAnsi="Arial Bold"/>
      <w:b/>
      <w:smallCaps/>
      <w:sz w:val="32"/>
    </w:rPr>
  </w:style>
  <w:style w:type="paragraph" w:customStyle="1" w:styleId="CaptionHeading2">
    <w:name w:val="Caption Heading 2"/>
    <w:basedOn w:val="Normal"/>
    <w:rsid w:val="00C80F33"/>
    <w:pPr>
      <w:keepNext/>
      <w:spacing w:after="0"/>
      <w:jc w:val="center"/>
    </w:pPr>
    <w:rPr>
      <w:rFonts w:ascii="Arial" w:hAnsi="Arial"/>
      <w:color w:val="003157"/>
      <w:sz w:val="20"/>
    </w:rPr>
  </w:style>
  <w:style w:type="paragraph" w:customStyle="1" w:styleId="Heading2NotNumbered">
    <w:name w:val="Heading 2 Not Numbered"/>
    <w:basedOn w:val="Heading2"/>
    <w:rsid w:val="00C80F33"/>
    <w:pPr>
      <w:numPr>
        <w:numId w:val="0"/>
      </w:numPr>
    </w:pPr>
  </w:style>
  <w:style w:type="paragraph" w:customStyle="1" w:styleId="CaptionHeading3">
    <w:name w:val="Caption Heading 3"/>
    <w:basedOn w:val="CaptionHeading2"/>
    <w:next w:val="Captiongraphic"/>
    <w:rsid w:val="00C80F33"/>
    <w:rPr>
      <w:rFonts w:ascii="Arial Bold" w:hAnsi="Arial Bold"/>
      <w:b/>
      <w:color w:val="000000"/>
    </w:rPr>
  </w:style>
  <w:style w:type="paragraph" w:customStyle="1" w:styleId="Tableheading2">
    <w:name w:val="Table heading 2"/>
    <w:basedOn w:val="TableHeading1"/>
    <w:next w:val="Tablegraphic"/>
    <w:rsid w:val="00C80F33"/>
    <w:pPr>
      <w:spacing w:before="0"/>
    </w:pPr>
    <w:rPr>
      <w:sz w:val="22"/>
    </w:rPr>
  </w:style>
  <w:style w:type="paragraph" w:customStyle="1" w:styleId="AppendixHeadingNotNumbered">
    <w:name w:val="Appendix Heading Not Numbered"/>
    <w:basedOn w:val="HeadingBaseStyle"/>
    <w:rsid w:val="00C80F33"/>
    <w:pPr>
      <w:numPr>
        <w:numId w:val="3"/>
      </w:numPr>
      <w:spacing w:before="480" w:after="320"/>
    </w:pPr>
    <w:rPr>
      <w:b/>
      <w:smallCaps/>
      <w:sz w:val="32"/>
      <w:szCs w:val="28"/>
    </w:rPr>
  </w:style>
  <w:style w:type="paragraph" w:customStyle="1" w:styleId="AppendixHeadingLevel2">
    <w:name w:val="Appendix Heading Level 2"/>
    <w:basedOn w:val="AppendixHeadingNotNumbered"/>
    <w:next w:val="Normal"/>
    <w:rsid w:val="00C80F33"/>
    <w:pPr>
      <w:numPr>
        <w:ilvl w:val="1"/>
      </w:numPr>
    </w:pPr>
  </w:style>
  <w:style w:type="paragraph" w:customStyle="1" w:styleId="AppendixHeadingLevel3">
    <w:name w:val="Appendix Heading Level 3"/>
    <w:basedOn w:val="Heading3"/>
    <w:next w:val="Normal"/>
    <w:rsid w:val="00C80F33"/>
    <w:pPr>
      <w:numPr>
        <w:ilvl w:val="2"/>
        <w:numId w:val="3"/>
      </w:numPr>
    </w:pPr>
  </w:style>
  <w:style w:type="paragraph" w:customStyle="1" w:styleId="AppendixHeadingLevel4">
    <w:name w:val="Appendix Heading Level 4"/>
    <w:basedOn w:val="Heading4"/>
    <w:next w:val="Normal"/>
    <w:rsid w:val="00C80F33"/>
    <w:pPr>
      <w:numPr>
        <w:ilvl w:val="3"/>
        <w:numId w:val="3"/>
      </w:numPr>
    </w:pPr>
  </w:style>
  <w:style w:type="paragraph" w:customStyle="1" w:styleId="Alphanumbered">
    <w:name w:val="Alpha numbered"/>
    <w:basedOn w:val="Normal"/>
    <w:rsid w:val="00C80F33"/>
    <w:pPr>
      <w:numPr>
        <w:numId w:val="4"/>
      </w:numPr>
    </w:pPr>
  </w:style>
  <w:style w:type="paragraph" w:customStyle="1" w:styleId="TableColumnHeadingLeft">
    <w:name w:val="Table Column Heading Left"/>
    <w:basedOn w:val="TableTextBase"/>
    <w:rsid w:val="00C80F33"/>
    <w:rPr>
      <w:b/>
    </w:rPr>
  </w:style>
  <w:style w:type="paragraph" w:customStyle="1" w:styleId="TableColumnHeadingRight">
    <w:name w:val="Table Column Heading Right"/>
    <w:basedOn w:val="TableTextBase"/>
    <w:rsid w:val="00C80F33"/>
    <w:pPr>
      <w:jc w:val="right"/>
    </w:pPr>
    <w:rPr>
      <w:b/>
    </w:rPr>
  </w:style>
  <w:style w:type="paragraph" w:customStyle="1" w:styleId="Equation">
    <w:name w:val="Equation"/>
    <w:basedOn w:val="Normal"/>
    <w:next w:val="Normal"/>
    <w:rsid w:val="00C80F33"/>
    <w:pPr>
      <w:spacing w:before="120" w:after="120"/>
      <w:ind w:left="357"/>
    </w:pPr>
    <w:rPr>
      <w:rFonts w:ascii="Times New Roman" w:hAnsi="Times New Roman"/>
    </w:rPr>
  </w:style>
  <w:style w:type="character" w:customStyle="1" w:styleId="Heading1Char">
    <w:name w:val="Heading 1 Char"/>
    <w:basedOn w:val="DefaultParagraphFont"/>
    <w:link w:val="Heading1"/>
    <w:locked/>
    <w:rsid w:val="00C80F33"/>
    <w:rPr>
      <w:rFonts w:ascii="Arial Bold" w:eastAsiaTheme="minorHAnsi" w:hAnsi="Arial Bold" w:cstheme="minorBidi"/>
      <w:b/>
      <w:smallCaps/>
      <w:color w:val="003157"/>
      <w:sz w:val="36"/>
      <w:szCs w:val="22"/>
      <w:lang w:eastAsia="en-US"/>
    </w:rPr>
  </w:style>
  <w:style w:type="character" w:customStyle="1" w:styleId="Heading2Char">
    <w:name w:val="Heading 2 Char"/>
    <w:basedOn w:val="DefaultParagraphFont"/>
    <w:link w:val="Heading2"/>
    <w:locked/>
    <w:rsid w:val="00A540B1"/>
    <w:rPr>
      <w:rFonts w:ascii="Arial Bold" w:eastAsiaTheme="minorHAnsi" w:hAnsi="Arial Bold" w:cstheme="minorBidi"/>
      <w:b/>
      <w:smallCaps/>
      <w:color w:val="003157"/>
      <w:sz w:val="32"/>
      <w:szCs w:val="22"/>
      <w:lang w:eastAsia="en-US"/>
    </w:rPr>
  </w:style>
  <w:style w:type="character" w:customStyle="1" w:styleId="Heading3Char">
    <w:name w:val="Heading 3 Char"/>
    <w:basedOn w:val="DefaultParagraphFont"/>
    <w:link w:val="Heading3"/>
    <w:locked/>
    <w:rsid w:val="00C80F33"/>
    <w:rPr>
      <w:rFonts w:ascii="Arial" w:hAnsi="Arial"/>
      <w:color w:val="003157"/>
      <w:sz w:val="28"/>
      <w:lang w:val="en-US"/>
    </w:rPr>
  </w:style>
  <w:style w:type="character" w:customStyle="1" w:styleId="Heading5Char">
    <w:name w:val="Heading 5 Char"/>
    <w:basedOn w:val="DefaultParagraphFont"/>
    <w:link w:val="Heading5"/>
    <w:locked/>
    <w:rsid w:val="00C80F33"/>
    <w:rPr>
      <w:rFonts w:ascii="Arial" w:eastAsiaTheme="minorHAnsi" w:hAnsi="Arial" w:cstheme="minorBidi"/>
      <w:i/>
      <w:color w:val="003157"/>
      <w:sz w:val="22"/>
      <w:szCs w:val="22"/>
      <w:lang w:eastAsia="en-US"/>
    </w:rPr>
  </w:style>
  <w:style w:type="paragraph" w:styleId="BalloonText">
    <w:name w:val="Balloon Text"/>
    <w:basedOn w:val="Normal"/>
    <w:link w:val="BalloonTextChar"/>
    <w:rsid w:val="00C80F33"/>
    <w:pPr>
      <w:spacing w:after="0"/>
    </w:pPr>
    <w:rPr>
      <w:rFonts w:ascii="Tahoma" w:hAnsi="Tahoma" w:cs="Tahoma"/>
      <w:sz w:val="16"/>
      <w:szCs w:val="16"/>
    </w:rPr>
  </w:style>
  <w:style w:type="character" w:customStyle="1" w:styleId="BalloonTextChar">
    <w:name w:val="Balloon Text Char"/>
    <w:basedOn w:val="DefaultParagraphFont"/>
    <w:link w:val="BalloonText"/>
    <w:rsid w:val="00C80F33"/>
    <w:rPr>
      <w:rFonts w:ascii="Tahoma" w:eastAsiaTheme="minorHAnsi" w:hAnsi="Tahoma" w:cs="Tahoma"/>
      <w:sz w:val="16"/>
      <w:szCs w:val="16"/>
      <w:lang w:eastAsia="en-US"/>
    </w:rPr>
  </w:style>
  <w:style w:type="character" w:customStyle="1" w:styleId="TitleChar">
    <w:name w:val="Title Char"/>
    <w:basedOn w:val="DefaultParagraphFont"/>
    <w:link w:val="Title"/>
    <w:locked/>
    <w:rsid w:val="00C80F33"/>
    <w:rPr>
      <w:rFonts w:ascii="Arial Bold" w:eastAsiaTheme="minorHAnsi" w:hAnsi="Arial Bold" w:cstheme="minorBidi"/>
      <w:b/>
      <w:smallCaps/>
      <w:color w:val="003157"/>
      <w:kern w:val="28"/>
      <w:sz w:val="56"/>
      <w:szCs w:val="22"/>
      <w:lang w:eastAsia="en-US"/>
    </w:rPr>
  </w:style>
  <w:style w:type="character" w:customStyle="1" w:styleId="SubtitleChar">
    <w:name w:val="Subtitle Char"/>
    <w:basedOn w:val="DefaultParagraphFont"/>
    <w:link w:val="Subtitle"/>
    <w:locked/>
    <w:rsid w:val="00C80F33"/>
    <w:rPr>
      <w:rFonts w:ascii="Arial Bold" w:eastAsiaTheme="minorHAnsi" w:hAnsi="Arial Bold" w:cstheme="minorBidi"/>
      <w:b/>
      <w:sz w:val="40"/>
      <w:szCs w:val="22"/>
      <w:lang w:eastAsia="en-US"/>
    </w:rPr>
  </w:style>
  <w:style w:type="character" w:styleId="PlaceholderText">
    <w:name w:val="Placeholder Text"/>
    <w:basedOn w:val="DefaultParagraphFont"/>
    <w:uiPriority w:val="99"/>
    <w:semiHidden/>
    <w:rsid w:val="00C80F33"/>
    <w:rPr>
      <w:color w:val="808080"/>
    </w:rPr>
  </w:style>
  <w:style w:type="paragraph" w:styleId="NoSpacing">
    <w:name w:val="No Spacing"/>
    <w:link w:val="NoSpacingChar"/>
    <w:uiPriority w:val="1"/>
    <w:rsid w:val="00C80F33"/>
    <w:pPr>
      <w:jc w:val="both"/>
    </w:pPr>
    <w:rPr>
      <w:rFonts w:ascii="Palatino Linotype" w:hAnsi="Palatino Linotype"/>
      <w:color w:val="000000"/>
      <w:sz w:val="26"/>
    </w:rPr>
  </w:style>
  <w:style w:type="character" w:customStyle="1" w:styleId="FooterChar">
    <w:name w:val="Footer Char"/>
    <w:basedOn w:val="DefaultParagraphFont"/>
    <w:link w:val="Footer"/>
    <w:uiPriority w:val="99"/>
    <w:rsid w:val="00C80F33"/>
    <w:rPr>
      <w:rFonts w:ascii="Arial" w:eastAsiaTheme="minorHAnsi" w:hAnsi="Arial" w:cstheme="minorBidi"/>
      <w:color w:val="003157"/>
      <w:sz w:val="18"/>
      <w:szCs w:val="22"/>
      <w:lang w:eastAsia="en-US"/>
    </w:rPr>
  </w:style>
  <w:style w:type="character" w:customStyle="1" w:styleId="MTEquationSection">
    <w:name w:val="MTEquationSection"/>
    <w:basedOn w:val="DefaultParagraphFont"/>
    <w:rsid w:val="00C80F33"/>
    <w:rPr>
      <w:vanish w:val="0"/>
      <w:color w:val="FF0000"/>
    </w:rPr>
  </w:style>
  <w:style w:type="paragraph" w:customStyle="1" w:styleId="MTDisplayEquation">
    <w:name w:val="MTDisplayEquation"/>
    <w:basedOn w:val="Normal"/>
    <w:next w:val="Normal"/>
    <w:link w:val="MTDisplayEquationChar"/>
    <w:rsid w:val="00C80F33"/>
    <w:pPr>
      <w:tabs>
        <w:tab w:val="center" w:pos="4640"/>
        <w:tab w:val="right" w:pos="9300"/>
      </w:tabs>
    </w:pPr>
  </w:style>
  <w:style w:type="character" w:customStyle="1" w:styleId="MTDisplayEquationChar">
    <w:name w:val="MTDisplayEquation Char"/>
    <w:basedOn w:val="DefaultParagraphFont"/>
    <w:link w:val="MTDisplayEquation"/>
    <w:rsid w:val="00C80F33"/>
    <w:rPr>
      <w:rFonts w:ascii="Calibri" w:eastAsiaTheme="minorHAnsi" w:hAnsi="Calibri" w:cstheme="minorBidi"/>
      <w:sz w:val="22"/>
      <w:szCs w:val="22"/>
      <w:lang w:eastAsia="en-US"/>
    </w:rPr>
  </w:style>
  <w:style w:type="paragraph" w:styleId="NormalWeb">
    <w:name w:val="Normal (Web)"/>
    <w:basedOn w:val="Normal"/>
    <w:uiPriority w:val="99"/>
    <w:unhideWhenUsed/>
    <w:rsid w:val="00C80F33"/>
    <w:pPr>
      <w:spacing w:before="100" w:beforeAutospacing="1" w:after="100" w:afterAutospacing="1"/>
    </w:pPr>
    <w:rPr>
      <w:rFonts w:ascii="Times New Roman" w:hAnsi="Times New Roman"/>
      <w:szCs w:val="24"/>
    </w:rPr>
  </w:style>
  <w:style w:type="character" w:styleId="Emphasis">
    <w:name w:val="Emphasis"/>
    <w:basedOn w:val="DefaultParagraphFont"/>
    <w:qFormat/>
    <w:rsid w:val="00C80F33"/>
    <w:rPr>
      <w:i/>
      <w:iCs/>
    </w:rPr>
  </w:style>
  <w:style w:type="character" w:styleId="Hyperlink">
    <w:name w:val="Hyperlink"/>
    <w:basedOn w:val="DefaultParagraphFont"/>
    <w:rsid w:val="00C80F33"/>
    <w:rPr>
      <w:color w:val="0000FF" w:themeColor="hyperlink"/>
      <w:u w:val="single"/>
    </w:rPr>
  </w:style>
  <w:style w:type="paragraph" w:styleId="EndnoteText">
    <w:name w:val="endnote text"/>
    <w:basedOn w:val="Normal"/>
    <w:link w:val="EndnoteTextChar"/>
    <w:rsid w:val="00C80F33"/>
    <w:pPr>
      <w:spacing w:after="0"/>
    </w:pPr>
    <w:rPr>
      <w:sz w:val="20"/>
    </w:rPr>
  </w:style>
  <w:style w:type="character" w:customStyle="1" w:styleId="EndnoteTextChar">
    <w:name w:val="Endnote Text Char"/>
    <w:basedOn w:val="DefaultParagraphFont"/>
    <w:link w:val="EndnoteText"/>
    <w:rsid w:val="00C80F33"/>
    <w:rPr>
      <w:rFonts w:ascii="Calibri" w:eastAsiaTheme="minorHAnsi" w:hAnsi="Calibri" w:cstheme="minorBidi"/>
      <w:szCs w:val="22"/>
      <w:lang w:eastAsia="en-US"/>
    </w:rPr>
  </w:style>
  <w:style w:type="character" w:styleId="EndnoteReference">
    <w:name w:val="endnote reference"/>
    <w:basedOn w:val="DefaultParagraphFont"/>
    <w:rsid w:val="00C80F33"/>
    <w:rPr>
      <w:vertAlign w:val="superscript"/>
    </w:rPr>
  </w:style>
  <w:style w:type="paragraph" w:styleId="Caption">
    <w:name w:val="caption"/>
    <w:basedOn w:val="Normal"/>
    <w:next w:val="Normal"/>
    <w:unhideWhenUsed/>
    <w:rsid w:val="00C80F33"/>
    <w:rPr>
      <w:b/>
      <w:bCs/>
      <w:color w:val="003157"/>
      <w:sz w:val="18"/>
      <w:szCs w:val="18"/>
    </w:rPr>
  </w:style>
  <w:style w:type="paragraph" w:customStyle="1" w:styleId="Caption1">
    <w:name w:val="Caption1"/>
    <w:basedOn w:val="NoSpacing"/>
    <w:link w:val="Caption1Char"/>
    <w:qFormat/>
    <w:rsid w:val="00C80F33"/>
    <w:pPr>
      <w:keepNext/>
      <w:tabs>
        <w:tab w:val="left" w:pos="4438"/>
      </w:tabs>
      <w:jc w:val="center"/>
    </w:pPr>
    <w:rPr>
      <w:rFonts w:ascii="Arial" w:hAnsi="Arial"/>
      <w:color w:val="003157"/>
      <w:sz w:val="24"/>
      <w:szCs w:val="24"/>
    </w:rPr>
  </w:style>
  <w:style w:type="character" w:customStyle="1" w:styleId="NoSpacingChar">
    <w:name w:val="No Spacing Char"/>
    <w:basedOn w:val="DefaultParagraphFont"/>
    <w:link w:val="NoSpacing"/>
    <w:uiPriority w:val="1"/>
    <w:rsid w:val="00C80F33"/>
    <w:rPr>
      <w:rFonts w:ascii="Palatino Linotype" w:hAnsi="Palatino Linotype"/>
      <w:color w:val="000000"/>
      <w:sz w:val="26"/>
    </w:rPr>
  </w:style>
  <w:style w:type="character" w:customStyle="1" w:styleId="Caption1Char">
    <w:name w:val="Caption1 Char"/>
    <w:basedOn w:val="NoSpacingChar"/>
    <w:link w:val="Caption1"/>
    <w:rsid w:val="00C80F33"/>
    <w:rPr>
      <w:rFonts w:ascii="Arial" w:hAnsi="Arial"/>
      <w:color w:val="003157"/>
      <w:sz w:val="24"/>
      <w:szCs w:val="24"/>
    </w:rPr>
  </w:style>
  <w:style w:type="character" w:customStyle="1" w:styleId="FootnoteTextChar">
    <w:name w:val="Footnote Text Char"/>
    <w:basedOn w:val="DefaultParagraphFont"/>
    <w:link w:val="FootnoteText"/>
    <w:rsid w:val="00C80F33"/>
    <w:rPr>
      <w:rFonts w:ascii="Calibri" w:eastAsiaTheme="minorHAnsi" w:hAnsi="Calibri" w:cstheme="minorBidi"/>
      <w:sz w:val="22"/>
      <w:szCs w:val="22"/>
      <w:lang w:eastAsia="en-US"/>
    </w:rPr>
  </w:style>
  <w:style w:type="paragraph" w:customStyle="1" w:styleId="Abstract">
    <w:name w:val="Abstract"/>
    <w:basedOn w:val="Normal"/>
    <w:link w:val="AbstractChar"/>
    <w:qFormat/>
    <w:rsid w:val="00C80F33"/>
  </w:style>
  <w:style w:type="character" w:customStyle="1" w:styleId="AbstractChar">
    <w:name w:val="Abstract Char"/>
    <w:basedOn w:val="DefaultParagraphFont"/>
    <w:link w:val="Abstract"/>
    <w:rsid w:val="00C80F33"/>
    <w:rPr>
      <w:rFonts w:ascii="Calibri" w:eastAsiaTheme="minorHAnsi" w:hAnsi="Calibri" w:cstheme="minorBidi"/>
      <w:sz w:val="22"/>
      <w:szCs w:val="22"/>
      <w:lang w:eastAsia="en-US"/>
    </w:rPr>
  </w:style>
  <w:style w:type="paragraph" w:styleId="IntenseQuote">
    <w:name w:val="Intense Quote"/>
    <w:basedOn w:val="Normal"/>
    <w:next w:val="Normal"/>
    <w:link w:val="IntenseQuoteChar"/>
    <w:uiPriority w:val="30"/>
    <w:rsid w:val="00C80F3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80F33"/>
    <w:rPr>
      <w:rFonts w:ascii="Calibri" w:eastAsiaTheme="minorHAnsi" w:hAnsi="Calibri" w:cstheme="minorBidi"/>
      <w:b/>
      <w:bCs/>
      <w:i/>
      <w:iCs/>
      <w:color w:val="4F81BD" w:themeColor="accent1"/>
      <w:sz w:val="22"/>
      <w:szCs w:val="22"/>
      <w:lang w:eastAsia="en-US"/>
    </w:rPr>
  </w:style>
  <w:style w:type="character" w:styleId="CommentReference">
    <w:name w:val="annotation reference"/>
    <w:basedOn w:val="DefaultParagraphFont"/>
    <w:rsid w:val="00C80F33"/>
    <w:rPr>
      <w:sz w:val="16"/>
      <w:szCs w:val="16"/>
    </w:rPr>
  </w:style>
  <w:style w:type="paragraph" w:styleId="CommentText">
    <w:name w:val="annotation text"/>
    <w:basedOn w:val="Normal"/>
    <w:link w:val="CommentTextChar"/>
    <w:rsid w:val="00C80F33"/>
    <w:rPr>
      <w:sz w:val="20"/>
    </w:rPr>
  </w:style>
  <w:style w:type="character" w:customStyle="1" w:styleId="CommentTextChar">
    <w:name w:val="Comment Text Char"/>
    <w:basedOn w:val="DefaultParagraphFont"/>
    <w:link w:val="CommentText"/>
    <w:rsid w:val="00C80F33"/>
    <w:rPr>
      <w:rFonts w:ascii="Calibri" w:eastAsiaTheme="minorHAnsi" w:hAnsi="Calibri" w:cstheme="minorBidi"/>
      <w:szCs w:val="22"/>
      <w:lang w:eastAsia="en-US"/>
    </w:rPr>
  </w:style>
  <w:style w:type="paragraph" w:styleId="CommentSubject">
    <w:name w:val="annotation subject"/>
    <w:basedOn w:val="CommentText"/>
    <w:next w:val="CommentText"/>
    <w:link w:val="CommentSubjectChar"/>
    <w:rsid w:val="00C80F33"/>
    <w:rPr>
      <w:b/>
      <w:bCs/>
    </w:rPr>
  </w:style>
  <w:style w:type="character" w:customStyle="1" w:styleId="CommentSubjectChar">
    <w:name w:val="Comment Subject Char"/>
    <w:basedOn w:val="CommentTextChar"/>
    <w:link w:val="CommentSubject"/>
    <w:rsid w:val="00C80F33"/>
    <w:rPr>
      <w:rFonts w:ascii="Calibri" w:eastAsiaTheme="minorHAnsi" w:hAnsi="Calibri" w:cstheme="minorBidi"/>
      <w:b/>
      <w:bCs/>
      <w:szCs w:val="22"/>
      <w:lang w:eastAsia="en-US"/>
    </w:rPr>
  </w:style>
  <w:style w:type="paragraph" w:customStyle="1" w:styleId="SecurityClassificationHeader">
    <w:name w:val="Security Classification Header"/>
    <w:link w:val="SecurityClassificationHeaderChar"/>
    <w:rsid w:val="00C80F33"/>
    <w:pPr>
      <w:spacing w:after="60" w:line="276" w:lineRule="auto"/>
      <w:jc w:val="center"/>
    </w:pPr>
    <w:rPr>
      <w:rFonts w:ascii="Arial" w:eastAsiaTheme="minorHAnsi" w:hAnsi="Arial" w:cstheme="minorBidi"/>
      <w:b/>
      <w:caps/>
      <w:color w:val="4F81BD" w:themeColor="accent1"/>
      <w:sz w:val="24"/>
      <w:szCs w:val="22"/>
      <w:lang w:eastAsia="en-US"/>
    </w:rPr>
  </w:style>
  <w:style w:type="character" w:customStyle="1" w:styleId="SecurityClassificationHeaderChar">
    <w:name w:val="Security Classification Header Char"/>
    <w:basedOn w:val="HeaderChar"/>
    <w:link w:val="SecurityClassificationHeader"/>
    <w:rsid w:val="00C80F33"/>
    <w:rPr>
      <w:rFonts w:ascii="Arial" w:eastAsiaTheme="minorHAnsi" w:hAnsi="Arial" w:cstheme="minorBidi"/>
      <w:b/>
      <w:caps/>
      <w:color w:val="4F81BD" w:themeColor="accent1"/>
      <w:sz w:val="24"/>
      <w:szCs w:val="22"/>
      <w:lang w:eastAsia="en-US"/>
    </w:rPr>
  </w:style>
  <w:style w:type="paragraph" w:customStyle="1" w:styleId="SecurityClassificationFooter">
    <w:name w:val="Security Classification Footer"/>
    <w:link w:val="SecurityClassificationFooterChar"/>
    <w:rsid w:val="00C80F33"/>
    <w:pPr>
      <w:spacing w:before="60" w:after="240" w:line="276" w:lineRule="auto"/>
      <w:jc w:val="center"/>
    </w:pPr>
    <w:rPr>
      <w:rFonts w:ascii="Arial" w:eastAsiaTheme="minorHAnsi" w:hAnsi="Arial" w:cstheme="minorBidi"/>
      <w:b/>
      <w:caps/>
      <w:color w:val="4F81BD" w:themeColor="accent1"/>
      <w:sz w:val="24"/>
      <w:szCs w:val="22"/>
      <w:lang w:eastAsia="en-US"/>
    </w:rPr>
  </w:style>
  <w:style w:type="character" w:customStyle="1" w:styleId="SecurityClassificationFooterChar">
    <w:name w:val="Security Classification Footer Char"/>
    <w:basedOn w:val="HeaderChar"/>
    <w:link w:val="SecurityClassificationFooter"/>
    <w:rsid w:val="00C80F33"/>
    <w:rPr>
      <w:rFonts w:ascii="Arial" w:eastAsiaTheme="minorHAnsi" w:hAnsi="Arial" w:cstheme="minorBidi"/>
      <w:b/>
      <w:caps/>
      <w:color w:val="4F81BD" w:themeColor="accent1"/>
      <w:sz w:val="24"/>
      <w:szCs w:val="22"/>
      <w:lang w:eastAsia="en-US"/>
    </w:rPr>
  </w:style>
  <w:style w:type="paragraph" w:customStyle="1" w:styleId="ExampleBullet">
    <w:name w:val="Example Bullet"/>
    <w:basedOn w:val="Normal"/>
    <w:rsid w:val="00C80F33"/>
    <w:pPr>
      <w:numPr>
        <w:numId w:val="7"/>
      </w:numPr>
      <w:spacing w:before="40" w:after="40"/>
    </w:pPr>
    <w:rPr>
      <w:rFonts w:ascii="Arial" w:hAnsi="Arial"/>
      <w:sz w:val="18"/>
    </w:rPr>
  </w:style>
  <w:style w:type="table" w:styleId="TableGrid">
    <w:name w:val="Table Grid"/>
    <w:basedOn w:val="TableNormal"/>
    <w:rsid w:val="00C8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C80F33"/>
    <w:rPr>
      <w:rFonts w:cs="Swiss 721 BT"/>
      <w:color w:val="000000"/>
      <w:sz w:val="20"/>
      <w:szCs w:val="20"/>
    </w:rPr>
  </w:style>
  <w:style w:type="paragraph" w:customStyle="1" w:styleId="Heading3NotNumbered">
    <w:name w:val="Heading 3 Not Numbered"/>
    <w:basedOn w:val="Heading4"/>
    <w:rsid w:val="00C80F33"/>
    <w:pPr>
      <w:numPr>
        <w:ilvl w:val="0"/>
        <w:numId w:val="0"/>
      </w:numPr>
    </w:pPr>
    <w:rPr>
      <w:b w:val="0"/>
      <w:sz w:val="28"/>
    </w:rPr>
  </w:style>
  <w:style w:type="paragraph" w:customStyle="1" w:styleId="AppendixHeadingLevel2NotNumbered">
    <w:name w:val="Appendix Heading Level 2 Not Numbered"/>
    <w:basedOn w:val="Normal"/>
    <w:qFormat/>
    <w:rsid w:val="00C80F33"/>
    <w:pPr>
      <w:spacing w:before="480" w:after="320"/>
    </w:pPr>
    <w:rPr>
      <w:rFonts w:ascii="Arial Bold" w:hAnsi="Arial Bold" w:cs="Arial"/>
      <w:b/>
      <w:smallCaps/>
      <w:color w:val="003157"/>
      <w:sz w:val="32"/>
      <w:szCs w:val="32"/>
    </w:rPr>
  </w:style>
  <w:style w:type="paragraph" w:customStyle="1" w:styleId="HeadingBase">
    <w:name w:val="Heading Base"/>
    <w:next w:val="Normal"/>
    <w:rsid w:val="00C80F33"/>
    <w:pPr>
      <w:keepNext/>
    </w:pPr>
    <w:rPr>
      <w:rFonts w:asciiTheme="majorHAnsi" w:hAnsiTheme="majorHAnsi"/>
      <w:color w:val="003057"/>
    </w:rPr>
  </w:style>
  <w:style w:type="character" w:customStyle="1" w:styleId="Heading4Char">
    <w:name w:val="Heading 4 Char"/>
    <w:basedOn w:val="DefaultParagraphFont"/>
    <w:link w:val="Heading4"/>
    <w:rsid w:val="00C80F33"/>
    <w:rPr>
      <w:rFonts w:ascii="Arial" w:eastAsiaTheme="minorHAnsi" w:hAnsi="Arial" w:cstheme="minorBidi"/>
      <w:b/>
      <w:color w:val="003157"/>
      <w:sz w:val="22"/>
      <w:szCs w:val="22"/>
      <w:lang w:eastAsia="en-US"/>
    </w:rPr>
  </w:style>
  <w:style w:type="character" w:customStyle="1" w:styleId="Heading6Char">
    <w:name w:val="Heading 6 Char"/>
    <w:basedOn w:val="DefaultParagraphFont"/>
    <w:link w:val="Heading6"/>
    <w:rsid w:val="00C80F33"/>
    <w:rPr>
      <w:rFonts w:ascii="Arial" w:eastAsiaTheme="minorHAnsi" w:hAnsi="Arial" w:cstheme="minorBidi"/>
      <w:snapToGrid w:val="0"/>
      <w:color w:val="003157"/>
      <w:sz w:val="19"/>
      <w:szCs w:val="22"/>
      <w:lang w:eastAsia="en-US"/>
    </w:rPr>
  </w:style>
  <w:style w:type="character" w:customStyle="1" w:styleId="Heading7Char">
    <w:name w:val="Heading 7 Char"/>
    <w:basedOn w:val="DefaultParagraphFont"/>
    <w:link w:val="Heading7"/>
    <w:rsid w:val="00C80F33"/>
    <w:rPr>
      <w:rFonts w:ascii="Arial" w:eastAsiaTheme="minorHAnsi" w:hAnsi="Arial" w:cstheme="minorBidi"/>
      <w:color w:val="000080"/>
      <w:sz w:val="19"/>
      <w:szCs w:val="22"/>
      <w:u w:val="single"/>
      <w:lang w:eastAsia="en-US"/>
    </w:rPr>
  </w:style>
  <w:style w:type="character" w:customStyle="1" w:styleId="Heading8Char">
    <w:name w:val="Heading 8 Char"/>
    <w:basedOn w:val="DefaultParagraphFont"/>
    <w:link w:val="Heading8"/>
    <w:rsid w:val="00C80F33"/>
    <w:rPr>
      <w:rFonts w:ascii="Calibri" w:eastAsiaTheme="minorHAnsi" w:hAnsi="Calibri" w:cstheme="minorBidi"/>
      <w:b/>
      <w:color w:val="000080"/>
      <w:sz w:val="22"/>
      <w:szCs w:val="22"/>
      <w:lang w:eastAsia="en-US"/>
    </w:rPr>
  </w:style>
  <w:style w:type="character" w:customStyle="1" w:styleId="Heading9Char">
    <w:name w:val="Heading 9 Char"/>
    <w:basedOn w:val="DefaultParagraphFont"/>
    <w:link w:val="Heading9"/>
    <w:rsid w:val="00C80F33"/>
    <w:rPr>
      <w:rFonts w:ascii="Calibri" w:eastAsiaTheme="minorHAnsi" w:hAnsi="Calibri" w:cstheme="minorBidi"/>
      <w:color w:val="000080"/>
      <w:sz w:val="22"/>
      <w:szCs w:val="22"/>
      <w:u w:val="single"/>
      <w:lang w:eastAsia="en-US"/>
    </w:rPr>
  </w:style>
  <w:style w:type="paragraph" w:customStyle="1" w:styleId="ChartGraphic">
    <w:name w:val="Chart Graphic"/>
    <w:basedOn w:val="HeadingBase"/>
    <w:next w:val="Normal"/>
    <w:rsid w:val="00C80F33"/>
    <w:pPr>
      <w:jc w:val="center"/>
    </w:pPr>
  </w:style>
  <w:style w:type="paragraph" w:customStyle="1" w:styleId="TableGraphic0">
    <w:name w:val="Table Graphic"/>
    <w:basedOn w:val="HeadingBase"/>
    <w:next w:val="Normal"/>
    <w:rsid w:val="00C80F33"/>
  </w:style>
  <w:style w:type="paragraph" w:customStyle="1" w:styleId="AlphaParagraph">
    <w:name w:val="Alpha Paragraph"/>
    <w:basedOn w:val="Normal"/>
    <w:qFormat/>
    <w:rsid w:val="00C80F33"/>
    <w:pPr>
      <w:numPr>
        <w:numId w:val="10"/>
      </w:numPr>
    </w:pPr>
  </w:style>
  <w:style w:type="paragraph" w:customStyle="1" w:styleId="AppendixHeading">
    <w:name w:val="Appendix Heading"/>
    <w:basedOn w:val="HeadingBase"/>
    <w:next w:val="Normal"/>
    <w:rsid w:val="00C80F33"/>
    <w:pPr>
      <w:spacing w:before="720" w:after="360"/>
      <w:outlineLvl w:val="0"/>
    </w:pPr>
    <w:rPr>
      <w:sz w:val="36"/>
      <w:szCs w:val="36"/>
    </w:rPr>
  </w:style>
  <w:style w:type="character" w:customStyle="1" w:styleId="Bold">
    <w:name w:val="Bold"/>
    <w:basedOn w:val="DefaultParagraphFont"/>
    <w:rsid w:val="00C80F33"/>
    <w:rPr>
      <w:b/>
    </w:rPr>
  </w:style>
  <w:style w:type="paragraph" w:customStyle="1" w:styleId="BoxTextBase">
    <w:name w:val="Box Text Base"/>
    <w:basedOn w:val="Normal"/>
    <w:rsid w:val="00C80F33"/>
  </w:style>
  <w:style w:type="paragraph" w:customStyle="1" w:styleId="BoxBullet">
    <w:name w:val="Box Bullet"/>
    <w:basedOn w:val="BoxTextBase"/>
    <w:rsid w:val="00C80F33"/>
    <w:pPr>
      <w:numPr>
        <w:numId w:val="9"/>
      </w:numPr>
    </w:pPr>
  </w:style>
  <w:style w:type="paragraph" w:customStyle="1" w:styleId="BoxDash">
    <w:name w:val="Box Dash"/>
    <w:basedOn w:val="Normal"/>
    <w:rsid w:val="00C80F33"/>
    <w:pPr>
      <w:numPr>
        <w:ilvl w:val="1"/>
        <w:numId w:val="9"/>
      </w:numPr>
    </w:pPr>
  </w:style>
  <w:style w:type="paragraph" w:customStyle="1" w:styleId="BoxDoubleDot">
    <w:name w:val="Box Double Dot"/>
    <w:basedOn w:val="BoxTextBase"/>
    <w:rsid w:val="00C80F33"/>
    <w:pPr>
      <w:numPr>
        <w:ilvl w:val="2"/>
        <w:numId w:val="9"/>
      </w:numPr>
    </w:pPr>
  </w:style>
  <w:style w:type="paragraph" w:customStyle="1" w:styleId="BoxText">
    <w:name w:val="Box Text"/>
    <w:basedOn w:val="BoxTextBase"/>
    <w:rsid w:val="00C80F33"/>
  </w:style>
  <w:style w:type="paragraph" w:customStyle="1" w:styleId="ChartandTableFootnoteAlpha">
    <w:name w:val="Chart and Table Footnote Alpha"/>
    <w:rsid w:val="00C80F33"/>
    <w:pPr>
      <w:numPr>
        <w:numId w:val="19"/>
      </w:numPr>
      <w:jc w:val="both"/>
    </w:pPr>
    <w:rPr>
      <w:rFonts w:ascii="Arial" w:hAnsi="Arial"/>
      <w:color w:val="000000"/>
      <w:sz w:val="16"/>
      <w:szCs w:val="16"/>
    </w:rPr>
  </w:style>
  <w:style w:type="paragraph" w:customStyle="1" w:styleId="ChartMainHeading">
    <w:name w:val="Chart Main Heading"/>
    <w:basedOn w:val="HeadingBase"/>
    <w:next w:val="ChartGraphic"/>
    <w:rsid w:val="00C80F33"/>
    <w:pPr>
      <w:spacing w:after="20"/>
      <w:jc w:val="center"/>
    </w:pPr>
    <w:rPr>
      <w:b/>
      <w:sz w:val="24"/>
    </w:rPr>
  </w:style>
  <w:style w:type="paragraph" w:customStyle="1" w:styleId="ChartorTableNote">
    <w:name w:val="Chart or Table Note"/>
    <w:next w:val="Normal"/>
    <w:rsid w:val="00C80F33"/>
    <w:pPr>
      <w:jc w:val="both"/>
    </w:pPr>
    <w:rPr>
      <w:rFonts w:ascii="Arial" w:hAnsi="Arial"/>
      <w:color w:val="000000"/>
      <w:sz w:val="16"/>
    </w:rPr>
  </w:style>
  <w:style w:type="paragraph" w:customStyle="1" w:styleId="ChartSecondHeading">
    <w:name w:val="Chart Second Heading"/>
    <w:basedOn w:val="HeadingBase"/>
    <w:next w:val="ChartGraphic"/>
    <w:rsid w:val="00C80F33"/>
    <w:pPr>
      <w:spacing w:after="20"/>
      <w:jc w:val="center"/>
    </w:pPr>
  </w:style>
  <w:style w:type="paragraph" w:customStyle="1" w:styleId="Classification">
    <w:name w:val="Classification"/>
    <w:basedOn w:val="HeadingBase"/>
    <w:next w:val="Footer"/>
    <w:rsid w:val="00C80F33"/>
    <w:pPr>
      <w:spacing w:after="120"/>
      <w:jc w:val="center"/>
    </w:pPr>
    <w:rPr>
      <w:b/>
      <w:smallCaps/>
    </w:rPr>
  </w:style>
  <w:style w:type="paragraph" w:customStyle="1" w:styleId="CoverTitleSub">
    <w:name w:val="Cover Title Sub"/>
    <w:basedOn w:val="HeadingBase"/>
    <w:rsid w:val="00C80F33"/>
    <w:pPr>
      <w:spacing w:after="360"/>
      <w:jc w:val="center"/>
    </w:pPr>
    <w:rPr>
      <w:sz w:val="36"/>
    </w:rPr>
  </w:style>
  <w:style w:type="paragraph" w:customStyle="1" w:styleId="Covertitlelevel3">
    <w:name w:val="Cover title level 3"/>
    <w:basedOn w:val="CoverTitleSub"/>
    <w:rsid w:val="00C80F33"/>
    <w:pPr>
      <w:spacing w:after="120"/>
    </w:pPr>
    <w:rPr>
      <w:sz w:val="28"/>
      <w:szCs w:val="28"/>
    </w:rPr>
  </w:style>
  <w:style w:type="paragraph" w:customStyle="1" w:styleId="CoverTitleMain">
    <w:name w:val="Cover Title Main"/>
    <w:basedOn w:val="HeadingBase"/>
    <w:next w:val="Normal"/>
    <w:rsid w:val="00C80F33"/>
    <w:pPr>
      <w:spacing w:after="480"/>
      <w:jc w:val="center"/>
    </w:pPr>
    <w:rPr>
      <w:b/>
      <w:sz w:val="48"/>
    </w:rPr>
  </w:style>
  <w:style w:type="paragraph" w:customStyle="1" w:styleId="Figuregraphic">
    <w:name w:val="Figure graphic"/>
    <w:basedOn w:val="Normal"/>
    <w:rsid w:val="00C80F33"/>
    <w:pPr>
      <w:spacing w:line="240" w:lineRule="auto"/>
      <w:jc w:val="center"/>
    </w:pPr>
  </w:style>
  <w:style w:type="paragraph" w:customStyle="1" w:styleId="FigureHeading">
    <w:name w:val="Figure Heading"/>
    <w:basedOn w:val="HeadingBase"/>
    <w:next w:val="Figuregraphic"/>
    <w:rsid w:val="00C80F33"/>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C80F33"/>
    <w:pPr>
      <w:spacing w:after="20"/>
      <w:jc w:val="center"/>
    </w:pPr>
  </w:style>
  <w:style w:type="paragraph" w:customStyle="1" w:styleId="TableMainHeading">
    <w:name w:val="Table Main Heading"/>
    <w:basedOn w:val="HeadingBase"/>
    <w:next w:val="TableGraphic0"/>
    <w:rsid w:val="00C80F33"/>
    <w:pPr>
      <w:spacing w:after="20"/>
    </w:pPr>
    <w:rPr>
      <w:b/>
      <w:sz w:val="22"/>
    </w:rPr>
  </w:style>
  <w:style w:type="paragraph" w:customStyle="1" w:styleId="FooterCentered">
    <w:name w:val="Footer Centered"/>
    <w:basedOn w:val="Footer"/>
    <w:rsid w:val="00C80F33"/>
    <w:pPr>
      <w:jc w:val="center"/>
    </w:pPr>
  </w:style>
  <w:style w:type="paragraph" w:customStyle="1" w:styleId="FooterEven">
    <w:name w:val="Footer Even"/>
    <w:basedOn w:val="Footer"/>
    <w:rsid w:val="00C80F33"/>
  </w:style>
  <w:style w:type="paragraph" w:customStyle="1" w:styleId="FooterOdd">
    <w:name w:val="Footer Odd"/>
    <w:basedOn w:val="Footer"/>
    <w:rsid w:val="00C80F33"/>
  </w:style>
  <w:style w:type="character" w:customStyle="1" w:styleId="FramedFooter">
    <w:name w:val="Framed Footer"/>
    <w:rsid w:val="00C80F33"/>
    <w:rPr>
      <w:rFonts w:ascii="Arial" w:hAnsi="Arial"/>
      <w:sz w:val="18"/>
    </w:rPr>
  </w:style>
  <w:style w:type="character" w:customStyle="1" w:styleId="FramedHeader">
    <w:name w:val="Framed Header"/>
    <w:basedOn w:val="DefaultParagraphFont"/>
    <w:rsid w:val="00C80F33"/>
    <w:rPr>
      <w:rFonts w:ascii="Arial" w:hAnsi="Arial"/>
      <w:dstrike w:val="0"/>
      <w:color w:val="auto"/>
      <w:sz w:val="18"/>
      <w:vertAlign w:val="baseline"/>
    </w:rPr>
  </w:style>
  <w:style w:type="character" w:customStyle="1" w:styleId="HeaderChar">
    <w:name w:val="Header Char"/>
    <w:basedOn w:val="DefaultParagraphFont"/>
    <w:link w:val="Header"/>
    <w:rsid w:val="00C80F33"/>
    <w:rPr>
      <w:rFonts w:ascii="Arial" w:eastAsiaTheme="minorHAnsi" w:hAnsi="Arial" w:cstheme="minorBidi"/>
      <w:color w:val="003157"/>
      <w:sz w:val="18"/>
      <w:szCs w:val="22"/>
      <w:lang w:eastAsia="en-US"/>
    </w:rPr>
  </w:style>
  <w:style w:type="paragraph" w:customStyle="1" w:styleId="HeaderEven">
    <w:name w:val="Header Even"/>
    <w:basedOn w:val="Header"/>
    <w:rsid w:val="00C80F33"/>
  </w:style>
  <w:style w:type="paragraph" w:customStyle="1" w:styleId="HeaderOdd">
    <w:name w:val="Header Odd"/>
    <w:basedOn w:val="Header"/>
    <w:rsid w:val="00C80F33"/>
    <w:pPr>
      <w:jc w:val="right"/>
    </w:pPr>
  </w:style>
  <w:style w:type="character" w:customStyle="1" w:styleId="italic">
    <w:name w:val="italic"/>
    <w:basedOn w:val="DefaultParagraphFont"/>
    <w:rsid w:val="00C80F33"/>
    <w:rPr>
      <w:i/>
    </w:rPr>
  </w:style>
  <w:style w:type="paragraph" w:customStyle="1" w:styleId="NormalIndentItalics">
    <w:name w:val="Normal Indent Italics"/>
    <w:basedOn w:val="NormalIndent"/>
    <w:rsid w:val="00C80F33"/>
    <w:rPr>
      <w:i/>
    </w:rPr>
  </w:style>
  <w:style w:type="paragraph" w:customStyle="1" w:styleId="OutlineNumbered1">
    <w:name w:val="Outline Numbered 1"/>
    <w:basedOn w:val="Normal"/>
    <w:rsid w:val="00C80F33"/>
    <w:pPr>
      <w:numPr>
        <w:numId w:val="16"/>
      </w:numPr>
    </w:pPr>
  </w:style>
  <w:style w:type="paragraph" w:customStyle="1" w:styleId="OneLevelNumberedParagraph">
    <w:name w:val="One Level Numbered Paragraph"/>
    <w:basedOn w:val="Normal"/>
    <w:rsid w:val="00C80F33"/>
    <w:pPr>
      <w:numPr>
        <w:numId w:val="15"/>
      </w:numPr>
    </w:pPr>
  </w:style>
  <w:style w:type="paragraph" w:customStyle="1" w:styleId="OutlineNumbered2">
    <w:name w:val="Outline Numbered 2"/>
    <w:basedOn w:val="Normal"/>
    <w:rsid w:val="00C80F33"/>
    <w:pPr>
      <w:numPr>
        <w:ilvl w:val="1"/>
        <w:numId w:val="16"/>
      </w:numPr>
    </w:pPr>
  </w:style>
  <w:style w:type="paragraph" w:customStyle="1" w:styleId="OutlineNumbered3">
    <w:name w:val="Outline Numbered 3"/>
    <w:basedOn w:val="Normal"/>
    <w:rsid w:val="00C80F33"/>
    <w:pPr>
      <w:numPr>
        <w:ilvl w:val="2"/>
        <w:numId w:val="16"/>
      </w:numPr>
    </w:pPr>
  </w:style>
  <w:style w:type="paragraph" w:customStyle="1" w:styleId="Principle">
    <w:name w:val="Principle"/>
    <w:basedOn w:val="Normal"/>
    <w:rsid w:val="00C80F33"/>
    <w:pPr>
      <w:keepNext/>
      <w:spacing w:after="60" w:line="240" w:lineRule="auto"/>
      <w:ind w:left="573"/>
    </w:pPr>
    <w:rPr>
      <w:rFonts w:ascii="Book Antiqua" w:hAnsi="Book Antiqua"/>
      <w:i/>
      <w:sz w:val="20"/>
    </w:rPr>
  </w:style>
  <w:style w:type="paragraph" w:customStyle="1" w:styleId="RecommendationTextBase">
    <w:name w:val="Recommendation Text Base"/>
    <w:basedOn w:val="Normal"/>
    <w:rsid w:val="00C80F33"/>
    <w:rPr>
      <w:i/>
    </w:rPr>
  </w:style>
  <w:style w:type="paragraph" w:customStyle="1" w:styleId="RecommendationBullet">
    <w:name w:val="Recommendation Bullet"/>
    <w:basedOn w:val="RecommendationTextBase"/>
    <w:rsid w:val="00C80F33"/>
    <w:pPr>
      <w:numPr>
        <w:numId w:val="17"/>
      </w:numPr>
    </w:pPr>
  </w:style>
  <w:style w:type="paragraph" w:customStyle="1" w:styleId="RecommendationDash">
    <w:name w:val="Recommendation Dash"/>
    <w:basedOn w:val="RecommendationTextBase"/>
    <w:rsid w:val="00C80F33"/>
    <w:pPr>
      <w:numPr>
        <w:ilvl w:val="1"/>
        <w:numId w:val="17"/>
      </w:numPr>
    </w:pPr>
  </w:style>
  <w:style w:type="paragraph" w:customStyle="1" w:styleId="RecommendationDoubleDot">
    <w:name w:val="Recommendation Double Dot"/>
    <w:basedOn w:val="RecommendationTextBase"/>
    <w:rsid w:val="00C80F33"/>
    <w:pPr>
      <w:numPr>
        <w:ilvl w:val="2"/>
        <w:numId w:val="17"/>
      </w:numPr>
    </w:pPr>
  </w:style>
  <w:style w:type="paragraph" w:customStyle="1" w:styleId="RecommendationHeading">
    <w:name w:val="Recommendation Heading"/>
    <w:basedOn w:val="HeadingBase"/>
    <w:next w:val="Normal"/>
    <w:rsid w:val="00C80F33"/>
    <w:pPr>
      <w:spacing w:before="120" w:after="240"/>
    </w:pPr>
    <w:rPr>
      <w:b/>
      <w:sz w:val="22"/>
    </w:rPr>
  </w:style>
  <w:style w:type="paragraph" w:customStyle="1" w:styleId="RecommendationText">
    <w:name w:val="Recommendation Text"/>
    <w:basedOn w:val="RecommendationTextBase"/>
    <w:rsid w:val="00C80F33"/>
  </w:style>
  <w:style w:type="paragraph" w:customStyle="1" w:styleId="Romannumeral">
    <w:name w:val="Roman numeral"/>
    <w:basedOn w:val="Normal"/>
    <w:rsid w:val="00C80F33"/>
    <w:pPr>
      <w:numPr>
        <w:numId w:val="18"/>
      </w:numPr>
    </w:pPr>
  </w:style>
  <w:style w:type="paragraph" w:customStyle="1" w:styleId="SingleParagraphIndent">
    <w:name w:val="Single Paragraph Indent"/>
    <w:basedOn w:val="SingleParagraph"/>
    <w:rsid w:val="00C80F33"/>
    <w:pPr>
      <w:ind w:left="567"/>
    </w:pPr>
  </w:style>
  <w:style w:type="paragraph" w:customStyle="1" w:styleId="TableSecondHeading">
    <w:name w:val="Table Second Heading"/>
    <w:basedOn w:val="HeadingBase"/>
    <w:next w:val="TableGraphic0"/>
    <w:rsid w:val="00C80F33"/>
    <w:pPr>
      <w:spacing w:after="20"/>
    </w:pPr>
  </w:style>
  <w:style w:type="paragraph" w:customStyle="1" w:styleId="TableColumnHeadingBase">
    <w:name w:val="Table Column Heading Base"/>
    <w:basedOn w:val="Normal"/>
    <w:rsid w:val="00C80F33"/>
    <w:pPr>
      <w:spacing w:before="40" w:after="40" w:line="240" w:lineRule="auto"/>
    </w:pPr>
    <w:rPr>
      <w:rFonts w:ascii="Arial" w:hAnsi="Arial"/>
      <w:b/>
      <w:sz w:val="16"/>
    </w:rPr>
  </w:style>
  <w:style w:type="paragraph" w:customStyle="1" w:styleId="TableMainHeadingContd">
    <w:name w:val="Table Main Heading Contd"/>
    <w:basedOn w:val="HeadingBase"/>
    <w:next w:val="TableGraphic0"/>
    <w:rsid w:val="00C80F33"/>
    <w:pPr>
      <w:pageBreakBefore/>
      <w:spacing w:after="20"/>
    </w:pPr>
    <w:rPr>
      <w:b/>
      <w:sz w:val="22"/>
    </w:rPr>
  </w:style>
  <w:style w:type="paragraph" w:customStyle="1" w:styleId="TableTextCentered">
    <w:name w:val="Table Text Centered"/>
    <w:basedOn w:val="TableTextBase"/>
    <w:rsid w:val="00C80F33"/>
    <w:pPr>
      <w:jc w:val="center"/>
    </w:pPr>
  </w:style>
  <w:style w:type="paragraph" w:customStyle="1" w:styleId="TableTextIndented">
    <w:name w:val="Table Text Indented"/>
    <w:basedOn w:val="TableTextBase"/>
    <w:rsid w:val="00C80F33"/>
    <w:pPr>
      <w:ind w:left="284"/>
    </w:pPr>
  </w:style>
  <w:style w:type="paragraph" w:customStyle="1" w:styleId="TableTextLeft0">
    <w:name w:val="Table Text Left"/>
    <w:basedOn w:val="TableTextBase"/>
    <w:rsid w:val="00C80F33"/>
  </w:style>
  <w:style w:type="paragraph" w:styleId="BodyTextIndent2">
    <w:name w:val="Body Text Indent 2"/>
    <w:basedOn w:val="Normal"/>
    <w:link w:val="BodyTextIndent2Char"/>
    <w:rsid w:val="00C80F33"/>
    <w:pPr>
      <w:spacing w:after="120" w:line="480" w:lineRule="auto"/>
      <w:ind w:left="283"/>
    </w:pPr>
  </w:style>
  <w:style w:type="character" w:customStyle="1" w:styleId="BodyTextIndent2Char">
    <w:name w:val="Body Text Indent 2 Char"/>
    <w:basedOn w:val="DefaultParagraphFont"/>
    <w:link w:val="BodyTextIndent2"/>
    <w:rsid w:val="00C80F33"/>
    <w:rPr>
      <w:rFonts w:ascii="Calibri" w:eastAsiaTheme="minorHAnsi" w:hAnsi="Calibri" w:cstheme="minorBidi"/>
      <w:sz w:val="22"/>
      <w:szCs w:val="22"/>
      <w:lang w:eastAsia="en-US"/>
    </w:rPr>
  </w:style>
  <w:style w:type="character" w:customStyle="1" w:styleId="BoldandItalic">
    <w:name w:val="Bold and Italic"/>
    <w:basedOn w:val="DefaultParagraphFont"/>
    <w:rsid w:val="00C80F33"/>
    <w:rPr>
      <w:rFonts w:ascii="Arial" w:hAnsi="Arial"/>
      <w:b/>
      <w:i/>
    </w:rPr>
  </w:style>
  <w:style w:type="paragraph" w:styleId="DocumentMap">
    <w:name w:val="Document Map"/>
    <w:basedOn w:val="Normal"/>
    <w:link w:val="DocumentMapChar"/>
    <w:rsid w:val="00C80F33"/>
    <w:pPr>
      <w:shd w:val="clear" w:color="auto" w:fill="00CCFF"/>
    </w:pPr>
    <w:rPr>
      <w:rFonts w:ascii="Tahoma" w:hAnsi="Tahoma" w:cs="Tahoma"/>
    </w:rPr>
  </w:style>
  <w:style w:type="character" w:customStyle="1" w:styleId="DocumentMapChar">
    <w:name w:val="Document Map Char"/>
    <w:basedOn w:val="DefaultParagraphFont"/>
    <w:link w:val="DocumentMap"/>
    <w:rsid w:val="00C80F33"/>
    <w:rPr>
      <w:rFonts w:ascii="Tahoma" w:eastAsiaTheme="minorHAnsi" w:hAnsi="Tahoma" w:cs="Tahoma"/>
      <w:sz w:val="22"/>
      <w:szCs w:val="22"/>
      <w:shd w:val="clear" w:color="auto" w:fill="00CCFF"/>
      <w:lang w:eastAsia="en-US"/>
    </w:rPr>
  </w:style>
  <w:style w:type="character" w:styleId="FollowedHyperlink">
    <w:name w:val="FollowedHyperlink"/>
    <w:basedOn w:val="DefaultParagraphFont"/>
    <w:rsid w:val="00C80F33"/>
    <w:rPr>
      <w:color w:val="auto"/>
      <w:u w:val="none"/>
    </w:rPr>
  </w:style>
  <w:style w:type="paragraph" w:styleId="Index3">
    <w:name w:val="index 3"/>
    <w:basedOn w:val="Normal"/>
    <w:next w:val="Normal"/>
    <w:autoRedefine/>
    <w:rsid w:val="00C80F33"/>
    <w:pPr>
      <w:ind w:left="600" w:hanging="200"/>
    </w:pPr>
  </w:style>
  <w:style w:type="paragraph" w:styleId="Index4">
    <w:name w:val="index 4"/>
    <w:basedOn w:val="Normal"/>
    <w:next w:val="Normal"/>
    <w:autoRedefine/>
    <w:rsid w:val="00C80F33"/>
    <w:pPr>
      <w:ind w:left="800" w:hanging="200"/>
    </w:pPr>
  </w:style>
  <w:style w:type="paragraph" w:styleId="Index5">
    <w:name w:val="index 5"/>
    <w:basedOn w:val="Normal"/>
    <w:next w:val="Normal"/>
    <w:autoRedefine/>
    <w:rsid w:val="00C80F33"/>
    <w:pPr>
      <w:ind w:left="1000" w:hanging="200"/>
    </w:pPr>
  </w:style>
  <w:style w:type="paragraph" w:styleId="Index6">
    <w:name w:val="index 6"/>
    <w:basedOn w:val="Normal"/>
    <w:next w:val="Normal"/>
    <w:autoRedefine/>
    <w:rsid w:val="00C80F33"/>
    <w:pPr>
      <w:ind w:left="1200" w:hanging="200"/>
    </w:pPr>
  </w:style>
  <w:style w:type="paragraph" w:styleId="Index7">
    <w:name w:val="index 7"/>
    <w:basedOn w:val="Normal"/>
    <w:next w:val="Normal"/>
    <w:autoRedefine/>
    <w:rsid w:val="00C80F33"/>
    <w:pPr>
      <w:ind w:left="1400" w:hanging="200"/>
    </w:pPr>
  </w:style>
  <w:style w:type="paragraph" w:styleId="Index8">
    <w:name w:val="index 8"/>
    <w:basedOn w:val="Normal"/>
    <w:next w:val="Normal"/>
    <w:autoRedefine/>
    <w:rsid w:val="00C80F33"/>
    <w:pPr>
      <w:ind w:left="1600" w:hanging="200"/>
    </w:pPr>
  </w:style>
  <w:style w:type="paragraph" w:styleId="Index9">
    <w:name w:val="index 9"/>
    <w:basedOn w:val="Normal"/>
    <w:next w:val="Normal"/>
    <w:autoRedefine/>
    <w:rsid w:val="00C80F33"/>
    <w:pPr>
      <w:ind w:left="1800" w:hanging="200"/>
    </w:pPr>
  </w:style>
  <w:style w:type="paragraph" w:styleId="MacroText">
    <w:name w:val="macro"/>
    <w:link w:val="MacroTextChar"/>
    <w:rsid w:val="00C80F3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character" w:customStyle="1" w:styleId="MacroTextChar">
    <w:name w:val="Macro Text Char"/>
    <w:basedOn w:val="DefaultParagraphFont"/>
    <w:link w:val="MacroText"/>
    <w:rsid w:val="00C80F33"/>
    <w:rPr>
      <w:rFonts w:ascii="Courier New" w:hAnsi="Courier New" w:cs="Courier New"/>
      <w:color w:val="000000"/>
    </w:rPr>
  </w:style>
  <w:style w:type="numbering" w:customStyle="1" w:styleId="OutlineList">
    <w:name w:val="OutlineList"/>
    <w:uiPriority w:val="99"/>
    <w:rsid w:val="00C80F33"/>
    <w:pPr>
      <w:numPr>
        <w:numId w:val="12"/>
      </w:numPr>
    </w:pPr>
  </w:style>
  <w:style w:type="paragraph" w:customStyle="1" w:styleId="PictureCentred">
    <w:name w:val="Picture Centred"/>
    <w:basedOn w:val="Normal"/>
    <w:rsid w:val="00C80F33"/>
    <w:pPr>
      <w:spacing w:before="120" w:line="240" w:lineRule="atLeast"/>
      <w:jc w:val="center"/>
    </w:pPr>
  </w:style>
  <w:style w:type="paragraph" w:customStyle="1" w:styleId="PictureLeft">
    <w:name w:val="Picture Left"/>
    <w:basedOn w:val="PictureCentred"/>
    <w:rsid w:val="00C80F33"/>
    <w:pPr>
      <w:jc w:val="left"/>
    </w:pPr>
  </w:style>
  <w:style w:type="paragraph" w:customStyle="1" w:styleId="PictureIndent">
    <w:name w:val="Picture Indent"/>
    <w:basedOn w:val="PictureLeft"/>
    <w:rsid w:val="00C80F33"/>
    <w:pPr>
      <w:ind w:left="284"/>
    </w:pPr>
  </w:style>
  <w:style w:type="paragraph" w:styleId="TableofAuthorities">
    <w:name w:val="table of authorities"/>
    <w:basedOn w:val="Normal"/>
    <w:next w:val="Normal"/>
    <w:rsid w:val="00C80F33"/>
    <w:pPr>
      <w:ind w:left="200" w:hanging="200"/>
    </w:pPr>
  </w:style>
  <w:style w:type="paragraph" w:styleId="TableofFigures">
    <w:name w:val="table of figures"/>
    <w:basedOn w:val="Normal"/>
    <w:next w:val="Normal"/>
    <w:rsid w:val="00C80F33"/>
  </w:style>
  <w:style w:type="paragraph" w:styleId="TOAHeading">
    <w:name w:val="toa heading"/>
    <w:basedOn w:val="Normal"/>
    <w:next w:val="Normal"/>
    <w:rsid w:val="00C80F33"/>
    <w:pPr>
      <w:spacing w:before="120"/>
    </w:pPr>
    <w:rPr>
      <w:rFonts w:ascii="Arial" w:hAnsi="Arial" w:cs="Arial"/>
      <w:b/>
      <w:bCs/>
      <w:sz w:val="24"/>
      <w:szCs w:val="24"/>
    </w:rPr>
  </w:style>
  <w:style w:type="numbering" w:customStyle="1" w:styleId="BulletedList">
    <w:name w:val="Bulleted List"/>
    <w:uiPriority w:val="99"/>
    <w:rsid w:val="00C80F33"/>
    <w:pPr>
      <w:numPr>
        <w:numId w:val="8"/>
      </w:numPr>
    </w:pPr>
  </w:style>
  <w:style w:type="numbering" w:customStyle="1" w:styleId="BoxBulletedList">
    <w:name w:val="Box Bulleted List"/>
    <w:uiPriority w:val="99"/>
    <w:rsid w:val="00C80F33"/>
    <w:pPr>
      <w:numPr>
        <w:numId w:val="9"/>
      </w:numPr>
    </w:pPr>
  </w:style>
  <w:style w:type="numbering" w:customStyle="1" w:styleId="AlphaParagraphList">
    <w:name w:val="Alpha Paragraph List"/>
    <w:uiPriority w:val="99"/>
    <w:rsid w:val="00C80F33"/>
    <w:pPr>
      <w:numPr>
        <w:numId w:val="10"/>
      </w:numPr>
    </w:pPr>
  </w:style>
  <w:style w:type="numbering" w:customStyle="1" w:styleId="OneLevelList">
    <w:name w:val="OneLevelList"/>
    <w:uiPriority w:val="99"/>
    <w:rsid w:val="00C80F33"/>
    <w:pPr>
      <w:numPr>
        <w:numId w:val="11"/>
      </w:numPr>
    </w:pPr>
  </w:style>
  <w:style w:type="numbering" w:customStyle="1" w:styleId="RecommendationBulletList">
    <w:name w:val="RecommendationBulletList"/>
    <w:uiPriority w:val="99"/>
    <w:rsid w:val="00C80F33"/>
    <w:pPr>
      <w:numPr>
        <w:numId w:val="13"/>
      </w:numPr>
    </w:pPr>
  </w:style>
  <w:style w:type="numbering" w:customStyle="1" w:styleId="RomanNumeralList">
    <w:name w:val="RomanNumeralList"/>
    <w:uiPriority w:val="99"/>
    <w:rsid w:val="00C80F33"/>
    <w:pPr>
      <w:numPr>
        <w:numId w:val="14"/>
      </w:numPr>
    </w:pPr>
  </w:style>
  <w:style w:type="numbering" w:customStyle="1" w:styleId="ChartandTableFootnoteAlphaList">
    <w:name w:val="ChartandTableFootnoteAlphaList"/>
    <w:uiPriority w:val="99"/>
    <w:rsid w:val="00C80F33"/>
    <w:pPr>
      <w:numPr>
        <w:numId w:val="19"/>
      </w:numPr>
    </w:pPr>
  </w:style>
  <w:style w:type="paragraph" w:customStyle="1" w:styleId="TableTextBullet">
    <w:name w:val="Table Text Bullet"/>
    <w:basedOn w:val="TableTextBase"/>
    <w:rsid w:val="00C80F33"/>
    <w:pPr>
      <w:numPr>
        <w:numId w:val="21"/>
      </w:numPr>
    </w:pPr>
  </w:style>
  <w:style w:type="numbering" w:customStyle="1" w:styleId="TableTestBulletList">
    <w:name w:val="Table Test Bullet List"/>
    <w:uiPriority w:val="99"/>
    <w:rsid w:val="00C80F33"/>
    <w:pPr>
      <w:numPr>
        <w:numId w:val="20"/>
      </w:numPr>
    </w:pPr>
  </w:style>
  <w:style w:type="numbering" w:customStyle="1" w:styleId="TableTextBulletList">
    <w:name w:val="Table Text Bullet List"/>
    <w:uiPriority w:val="99"/>
    <w:rsid w:val="00C80F33"/>
    <w:pPr>
      <w:numPr>
        <w:numId w:val="21"/>
      </w:numPr>
    </w:pPr>
  </w:style>
  <w:style w:type="paragraph" w:customStyle="1" w:styleId="StyleTableTextBulletLinespacingExactly13pt">
    <w:name w:val="Style Table Text Bullet + Line spacing:  Exactly 13 pt"/>
    <w:basedOn w:val="TableTextBullet"/>
    <w:rsid w:val="00C80F33"/>
    <w:pPr>
      <w:numPr>
        <w:numId w:val="0"/>
      </w:numPr>
      <w:spacing w:after="80" w:line="260" w:lineRule="exact"/>
    </w:pPr>
  </w:style>
  <w:style w:type="paragraph" w:customStyle="1" w:styleId="DLMSecurityHeader">
    <w:name w:val="DLM Security Header"/>
    <w:link w:val="DLMSecurityHeaderChar"/>
    <w:rsid w:val="00C80F33"/>
    <w:pPr>
      <w:spacing w:before="60" w:after="240" w:line="276" w:lineRule="auto"/>
      <w:jc w:val="center"/>
    </w:pPr>
    <w:rPr>
      <w:rFonts w:ascii="Arial" w:eastAsiaTheme="minorHAnsi" w:hAnsi="Arial" w:cstheme="minorBidi"/>
      <w:b/>
      <w:caps/>
      <w:color w:val="4F81BD" w:themeColor="accent1"/>
      <w:sz w:val="24"/>
      <w:szCs w:val="22"/>
      <w:lang w:eastAsia="en-US"/>
    </w:rPr>
  </w:style>
  <w:style w:type="character" w:customStyle="1" w:styleId="DLMSecurityHeaderChar">
    <w:name w:val="DLM Security Header Char"/>
    <w:basedOn w:val="HeaderChar"/>
    <w:link w:val="DLMSecurityHeader"/>
    <w:rsid w:val="00C80F33"/>
    <w:rPr>
      <w:rFonts w:ascii="Arial" w:eastAsiaTheme="minorHAnsi" w:hAnsi="Arial" w:cstheme="minorBidi"/>
      <w:b/>
      <w:caps/>
      <w:color w:val="4F81BD" w:themeColor="accent1"/>
      <w:sz w:val="24"/>
      <w:szCs w:val="22"/>
      <w:lang w:eastAsia="en-US"/>
    </w:rPr>
  </w:style>
  <w:style w:type="paragraph" w:customStyle="1" w:styleId="DLMSecurityFooter">
    <w:name w:val="DLM Security Footer"/>
    <w:link w:val="DLMSecurityFooterChar"/>
    <w:rsid w:val="00C80F33"/>
    <w:pPr>
      <w:spacing w:before="240" w:after="60" w:line="276" w:lineRule="auto"/>
      <w:jc w:val="center"/>
    </w:pPr>
    <w:rPr>
      <w:rFonts w:ascii="Arial" w:eastAsiaTheme="minorHAnsi" w:hAnsi="Arial" w:cstheme="minorBidi"/>
      <w:b/>
      <w:caps/>
      <w:color w:val="4F81BD" w:themeColor="accent1"/>
      <w:sz w:val="24"/>
      <w:szCs w:val="22"/>
      <w:lang w:eastAsia="en-US"/>
    </w:rPr>
  </w:style>
  <w:style w:type="character" w:customStyle="1" w:styleId="DLMSecurityFooterChar">
    <w:name w:val="DLM Security Footer Char"/>
    <w:basedOn w:val="HeaderChar"/>
    <w:link w:val="DLMSecurityFooter"/>
    <w:rsid w:val="00C80F33"/>
    <w:rPr>
      <w:rFonts w:ascii="Arial" w:eastAsiaTheme="minorHAnsi" w:hAnsi="Arial" w:cstheme="minorBidi"/>
      <w:b/>
      <w:caps/>
      <w:color w:val="4F81BD" w:themeColor="accent1"/>
      <w:sz w:val="24"/>
      <w:szCs w:val="22"/>
      <w:lang w:eastAsia="en-US"/>
    </w:rPr>
  </w:style>
  <w:style w:type="paragraph" w:styleId="Revision">
    <w:name w:val="Revision"/>
    <w:hidden/>
    <w:uiPriority w:val="99"/>
    <w:semiHidden/>
    <w:rsid w:val="00C5340B"/>
    <w:rPr>
      <w:rFonts w:ascii="Calibri" w:eastAsiaTheme="minorHAnsi" w:hAnsi="Calibri" w:cstheme="minorBidi"/>
      <w:sz w:val="22"/>
      <w:szCs w:val="22"/>
      <w:lang w:eastAsia="en-US"/>
    </w:rPr>
  </w:style>
  <w:style w:type="paragraph" w:customStyle="1" w:styleId="Source">
    <w:name w:val="Source"/>
    <w:basedOn w:val="Normal"/>
    <w:rsid w:val="00C80F33"/>
    <w:pPr>
      <w:spacing w:before="40" w:after="240" w:line="240" w:lineRule="auto"/>
    </w:pPr>
    <w:rPr>
      <w:color w:val="000000" w:themeColor="text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166891">
      <w:bodyDiv w:val="1"/>
      <w:marLeft w:val="0"/>
      <w:marRight w:val="0"/>
      <w:marTop w:val="0"/>
      <w:marBottom w:val="0"/>
      <w:divBdr>
        <w:top w:val="none" w:sz="0" w:space="0" w:color="auto"/>
        <w:left w:val="none" w:sz="0" w:space="0" w:color="auto"/>
        <w:bottom w:val="none" w:sz="0" w:space="0" w:color="auto"/>
        <w:right w:val="none" w:sz="0" w:space="0" w:color="auto"/>
      </w:divBdr>
    </w:div>
    <w:div w:id="1590970215">
      <w:bodyDiv w:val="1"/>
      <w:marLeft w:val="0"/>
      <w:marRight w:val="0"/>
      <w:marTop w:val="0"/>
      <w:marBottom w:val="0"/>
      <w:divBdr>
        <w:top w:val="none" w:sz="0" w:space="0" w:color="auto"/>
        <w:left w:val="none" w:sz="0" w:space="0" w:color="auto"/>
        <w:bottom w:val="none" w:sz="0" w:space="0" w:color="auto"/>
        <w:right w:val="none" w:sz="0" w:space="0" w:color="auto"/>
      </w:divBdr>
    </w:div>
    <w:div w:id="19360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117" Type="http://schemas.openxmlformats.org/officeDocument/2006/relationships/image" Target="media/image50.wmf"/><Relationship Id="rId21" Type="http://schemas.openxmlformats.org/officeDocument/2006/relationships/header" Target="header4.xml"/><Relationship Id="rId42" Type="http://schemas.openxmlformats.org/officeDocument/2006/relationships/oleObject" Target="embeddings/oleObject9.bin"/><Relationship Id="rId47" Type="http://schemas.openxmlformats.org/officeDocument/2006/relationships/image" Target="media/image15.wmf"/><Relationship Id="rId63" Type="http://schemas.openxmlformats.org/officeDocument/2006/relationships/image" Target="media/image23.wmf"/><Relationship Id="rId68" Type="http://schemas.openxmlformats.org/officeDocument/2006/relationships/oleObject" Target="embeddings/oleObject22.bin"/><Relationship Id="rId84" Type="http://schemas.openxmlformats.org/officeDocument/2006/relationships/oleObject" Target="embeddings/oleObject30.bin"/><Relationship Id="rId89" Type="http://schemas.openxmlformats.org/officeDocument/2006/relationships/image" Target="media/image36.emf"/><Relationship Id="rId112" Type="http://schemas.openxmlformats.org/officeDocument/2006/relationships/oleObject" Target="embeddings/oleObject44.bin"/><Relationship Id="rId133" Type="http://schemas.openxmlformats.org/officeDocument/2006/relationships/image" Target="media/image59.wmf"/><Relationship Id="rId138" Type="http://schemas.openxmlformats.org/officeDocument/2006/relationships/oleObject" Target="embeddings/oleObject56.bin"/><Relationship Id="rId154" Type="http://schemas.openxmlformats.org/officeDocument/2006/relationships/header" Target="header9.xml"/><Relationship Id="rId16" Type="http://schemas.openxmlformats.org/officeDocument/2006/relationships/hyperlink" Target="http://creativecommons.org/licenses/by/3.0/au/legalcode" TargetMode="External"/><Relationship Id="rId107" Type="http://schemas.openxmlformats.org/officeDocument/2006/relationships/image" Target="media/image45.wmf"/><Relationship Id="rId11" Type="http://schemas.openxmlformats.org/officeDocument/2006/relationships/footer" Target="footer1.xml"/><Relationship Id="rId32" Type="http://schemas.openxmlformats.org/officeDocument/2006/relationships/oleObject" Target="embeddings/oleObject4.bin"/><Relationship Id="rId37" Type="http://schemas.openxmlformats.org/officeDocument/2006/relationships/image" Target="media/image10.wmf"/><Relationship Id="rId53" Type="http://schemas.openxmlformats.org/officeDocument/2006/relationships/image" Target="media/image18.wmf"/><Relationship Id="rId58" Type="http://schemas.openxmlformats.org/officeDocument/2006/relationships/oleObject" Target="embeddings/oleObject17.bin"/><Relationship Id="rId74" Type="http://schemas.openxmlformats.org/officeDocument/2006/relationships/oleObject" Target="embeddings/oleObject25.bin"/><Relationship Id="rId79" Type="http://schemas.openxmlformats.org/officeDocument/2006/relationships/image" Target="media/image31.wmf"/><Relationship Id="rId102" Type="http://schemas.openxmlformats.org/officeDocument/2006/relationships/oleObject" Target="embeddings/oleObject39.bin"/><Relationship Id="rId123" Type="http://schemas.openxmlformats.org/officeDocument/2006/relationships/image" Target="media/image54.wmf"/><Relationship Id="rId128" Type="http://schemas.openxmlformats.org/officeDocument/2006/relationships/oleObject" Target="embeddings/oleObject51.bin"/><Relationship Id="rId144" Type="http://schemas.openxmlformats.org/officeDocument/2006/relationships/oleObject" Target="embeddings/oleObject59.bin"/><Relationship Id="rId149" Type="http://schemas.openxmlformats.org/officeDocument/2006/relationships/image" Target="media/image67.emf"/><Relationship Id="rId5" Type="http://schemas.openxmlformats.org/officeDocument/2006/relationships/settings" Target="settings.xml"/><Relationship Id="rId90" Type="http://schemas.openxmlformats.org/officeDocument/2006/relationships/oleObject" Target="embeddings/oleObject33.bin"/><Relationship Id="rId95" Type="http://schemas.openxmlformats.org/officeDocument/2006/relationships/image" Target="media/image39.wmf"/><Relationship Id="rId22" Type="http://schemas.openxmlformats.org/officeDocument/2006/relationships/header" Target="header5.xml"/><Relationship Id="rId27" Type="http://schemas.openxmlformats.org/officeDocument/2006/relationships/image" Target="media/image5.wmf"/><Relationship Id="rId43" Type="http://schemas.openxmlformats.org/officeDocument/2006/relationships/image" Target="media/image13.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image" Target="media/image26.wmf"/><Relationship Id="rId113" Type="http://schemas.openxmlformats.org/officeDocument/2006/relationships/image" Target="media/image48.wmf"/><Relationship Id="rId118" Type="http://schemas.openxmlformats.org/officeDocument/2006/relationships/oleObject" Target="embeddings/oleObject47.bin"/><Relationship Id="rId134" Type="http://schemas.openxmlformats.org/officeDocument/2006/relationships/oleObject" Target="embeddings/oleObject54.bin"/><Relationship Id="rId139" Type="http://schemas.openxmlformats.org/officeDocument/2006/relationships/image" Target="media/image62.wmf"/><Relationship Id="rId80" Type="http://schemas.openxmlformats.org/officeDocument/2006/relationships/oleObject" Target="embeddings/oleObject28.bin"/><Relationship Id="rId85" Type="http://schemas.openxmlformats.org/officeDocument/2006/relationships/image" Target="media/image34.emf"/><Relationship Id="rId150" Type="http://schemas.openxmlformats.org/officeDocument/2006/relationships/image" Target="media/image68.emf"/><Relationship Id="rId155" Type="http://schemas.openxmlformats.org/officeDocument/2006/relationships/footer" Target="footer6.xml"/><Relationship Id="rId12" Type="http://schemas.openxmlformats.org/officeDocument/2006/relationships/footer" Target="footer2.xml"/><Relationship Id="rId17" Type="http://schemas.openxmlformats.org/officeDocument/2006/relationships/image" Target="media/image3.wmf"/><Relationship Id="rId33" Type="http://schemas.openxmlformats.org/officeDocument/2006/relationships/image" Target="media/image8.wmf"/><Relationship Id="rId38" Type="http://schemas.openxmlformats.org/officeDocument/2006/relationships/oleObject" Target="embeddings/oleObject7.bin"/><Relationship Id="rId59" Type="http://schemas.openxmlformats.org/officeDocument/2006/relationships/image" Target="media/image21.wmf"/><Relationship Id="rId103" Type="http://schemas.openxmlformats.org/officeDocument/2006/relationships/image" Target="media/image43.wmf"/><Relationship Id="rId108" Type="http://schemas.openxmlformats.org/officeDocument/2006/relationships/oleObject" Target="embeddings/oleObject42.bin"/><Relationship Id="rId124" Type="http://schemas.openxmlformats.org/officeDocument/2006/relationships/oleObject" Target="embeddings/oleObject49.bin"/><Relationship Id="rId129" Type="http://schemas.openxmlformats.org/officeDocument/2006/relationships/image" Target="media/image57.wmf"/><Relationship Id="rId20" Type="http://schemas.openxmlformats.org/officeDocument/2006/relationships/hyperlink" Target="mailto:medialiaison@treasury.gov.au" TargetMode="External"/><Relationship Id="rId41" Type="http://schemas.openxmlformats.org/officeDocument/2006/relationships/image" Target="media/image12.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image" Target="media/image29.wmf"/><Relationship Id="rId83" Type="http://schemas.openxmlformats.org/officeDocument/2006/relationships/image" Target="media/image33.emf"/><Relationship Id="rId88" Type="http://schemas.openxmlformats.org/officeDocument/2006/relationships/oleObject" Target="embeddings/oleObject32.bin"/><Relationship Id="rId91" Type="http://schemas.openxmlformats.org/officeDocument/2006/relationships/image" Target="media/image37.wmf"/><Relationship Id="rId96" Type="http://schemas.openxmlformats.org/officeDocument/2006/relationships/oleObject" Target="embeddings/oleObject36.bin"/><Relationship Id="rId111" Type="http://schemas.openxmlformats.org/officeDocument/2006/relationships/image" Target="media/image47.wmf"/><Relationship Id="rId132" Type="http://schemas.openxmlformats.org/officeDocument/2006/relationships/oleObject" Target="embeddings/oleObject53.bin"/><Relationship Id="rId140" Type="http://schemas.openxmlformats.org/officeDocument/2006/relationships/oleObject" Target="embeddings/oleObject57.bin"/><Relationship Id="rId145" Type="http://schemas.openxmlformats.org/officeDocument/2006/relationships/image" Target="media/image65.wmf"/><Relationship Id="rId15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reativecommons.org/licenses/by/3.0/au/deed.en" TargetMode="External"/><Relationship Id="rId23" Type="http://schemas.openxmlformats.org/officeDocument/2006/relationships/header" Target="header6.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6.wmf"/><Relationship Id="rId57" Type="http://schemas.openxmlformats.org/officeDocument/2006/relationships/image" Target="media/image20.wmf"/><Relationship Id="rId106" Type="http://schemas.openxmlformats.org/officeDocument/2006/relationships/oleObject" Target="embeddings/oleObject41.bin"/><Relationship Id="rId114" Type="http://schemas.openxmlformats.org/officeDocument/2006/relationships/oleObject" Target="embeddings/oleObject45.bin"/><Relationship Id="rId119" Type="http://schemas.openxmlformats.org/officeDocument/2006/relationships/image" Target="media/image51.emf"/><Relationship Id="rId127" Type="http://schemas.openxmlformats.org/officeDocument/2006/relationships/image" Target="media/image56.wmf"/><Relationship Id="rId10" Type="http://schemas.openxmlformats.org/officeDocument/2006/relationships/header" Target="header2.xml"/><Relationship Id="rId31" Type="http://schemas.openxmlformats.org/officeDocument/2006/relationships/image" Target="media/image7.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27.bin"/><Relationship Id="rId81" Type="http://schemas.openxmlformats.org/officeDocument/2006/relationships/image" Target="media/image32.emf"/><Relationship Id="rId86" Type="http://schemas.openxmlformats.org/officeDocument/2006/relationships/oleObject" Target="embeddings/oleObject31.bin"/><Relationship Id="rId94" Type="http://schemas.openxmlformats.org/officeDocument/2006/relationships/oleObject" Target="embeddings/oleObject35.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48.bin"/><Relationship Id="rId130" Type="http://schemas.openxmlformats.org/officeDocument/2006/relationships/oleObject" Target="embeddings/oleObject52.bin"/><Relationship Id="rId135" Type="http://schemas.openxmlformats.org/officeDocument/2006/relationships/image" Target="media/image60.wmf"/><Relationship Id="rId143" Type="http://schemas.openxmlformats.org/officeDocument/2006/relationships/image" Target="media/image64.wmf"/><Relationship Id="rId148" Type="http://schemas.openxmlformats.org/officeDocument/2006/relationships/oleObject" Target="embeddings/oleObject61.bin"/><Relationship Id="rId151" Type="http://schemas.openxmlformats.org/officeDocument/2006/relationships/header" Target="header7.xml"/><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creativecommons.org/licenses/by/3.0/au/deed.en" TargetMode="External"/><Relationship Id="rId39" Type="http://schemas.openxmlformats.org/officeDocument/2006/relationships/image" Target="media/image11.wmf"/><Relationship Id="rId109" Type="http://schemas.openxmlformats.org/officeDocument/2006/relationships/image" Target="media/image46.wmf"/><Relationship Id="rId34" Type="http://schemas.openxmlformats.org/officeDocument/2006/relationships/oleObject" Target="embeddings/oleObject5.bin"/><Relationship Id="rId50" Type="http://schemas.openxmlformats.org/officeDocument/2006/relationships/oleObject" Target="embeddings/oleObject13.bin"/><Relationship Id="rId55" Type="http://schemas.openxmlformats.org/officeDocument/2006/relationships/image" Target="media/image19.wmf"/><Relationship Id="rId76" Type="http://schemas.openxmlformats.org/officeDocument/2006/relationships/oleObject" Target="embeddings/oleObject26.bin"/><Relationship Id="rId97" Type="http://schemas.openxmlformats.org/officeDocument/2006/relationships/image" Target="media/image40.wmf"/><Relationship Id="rId104" Type="http://schemas.openxmlformats.org/officeDocument/2006/relationships/oleObject" Target="embeddings/oleObject40.bin"/><Relationship Id="rId120" Type="http://schemas.openxmlformats.org/officeDocument/2006/relationships/image" Target="media/image52.emf"/><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60.bin"/><Relationship Id="rId7" Type="http://schemas.openxmlformats.org/officeDocument/2006/relationships/footnotes" Target="footnotes.xml"/><Relationship Id="rId71" Type="http://schemas.openxmlformats.org/officeDocument/2006/relationships/image" Target="media/image27.wmf"/><Relationship Id="rId92"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image" Target="media/image6.wmf"/><Relationship Id="rId24" Type="http://schemas.openxmlformats.org/officeDocument/2006/relationships/footer" Target="footer4.xml"/><Relationship Id="rId40" Type="http://schemas.openxmlformats.org/officeDocument/2006/relationships/oleObject" Target="embeddings/oleObject8.bin"/><Relationship Id="rId45" Type="http://schemas.openxmlformats.org/officeDocument/2006/relationships/image" Target="media/image14.wmf"/><Relationship Id="rId66" Type="http://schemas.openxmlformats.org/officeDocument/2006/relationships/oleObject" Target="embeddings/oleObject21.bin"/><Relationship Id="rId87" Type="http://schemas.openxmlformats.org/officeDocument/2006/relationships/image" Target="media/image35.emf"/><Relationship Id="rId110" Type="http://schemas.openxmlformats.org/officeDocument/2006/relationships/oleObject" Target="embeddings/oleObject43.bin"/><Relationship Id="rId115" Type="http://schemas.openxmlformats.org/officeDocument/2006/relationships/image" Target="media/image49.wmf"/><Relationship Id="rId131" Type="http://schemas.openxmlformats.org/officeDocument/2006/relationships/image" Target="media/image58.wmf"/><Relationship Id="rId136" Type="http://schemas.openxmlformats.org/officeDocument/2006/relationships/oleObject" Target="embeddings/oleObject55.bin"/><Relationship Id="rId157" Type="http://schemas.openxmlformats.org/officeDocument/2006/relationships/theme" Target="theme/theme1.xml"/><Relationship Id="rId61" Type="http://schemas.openxmlformats.org/officeDocument/2006/relationships/image" Target="media/image22.wmf"/><Relationship Id="rId82" Type="http://schemas.openxmlformats.org/officeDocument/2006/relationships/oleObject" Target="embeddings/oleObject29.bin"/><Relationship Id="rId152" Type="http://schemas.openxmlformats.org/officeDocument/2006/relationships/header" Target="header8.xml"/><Relationship Id="rId19" Type="http://schemas.openxmlformats.org/officeDocument/2006/relationships/hyperlink" Target="http://www.itsanhonour.gov.au" TargetMode="External"/><Relationship Id="rId14" Type="http://schemas.openxmlformats.org/officeDocument/2006/relationships/footer" Target="footer3.xml"/><Relationship Id="rId30" Type="http://schemas.openxmlformats.org/officeDocument/2006/relationships/oleObject" Target="embeddings/oleObject3.bin"/><Relationship Id="rId35" Type="http://schemas.openxmlformats.org/officeDocument/2006/relationships/image" Target="media/image9.wmf"/><Relationship Id="rId56" Type="http://schemas.openxmlformats.org/officeDocument/2006/relationships/oleObject" Target="embeddings/oleObject16.bin"/><Relationship Id="rId77" Type="http://schemas.openxmlformats.org/officeDocument/2006/relationships/image" Target="media/image30.wmf"/><Relationship Id="rId100" Type="http://schemas.openxmlformats.org/officeDocument/2006/relationships/oleObject" Target="embeddings/oleObject38.bin"/><Relationship Id="rId105" Type="http://schemas.openxmlformats.org/officeDocument/2006/relationships/image" Target="media/image44.wmf"/><Relationship Id="rId126" Type="http://schemas.openxmlformats.org/officeDocument/2006/relationships/oleObject" Target="embeddings/oleObject50.bin"/><Relationship Id="rId147" Type="http://schemas.openxmlformats.org/officeDocument/2006/relationships/image" Target="media/image66.wmf"/><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oleObject" Target="embeddings/oleObject24.bin"/><Relationship Id="rId93" Type="http://schemas.openxmlformats.org/officeDocument/2006/relationships/image" Target="media/image38.wmf"/><Relationship Id="rId98" Type="http://schemas.openxmlformats.org/officeDocument/2006/relationships/oleObject" Target="embeddings/oleObject37.bin"/><Relationship Id="rId121" Type="http://schemas.openxmlformats.org/officeDocument/2006/relationships/image" Target="media/image53.wmf"/><Relationship Id="rId142" Type="http://schemas.openxmlformats.org/officeDocument/2006/relationships/oleObject" Target="embeddings/oleObject58.bin"/><Relationship Id="rId3" Type="http://schemas.openxmlformats.org/officeDocument/2006/relationships/styles" Target="styles.xml"/><Relationship Id="rId25" Type="http://schemas.openxmlformats.org/officeDocument/2006/relationships/image" Target="media/image4.wmf"/><Relationship Id="rId46" Type="http://schemas.openxmlformats.org/officeDocument/2006/relationships/oleObject" Target="embeddings/oleObject11.bin"/><Relationship Id="rId67" Type="http://schemas.openxmlformats.org/officeDocument/2006/relationships/image" Target="media/image25.wmf"/><Relationship Id="rId116" Type="http://schemas.openxmlformats.org/officeDocument/2006/relationships/oleObject" Target="embeddings/oleObject46.bin"/><Relationship Id="rId137" Type="http://schemas.openxmlformats.org/officeDocument/2006/relationships/image" Target="media/image61.wmf"/></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mailto:michael.kouparitsas@treasury.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3252-B01B-4853-A4D0-A95E942A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6128</Words>
  <Characters>40265</Characters>
  <Application>Microsoft Office Word</Application>
  <DocSecurity>0</DocSecurity>
  <Lines>335</Lines>
  <Paragraphs>92</Paragraphs>
  <ScaleCrop>false</ScaleCrop>
  <HeadingPairs>
    <vt:vector size="2" baseType="variant">
      <vt:variant>
        <vt:lpstr>Title</vt:lpstr>
      </vt:variant>
      <vt:variant>
        <vt:i4>1</vt:i4>
      </vt:variant>
    </vt:vector>
  </HeadingPairs>
  <TitlesOfParts>
    <vt:vector size="1" baseType="lpstr">
      <vt:lpstr>Modelling Australia's imports of goods and services</vt:lpstr>
    </vt:vector>
  </TitlesOfParts>
  <Company/>
  <LinksUpToDate>false</LinksUpToDate>
  <CharactersWithSpaces>46301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Australia's imports of goods and services</dc:title>
  <dc:subject>DED Model Documentation</dc:subject>
  <dc:creator/>
  <cp:keywords/>
  <cp:lastModifiedBy/>
  <cp:revision>1</cp:revision>
  <dcterms:created xsi:type="dcterms:W3CDTF">2015-06-15T00:48:00Z</dcterms:created>
  <dcterms:modified xsi:type="dcterms:W3CDTF">2015-06-15T00:48:00Z</dcterms:modified>
</cp:coreProperties>
</file>